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4.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EFA15">
      <w:pPr>
        <w:rPr>
          <w:rFonts w:hint="eastAsia" w:eastAsia="宋体"/>
          <w:sz w:val="36"/>
          <w:szCs w:val="36"/>
          <w:lang w:eastAsia="zh-CN"/>
        </w:rPr>
      </w:pPr>
      <w:bookmarkStart w:id="0" w:name="OLE_LINK5"/>
    </w:p>
    <w:p w14:paraId="069ADB07">
      <w:pPr>
        <w:rPr>
          <w:sz w:val="36"/>
          <w:szCs w:val="36"/>
        </w:rPr>
      </w:pPr>
    </w:p>
    <w:bookmarkEnd w:id="0"/>
    <w:p w14:paraId="72682962">
      <w:pPr>
        <w:rPr>
          <w:sz w:val="36"/>
          <w:szCs w:val="36"/>
        </w:rPr>
      </w:pPr>
    </w:p>
    <w:p w14:paraId="1D056459">
      <w:pPr>
        <w:adjustRightInd w:val="0"/>
        <w:snapToGrid w:val="0"/>
        <w:jc w:val="center"/>
        <w:rPr>
          <w:rFonts w:ascii="方正小标宋_GBK" w:eastAsia="方正小标宋_GBK"/>
          <w:bCs/>
          <w:sz w:val="72"/>
          <w:szCs w:val="72"/>
        </w:rPr>
      </w:pPr>
      <w:bookmarkStart w:id="1" w:name="_Toc121151509"/>
      <w:bookmarkStart w:id="2" w:name="OLE_LINK1"/>
      <w:r>
        <w:rPr>
          <w:rFonts w:hint="eastAsia" w:ascii="方正小标宋_GBK" w:eastAsia="方正小标宋_GBK"/>
          <w:bCs/>
          <w:sz w:val="72"/>
          <w:szCs w:val="72"/>
        </w:rPr>
        <w:t>建设项目环境影响报告表</w:t>
      </w:r>
      <w:bookmarkEnd w:id="1"/>
      <w:bookmarkEnd w:id="2"/>
    </w:p>
    <w:p w14:paraId="276249A8">
      <w:pPr>
        <w:adjustRightInd w:val="0"/>
        <w:snapToGrid w:val="0"/>
        <w:spacing w:before="192" w:beforeLines="80"/>
        <w:jc w:val="center"/>
        <w:rPr>
          <w:bCs/>
          <w:sz w:val="34"/>
          <w:szCs w:val="48"/>
        </w:rPr>
      </w:pPr>
      <w:r>
        <w:rPr>
          <w:rFonts w:hint="eastAsia" w:ascii="楷体_GB2312" w:eastAsia="楷体_GB2312"/>
          <w:bCs/>
          <w:sz w:val="48"/>
          <w:szCs w:val="48"/>
        </w:rPr>
        <w:t>（污染影响类）</w:t>
      </w:r>
    </w:p>
    <w:p w14:paraId="1063536E">
      <w:pPr>
        <w:adjustRightInd w:val="0"/>
        <w:snapToGrid w:val="0"/>
        <w:spacing w:line="288" w:lineRule="auto"/>
        <w:jc w:val="center"/>
        <w:rPr>
          <w:color w:val="auto"/>
          <w:kern w:val="44"/>
          <w:sz w:val="44"/>
          <w:szCs w:val="44"/>
        </w:rPr>
      </w:pPr>
      <w:bookmarkStart w:id="3" w:name="OLE_LINK6"/>
    </w:p>
    <w:p w14:paraId="56182582">
      <w:pPr>
        <w:jc w:val="center"/>
        <w:rPr>
          <w:color w:val="auto"/>
          <w:sz w:val="52"/>
          <w:szCs w:val="52"/>
        </w:rPr>
      </w:pPr>
    </w:p>
    <w:bookmarkEnd w:id="3"/>
    <w:p w14:paraId="5D2E5F2A">
      <w:pPr>
        <w:jc w:val="center"/>
        <w:rPr>
          <w:color w:val="auto"/>
          <w:sz w:val="44"/>
          <w:szCs w:val="44"/>
          <w:highlight w:val="none"/>
        </w:rPr>
      </w:pPr>
      <w:bookmarkStart w:id="4" w:name="OLE_LINK7"/>
    </w:p>
    <w:p w14:paraId="223BAFDE">
      <w:pPr>
        <w:jc w:val="center"/>
        <w:rPr>
          <w:color w:val="auto"/>
          <w:sz w:val="44"/>
          <w:szCs w:val="44"/>
          <w:highlight w:val="none"/>
        </w:rPr>
      </w:pPr>
    </w:p>
    <w:bookmarkEnd w:id="4"/>
    <w:p w14:paraId="214C4D2E">
      <w:pPr>
        <w:ind w:firstLine="1040"/>
        <w:jc w:val="center"/>
        <w:rPr>
          <w:color w:val="auto"/>
          <w:sz w:val="44"/>
          <w:szCs w:val="44"/>
          <w:highlight w:val="none"/>
        </w:rPr>
      </w:pPr>
      <w:bookmarkStart w:id="5" w:name="OLE_LINK8"/>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99"/>
        <w:gridCol w:w="6356"/>
      </w:tblGrid>
      <w:tr w14:paraId="3B4F4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99" w:type="dxa"/>
            <w:vAlign w:val="center"/>
          </w:tcPr>
          <w:p w14:paraId="0C1464CC">
            <w:pPr>
              <w:jc w:val="distribute"/>
              <w:rPr>
                <w:color w:val="auto"/>
                <w:sz w:val="44"/>
                <w:szCs w:val="44"/>
                <w:highlight w:val="none"/>
              </w:rPr>
            </w:pPr>
            <w:r>
              <w:rPr>
                <w:rFonts w:eastAsia="仿宋_GB2312"/>
                <w:color w:val="auto"/>
                <w:sz w:val="36"/>
                <w:szCs w:val="36"/>
                <w:highlight w:val="none"/>
              </w:rPr>
              <w:t>项 目</w:t>
            </w:r>
            <w:r>
              <w:rPr>
                <w:rFonts w:hint="eastAsia" w:eastAsia="仿宋_GB2312"/>
                <w:color w:val="auto"/>
                <w:sz w:val="36"/>
                <w:szCs w:val="36"/>
                <w:highlight w:val="none"/>
              </w:rPr>
              <w:t xml:space="preserve"> </w:t>
            </w:r>
            <w:r>
              <w:rPr>
                <w:rFonts w:eastAsia="仿宋_GB2312"/>
                <w:color w:val="auto"/>
                <w:sz w:val="36"/>
                <w:szCs w:val="36"/>
                <w:highlight w:val="none"/>
              </w:rPr>
              <w:t>名</w:t>
            </w:r>
            <w:r>
              <w:rPr>
                <w:rFonts w:hint="eastAsia" w:eastAsia="仿宋_GB2312"/>
                <w:color w:val="auto"/>
                <w:sz w:val="36"/>
                <w:szCs w:val="36"/>
                <w:highlight w:val="none"/>
              </w:rPr>
              <w:t xml:space="preserve"> </w:t>
            </w:r>
            <w:r>
              <w:rPr>
                <w:rFonts w:eastAsia="仿宋_GB2312"/>
                <w:color w:val="auto"/>
                <w:sz w:val="36"/>
                <w:szCs w:val="36"/>
                <w:highlight w:val="none"/>
              </w:rPr>
              <w:t>称：</w:t>
            </w:r>
          </w:p>
        </w:tc>
        <w:tc>
          <w:tcPr>
            <w:tcW w:w="6356" w:type="dxa"/>
            <w:vAlign w:val="center"/>
          </w:tcPr>
          <w:p w14:paraId="455E6B31">
            <w:pPr>
              <w:rPr>
                <w:color w:val="auto"/>
                <w:sz w:val="44"/>
                <w:szCs w:val="44"/>
                <w:highlight w:val="none"/>
              </w:rPr>
            </w:pPr>
            <w:r>
              <w:rPr>
                <w:rFonts w:hint="eastAsia" w:eastAsia="仿宋_GB2312"/>
                <w:color w:val="auto"/>
                <w:sz w:val="36"/>
                <w:szCs w:val="36"/>
                <w:highlight w:val="none"/>
                <w:u w:val="single"/>
                <w:lang w:val="en-US" w:eastAsia="zh-CN"/>
              </w:rPr>
              <w:t xml:space="preserve">  淮</w:t>
            </w:r>
            <w:r>
              <w:rPr>
                <w:rFonts w:hint="eastAsia" w:eastAsia="仿宋_GB2312"/>
                <w:color w:val="auto"/>
                <w:sz w:val="36"/>
                <w:szCs w:val="36"/>
                <w:highlight w:val="none"/>
                <w:u w:val="single"/>
                <w:lang w:eastAsia="zh-CN"/>
              </w:rPr>
              <w:t>南市安成城市综合交通驿站项目</w:t>
            </w:r>
            <w:r>
              <w:rPr>
                <w:rFonts w:hint="eastAsia" w:eastAsia="仿宋_GB2312"/>
                <w:color w:val="auto"/>
                <w:sz w:val="36"/>
                <w:szCs w:val="36"/>
                <w:highlight w:val="none"/>
                <w:u w:val="single"/>
              </w:rPr>
              <w:t xml:space="preserve">  </w:t>
            </w:r>
          </w:p>
        </w:tc>
      </w:tr>
      <w:tr w14:paraId="60397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99" w:type="dxa"/>
            <w:vAlign w:val="center"/>
          </w:tcPr>
          <w:p w14:paraId="3E2FECAD">
            <w:pPr>
              <w:jc w:val="distribute"/>
              <w:rPr>
                <w:color w:val="auto"/>
                <w:sz w:val="44"/>
                <w:szCs w:val="44"/>
                <w:highlight w:val="none"/>
              </w:rPr>
            </w:pPr>
            <w:r>
              <w:rPr>
                <w:rFonts w:eastAsia="仿宋_GB2312"/>
                <w:color w:val="auto"/>
                <w:sz w:val="36"/>
                <w:szCs w:val="36"/>
                <w:highlight w:val="none"/>
              </w:rPr>
              <w:t>建设单位（盖章）：</w:t>
            </w:r>
          </w:p>
        </w:tc>
        <w:tc>
          <w:tcPr>
            <w:tcW w:w="6356" w:type="dxa"/>
            <w:vAlign w:val="center"/>
          </w:tcPr>
          <w:p w14:paraId="7E28BB99">
            <w:pPr>
              <w:rPr>
                <w:color w:val="auto"/>
                <w:sz w:val="44"/>
                <w:szCs w:val="44"/>
                <w:highlight w:val="none"/>
              </w:rPr>
            </w:pPr>
            <w:r>
              <w:rPr>
                <w:rFonts w:hint="eastAsia"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 xml:space="preserve">   </w:t>
            </w:r>
            <w:r>
              <w:rPr>
                <w:rFonts w:hint="eastAsia" w:eastAsia="仿宋_GB2312"/>
                <w:color w:val="auto"/>
                <w:sz w:val="36"/>
                <w:szCs w:val="36"/>
                <w:highlight w:val="none"/>
                <w:u w:val="single"/>
              </w:rPr>
              <w:t xml:space="preserve"> 淮南交控物流服务有限公司</w:t>
            </w: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 xml:space="preserve"> </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 xml:space="preserve"> </w:t>
            </w:r>
          </w:p>
        </w:tc>
      </w:tr>
      <w:tr w14:paraId="0A0D3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99" w:type="dxa"/>
            <w:vAlign w:val="center"/>
          </w:tcPr>
          <w:p w14:paraId="2B249026">
            <w:pPr>
              <w:jc w:val="distribute"/>
              <w:rPr>
                <w:color w:val="auto"/>
                <w:sz w:val="44"/>
                <w:szCs w:val="44"/>
                <w:highlight w:val="none"/>
              </w:rPr>
            </w:pPr>
            <w:r>
              <w:rPr>
                <w:rFonts w:eastAsia="仿宋_GB2312"/>
                <w:color w:val="auto"/>
                <w:sz w:val="36"/>
                <w:szCs w:val="36"/>
                <w:highlight w:val="none"/>
              </w:rPr>
              <w:t>编</w:t>
            </w:r>
            <w:r>
              <w:rPr>
                <w:rFonts w:hint="eastAsia" w:eastAsia="仿宋_GB2312"/>
                <w:color w:val="auto"/>
                <w:sz w:val="36"/>
                <w:szCs w:val="36"/>
                <w:highlight w:val="none"/>
              </w:rPr>
              <w:t xml:space="preserve"> </w:t>
            </w:r>
            <w:r>
              <w:rPr>
                <w:rFonts w:eastAsia="仿宋_GB2312"/>
                <w:color w:val="auto"/>
                <w:sz w:val="36"/>
                <w:szCs w:val="36"/>
                <w:highlight w:val="none"/>
              </w:rPr>
              <w:t xml:space="preserve"> 制 </w:t>
            </w:r>
            <w:r>
              <w:rPr>
                <w:rFonts w:hint="eastAsia" w:eastAsia="仿宋_GB2312"/>
                <w:color w:val="auto"/>
                <w:sz w:val="36"/>
                <w:szCs w:val="36"/>
                <w:highlight w:val="none"/>
              </w:rPr>
              <w:t xml:space="preserve"> </w:t>
            </w:r>
            <w:r>
              <w:rPr>
                <w:rFonts w:eastAsia="仿宋_GB2312"/>
                <w:color w:val="auto"/>
                <w:sz w:val="36"/>
                <w:szCs w:val="36"/>
                <w:highlight w:val="none"/>
              </w:rPr>
              <w:t>日</w:t>
            </w:r>
            <w:r>
              <w:rPr>
                <w:rFonts w:hint="eastAsia" w:eastAsia="仿宋_GB2312"/>
                <w:color w:val="auto"/>
                <w:sz w:val="36"/>
                <w:szCs w:val="36"/>
                <w:highlight w:val="none"/>
              </w:rPr>
              <w:t xml:space="preserve"> </w:t>
            </w:r>
            <w:r>
              <w:rPr>
                <w:rFonts w:eastAsia="仿宋_GB2312"/>
                <w:color w:val="auto"/>
                <w:sz w:val="36"/>
                <w:szCs w:val="36"/>
                <w:highlight w:val="none"/>
              </w:rPr>
              <w:t xml:space="preserve"> 期：</w:t>
            </w:r>
          </w:p>
        </w:tc>
        <w:tc>
          <w:tcPr>
            <w:tcW w:w="6356" w:type="dxa"/>
            <w:vAlign w:val="center"/>
          </w:tcPr>
          <w:p w14:paraId="2281C25D">
            <w:pPr>
              <w:adjustRightInd w:val="0"/>
              <w:snapToGrid w:val="0"/>
              <w:rPr>
                <w:color w:val="auto"/>
                <w:sz w:val="44"/>
                <w:szCs w:val="44"/>
                <w:highlight w:val="none"/>
              </w:rPr>
            </w:pP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 xml:space="preserve">   202</w:t>
            </w:r>
            <w:r>
              <w:rPr>
                <w:rFonts w:hint="eastAsia" w:eastAsia="仿宋_GB2312"/>
                <w:color w:val="auto"/>
                <w:sz w:val="36"/>
                <w:szCs w:val="36"/>
                <w:highlight w:val="none"/>
                <w:u w:val="single"/>
                <w:lang w:val="en-US" w:eastAsia="zh-CN"/>
              </w:rPr>
              <w:t>5</w:t>
            </w:r>
            <w:r>
              <w:rPr>
                <w:rFonts w:eastAsia="仿宋_GB2312"/>
                <w:color w:val="auto"/>
                <w:sz w:val="36"/>
                <w:szCs w:val="36"/>
                <w:highlight w:val="none"/>
                <w:u w:val="single"/>
              </w:rPr>
              <w:t>年</w:t>
            </w:r>
            <w:r>
              <w:rPr>
                <w:rFonts w:hint="eastAsia" w:eastAsia="仿宋_GB2312"/>
                <w:color w:val="auto"/>
                <w:sz w:val="36"/>
                <w:szCs w:val="36"/>
                <w:highlight w:val="none"/>
                <w:u w:val="single"/>
                <w:lang w:val="en-US" w:eastAsia="zh-CN"/>
              </w:rPr>
              <w:t>8</w:t>
            </w:r>
            <w:r>
              <w:rPr>
                <w:rFonts w:eastAsia="仿宋_GB2312"/>
                <w:color w:val="auto"/>
                <w:sz w:val="36"/>
                <w:szCs w:val="36"/>
                <w:highlight w:val="none"/>
                <w:u w:val="single"/>
              </w:rPr>
              <w:t xml:space="preserve">月   </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 xml:space="preserve"> </w:t>
            </w:r>
            <w:r>
              <w:rPr>
                <w:rFonts w:hint="eastAsia"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 xml:space="preserve">  </w:t>
            </w:r>
            <w:r>
              <w:rPr>
                <w:rFonts w:hint="eastAsia" w:eastAsia="仿宋_GB2312"/>
                <w:color w:val="auto"/>
                <w:sz w:val="36"/>
                <w:szCs w:val="36"/>
                <w:highlight w:val="none"/>
                <w:u w:val="single"/>
              </w:rPr>
              <w:t xml:space="preserve"> </w:t>
            </w:r>
            <w:r>
              <w:rPr>
                <w:rFonts w:eastAsia="仿宋_GB2312"/>
                <w:color w:val="auto"/>
                <w:sz w:val="36"/>
                <w:szCs w:val="36"/>
                <w:highlight w:val="none"/>
                <w:u w:val="single"/>
              </w:rPr>
              <w:t xml:space="preserve"> </w:t>
            </w:r>
            <w:r>
              <w:rPr>
                <w:rFonts w:hint="eastAsia" w:eastAsia="仿宋_GB2312"/>
                <w:color w:val="auto"/>
                <w:sz w:val="36"/>
                <w:szCs w:val="36"/>
                <w:highlight w:val="none"/>
                <w:u w:val="single"/>
                <w:lang w:val="en-US" w:eastAsia="zh-CN"/>
              </w:rPr>
              <w:t xml:space="preserve"> </w:t>
            </w:r>
            <w:r>
              <w:rPr>
                <w:rFonts w:eastAsia="仿宋_GB2312"/>
                <w:color w:val="auto"/>
                <w:sz w:val="36"/>
                <w:szCs w:val="36"/>
                <w:highlight w:val="none"/>
                <w:u w:val="single"/>
              </w:rPr>
              <w:t xml:space="preserve">   </w:t>
            </w:r>
          </w:p>
        </w:tc>
      </w:tr>
    </w:tbl>
    <w:p w14:paraId="6B8DB74D">
      <w:pPr>
        <w:ind w:firstLine="1040"/>
        <w:jc w:val="center"/>
        <w:rPr>
          <w:color w:val="auto"/>
          <w:sz w:val="44"/>
          <w:szCs w:val="44"/>
          <w:highlight w:val="none"/>
        </w:rPr>
      </w:pPr>
    </w:p>
    <w:p w14:paraId="37305E0E">
      <w:pPr>
        <w:ind w:firstLine="1040"/>
        <w:jc w:val="center"/>
        <w:rPr>
          <w:color w:val="auto"/>
          <w:sz w:val="44"/>
          <w:szCs w:val="44"/>
          <w:highlight w:val="none"/>
        </w:rPr>
      </w:pPr>
    </w:p>
    <w:p w14:paraId="0F5312EC">
      <w:pPr>
        <w:ind w:firstLine="1040"/>
        <w:jc w:val="center"/>
        <w:rPr>
          <w:color w:val="auto"/>
          <w:sz w:val="44"/>
          <w:szCs w:val="44"/>
          <w:highlight w:val="none"/>
        </w:rPr>
      </w:pPr>
    </w:p>
    <w:bookmarkEnd w:id="5"/>
    <w:p w14:paraId="0C686384">
      <w:pPr>
        <w:adjustRightInd w:val="0"/>
        <w:snapToGrid w:val="0"/>
        <w:spacing w:line="288" w:lineRule="auto"/>
        <w:jc w:val="center"/>
        <w:rPr>
          <w:color w:val="auto"/>
          <w:sz w:val="36"/>
          <w:szCs w:val="36"/>
          <w:highlight w:val="none"/>
        </w:rPr>
      </w:pPr>
      <w:bookmarkStart w:id="6" w:name="OLE_LINK4"/>
      <w:r>
        <w:rPr>
          <w:rFonts w:eastAsia="楷体_GB2312"/>
          <w:color w:val="auto"/>
          <w:sz w:val="36"/>
          <w:szCs w:val="36"/>
          <w:highlight w:val="none"/>
        </w:rPr>
        <w:t>中华人民共和国生态环境部制</w:t>
      </w:r>
    </w:p>
    <w:bookmarkEnd w:id="6"/>
    <w:p w14:paraId="22A9D18B">
      <w:pPr>
        <w:adjustRightInd w:val="0"/>
        <w:snapToGrid w:val="0"/>
        <w:spacing w:line="288" w:lineRule="auto"/>
        <w:rPr>
          <w:color w:val="auto"/>
          <w:sz w:val="36"/>
          <w:szCs w:val="36"/>
          <w:highlight w:val="none"/>
        </w:rPr>
        <w:sectPr>
          <w:headerReference r:id="rId5" w:type="first"/>
          <w:footerReference r:id="rId8" w:type="first"/>
          <w:footerReference r:id="rId6" w:type="default"/>
          <w:footerReference r:id="rId7" w:type="even"/>
          <w:pgSz w:w="11906" w:h="16838"/>
          <w:pgMar w:top="1440" w:right="1080" w:bottom="1440" w:left="1080" w:header="851" w:footer="1077" w:gutter="0"/>
          <w:pgNumType w:start="3"/>
          <w:cols w:space="720" w:num="1"/>
          <w:docGrid w:linePitch="312" w:charSpace="0"/>
        </w:sectPr>
      </w:pPr>
    </w:p>
    <w:p w14:paraId="40C16272">
      <w:pPr>
        <w:adjustRightInd w:val="0"/>
        <w:snapToGrid w:val="0"/>
        <w:spacing w:line="288" w:lineRule="auto"/>
        <w:rPr>
          <w:rFonts w:hint="eastAsia" w:eastAsia="宋体"/>
          <w:color w:val="auto"/>
          <w:sz w:val="36"/>
          <w:szCs w:val="36"/>
          <w:highlight w:val="none"/>
          <w:lang w:eastAsia="zh-CN"/>
        </w:rPr>
        <w:sectPr>
          <w:pgSz w:w="11906" w:h="16838"/>
          <w:pgMar w:top="1440" w:right="1080" w:bottom="1440" w:left="1080" w:header="851" w:footer="1077" w:gutter="0"/>
          <w:pgNumType w:start="3"/>
          <w:cols w:space="720" w:num="1"/>
          <w:docGrid w:linePitch="312" w:charSpace="0"/>
        </w:sectPr>
      </w:pPr>
    </w:p>
    <w:sdt>
      <w:sdtPr>
        <w:rPr>
          <w:rFonts w:hint="eastAsia" w:asciiTheme="minorEastAsia" w:hAnsiTheme="minorEastAsia" w:eastAsiaTheme="minorEastAsia" w:cstheme="minorEastAsia"/>
          <w:color w:val="auto"/>
          <w:highlight w:val="none"/>
        </w:rPr>
        <w:id w:val="147460733"/>
        <w15:color w:val="DBDBDB"/>
        <w:docPartObj>
          <w:docPartGallery w:val="Table of Contents"/>
          <w:docPartUnique/>
        </w:docPartObj>
      </w:sdtPr>
      <w:sdtEndPr>
        <w:rPr>
          <w:rFonts w:hint="eastAsia" w:asciiTheme="minorEastAsia" w:hAnsiTheme="minorEastAsia" w:eastAsiaTheme="minorEastAsia" w:cstheme="minorEastAsia"/>
          <w:color w:val="auto"/>
          <w:highlight w:val="none"/>
        </w:rPr>
      </w:sdtEndPr>
      <w:sdtContent>
        <w:p w14:paraId="2D4E90B2">
          <w:pPr>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目  录</w:t>
          </w:r>
        </w:p>
        <w:p w14:paraId="351B5D0E">
          <w:pPr>
            <w:pStyle w:val="15"/>
            <w:tabs>
              <w:tab w:val="right" w:leader="dot" w:pos="8306"/>
            </w:tabs>
            <w:rPr>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TOC \o "1-1" \h \u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\l _Toc13207 </w:instrText>
          </w:r>
          <w:r>
            <w:rPr>
              <w:rFonts w:hint="eastAsia" w:asciiTheme="minorEastAsia" w:hAnsiTheme="minorEastAsia" w:eastAsiaTheme="minorEastAsia" w:cstheme="minorEastAsia"/>
              <w:color w:val="auto"/>
              <w:highlight w:val="none"/>
            </w:rPr>
            <w:fldChar w:fldCharType="separate"/>
          </w:r>
          <w:r>
            <w:rPr>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_Toc13207 \h </w:instrText>
          </w:r>
          <w:r>
            <w:rPr>
              <w:color w:val="auto"/>
              <w:highlight w:val="none"/>
            </w:rPr>
            <w:fldChar w:fldCharType="separate"/>
          </w:r>
          <w:r>
            <w:rPr>
              <w:color w:val="auto"/>
              <w:highlight w:val="none"/>
            </w:rPr>
            <w:t>1</w:t>
          </w:r>
          <w:r>
            <w:rPr>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0CDA2DAD">
          <w:pPr>
            <w:pStyle w:val="15"/>
            <w:tabs>
              <w:tab w:val="right" w:leader="dot" w:pos="8306"/>
            </w:tabs>
            <w:rPr>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\l _Toc11736 </w:instrText>
          </w:r>
          <w:r>
            <w:rPr>
              <w:rFonts w:hint="eastAsia" w:asciiTheme="minorEastAsia" w:hAnsiTheme="minorEastAsia" w:eastAsiaTheme="minorEastAsia" w:cstheme="minorEastAsia"/>
              <w:color w:val="auto"/>
              <w:highlight w:val="none"/>
            </w:rPr>
            <w:fldChar w:fldCharType="separate"/>
          </w:r>
          <w:r>
            <w:rPr>
              <w:rFonts w:hint="eastAsia"/>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_Toc11736 \h </w:instrText>
          </w:r>
          <w:r>
            <w:rPr>
              <w:color w:val="auto"/>
              <w:highlight w:val="none"/>
            </w:rPr>
            <w:fldChar w:fldCharType="separate"/>
          </w:r>
          <w:r>
            <w:rPr>
              <w:color w:val="auto"/>
              <w:highlight w:val="none"/>
            </w:rPr>
            <w:t>15</w:t>
          </w:r>
          <w:r>
            <w:rPr>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4B67077F">
          <w:pPr>
            <w:pStyle w:val="15"/>
            <w:tabs>
              <w:tab w:val="right" w:leader="dot" w:pos="8306"/>
            </w:tabs>
            <w:rPr>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\l _Toc10412 </w:instrText>
          </w:r>
          <w:r>
            <w:rPr>
              <w:rFonts w:hint="eastAsia" w:asciiTheme="minorEastAsia" w:hAnsiTheme="minorEastAsia" w:eastAsiaTheme="minorEastAsia" w:cstheme="minorEastAsia"/>
              <w:color w:val="auto"/>
              <w:highlight w:val="none"/>
            </w:rPr>
            <w:fldChar w:fldCharType="separate"/>
          </w:r>
          <w:r>
            <w:rPr>
              <w:rFonts w:hint="eastAsia"/>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_Toc10412 \h </w:instrText>
          </w:r>
          <w:r>
            <w:rPr>
              <w:color w:val="auto"/>
              <w:highlight w:val="none"/>
            </w:rPr>
            <w:fldChar w:fldCharType="separate"/>
          </w:r>
          <w:r>
            <w:rPr>
              <w:color w:val="auto"/>
              <w:highlight w:val="none"/>
            </w:rPr>
            <w:t>33</w:t>
          </w:r>
          <w:r>
            <w:rPr>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7BFF8721">
          <w:pPr>
            <w:pStyle w:val="15"/>
            <w:tabs>
              <w:tab w:val="right" w:leader="dot" w:pos="8306"/>
            </w:tabs>
            <w:rPr>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\l _Toc12695 </w:instrText>
          </w:r>
          <w:r>
            <w:rPr>
              <w:rFonts w:hint="eastAsia" w:asciiTheme="minorEastAsia" w:hAnsiTheme="minorEastAsia" w:eastAsiaTheme="minorEastAsia" w:cstheme="minorEastAsia"/>
              <w:color w:val="auto"/>
              <w:highlight w:val="none"/>
            </w:rPr>
            <w:fldChar w:fldCharType="separate"/>
          </w:r>
          <w:r>
            <w:rPr>
              <w:rFonts w:hint="eastAsia"/>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_Toc12695 \h </w:instrText>
          </w:r>
          <w:r>
            <w:rPr>
              <w:color w:val="auto"/>
              <w:highlight w:val="none"/>
            </w:rPr>
            <w:fldChar w:fldCharType="separate"/>
          </w:r>
          <w:r>
            <w:rPr>
              <w:color w:val="auto"/>
              <w:highlight w:val="none"/>
            </w:rPr>
            <w:t>45</w:t>
          </w:r>
          <w:r>
            <w:rPr>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7DB382B6">
          <w:pPr>
            <w:pStyle w:val="15"/>
            <w:tabs>
              <w:tab w:val="right" w:leader="dot" w:pos="8306"/>
            </w:tabs>
            <w:rPr>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\l _Toc18445 </w:instrText>
          </w:r>
          <w:r>
            <w:rPr>
              <w:rFonts w:hint="eastAsia" w:asciiTheme="minorEastAsia" w:hAnsiTheme="minorEastAsia" w:eastAsiaTheme="minorEastAsia" w:cstheme="minorEastAsia"/>
              <w:color w:val="auto"/>
              <w:highlight w:val="none"/>
            </w:rPr>
            <w:fldChar w:fldCharType="separate"/>
          </w:r>
          <w:r>
            <w:rPr>
              <w:rFonts w:hint="eastAsia"/>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_Toc18445 \h </w:instrText>
          </w:r>
          <w:r>
            <w:rPr>
              <w:color w:val="auto"/>
              <w:highlight w:val="none"/>
            </w:rPr>
            <w:fldChar w:fldCharType="separate"/>
          </w:r>
          <w:r>
            <w:rPr>
              <w:color w:val="auto"/>
              <w:highlight w:val="none"/>
            </w:rPr>
            <w:t>89</w:t>
          </w:r>
          <w:r>
            <w:rPr>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08FC92EE">
          <w:pPr>
            <w:pStyle w:val="15"/>
            <w:tabs>
              <w:tab w:val="right" w:leader="dot" w:pos="8306"/>
            </w:tabs>
            <w:rPr>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\l _Toc22712 </w:instrText>
          </w:r>
          <w:r>
            <w:rPr>
              <w:rFonts w:hint="eastAsia" w:asciiTheme="minorEastAsia" w:hAnsiTheme="minorEastAsia" w:eastAsiaTheme="minorEastAsia" w:cstheme="minorEastAsia"/>
              <w:color w:val="auto"/>
              <w:highlight w:val="none"/>
            </w:rPr>
            <w:fldChar w:fldCharType="separate"/>
          </w:r>
          <w:r>
            <w:rPr>
              <w:rFonts w:hint="eastAsia"/>
              <w:color w:val="auto"/>
              <w:highlight w:val="none"/>
            </w:rPr>
            <w:t>六、结论</w:t>
          </w:r>
          <w:r>
            <w:rPr>
              <w:color w:val="auto"/>
              <w:highlight w:val="none"/>
            </w:rPr>
            <w:tab/>
          </w:r>
          <w:r>
            <w:rPr>
              <w:color w:val="auto"/>
              <w:highlight w:val="none"/>
            </w:rPr>
            <w:fldChar w:fldCharType="begin"/>
          </w:r>
          <w:r>
            <w:rPr>
              <w:color w:val="auto"/>
              <w:highlight w:val="none"/>
            </w:rPr>
            <w:instrText xml:space="preserve"> PAGEREF _Toc22712 \h </w:instrText>
          </w:r>
          <w:r>
            <w:rPr>
              <w:color w:val="auto"/>
              <w:highlight w:val="none"/>
            </w:rPr>
            <w:fldChar w:fldCharType="separate"/>
          </w:r>
          <w:r>
            <w:rPr>
              <w:color w:val="auto"/>
              <w:highlight w:val="none"/>
            </w:rPr>
            <w:t>91</w:t>
          </w:r>
          <w:r>
            <w:rPr>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1EBC289C">
          <w:pPr>
            <w:pStyle w:val="15"/>
            <w:tabs>
              <w:tab w:val="right" w:leader="dot" w:pos="8306"/>
            </w:tabs>
            <w:rPr>
              <w:color w:val="auto"/>
              <w:highlight w:val="none"/>
            </w:rPr>
          </w:pP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\l _Toc13184 </w:instrText>
          </w:r>
          <w:r>
            <w:rPr>
              <w:rFonts w:hint="eastAsia" w:asciiTheme="minorEastAsia" w:hAnsiTheme="minorEastAsia" w:eastAsiaTheme="minorEastAsia" w:cstheme="minorEastAsia"/>
              <w:color w:val="auto"/>
              <w:highlight w:val="none"/>
            </w:rPr>
            <w:fldChar w:fldCharType="separate"/>
          </w:r>
          <w:r>
            <w:rPr>
              <w:rFonts w:hint="eastAsia" w:ascii="黑体" w:hAnsi="黑体" w:eastAsia="黑体"/>
              <w:snapToGrid w:val="0"/>
              <w:color w:val="auto"/>
              <w:szCs w:val="32"/>
              <w:highlight w:val="none"/>
            </w:rPr>
            <w:t>附表</w:t>
          </w:r>
          <w:r>
            <w:rPr>
              <w:color w:val="auto"/>
              <w:highlight w:val="none"/>
            </w:rPr>
            <w:tab/>
          </w:r>
          <w:r>
            <w:rPr>
              <w:color w:val="auto"/>
              <w:highlight w:val="none"/>
            </w:rPr>
            <w:fldChar w:fldCharType="begin"/>
          </w:r>
          <w:r>
            <w:rPr>
              <w:color w:val="auto"/>
              <w:highlight w:val="none"/>
            </w:rPr>
            <w:instrText xml:space="preserve"> PAGEREF _Toc13184 \h </w:instrText>
          </w:r>
          <w:r>
            <w:rPr>
              <w:color w:val="auto"/>
              <w:highlight w:val="none"/>
            </w:rPr>
            <w:fldChar w:fldCharType="separate"/>
          </w:r>
          <w:r>
            <w:rPr>
              <w:color w:val="auto"/>
              <w:highlight w:val="none"/>
            </w:rPr>
            <w:t>92</w:t>
          </w:r>
          <w:r>
            <w:rPr>
              <w:color w:val="auto"/>
              <w:highlight w:val="none"/>
            </w:rPr>
            <w:fldChar w:fldCharType="end"/>
          </w:r>
          <w:r>
            <w:rPr>
              <w:rFonts w:hint="eastAsia" w:asciiTheme="minorEastAsia" w:hAnsiTheme="minorEastAsia" w:eastAsiaTheme="minorEastAsia" w:cstheme="minorEastAsia"/>
              <w:color w:val="auto"/>
              <w:highlight w:val="none"/>
            </w:rPr>
            <w:fldChar w:fldCharType="end"/>
          </w:r>
        </w:p>
        <w:p w14:paraId="5BC56249">
          <w:pPr>
            <w:rPr>
              <w:color w:val="auto"/>
              <w:highlight w:val="none"/>
            </w:rPr>
          </w:pPr>
          <w:r>
            <w:rPr>
              <w:rFonts w:hint="eastAsia" w:asciiTheme="minorEastAsia" w:hAnsiTheme="minorEastAsia" w:eastAsiaTheme="minorEastAsia" w:cstheme="minorEastAsia"/>
              <w:color w:val="auto"/>
              <w:highlight w:val="none"/>
            </w:rPr>
            <w:fldChar w:fldCharType="end"/>
          </w:r>
        </w:p>
      </w:sdtContent>
    </w:sdt>
    <w:p w14:paraId="478A338E">
      <w:pPr>
        <w:rPr>
          <w:b/>
          <w:bCs/>
          <w:color w:val="auto"/>
          <w:highlight w:val="none"/>
        </w:rPr>
      </w:pPr>
      <w:r>
        <w:rPr>
          <w:b/>
          <w:bCs/>
          <w:color w:val="auto"/>
          <w:highlight w:val="none"/>
        </w:rPr>
        <w:br w:type="page"/>
      </w:r>
    </w:p>
    <w:p w14:paraId="5D44179B">
      <w:pPr>
        <w:spacing w:line="348" w:lineRule="auto"/>
        <w:rPr>
          <w:color w:val="auto"/>
          <w:highlight w:val="none"/>
        </w:rPr>
      </w:pPr>
      <w:r>
        <w:rPr>
          <w:b/>
          <w:bCs/>
          <w:color w:val="auto"/>
          <w:highlight w:val="none"/>
        </w:rPr>
        <w:t>附图：</w:t>
      </w:r>
    </w:p>
    <w:p w14:paraId="0AFF1675">
      <w:pPr>
        <w:spacing w:line="312" w:lineRule="auto"/>
        <w:ind w:firstLine="480" w:firstLineChars="200"/>
        <w:rPr>
          <w:color w:val="auto"/>
          <w:highlight w:val="none"/>
        </w:rPr>
      </w:pPr>
      <w:r>
        <w:rPr>
          <w:color w:val="auto"/>
          <w:highlight w:val="none"/>
        </w:rPr>
        <w:t>附图1  项目地理位置图</w:t>
      </w:r>
    </w:p>
    <w:p w14:paraId="51150B93">
      <w:pPr>
        <w:spacing w:line="312" w:lineRule="auto"/>
        <w:ind w:firstLine="480" w:firstLineChars="200"/>
        <w:rPr>
          <w:color w:val="auto"/>
          <w:highlight w:val="none"/>
        </w:rPr>
      </w:pPr>
      <w:r>
        <w:rPr>
          <w:color w:val="auto"/>
          <w:highlight w:val="none"/>
        </w:rPr>
        <w:t xml:space="preserve">附图2  </w:t>
      </w:r>
      <w:r>
        <w:rPr>
          <w:rFonts w:hint="eastAsia"/>
          <w:color w:val="auto"/>
          <w:highlight w:val="none"/>
        </w:rPr>
        <w:t>项目周边环境保护目标图</w:t>
      </w:r>
    </w:p>
    <w:p w14:paraId="749CEDB7">
      <w:pPr>
        <w:spacing w:line="312" w:lineRule="auto"/>
        <w:ind w:firstLine="480" w:firstLineChars="200"/>
        <w:rPr>
          <w:rFonts w:hint="eastAsia"/>
          <w:color w:val="auto"/>
          <w:highlight w:val="none"/>
        </w:rPr>
      </w:pPr>
      <w:r>
        <w:rPr>
          <w:color w:val="auto"/>
          <w:highlight w:val="none"/>
        </w:rPr>
        <w:t>附图</w:t>
      </w:r>
      <w:r>
        <w:rPr>
          <w:rFonts w:hint="eastAsia"/>
          <w:color w:val="auto"/>
          <w:highlight w:val="none"/>
        </w:rPr>
        <w:t>3</w:t>
      </w:r>
      <w:r>
        <w:rPr>
          <w:color w:val="auto"/>
          <w:highlight w:val="none"/>
        </w:rPr>
        <w:t xml:space="preserve">  </w:t>
      </w:r>
      <w:r>
        <w:rPr>
          <w:rFonts w:hint="eastAsia"/>
          <w:color w:val="auto"/>
          <w:highlight w:val="none"/>
        </w:rPr>
        <w:t>总平面布置图</w:t>
      </w:r>
    </w:p>
    <w:p w14:paraId="60676207">
      <w:pPr>
        <w:spacing w:line="312" w:lineRule="auto"/>
        <w:ind w:firstLine="480" w:firstLineChars="200"/>
        <w:rPr>
          <w:rFonts w:hint="eastAsia"/>
          <w:color w:val="auto"/>
          <w:highlight w:val="none"/>
        </w:rPr>
      </w:pPr>
      <w:r>
        <w:rPr>
          <w:rFonts w:hint="eastAsia"/>
          <w:color w:val="auto"/>
          <w:highlight w:val="none"/>
          <w:lang w:eastAsia="zh-CN"/>
        </w:rPr>
        <w:t>附图</w:t>
      </w:r>
      <w:r>
        <w:rPr>
          <w:rFonts w:hint="eastAsia"/>
          <w:color w:val="auto"/>
          <w:highlight w:val="none"/>
          <w:lang w:val="en-US" w:eastAsia="zh-CN"/>
        </w:rPr>
        <w:t>4  安全影响分析范围图</w:t>
      </w:r>
    </w:p>
    <w:p w14:paraId="122304B6">
      <w:pPr>
        <w:spacing w:line="312" w:lineRule="auto"/>
        <w:ind w:firstLine="480" w:firstLineChars="200"/>
        <w:rPr>
          <w:rFonts w:hint="eastAsia"/>
          <w:color w:val="auto"/>
          <w:highlight w:val="none"/>
        </w:rPr>
      </w:pPr>
      <w:r>
        <w:rPr>
          <w:color w:val="auto"/>
          <w:highlight w:val="none"/>
        </w:rPr>
        <w:t>附图</w:t>
      </w:r>
      <w:r>
        <w:rPr>
          <w:rFonts w:hint="eastAsia"/>
          <w:color w:val="auto"/>
          <w:highlight w:val="none"/>
          <w:lang w:val="en-US" w:eastAsia="zh-CN"/>
        </w:rPr>
        <w:t>5</w:t>
      </w:r>
      <w:r>
        <w:rPr>
          <w:color w:val="auto"/>
          <w:highlight w:val="none"/>
        </w:rPr>
        <w:t xml:space="preserve">  </w:t>
      </w:r>
      <w:r>
        <w:rPr>
          <w:rFonts w:hint="eastAsia"/>
          <w:color w:val="auto"/>
          <w:highlight w:val="none"/>
        </w:rPr>
        <w:t>项目四周环境照片</w:t>
      </w:r>
    </w:p>
    <w:p w14:paraId="3DFE02D8">
      <w:pPr>
        <w:spacing w:line="312" w:lineRule="auto"/>
        <w:ind w:firstLine="480" w:firstLineChars="200"/>
        <w:rPr>
          <w:rFonts w:hint="eastAsia"/>
          <w:color w:val="auto"/>
          <w:highlight w:val="none"/>
        </w:rPr>
      </w:pPr>
      <w:r>
        <w:rPr>
          <w:color w:val="auto"/>
          <w:highlight w:val="none"/>
        </w:rPr>
        <w:t>附图</w:t>
      </w:r>
      <w:r>
        <w:rPr>
          <w:rFonts w:hint="eastAsia"/>
          <w:color w:val="auto"/>
          <w:highlight w:val="none"/>
          <w:lang w:val="en-US" w:eastAsia="zh-CN"/>
        </w:rPr>
        <w:t>6</w:t>
      </w:r>
      <w:r>
        <w:rPr>
          <w:color w:val="auto"/>
          <w:highlight w:val="none"/>
        </w:rPr>
        <w:t xml:space="preserve">  </w:t>
      </w:r>
      <w:r>
        <w:rPr>
          <w:rFonts w:hint="eastAsia"/>
          <w:color w:val="auto"/>
          <w:highlight w:val="none"/>
        </w:rPr>
        <w:t>雨</w:t>
      </w:r>
      <w:r>
        <w:rPr>
          <w:rFonts w:hint="eastAsia"/>
          <w:color w:val="auto"/>
          <w:highlight w:val="none"/>
          <w:lang w:eastAsia="zh-CN"/>
        </w:rPr>
        <w:t>水</w:t>
      </w:r>
      <w:r>
        <w:rPr>
          <w:rFonts w:hint="eastAsia"/>
          <w:color w:val="auto"/>
          <w:highlight w:val="none"/>
        </w:rPr>
        <w:t>管网图</w:t>
      </w:r>
    </w:p>
    <w:p w14:paraId="01848D30">
      <w:pPr>
        <w:spacing w:line="312" w:lineRule="auto"/>
        <w:ind w:firstLine="480" w:firstLineChars="200"/>
        <w:rPr>
          <w:rFonts w:hint="eastAsia" w:eastAsia="宋体"/>
          <w:color w:val="auto"/>
          <w:highlight w:val="none"/>
          <w:lang w:eastAsia="zh-CN"/>
        </w:rPr>
      </w:pPr>
      <w:r>
        <w:rPr>
          <w:rFonts w:hint="eastAsia"/>
          <w:color w:val="auto"/>
          <w:highlight w:val="none"/>
        </w:rPr>
        <w:t>附图</w:t>
      </w:r>
      <w:r>
        <w:rPr>
          <w:rFonts w:hint="eastAsia"/>
          <w:color w:val="auto"/>
          <w:highlight w:val="none"/>
          <w:lang w:val="en-US" w:eastAsia="zh-CN"/>
        </w:rPr>
        <w:t>7</w:t>
      </w:r>
      <w:r>
        <w:rPr>
          <w:rFonts w:hint="eastAsia"/>
          <w:color w:val="auto"/>
          <w:highlight w:val="none"/>
        </w:rPr>
        <w:t xml:space="preserve">  </w:t>
      </w:r>
      <w:r>
        <w:rPr>
          <w:rFonts w:hint="eastAsia"/>
          <w:color w:val="auto"/>
          <w:highlight w:val="none"/>
          <w:lang w:eastAsia="zh-CN"/>
        </w:rPr>
        <w:t>污水管网图</w:t>
      </w:r>
    </w:p>
    <w:p w14:paraId="73E270B6">
      <w:pPr>
        <w:spacing w:line="312" w:lineRule="auto"/>
        <w:ind w:firstLine="480" w:firstLineChars="200"/>
        <w:rPr>
          <w:color w:val="auto"/>
          <w:highlight w:val="none"/>
        </w:rPr>
      </w:pPr>
      <w:r>
        <w:rPr>
          <w:rFonts w:hint="eastAsia"/>
          <w:color w:val="auto"/>
          <w:highlight w:val="none"/>
        </w:rPr>
        <w:t>附图</w:t>
      </w:r>
      <w:r>
        <w:rPr>
          <w:rFonts w:hint="eastAsia"/>
          <w:color w:val="auto"/>
          <w:highlight w:val="none"/>
          <w:lang w:val="en-US" w:eastAsia="zh-CN"/>
        </w:rPr>
        <w:t>8</w:t>
      </w:r>
      <w:r>
        <w:rPr>
          <w:rFonts w:hint="eastAsia"/>
          <w:color w:val="auto"/>
          <w:highlight w:val="none"/>
        </w:rPr>
        <w:t xml:space="preserve">  分区防渗图</w:t>
      </w:r>
    </w:p>
    <w:p w14:paraId="5F26EF2E">
      <w:pPr>
        <w:spacing w:line="312" w:lineRule="auto"/>
        <w:ind w:firstLine="480" w:firstLineChars="200"/>
        <w:rPr>
          <w:rFonts w:hint="eastAsia"/>
          <w:color w:val="auto"/>
          <w:highlight w:val="none"/>
        </w:rPr>
      </w:pPr>
      <w:r>
        <w:rPr>
          <w:color w:val="auto"/>
          <w:highlight w:val="none"/>
        </w:rPr>
        <w:t>附图</w:t>
      </w:r>
      <w:r>
        <w:rPr>
          <w:rFonts w:hint="eastAsia"/>
          <w:color w:val="auto"/>
          <w:highlight w:val="none"/>
          <w:lang w:val="en-US" w:eastAsia="zh-CN"/>
        </w:rPr>
        <w:t>9</w:t>
      </w:r>
      <w:r>
        <w:rPr>
          <w:color w:val="auto"/>
          <w:highlight w:val="none"/>
        </w:rPr>
        <w:t xml:space="preserve"> </w:t>
      </w:r>
      <w:r>
        <w:rPr>
          <w:rFonts w:hint="eastAsia"/>
          <w:color w:val="auto"/>
          <w:highlight w:val="none"/>
        </w:rPr>
        <w:t xml:space="preserve"> 淮南市生态保护红线图</w:t>
      </w:r>
    </w:p>
    <w:p w14:paraId="77A91C63">
      <w:pPr>
        <w:spacing w:line="312" w:lineRule="auto"/>
        <w:ind w:firstLine="480" w:firstLineChars="200"/>
        <w:rPr>
          <w:rFonts w:hint="eastAsia"/>
          <w:color w:val="auto"/>
          <w:highlight w:val="none"/>
        </w:rPr>
      </w:pPr>
      <w:r>
        <w:rPr>
          <w:rFonts w:hint="eastAsia"/>
          <w:color w:val="auto"/>
          <w:highlight w:val="none"/>
          <w:lang w:eastAsia="zh-CN"/>
        </w:rPr>
        <w:t>附图</w:t>
      </w:r>
      <w:r>
        <w:rPr>
          <w:rFonts w:hint="eastAsia"/>
          <w:color w:val="auto"/>
          <w:highlight w:val="none"/>
          <w:lang w:val="en-US" w:eastAsia="zh-CN"/>
        </w:rPr>
        <w:t xml:space="preserve">10  </w:t>
      </w:r>
      <w:r>
        <w:rPr>
          <w:rFonts w:hint="eastAsia"/>
          <w:color w:val="auto"/>
          <w:highlight w:val="none"/>
          <w:lang w:eastAsia="zh-CN"/>
        </w:rPr>
        <w:t>田家庵区淮潘路西侧</w:t>
      </w:r>
      <w:r>
        <w:rPr>
          <w:rFonts w:hint="eastAsia"/>
          <w:color w:val="auto"/>
          <w:highlight w:val="none"/>
          <w:lang w:val="en-US" w:eastAsia="zh-CN"/>
        </w:rPr>
        <w:t>T01-A1局部地块详细规划</w:t>
      </w:r>
    </w:p>
    <w:p w14:paraId="7441AC83">
      <w:pPr>
        <w:spacing w:line="312" w:lineRule="auto"/>
        <w:ind w:firstLine="480" w:firstLineChars="200"/>
        <w:rPr>
          <w:color w:val="auto"/>
          <w:highlight w:val="none"/>
        </w:rPr>
      </w:pPr>
      <w:r>
        <w:rPr>
          <w:color w:val="auto"/>
          <w:highlight w:val="none"/>
        </w:rPr>
        <w:t>附图</w:t>
      </w:r>
      <w:r>
        <w:rPr>
          <w:rFonts w:hint="eastAsia"/>
          <w:color w:val="auto"/>
          <w:highlight w:val="none"/>
          <w:lang w:val="en-US" w:eastAsia="zh-CN"/>
        </w:rPr>
        <w:t>11</w:t>
      </w:r>
      <w:r>
        <w:rPr>
          <w:color w:val="auto"/>
          <w:highlight w:val="none"/>
        </w:rPr>
        <w:t xml:space="preserve"> </w:t>
      </w:r>
      <w:r>
        <w:rPr>
          <w:rFonts w:hint="eastAsia"/>
          <w:color w:val="auto"/>
          <w:highlight w:val="none"/>
        </w:rPr>
        <w:t xml:space="preserve"> 项目所在位置生态环境分区管控成果图</w:t>
      </w:r>
    </w:p>
    <w:p w14:paraId="5BBD465C">
      <w:pPr>
        <w:spacing w:line="312" w:lineRule="auto"/>
        <w:ind w:firstLine="480" w:firstLineChars="200"/>
        <w:rPr>
          <w:color w:val="auto"/>
          <w:highlight w:val="none"/>
        </w:rPr>
      </w:pPr>
      <w:r>
        <w:rPr>
          <w:color w:val="auto"/>
          <w:highlight w:val="none"/>
        </w:rPr>
        <w:t>附图1</w:t>
      </w:r>
      <w:r>
        <w:rPr>
          <w:rFonts w:hint="eastAsia"/>
          <w:color w:val="auto"/>
          <w:highlight w:val="none"/>
          <w:lang w:val="en-US" w:eastAsia="zh-CN"/>
        </w:rPr>
        <w:t>2</w:t>
      </w:r>
      <w:r>
        <w:rPr>
          <w:color w:val="auto"/>
          <w:highlight w:val="none"/>
        </w:rPr>
        <w:t xml:space="preserve"> </w:t>
      </w:r>
      <w:r>
        <w:rPr>
          <w:rFonts w:hint="eastAsia"/>
          <w:color w:val="auto"/>
          <w:highlight w:val="none"/>
        </w:rPr>
        <w:t xml:space="preserve"> 淮南市</w:t>
      </w:r>
      <w:r>
        <w:rPr>
          <w:rFonts w:hint="eastAsia"/>
          <w:color w:val="auto"/>
          <w:highlight w:val="none"/>
          <w:lang w:eastAsia="zh-CN"/>
        </w:rPr>
        <w:t>“</w:t>
      </w:r>
      <w:r>
        <w:rPr>
          <w:rFonts w:hint="eastAsia"/>
          <w:color w:val="auto"/>
          <w:highlight w:val="none"/>
        </w:rPr>
        <w:t>三区三线</w:t>
      </w:r>
      <w:r>
        <w:rPr>
          <w:rFonts w:hint="eastAsia"/>
          <w:color w:val="auto"/>
          <w:highlight w:val="none"/>
          <w:lang w:eastAsia="zh-CN"/>
        </w:rPr>
        <w:t>”</w:t>
      </w:r>
      <w:r>
        <w:rPr>
          <w:rFonts w:hint="eastAsia"/>
          <w:color w:val="auto"/>
          <w:highlight w:val="none"/>
        </w:rPr>
        <w:t>图</w:t>
      </w:r>
    </w:p>
    <w:p w14:paraId="63782393">
      <w:pPr>
        <w:spacing w:line="348" w:lineRule="auto"/>
        <w:rPr>
          <w:b/>
          <w:bCs/>
          <w:color w:val="auto"/>
          <w:highlight w:val="none"/>
        </w:rPr>
      </w:pPr>
      <w:r>
        <w:rPr>
          <w:b/>
          <w:bCs/>
          <w:color w:val="auto"/>
          <w:highlight w:val="none"/>
        </w:rPr>
        <w:t>附件：</w:t>
      </w:r>
    </w:p>
    <w:p w14:paraId="379F26CD">
      <w:pPr>
        <w:spacing w:line="312" w:lineRule="auto"/>
        <w:ind w:firstLine="480" w:firstLineChars="200"/>
        <w:rPr>
          <w:color w:val="auto"/>
          <w:highlight w:val="none"/>
        </w:rPr>
      </w:pPr>
      <w:r>
        <w:rPr>
          <w:rFonts w:hint="eastAsia"/>
          <w:color w:val="auto"/>
          <w:highlight w:val="none"/>
        </w:rPr>
        <w:t>附件1  环评</w:t>
      </w:r>
      <w:r>
        <w:rPr>
          <w:color w:val="auto"/>
          <w:highlight w:val="none"/>
        </w:rPr>
        <w:t>委托书</w:t>
      </w:r>
    </w:p>
    <w:p w14:paraId="3DF1E5B3">
      <w:pPr>
        <w:spacing w:line="312" w:lineRule="auto"/>
        <w:ind w:firstLine="480" w:firstLineChars="200"/>
        <w:rPr>
          <w:color w:val="auto"/>
          <w:highlight w:val="none"/>
        </w:rPr>
      </w:pPr>
      <w:r>
        <w:rPr>
          <w:color w:val="auto"/>
          <w:highlight w:val="none"/>
        </w:rPr>
        <w:t>附件</w:t>
      </w:r>
      <w:r>
        <w:rPr>
          <w:rFonts w:hint="eastAsia"/>
          <w:color w:val="auto"/>
          <w:highlight w:val="none"/>
        </w:rPr>
        <w:t>2</w:t>
      </w:r>
      <w:r>
        <w:rPr>
          <w:color w:val="auto"/>
          <w:highlight w:val="none"/>
        </w:rPr>
        <w:t xml:space="preserve">  </w:t>
      </w:r>
      <w:r>
        <w:rPr>
          <w:rFonts w:hint="eastAsia"/>
          <w:color w:val="auto"/>
          <w:highlight w:val="none"/>
        </w:rPr>
        <w:t>环评真实性承诺函</w:t>
      </w:r>
    </w:p>
    <w:p w14:paraId="543C9D16">
      <w:pPr>
        <w:spacing w:line="312" w:lineRule="auto"/>
        <w:ind w:firstLine="480" w:firstLineChars="200"/>
        <w:rPr>
          <w:color w:val="auto"/>
          <w:highlight w:val="none"/>
        </w:rPr>
      </w:pPr>
      <w:r>
        <w:rPr>
          <w:rFonts w:hint="eastAsia"/>
          <w:color w:val="auto"/>
          <w:highlight w:val="none"/>
        </w:rPr>
        <w:t xml:space="preserve">附件3  </w:t>
      </w:r>
      <w:r>
        <w:rPr>
          <w:color w:val="auto"/>
          <w:highlight w:val="none"/>
        </w:rPr>
        <w:t>备案</w:t>
      </w:r>
      <w:r>
        <w:rPr>
          <w:rFonts w:hint="eastAsia"/>
          <w:color w:val="auto"/>
          <w:highlight w:val="none"/>
        </w:rPr>
        <w:t>表</w:t>
      </w:r>
    </w:p>
    <w:p w14:paraId="69CDBBA3">
      <w:pPr>
        <w:spacing w:line="312" w:lineRule="auto"/>
        <w:ind w:firstLine="480" w:firstLineChars="200"/>
        <w:rPr>
          <w:color w:val="auto"/>
          <w:highlight w:val="none"/>
        </w:rPr>
      </w:pPr>
      <w:r>
        <w:rPr>
          <w:color w:val="auto"/>
          <w:highlight w:val="none"/>
        </w:rPr>
        <w:t>附件</w:t>
      </w:r>
      <w:r>
        <w:rPr>
          <w:rFonts w:hint="eastAsia"/>
          <w:color w:val="auto"/>
          <w:highlight w:val="none"/>
        </w:rPr>
        <w:t>4</w:t>
      </w:r>
      <w:r>
        <w:rPr>
          <w:color w:val="auto"/>
          <w:highlight w:val="none"/>
        </w:rPr>
        <w:t xml:space="preserve">  营业执照</w:t>
      </w:r>
      <w:r>
        <w:rPr>
          <w:rFonts w:hint="eastAsia"/>
          <w:color w:val="auto"/>
          <w:highlight w:val="none"/>
        </w:rPr>
        <w:t>及法人身份证</w:t>
      </w:r>
    </w:p>
    <w:p w14:paraId="4371325E">
      <w:pPr>
        <w:spacing w:line="312" w:lineRule="auto"/>
        <w:ind w:firstLine="480" w:firstLineChars="200"/>
        <w:rPr>
          <w:color w:val="auto"/>
          <w:highlight w:val="none"/>
        </w:rPr>
      </w:pPr>
      <w:r>
        <w:rPr>
          <w:color w:val="auto"/>
          <w:highlight w:val="none"/>
        </w:rPr>
        <w:t>附件</w:t>
      </w:r>
      <w:r>
        <w:rPr>
          <w:rFonts w:hint="eastAsia"/>
          <w:color w:val="auto"/>
          <w:highlight w:val="none"/>
        </w:rPr>
        <w:t>5</w:t>
      </w:r>
      <w:r>
        <w:rPr>
          <w:color w:val="auto"/>
          <w:highlight w:val="none"/>
        </w:rPr>
        <w:t xml:space="preserve">  </w:t>
      </w:r>
      <w:r>
        <w:rPr>
          <w:rFonts w:hint="eastAsia"/>
          <w:color w:val="auto"/>
          <w:highlight w:val="none"/>
        </w:rPr>
        <w:t>淮南市人民政府关于同意淮南市城市综合交通驿站国土空间专项规划（2023-2035年）的批复</w:t>
      </w:r>
    </w:p>
    <w:p w14:paraId="25E07728">
      <w:pPr>
        <w:spacing w:line="312" w:lineRule="auto"/>
        <w:ind w:firstLine="480" w:firstLineChars="200"/>
        <w:rPr>
          <w:rFonts w:hint="eastAsia"/>
          <w:color w:val="auto"/>
          <w:highlight w:val="none"/>
        </w:rPr>
      </w:pPr>
      <w:r>
        <w:rPr>
          <w:rFonts w:hint="eastAsia"/>
          <w:color w:val="auto"/>
          <w:highlight w:val="none"/>
        </w:rPr>
        <w:t>附件6  监测报告</w:t>
      </w:r>
    </w:p>
    <w:p w14:paraId="667A3333">
      <w:pPr>
        <w:spacing w:line="312" w:lineRule="auto"/>
        <w:ind w:firstLine="480" w:firstLineChars="200"/>
        <w:rPr>
          <w:rFonts w:hint="default" w:eastAsia="宋体"/>
          <w:color w:val="auto"/>
          <w:highlight w:val="none"/>
          <w:lang w:val="en-US" w:eastAsia="zh-CN"/>
        </w:rPr>
      </w:pPr>
      <w:r>
        <w:rPr>
          <w:rFonts w:hint="eastAsia"/>
          <w:color w:val="auto"/>
          <w:highlight w:val="none"/>
          <w:lang w:val="en-US" w:eastAsia="zh-CN"/>
        </w:rPr>
        <w:t>附件7  说明</w:t>
      </w:r>
    </w:p>
    <w:p w14:paraId="4D8129AC">
      <w:pPr>
        <w:rPr>
          <w:color w:val="auto"/>
          <w:highlight w:val="none"/>
        </w:rPr>
      </w:pPr>
    </w:p>
    <w:p w14:paraId="77C400D3">
      <w:pPr>
        <w:pStyle w:val="3"/>
        <w:rPr>
          <w:color w:val="auto"/>
          <w:highlight w:val="none"/>
        </w:rPr>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pPr>
    </w:p>
    <w:p w14:paraId="7C48A25A">
      <w:pPr>
        <w:pStyle w:val="2"/>
        <w:rPr>
          <w:color w:val="auto"/>
          <w:highlight w:val="none"/>
        </w:rPr>
      </w:pPr>
      <w:bookmarkStart w:id="7" w:name="_Toc13207"/>
      <w:r>
        <w:rPr>
          <w:color w:val="auto"/>
          <w:highlight w:val="none"/>
        </w:rPr>
        <w:t>一、建设项目基本情况</w:t>
      </w:r>
      <w:bookmarkEnd w:id="7"/>
    </w:p>
    <w:tbl>
      <w:tblPr>
        <w:tblStyle w:val="24"/>
        <w:tblW w:w="84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9"/>
        <w:gridCol w:w="1537"/>
        <w:gridCol w:w="1485"/>
        <w:gridCol w:w="442"/>
        <w:gridCol w:w="3880"/>
      </w:tblGrid>
      <w:tr w14:paraId="1880D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9" w:type="dxa"/>
            <w:tcMar>
              <w:top w:w="16" w:type="dxa"/>
              <w:left w:w="16" w:type="dxa"/>
              <w:right w:w="16" w:type="dxa"/>
            </w:tcMar>
            <w:vAlign w:val="center"/>
          </w:tcPr>
          <w:p w14:paraId="38403175">
            <w:pPr>
              <w:adjustRightInd w:val="0"/>
              <w:spacing w:line="400" w:lineRule="exact"/>
              <w:jc w:val="center"/>
              <w:rPr>
                <w:color w:val="auto"/>
                <w:highlight w:val="none"/>
              </w:rPr>
            </w:pPr>
            <w:r>
              <w:rPr>
                <w:color w:val="auto"/>
                <w:highlight w:val="none"/>
              </w:rPr>
              <w:t>建设项目</w:t>
            </w:r>
          </w:p>
          <w:p w14:paraId="353DAE0C">
            <w:pPr>
              <w:adjustRightInd w:val="0"/>
              <w:spacing w:line="400" w:lineRule="exact"/>
              <w:jc w:val="center"/>
              <w:rPr>
                <w:color w:val="auto"/>
                <w:highlight w:val="none"/>
              </w:rPr>
            </w:pPr>
            <w:r>
              <w:rPr>
                <w:color w:val="auto"/>
                <w:highlight w:val="none"/>
              </w:rPr>
              <w:t>名称</w:t>
            </w:r>
          </w:p>
        </w:tc>
        <w:tc>
          <w:tcPr>
            <w:tcW w:w="7344" w:type="dxa"/>
            <w:gridSpan w:val="4"/>
            <w:vAlign w:val="center"/>
          </w:tcPr>
          <w:p w14:paraId="47F16671">
            <w:pPr>
              <w:adjustRightInd w:val="0"/>
              <w:spacing w:line="400" w:lineRule="exact"/>
              <w:jc w:val="center"/>
              <w:rPr>
                <w:rFonts w:hint="eastAsia" w:eastAsia="宋体"/>
                <w:color w:val="auto"/>
                <w:highlight w:val="none"/>
                <w:lang w:eastAsia="zh-CN"/>
              </w:rPr>
            </w:pPr>
            <w:r>
              <w:rPr>
                <w:rFonts w:hint="eastAsia"/>
                <w:color w:val="auto"/>
                <w:highlight w:val="none"/>
                <w:lang w:eastAsia="zh-CN"/>
              </w:rPr>
              <w:t>淮南市安成城市综合交通驿站项目</w:t>
            </w:r>
          </w:p>
        </w:tc>
      </w:tr>
      <w:tr w14:paraId="49BAF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9" w:type="dxa"/>
            <w:tcMar>
              <w:top w:w="16" w:type="dxa"/>
              <w:left w:w="16" w:type="dxa"/>
              <w:right w:w="16" w:type="dxa"/>
            </w:tcMar>
            <w:vAlign w:val="center"/>
          </w:tcPr>
          <w:p w14:paraId="533DDE44">
            <w:pPr>
              <w:adjustRightInd w:val="0"/>
              <w:spacing w:line="400" w:lineRule="exact"/>
              <w:jc w:val="center"/>
              <w:rPr>
                <w:color w:val="auto"/>
                <w:highlight w:val="none"/>
              </w:rPr>
            </w:pPr>
            <w:r>
              <w:rPr>
                <w:color w:val="auto"/>
                <w:highlight w:val="none"/>
              </w:rPr>
              <w:t>项目代码</w:t>
            </w:r>
          </w:p>
        </w:tc>
        <w:tc>
          <w:tcPr>
            <w:tcW w:w="7344" w:type="dxa"/>
            <w:gridSpan w:val="4"/>
            <w:vAlign w:val="center"/>
          </w:tcPr>
          <w:p w14:paraId="36414930">
            <w:pPr>
              <w:adjustRightInd w:val="0"/>
              <w:spacing w:line="400" w:lineRule="exact"/>
              <w:jc w:val="center"/>
              <w:rPr>
                <w:color w:val="auto"/>
                <w:highlight w:val="none"/>
              </w:rPr>
            </w:pPr>
            <w:r>
              <w:rPr>
                <w:rFonts w:hint="eastAsia"/>
                <w:color w:val="auto"/>
                <w:highlight w:val="none"/>
              </w:rPr>
              <w:t>2504-340400-04-01-677087</w:t>
            </w:r>
          </w:p>
        </w:tc>
      </w:tr>
      <w:tr w14:paraId="2A71F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9" w:type="dxa"/>
            <w:tcMar>
              <w:top w:w="16" w:type="dxa"/>
              <w:left w:w="16" w:type="dxa"/>
              <w:right w:w="16" w:type="dxa"/>
            </w:tcMar>
            <w:vAlign w:val="center"/>
          </w:tcPr>
          <w:p w14:paraId="7C129F9F">
            <w:pPr>
              <w:adjustRightInd w:val="0"/>
              <w:spacing w:line="400" w:lineRule="exact"/>
              <w:jc w:val="center"/>
              <w:rPr>
                <w:color w:val="auto"/>
                <w:highlight w:val="none"/>
              </w:rPr>
            </w:pPr>
            <w:r>
              <w:rPr>
                <w:color w:val="auto"/>
                <w:highlight w:val="none"/>
              </w:rPr>
              <w:t>建设单位</w:t>
            </w:r>
          </w:p>
          <w:p w14:paraId="008B203A">
            <w:pPr>
              <w:adjustRightInd w:val="0"/>
              <w:spacing w:line="400" w:lineRule="exact"/>
              <w:jc w:val="center"/>
              <w:rPr>
                <w:color w:val="auto"/>
                <w:highlight w:val="none"/>
              </w:rPr>
            </w:pPr>
            <w:r>
              <w:rPr>
                <w:color w:val="auto"/>
                <w:highlight w:val="none"/>
              </w:rPr>
              <w:t>联系人</w:t>
            </w:r>
          </w:p>
        </w:tc>
        <w:tc>
          <w:tcPr>
            <w:tcW w:w="1537" w:type="dxa"/>
            <w:vAlign w:val="center"/>
          </w:tcPr>
          <w:p w14:paraId="2ED04188">
            <w:pPr>
              <w:adjustRightInd w:val="0"/>
              <w:spacing w:line="400" w:lineRule="exact"/>
              <w:jc w:val="center"/>
              <w:rPr>
                <w:color w:val="auto"/>
                <w:highlight w:val="none"/>
              </w:rPr>
            </w:pPr>
            <w:r>
              <w:rPr>
                <w:rFonts w:hint="eastAsia"/>
                <w:color w:val="auto"/>
                <w:highlight w:val="none"/>
              </w:rPr>
              <w:t>杨志红</w:t>
            </w:r>
          </w:p>
        </w:tc>
        <w:tc>
          <w:tcPr>
            <w:tcW w:w="1927" w:type="dxa"/>
            <w:gridSpan w:val="2"/>
            <w:vAlign w:val="center"/>
          </w:tcPr>
          <w:p w14:paraId="248E2D8A">
            <w:pPr>
              <w:adjustRightInd w:val="0"/>
              <w:spacing w:line="400" w:lineRule="exact"/>
              <w:jc w:val="center"/>
              <w:rPr>
                <w:color w:val="auto"/>
                <w:highlight w:val="none"/>
              </w:rPr>
            </w:pPr>
            <w:r>
              <w:rPr>
                <w:color w:val="auto"/>
                <w:highlight w:val="none"/>
              </w:rPr>
              <w:t>联系方式</w:t>
            </w:r>
          </w:p>
        </w:tc>
        <w:tc>
          <w:tcPr>
            <w:tcW w:w="3880" w:type="dxa"/>
            <w:vAlign w:val="center"/>
          </w:tcPr>
          <w:p w14:paraId="5B09E8EB">
            <w:pPr>
              <w:adjustRightInd w:val="0"/>
              <w:spacing w:line="400" w:lineRule="exact"/>
              <w:jc w:val="center"/>
              <w:rPr>
                <w:color w:val="auto"/>
                <w:highlight w:val="none"/>
              </w:rPr>
            </w:pPr>
            <w:r>
              <w:rPr>
                <w:color w:val="auto"/>
                <w:highlight w:val="none"/>
              </w:rPr>
              <w:t>13956428616</w:t>
            </w:r>
          </w:p>
        </w:tc>
      </w:tr>
      <w:tr w14:paraId="12CAC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9" w:type="dxa"/>
            <w:tcMar>
              <w:top w:w="16" w:type="dxa"/>
              <w:left w:w="16" w:type="dxa"/>
              <w:right w:w="16" w:type="dxa"/>
            </w:tcMar>
            <w:vAlign w:val="center"/>
          </w:tcPr>
          <w:p w14:paraId="20864BF1">
            <w:pPr>
              <w:adjustRightInd w:val="0"/>
              <w:spacing w:line="400" w:lineRule="exact"/>
              <w:jc w:val="center"/>
              <w:rPr>
                <w:color w:val="auto"/>
                <w:highlight w:val="none"/>
              </w:rPr>
            </w:pPr>
            <w:r>
              <w:rPr>
                <w:color w:val="auto"/>
                <w:highlight w:val="none"/>
              </w:rPr>
              <w:t>建设地点</w:t>
            </w:r>
          </w:p>
        </w:tc>
        <w:tc>
          <w:tcPr>
            <w:tcW w:w="7344" w:type="dxa"/>
            <w:gridSpan w:val="4"/>
            <w:vAlign w:val="center"/>
          </w:tcPr>
          <w:p w14:paraId="278FC09A">
            <w:pPr>
              <w:adjustRightInd w:val="0"/>
              <w:spacing w:line="400" w:lineRule="exact"/>
              <w:jc w:val="center"/>
              <w:rPr>
                <w:color w:val="auto"/>
                <w:highlight w:val="none"/>
              </w:rPr>
            </w:pPr>
            <w:r>
              <w:rPr>
                <w:rFonts w:hint="eastAsia"/>
                <w:color w:val="auto"/>
                <w:highlight w:val="none"/>
              </w:rPr>
              <w:t>淮南市田家庵区安成镇王巷村和下陈社区境内淮潘公路南侧中科合成油淮南催化剂有限公司北侧</w:t>
            </w:r>
          </w:p>
        </w:tc>
      </w:tr>
      <w:tr w14:paraId="4F679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9" w:type="dxa"/>
            <w:tcMar>
              <w:top w:w="16" w:type="dxa"/>
              <w:left w:w="16" w:type="dxa"/>
              <w:right w:w="16" w:type="dxa"/>
            </w:tcMar>
            <w:vAlign w:val="center"/>
          </w:tcPr>
          <w:p w14:paraId="4C917E34">
            <w:pPr>
              <w:adjustRightInd w:val="0"/>
              <w:spacing w:line="400" w:lineRule="exact"/>
              <w:jc w:val="center"/>
              <w:rPr>
                <w:color w:val="auto"/>
                <w:highlight w:val="none"/>
              </w:rPr>
            </w:pPr>
            <w:r>
              <w:rPr>
                <w:color w:val="auto"/>
                <w:highlight w:val="none"/>
              </w:rPr>
              <w:t>地理坐标</w:t>
            </w:r>
          </w:p>
        </w:tc>
        <w:tc>
          <w:tcPr>
            <w:tcW w:w="7344" w:type="dxa"/>
            <w:gridSpan w:val="4"/>
            <w:vAlign w:val="center"/>
          </w:tcPr>
          <w:p w14:paraId="4EDF4185">
            <w:pPr>
              <w:spacing w:line="400" w:lineRule="exact"/>
              <w:jc w:val="center"/>
              <w:rPr>
                <w:color w:val="auto"/>
                <w:highlight w:val="none"/>
              </w:rPr>
            </w:pPr>
            <w:r>
              <w:rPr>
                <w:color w:val="auto"/>
                <w:highlight w:val="none"/>
              </w:rPr>
              <w:t>（东经：</w:t>
            </w:r>
            <w:r>
              <w:rPr>
                <w:rFonts w:hint="eastAsia"/>
                <w:color w:val="auto"/>
                <w:highlight w:val="none"/>
              </w:rPr>
              <w:t>1</w:t>
            </w:r>
            <w:r>
              <w:rPr>
                <w:rFonts w:hint="eastAsia"/>
                <w:color w:val="auto"/>
                <w:highlight w:val="none"/>
                <w:lang w:val="en-US" w:eastAsia="zh-CN"/>
              </w:rPr>
              <w:t>16</w:t>
            </w:r>
            <w:r>
              <w:rPr>
                <w:color w:val="auto"/>
                <w:highlight w:val="none"/>
              </w:rPr>
              <w:t>度</w:t>
            </w:r>
            <w:r>
              <w:rPr>
                <w:rFonts w:hint="eastAsia"/>
                <w:color w:val="auto"/>
                <w:highlight w:val="none"/>
              </w:rPr>
              <w:t>5</w:t>
            </w:r>
            <w:r>
              <w:rPr>
                <w:rFonts w:hint="eastAsia"/>
                <w:color w:val="auto"/>
                <w:highlight w:val="none"/>
                <w:lang w:val="en-US" w:eastAsia="zh-CN"/>
              </w:rPr>
              <w:t>7</w:t>
            </w:r>
            <w:r>
              <w:rPr>
                <w:color w:val="auto"/>
                <w:highlight w:val="none"/>
              </w:rPr>
              <w:t>分</w:t>
            </w:r>
            <w:r>
              <w:rPr>
                <w:rFonts w:hint="eastAsia"/>
                <w:color w:val="auto"/>
                <w:highlight w:val="none"/>
                <w:lang w:val="en-US" w:eastAsia="zh-CN"/>
              </w:rPr>
              <w:t>31.590</w:t>
            </w:r>
            <w:r>
              <w:rPr>
                <w:color w:val="auto"/>
                <w:highlight w:val="none"/>
              </w:rPr>
              <w:t>秒，北纬：</w:t>
            </w:r>
            <w:r>
              <w:rPr>
                <w:rFonts w:hint="eastAsia"/>
                <w:color w:val="auto"/>
                <w:highlight w:val="none"/>
              </w:rPr>
              <w:t>32</w:t>
            </w:r>
            <w:r>
              <w:rPr>
                <w:color w:val="auto"/>
                <w:highlight w:val="none"/>
              </w:rPr>
              <w:t>度</w:t>
            </w:r>
            <w:r>
              <w:rPr>
                <w:rFonts w:hint="eastAsia"/>
                <w:color w:val="auto"/>
                <w:highlight w:val="none"/>
              </w:rPr>
              <w:t>38</w:t>
            </w:r>
            <w:r>
              <w:rPr>
                <w:color w:val="auto"/>
                <w:highlight w:val="none"/>
              </w:rPr>
              <w:t>分</w:t>
            </w:r>
            <w:r>
              <w:rPr>
                <w:rFonts w:hint="eastAsia"/>
                <w:color w:val="auto"/>
                <w:highlight w:val="none"/>
                <w:lang w:val="en-US" w:eastAsia="zh-CN"/>
              </w:rPr>
              <w:t>48.176</w:t>
            </w:r>
            <w:r>
              <w:rPr>
                <w:color w:val="auto"/>
                <w:highlight w:val="none"/>
              </w:rPr>
              <w:t>秒）</w:t>
            </w:r>
          </w:p>
        </w:tc>
      </w:tr>
      <w:tr w14:paraId="648D2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09" w:type="dxa"/>
            <w:tcMar>
              <w:top w:w="16" w:type="dxa"/>
              <w:left w:w="16" w:type="dxa"/>
              <w:right w:w="16" w:type="dxa"/>
            </w:tcMar>
            <w:vAlign w:val="center"/>
          </w:tcPr>
          <w:p w14:paraId="20EB2D08">
            <w:pPr>
              <w:adjustRightInd w:val="0"/>
              <w:spacing w:line="400" w:lineRule="exact"/>
              <w:jc w:val="center"/>
              <w:rPr>
                <w:color w:val="auto"/>
                <w:highlight w:val="none"/>
              </w:rPr>
            </w:pPr>
            <w:r>
              <w:rPr>
                <w:color w:val="auto"/>
                <w:highlight w:val="none"/>
              </w:rPr>
              <w:t>国民经济行业类别</w:t>
            </w:r>
          </w:p>
        </w:tc>
        <w:tc>
          <w:tcPr>
            <w:tcW w:w="1537" w:type="dxa"/>
            <w:vAlign w:val="center"/>
          </w:tcPr>
          <w:p w14:paraId="110A4692">
            <w:pPr>
              <w:spacing w:line="240" w:lineRule="auto"/>
              <w:jc w:val="center"/>
              <w:rPr>
                <w:color w:val="auto"/>
                <w:highlight w:val="none"/>
              </w:rPr>
            </w:pPr>
            <w:r>
              <w:rPr>
                <w:rFonts w:hint="eastAsia"/>
                <w:color w:val="auto"/>
                <w:highlight w:val="none"/>
              </w:rPr>
              <w:t>G5449其他道路运输和辅助活动</w:t>
            </w:r>
          </w:p>
          <w:p w14:paraId="3A7431C5">
            <w:pPr>
              <w:spacing w:line="240" w:lineRule="auto"/>
              <w:jc w:val="center"/>
              <w:rPr>
                <w:color w:val="auto"/>
                <w:highlight w:val="none"/>
              </w:rPr>
            </w:pPr>
            <w:r>
              <w:rPr>
                <w:rFonts w:hint="eastAsia"/>
                <w:color w:val="auto"/>
                <w:highlight w:val="none"/>
              </w:rPr>
              <w:t>F5265机动车燃油零售</w:t>
            </w:r>
          </w:p>
        </w:tc>
        <w:tc>
          <w:tcPr>
            <w:tcW w:w="1485" w:type="dxa"/>
            <w:vAlign w:val="center"/>
          </w:tcPr>
          <w:p w14:paraId="28BEBF3A">
            <w:pPr>
              <w:adjustRightInd w:val="0"/>
              <w:spacing w:line="400" w:lineRule="exact"/>
              <w:jc w:val="center"/>
              <w:rPr>
                <w:color w:val="auto"/>
                <w:highlight w:val="none"/>
              </w:rPr>
            </w:pPr>
            <w:bookmarkStart w:id="8" w:name="_Hlk49843745"/>
            <w:r>
              <w:rPr>
                <w:color w:val="auto"/>
                <w:highlight w:val="none"/>
              </w:rPr>
              <w:t>建设项目</w:t>
            </w:r>
          </w:p>
          <w:p w14:paraId="15ACDB2E">
            <w:pPr>
              <w:adjustRightInd w:val="0"/>
              <w:spacing w:line="400" w:lineRule="exact"/>
              <w:jc w:val="center"/>
              <w:rPr>
                <w:color w:val="auto"/>
                <w:highlight w:val="none"/>
              </w:rPr>
            </w:pPr>
            <w:r>
              <w:rPr>
                <w:color w:val="auto"/>
                <w:highlight w:val="none"/>
              </w:rPr>
              <w:t>行业类别</w:t>
            </w:r>
            <w:bookmarkEnd w:id="8"/>
          </w:p>
        </w:tc>
        <w:tc>
          <w:tcPr>
            <w:tcW w:w="4322" w:type="dxa"/>
            <w:gridSpan w:val="2"/>
            <w:vAlign w:val="center"/>
          </w:tcPr>
          <w:p w14:paraId="5B2FF254">
            <w:pPr>
              <w:spacing w:line="240" w:lineRule="auto"/>
              <w:ind w:left="240" w:hanging="240" w:hangingChars="100"/>
              <w:rPr>
                <w:color w:val="auto"/>
                <w:highlight w:val="none"/>
              </w:rPr>
            </w:pPr>
            <w:r>
              <w:rPr>
                <w:rFonts w:hint="eastAsia"/>
                <w:color w:val="auto"/>
                <w:highlight w:val="none"/>
              </w:rPr>
              <w:t>五十、社会事业与服务业118驾驶员训练基地、公交枢纽、长途客运站、大型停车场、机动车检测场</w:t>
            </w:r>
          </w:p>
          <w:p w14:paraId="7A5C371F">
            <w:pPr>
              <w:spacing w:line="240" w:lineRule="auto"/>
              <w:ind w:left="240" w:hanging="240" w:hangingChars="100"/>
              <w:rPr>
                <w:color w:val="auto"/>
                <w:kern w:val="0"/>
                <w:highlight w:val="none"/>
              </w:rPr>
            </w:pPr>
            <w:r>
              <w:rPr>
                <w:rFonts w:hint="eastAsia"/>
                <w:color w:val="auto"/>
                <w:highlight w:val="none"/>
              </w:rPr>
              <w:t>五十</w:t>
            </w:r>
            <w:r>
              <w:rPr>
                <w:color w:val="auto"/>
                <w:highlight w:val="none"/>
              </w:rPr>
              <w:t>、</w:t>
            </w:r>
            <w:r>
              <w:rPr>
                <w:rFonts w:hint="eastAsia"/>
                <w:color w:val="auto"/>
                <w:highlight w:val="none"/>
              </w:rPr>
              <w:t>社会事业与服务业 119加油、加气站</w:t>
            </w:r>
          </w:p>
        </w:tc>
      </w:tr>
      <w:tr w14:paraId="41771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09" w:type="dxa"/>
            <w:tcMar>
              <w:top w:w="16" w:type="dxa"/>
              <w:left w:w="16" w:type="dxa"/>
              <w:right w:w="16" w:type="dxa"/>
            </w:tcMar>
            <w:vAlign w:val="center"/>
          </w:tcPr>
          <w:p w14:paraId="32000054">
            <w:pPr>
              <w:adjustRightInd w:val="0"/>
              <w:spacing w:line="400" w:lineRule="exact"/>
              <w:jc w:val="center"/>
              <w:rPr>
                <w:color w:val="auto"/>
                <w:highlight w:val="none"/>
              </w:rPr>
            </w:pPr>
            <w:r>
              <w:rPr>
                <w:color w:val="auto"/>
                <w:highlight w:val="none"/>
              </w:rPr>
              <w:t>建设性质</w:t>
            </w:r>
          </w:p>
        </w:tc>
        <w:tc>
          <w:tcPr>
            <w:tcW w:w="1537" w:type="dxa"/>
            <w:vAlign w:val="center"/>
          </w:tcPr>
          <w:p w14:paraId="7EBFA5DA">
            <w:pPr>
              <w:rPr>
                <w:color w:val="auto"/>
                <w:highlight w:val="none"/>
              </w:rPr>
            </w:pPr>
            <w:r>
              <w:rPr>
                <w:rFonts w:hint="eastAsia"/>
                <w:color w:val="auto"/>
                <w:highlight w:val="none"/>
                <w:lang w:eastAsia="zh-CN"/>
              </w:rPr>
              <w:t>☑</w:t>
            </w:r>
            <w:r>
              <w:rPr>
                <w:color w:val="auto"/>
                <w:highlight w:val="none"/>
              </w:rPr>
              <w:t>新建（迁建）</w:t>
            </w:r>
          </w:p>
          <w:p w14:paraId="2CB841E5">
            <w:pPr>
              <w:spacing w:line="400" w:lineRule="exact"/>
              <w:jc w:val="left"/>
              <w:rPr>
                <w:color w:val="auto"/>
                <w:highlight w:val="none"/>
              </w:rPr>
            </w:pPr>
            <w:r>
              <w:rPr>
                <w:rFonts w:hint="eastAsia"/>
                <w:color w:val="auto"/>
                <w:highlight w:val="none"/>
              </w:rPr>
              <w:t>□</w:t>
            </w:r>
            <w:r>
              <w:rPr>
                <w:color w:val="auto"/>
                <w:highlight w:val="none"/>
              </w:rPr>
              <w:t>改建</w:t>
            </w:r>
          </w:p>
          <w:p w14:paraId="3B9C148A">
            <w:pPr>
              <w:spacing w:line="400" w:lineRule="exact"/>
              <w:jc w:val="left"/>
              <w:rPr>
                <w:color w:val="auto"/>
                <w:highlight w:val="none"/>
              </w:rPr>
            </w:pPr>
            <w:r>
              <w:rPr>
                <w:rFonts w:hint="eastAsia"/>
                <w:color w:val="auto"/>
                <w:highlight w:val="none"/>
              </w:rPr>
              <w:t>□</w:t>
            </w:r>
            <w:r>
              <w:rPr>
                <w:color w:val="auto"/>
                <w:highlight w:val="none"/>
              </w:rPr>
              <w:t>扩建</w:t>
            </w:r>
          </w:p>
          <w:p w14:paraId="72255632">
            <w:pPr>
              <w:spacing w:line="400" w:lineRule="exact"/>
              <w:jc w:val="left"/>
              <w:rPr>
                <w:color w:val="auto"/>
                <w:highlight w:val="none"/>
              </w:rPr>
            </w:pPr>
            <w:r>
              <w:rPr>
                <w:rFonts w:hint="eastAsia"/>
                <w:color w:val="auto"/>
                <w:highlight w:val="none"/>
              </w:rPr>
              <w:t>□</w:t>
            </w:r>
            <w:r>
              <w:rPr>
                <w:color w:val="auto"/>
                <w:highlight w:val="none"/>
              </w:rPr>
              <w:t>技术改造</w:t>
            </w:r>
          </w:p>
        </w:tc>
        <w:tc>
          <w:tcPr>
            <w:tcW w:w="1485" w:type="dxa"/>
            <w:vAlign w:val="center"/>
          </w:tcPr>
          <w:p w14:paraId="31EA8E39">
            <w:pPr>
              <w:adjustRightInd w:val="0"/>
              <w:spacing w:line="400" w:lineRule="exact"/>
              <w:jc w:val="center"/>
              <w:rPr>
                <w:color w:val="auto"/>
                <w:highlight w:val="none"/>
              </w:rPr>
            </w:pPr>
            <w:r>
              <w:rPr>
                <w:color w:val="auto"/>
                <w:highlight w:val="none"/>
              </w:rPr>
              <w:t>建设项目</w:t>
            </w:r>
          </w:p>
          <w:p w14:paraId="35A38D0C">
            <w:pPr>
              <w:adjustRightInd w:val="0"/>
              <w:spacing w:line="400" w:lineRule="exact"/>
              <w:jc w:val="center"/>
              <w:rPr>
                <w:color w:val="auto"/>
                <w:highlight w:val="none"/>
              </w:rPr>
            </w:pPr>
            <w:r>
              <w:rPr>
                <w:color w:val="auto"/>
                <w:highlight w:val="none"/>
              </w:rPr>
              <w:t>申报情形</w:t>
            </w:r>
          </w:p>
        </w:tc>
        <w:tc>
          <w:tcPr>
            <w:tcW w:w="4322" w:type="dxa"/>
            <w:gridSpan w:val="2"/>
            <w:vAlign w:val="center"/>
          </w:tcPr>
          <w:p w14:paraId="575CF7D0">
            <w:pPr>
              <w:spacing w:line="400" w:lineRule="exact"/>
              <w:jc w:val="left"/>
              <w:rPr>
                <w:color w:val="auto"/>
                <w:highlight w:val="none"/>
              </w:rPr>
            </w:pPr>
            <w:r>
              <w:rPr>
                <w:rFonts w:hint="eastAsia"/>
                <w:color w:val="auto"/>
                <w:highlight w:val="none"/>
                <w:lang w:eastAsia="zh-CN"/>
              </w:rPr>
              <w:t>☑</w:t>
            </w:r>
            <w:r>
              <w:rPr>
                <w:color w:val="auto"/>
                <w:highlight w:val="none"/>
              </w:rPr>
              <w:t>首次申报项目</w:t>
            </w:r>
          </w:p>
          <w:p w14:paraId="3BC1A106">
            <w:pPr>
              <w:spacing w:line="400" w:lineRule="exact"/>
              <w:jc w:val="left"/>
              <w:rPr>
                <w:color w:val="auto"/>
                <w:highlight w:val="none"/>
              </w:rPr>
            </w:pPr>
            <w:r>
              <w:rPr>
                <w:rFonts w:hint="eastAsia"/>
                <w:color w:val="auto"/>
                <w:highlight w:val="none"/>
              </w:rPr>
              <w:t>□</w:t>
            </w:r>
            <w:r>
              <w:rPr>
                <w:color w:val="auto"/>
                <w:highlight w:val="none"/>
              </w:rPr>
              <w:t>不予批准后再次申报项目</w:t>
            </w:r>
          </w:p>
          <w:p w14:paraId="5D88352F">
            <w:pPr>
              <w:spacing w:line="400" w:lineRule="exact"/>
              <w:jc w:val="left"/>
              <w:rPr>
                <w:color w:val="auto"/>
                <w:highlight w:val="none"/>
              </w:rPr>
            </w:pPr>
            <w:r>
              <w:rPr>
                <w:rFonts w:hint="eastAsia"/>
                <w:color w:val="auto"/>
                <w:highlight w:val="none"/>
              </w:rPr>
              <w:t>□</w:t>
            </w:r>
            <w:r>
              <w:rPr>
                <w:color w:val="auto"/>
                <w:highlight w:val="none"/>
              </w:rPr>
              <w:t>超五年重新审核项目</w:t>
            </w:r>
          </w:p>
          <w:p w14:paraId="497A9287">
            <w:pPr>
              <w:spacing w:line="400" w:lineRule="exact"/>
              <w:jc w:val="left"/>
              <w:rPr>
                <w:color w:val="auto"/>
                <w:highlight w:val="none"/>
              </w:rPr>
            </w:pPr>
            <w:r>
              <w:rPr>
                <w:rFonts w:hint="eastAsia"/>
                <w:color w:val="auto"/>
                <w:highlight w:val="none"/>
              </w:rPr>
              <w:t>□</w:t>
            </w:r>
            <w:r>
              <w:rPr>
                <w:color w:val="auto"/>
                <w:highlight w:val="none"/>
              </w:rPr>
              <w:t>重大变动重新报批项目</w:t>
            </w:r>
          </w:p>
        </w:tc>
      </w:tr>
      <w:tr w14:paraId="4EEEF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1109" w:type="dxa"/>
            <w:tcMar>
              <w:top w:w="16" w:type="dxa"/>
              <w:left w:w="16" w:type="dxa"/>
              <w:right w:w="16" w:type="dxa"/>
            </w:tcMar>
            <w:vAlign w:val="center"/>
          </w:tcPr>
          <w:p w14:paraId="01E7EEC2">
            <w:pPr>
              <w:adjustRightInd w:val="0"/>
              <w:spacing w:line="400" w:lineRule="exact"/>
              <w:ind w:left="-120" w:leftChars="-50" w:right="-120" w:rightChars="-50"/>
              <w:jc w:val="center"/>
              <w:rPr>
                <w:color w:val="auto"/>
                <w:highlight w:val="none"/>
              </w:rPr>
            </w:pPr>
            <w:r>
              <w:rPr>
                <w:color w:val="auto"/>
                <w:highlight w:val="none"/>
              </w:rPr>
              <w:t>项目审批</w:t>
            </w:r>
          </w:p>
          <w:p w14:paraId="14EC8EF3">
            <w:pPr>
              <w:adjustRightInd w:val="0"/>
              <w:spacing w:line="400" w:lineRule="exact"/>
              <w:ind w:left="-120" w:leftChars="-50" w:right="-120" w:rightChars="-50"/>
              <w:jc w:val="center"/>
              <w:rPr>
                <w:color w:val="auto"/>
                <w:highlight w:val="none"/>
              </w:rPr>
            </w:pPr>
            <w:r>
              <w:rPr>
                <w:color w:val="auto"/>
                <w:highlight w:val="none"/>
              </w:rPr>
              <w:t>（核准/备案）部门</w:t>
            </w:r>
          </w:p>
        </w:tc>
        <w:tc>
          <w:tcPr>
            <w:tcW w:w="1537" w:type="dxa"/>
            <w:vAlign w:val="center"/>
          </w:tcPr>
          <w:p w14:paraId="24AF8E13">
            <w:pPr>
              <w:adjustRightInd w:val="0"/>
              <w:spacing w:line="400" w:lineRule="exact"/>
              <w:jc w:val="center"/>
              <w:rPr>
                <w:rFonts w:hint="eastAsia" w:eastAsia="宋体"/>
                <w:color w:val="auto"/>
                <w:highlight w:val="none"/>
                <w:lang w:eastAsia="zh-CN"/>
              </w:rPr>
            </w:pPr>
            <w:r>
              <w:rPr>
                <w:rFonts w:hint="eastAsia"/>
                <w:color w:val="auto"/>
                <w:highlight w:val="none"/>
                <w:lang w:eastAsia="zh-CN"/>
              </w:rPr>
              <w:t>淮南市发展和改革委员会</w:t>
            </w:r>
          </w:p>
        </w:tc>
        <w:tc>
          <w:tcPr>
            <w:tcW w:w="1485" w:type="dxa"/>
            <w:vAlign w:val="center"/>
          </w:tcPr>
          <w:p w14:paraId="6771897D">
            <w:pPr>
              <w:adjustRightInd w:val="0"/>
              <w:spacing w:line="400" w:lineRule="exact"/>
              <w:jc w:val="center"/>
              <w:rPr>
                <w:color w:val="auto"/>
                <w:highlight w:val="none"/>
              </w:rPr>
            </w:pPr>
            <w:r>
              <w:rPr>
                <w:color w:val="auto"/>
                <w:highlight w:val="none"/>
              </w:rPr>
              <w:t>项目审批（核准/备案）文号（选填）</w:t>
            </w:r>
          </w:p>
        </w:tc>
        <w:tc>
          <w:tcPr>
            <w:tcW w:w="4322" w:type="dxa"/>
            <w:gridSpan w:val="2"/>
            <w:vAlign w:val="center"/>
          </w:tcPr>
          <w:p w14:paraId="34789506">
            <w:pPr>
              <w:adjustRightInd w:val="0"/>
              <w:spacing w:line="400" w:lineRule="exact"/>
              <w:jc w:val="center"/>
              <w:rPr>
                <w:color w:val="auto"/>
                <w:highlight w:val="none"/>
              </w:rPr>
            </w:pPr>
            <w:r>
              <w:rPr>
                <w:rFonts w:hint="eastAsia"/>
                <w:color w:val="auto"/>
                <w:highlight w:val="none"/>
              </w:rPr>
              <w:t>2504-340400-04-01-677087</w:t>
            </w:r>
          </w:p>
        </w:tc>
      </w:tr>
      <w:tr w14:paraId="3FAEC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9" w:hRule="atLeast"/>
          <w:jc w:val="center"/>
        </w:trPr>
        <w:tc>
          <w:tcPr>
            <w:tcW w:w="1109" w:type="dxa"/>
            <w:tcMar>
              <w:top w:w="16" w:type="dxa"/>
              <w:left w:w="16" w:type="dxa"/>
              <w:right w:w="16" w:type="dxa"/>
            </w:tcMar>
            <w:vAlign w:val="center"/>
          </w:tcPr>
          <w:p w14:paraId="0FE28EED">
            <w:pPr>
              <w:adjustRightInd w:val="0"/>
              <w:spacing w:line="400" w:lineRule="exact"/>
              <w:jc w:val="center"/>
              <w:rPr>
                <w:color w:val="auto"/>
                <w:highlight w:val="none"/>
              </w:rPr>
            </w:pPr>
            <w:r>
              <w:rPr>
                <w:color w:val="auto"/>
                <w:highlight w:val="none"/>
              </w:rPr>
              <w:t>总投资</w:t>
            </w:r>
          </w:p>
          <w:p w14:paraId="084DDD51">
            <w:pPr>
              <w:adjustRightInd w:val="0"/>
              <w:spacing w:line="400" w:lineRule="exact"/>
              <w:jc w:val="center"/>
              <w:rPr>
                <w:color w:val="auto"/>
                <w:highlight w:val="none"/>
              </w:rPr>
            </w:pPr>
            <w:r>
              <w:rPr>
                <w:color w:val="auto"/>
                <w:highlight w:val="none"/>
              </w:rPr>
              <w:t>（万元）</w:t>
            </w:r>
          </w:p>
        </w:tc>
        <w:tc>
          <w:tcPr>
            <w:tcW w:w="1537" w:type="dxa"/>
            <w:vAlign w:val="center"/>
          </w:tcPr>
          <w:p w14:paraId="111CFDD0">
            <w:pPr>
              <w:adjustRightInd w:val="0"/>
              <w:spacing w:line="400" w:lineRule="exact"/>
              <w:jc w:val="center"/>
              <w:rPr>
                <w:rFonts w:hint="default" w:eastAsia="宋体"/>
                <w:color w:val="auto"/>
                <w:highlight w:val="none"/>
                <w:lang w:val="en-US" w:eastAsia="zh-CN"/>
              </w:rPr>
            </w:pPr>
            <w:r>
              <w:rPr>
                <w:rFonts w:hint="eastAsia"/>
                <w:color w:val="auto"/>
                <w:highlight w:val="none"/>
                <w:lang w:val="en-US" w:eastAsia="zh-CN"/>
              </w:rPr>
              <w:t>10000</w:t>
            </w:r>
          </w:p>
        </w:tc>
        <w:tc>
          <w:tcPr>
            <w:tcW w:w="1485" w:type="dxa"/>
            <w:tcMar>
              <w:top w:w="16" w:type="dxa"/>
              <w:left w:w="16" w:type="dxa"/>
              <w:right w:w="16" w:type="dxa"/>
            </w:tcMar>
            <w:vAlign w:val="center"/>
          </w:tcPr>
          <w:p w14:paraId="119ACF4C">
            <w:pPr>
              <w:adjustRightInd w:val="0"/>
              <w:spacing w:line="400" w:lineRule="exact"/>
              <w:jc w:val="center"/>
              <w:rPr>
                <w:color w:val="auto"/>
                <w:highlight w:val="none"/>
              </w:rPr>
            </w:pPr>
            <w:r>
              <w:rPr>
                <w:color w:val="auto"/>
                <w:highlight w:val="none"/>
              </w:rPr>
              <w:t>环保投资</w:t>
            </w:r>
          </w:p>
          <w:p w14:paraId="2795C78E">
            <w:pPr>
              <w:adjustRightInd w:val="0"/>
              <w:spacing w:line="400" w:lineRule="exact"/>
              <w:jc w:val="center"/>
              <w:rPr>
                <w:color w:val="auto"/>
                <w:highlight w:val="none"/>
              </w:rPr>
            </w:pPr>
            <w:r>
              <w:rPr>
                <w:color w:val="auto"/>
                <w:highlight w:val="none"/>
              </w:rPr>
              <w:t>（万元）</w:t>
            </w:r>
          </w:p>
        </w:tc>
        <w:tc>
          <w:tcPr>
            <w:tcW w:w="4322" w:type="dxa"/>
            <w:gridSpan w:val="2"/>
            <w:vAlign w:val="center"/>
          </w:tcPr>
          <w:p w14:paraId="7FA97964">
            <w:pPr>
              <w:adjustRightInd w:val="0"/>
              <w:spacing w:line="400" w:lineRule="exact"/>
              <w:jc w:val="center"/>
              <w:rPr>
                <w:rFonts w:hint="default" w:eastAsia="宋体"/>
                <w:color w:val="auto"/>
                <w:highlight w:val="none"/>
                <w:lang w:val="en-US" w:eastAsia="zh-CN"/>
              </w:rPr>
            </w:pPr>
            <w:r>
              <w:rPr>
                <w:rFonts w:hint="eastAsia"/>
                <w:color w:val="auto"/>
                <w:highlight w:val="none"/>
                <w:lang w:val="en-US" w:eastAsia="zh-CN"/>
              </w:rPr>
              <w:t>193</w:t>
            </w:r>
          </w:p>
        </w:tc>
      </w:tr>
      <w:tr w14:paraId="53034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9" w:type="dxa"/>
            <w:tcMar>
              <w:top w:w="16" w:type="dxa"/>
              <w:left w:w="16" w:type="dxa"/>
              <w:right w:w="16" w:type="dxa"/>
            </w:tcMar>
            <w:vAlign w:val="center"/>
          </w:tcPr>
          <w:p w14:paraId="27174420">
            <w:pPr>
              <w:adjustRightInd w:val="0"/>
              <w:spacing w:line="400" w:lineRule="exact"/>
              <w:jc w:val="center"/>
              <w:rPr>
                <w:color w:val="auto"/>
                <w:highlight w:val="none"/>
              </w:rPr>
            </w:pPr>
            <w:r>
              <w:rPr>
                <w:color w:val="auto"/>
                <w:highlight w:val="none"/>
              </w:rPr>
              <w:t>环保投资占比（%）</w:t>
            </w:r>
          </w:p>
        </w:tc>
        <w:tc>
          <w:tcPr>
            <w:tcW w:w="1537" w:type="dxa"/>
            <w:vAlign w:val="center"/>
          </w:tcPr>
          <w:p w14:paraId="51D5F470">
            <w:pPr>
              <w:adjustRightInd w:val="0"/>
              <w:spacing w:line="400" w:lineRule="exact"/>
              <w:jc w:val="center"/>
              <w:rPr>
                <w:rFonts w:hint="default"/>
                <w:color w:val="auto"/>
                <w:highlight w:val="none"/>
                <w:lang w:val="en-US" w:eastAsia="zh-CN"/>
              </w:rPr>
            </w:pPr>
            <w:r>
              <w:rPr>
                <w:rFonts w:hint="eastAsia"/>
                <w:color w:val="auto"/>
                <w:highlight w:val="none"/>
                <w:lang w:val="en-US" w:eastAsia="zh-CN"/>
              </w:rPr>
              <w:t>1.93</w:t>
            </w:r>
          </w:p>
        </w:tc>
        <w:tc>
          <w:tcPr>
            <w:tcW w:w="1485" w:type="dxa"/>
            <w:tcMar>
              <w:top w:w="16" w:type="dxa"/>
              <w:left w:w="16" w:type="dxa"/>
              <w:right w:w="16" w:type="dxa"/>
            </w:tcMar>
            <w:vAlign w:val="center"/>
          </w:tcPr>
          <w:p w14:paraId="1CC548D9">
            <w:pPr>
              <w:adjustRightInd w:val="0"/>
              <w:spacing w:line="400" w:lineRule="exact"/>
              <w:jc w:val="center"/>
              <w:rPr>
                <w:color w:val="auto"/>
                <w:highlight w:val="none"/>
              </w:rPr>
            </w:pPr>
            <w:r>
              <w:rPr>
                <w:color w:val="auto"/>
                <w:highlight w:val="none"/>
              </w:rPr>
              <w:t>施工工期</w:t>
            </w:r>
          </w:p>
        </w:tc>
        <w:tc>
          <w:tcPr>
            <w:tcW w:w="4322" w:type="dxa"/>
            <w:gridSpan w:val="2"/>
            <w:vAlign w:val="center"/>
          </w:tcPr>
          <w:p w14:paraId="7C88AD2B">
            <w:pPr>
              <w:adjustRightInd w:val="0"/>
              <w:spacing w:line="400" w:lineRule="exact"/>
              <w:jc w:val="center"/>
              <w:rPr>
                <w:color w:val="auto"/>
                <w:highlight w:val="none"/>
              </w:rPr>
            </w:pPr>
            <w:r>
              <w:rPr>
                <w:rFonts w:hint="eastAsia"/>
                <w:color w:val="auto"/>
                <w:highlight w:val="none"/>
              </w:rPr>
              <w:t>6</w:t>
            </w:r>
            <w:r>
              <w:rPr>
                <w:color w:val="auto"/>
                <w:highlight w:val="none"/>
              </w:rPr>
              <w:t>个月</w:t>
            </w:r>
          </w:p>
        </w:tc>
      </w:tr>
      <w:tr w14:paraId="3D8B1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3" w:hRule="atLeast"/>
          <w:jc w:val="center"/>
        </w:trPr>
        <w:tc>
          <w:tcPr>
            <w:tcW w:w="1109" w:type="dxa"/>
            <w:tcMar>
              <w:top w:w="16" w:type="dxa"/>
              <w:left w:w="16" w:type="dxa"/>
              <w:right w:w="16" w:type="dxa"/>
            </w:tcMar>
            <w:vAlign w:val="center"/>
          </w:tcPr>
          <w:p w14:paraId="7E34D358">
            <w:pPr>
              <w:adjustRightInd w:val="0"/>
              <w:spacing w:line="400" w:lineRule="exact"/>
              <w:jc w:val="center"/>
              <w:rPr>
                <w:color w:val="auto"/>
                <w:highlight w:val="none"/>
              </w:rPr>
            </w:pPr>
            <w:r>
              <w:rPr>
                <w:color w:val="auto"/>
                <w:highlight w:val="none"/>
              </w:rPr>
              <w:t>是否开工建设</w:t>
            </w:r>
          </w:p>
        </w:tc>
        <w:tc>
          <w:tcPr>
            <w:tcW w:w="1537" w:type="dxa"/>
            <w:vAlign w:val="center"/>
          </w:tcPr>
          <w:p w14:paraId="13888F62">
            <w:pPr>
              <w:adjustRightInd w:val="0"/>
              <w:snapToGrid w:val="0"/>
              <w:rPr>
                <w:color w:val="auto"/>
                <w:szCs w:val="21"/>
                <w:highlight w:val="none"/>
              </w:rPr>
            </w:pPr>
            <w:r>
              <w:rPr>
                <w:rFonts w:hint="eastAsia"/>
                <w:color w:val="auto"/>
                <w:highlight w:val="none"/>
                <w:lang w:eastAsia="zh-CN"/>
              </w:rPr>
              <w:t>☑</w:t>
            </w:r>
            <w:r>
              <w:rPr>
                <w:color w:val="auto"/>
                <w:szCs w:val="21"/>
                <w:highlight w:val="none"/>
              </w:rPr>
              <w:t>否</w:t>
            </w:r>
          </w:p>
          <w:p w14:paraId="57A70A82">
            <w:pPr>
              <w:adjustRightInd w:val="0"/>
              <w:snapToGrid w:val="0"/>
              <w:rPr>
                <w:color w:val="auto"/>
                <w:szCs w:val="21"/>
                <w:highlight w:val="none"/>
              </w:rPr>
            </w:pPr>
            <w:r>
              <w:rPr>
                <w:rFonts w:hint="eastAsia"/>
                <w:color w:val="auto"/>
                <w:highlight w:val="none"/>
              </w:rPr>
              <w:t>□</w:t>
            </w:r>
            <w:r>
              <w:rPr>
                <w:color w:val="auto"/>
                <w:szCs w:val="21"/>
                <w:highlight w:val="none"/>
              </w:rPr>
              <w:t>是：</w:t>
            </w:r>
            <w:r>
              <w:rPr>
                <w:color w:val="auto"/>
                <w:szCs w:val="21"/>
                <w:highlight w:val="none"/>
                <w:u w:val="single"/>
              </w:rPr>
              <w:t xml:space="preserve">             </w:t>
            </w:r>
          </w:p>
        </w:tc>
        <w:tc>
          <w:tcPr>
            <w:tcW w:w="1485" w:type="dxa"/>
            <w:vAlign w:val="center"/>
          </w:tcPr>
          <w:p w14:paraId="1A789F97">
            <w:pPr>
              <w:adjustRightInd w:val="0"/>
              <w:snapToGrid w:val="0"/>
              <w:jc w:val="center"/>
              <w:rPr>
                <w:color w:val="auto"/>
                <w:szCs w:val="21"/>
                <w:highlight w:val="none"/>
              </w:rPr>
            </w:pPr>
            <w:r>
              <w:rPr>
                <w:color w:val="auto"/>
                <w:spacing w:val="-6"/>
                <w:szCs w:val="21"/>
                <w:highlight w:val="none"/>
              </w:rPr>
              <w:t>用地面积（m</w:t>
            </w:r>
            <w:r>
              <w:rPr>
                <w:color w:val="auto"/>
                <w:spacing w:val="-6"/>
                <w:szCs w:val="21"/>
                <w:highlight w:val="none"/>
                <w:vertAlign w:val="superscript"/>
              </w:rPr>
              <w:t>2</w:t>
            </w:r>
            <w:r>
              <w:rPr>
                <w:color w:val="auto"/>
                <w:spacing w:val="-6"/>
                <w:szCs w:val="21"/>
                <w:highlight w:val="none"/>
              </w:rPr>
              <w:t>）</w:t>
            </w:r>
          </w:p>
        </w:tc>
        <w:tc>
          <w:tcPr>
            <w:tcW w:w="4322" w:type="dxa"/>
            <w:gridSpan w:val="2"/>
            <w:vAlign w:val="center"/>
          </w:tcPr>
          <w:p w14:paraId="06DB468C">
            <w:pPr>
              <w:adjustRightInd w:val="0"/>
              <w:spacing w:line="400" w:lineRule="exact"/>
              <w:jc w:val="center"/>
              <w:rPr>
                <w:rFonts w:hint="default" w:eastAsia="宋体"/>
                <w:color w:val="auto"/>
                <w:highlight w:val="none"/>
                <w:u w:val="single"/>
                <w:lang w:val="en-US" w:eastAsia="zh-CN"/>
              </w:rPr>
            </w:pPr>
            <w:r>
              <w:rPr>
                <w:rFonts w:hint="eastAsia"/>
                <w:color w:val="auto"/>
                <w:highlight w:val="none"/>
                <w:lang w:val="en-US" w:eastAsia="zh-CN"/>
              </w:rPr>
              <w:t>54859</w:t>
            </w:r>
          </w:p>
        </w:tc>
      </w:tr>
      <w:tr w14:paraId="44873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7" w:hRule="atLeast"/>
          <w:jc w:val="center"/>
        </w:trPr>
        <w:tc>
          <w:tcPr>
            <w:tcW w:w="1109" w:type="dxa"/>
            <w:vAlign w:val="center"/>
          </w:tcPr>
          <w:p w14:paraId="2E248059">
            <w:pPr>
              <w:adjustRightInd w:val="0"/>
              <w:spacing w:line="400" w:lineRule="exact"/>
              <w:ind w:left="-72" w:leftChars="-30" w:right="-72" w:rightChars="-30"/>
              <w:jc w:val="center"/>
              <w:rPr>
                <w:color w:val="auto"/>
                <w:kern w:val="0"/>
                <w:highlight w:val="none"/>
              </w:rPr>
            </w:pPr>
            <w:r>
              <w:rPr>
                <w:color w:val="auto"/>
                <w:kern w:val="0"/>
                <w:highlight w:val="none"/>
              </w:rPr>
              <w:t>专项评价</w:t>
            </w:r>
            <w:r>
              <w:rPr>
                <w:color w:val="auto"/>
                <w:highlight w:val="none"/>
              </w:rPr>
              <w:t>设置</w:t>
            </w:r>
            <w:r>
              <w:rPr>
                <w:color w:val="auto"/>
                <w:kern w:val="0"/>
                <w:highlight w:val="none"/>
              </w:rPr>
              <w:t>情况</w:t>
            </w:r>
          </w:p>
        </w:tc>
        <w:tc>
          <w:tcPr>
            <w:tcW w:w="7344" w:type="dxa"/>
            <w:gridSpan w:val="4"/>
            <w:vAlign w:val="center"/>
          </w:tcPr>
          <w:p w14:paraId="74E899F8">
            <w:pPr>
              <w:widowControl/>
              <w:ind w:firstLine="480" w:firstLineChars="200"/>
              <w:rPr>
                <w:color w:val="auto"/>
                <w:kern w:val="0"/>
                <w:highlight w:val="none"/>
                <w:lang w:bidi="en-US"/>
              </w:rPr>
            </w:pPr>
            <w:r>
              <w:rPr>
                <w:color w:val="auto"/>
                <w:kern w:val="0"/>
                <w:highlight w:val="none"/>
                <w:lang w:bidi="en-US"/>
              </w:rPr>
              <w:t>专项评价设置情况：无；</w:t>
            </w:r>
          </w:p>
          <w:p w14:paraId="0586A841">
            <w:pPr>
              <w:widowControl/>
              <w:ind w:firstLine="480" w:firstLineChars="200"/>
              <w:rPr>
                <w:color w:val="auto"/>
                <w:kern w:val="0"/>
                <w:highlight w:val="none"/>
                <w:lang w:bidi="en-US"/>
              </w:rPr>
            </w:pPr>
            <w:r>
              <w:rPr>
                <w:color w:val="auto"/>
                <w:kern w:val="0"/>
                <w:highlight w:val="none"/>
                <w:lang w:bidi="en-US"/>
              </w:rPr>
              <w:t>根据《建设项目环境影响报告表编制技术指南（</w:t>
            </w:r>
            <w:r>
              <w:rPr>
                <w:rFonts w:hint="eastAsia"/>
                <w:color w:val="auto"/>
                <w:kern w:val="0"/>
                <w:highlight w:val="none"/>
                <w:lang w:bidi="en-US"/>
              </w:rPr>
              <w:t>污染</w:t>
            </w:r>
            <w:r>
              <w:rPr>
                <w:color w:val="auto"/>
                <w:kern w:val="0"/>
                <w:highlight w:val="none"/>
                <w:lang w:bidi="en-US"/>
              </w:rPr>
              <w:t>影响类）》（试行），判定依据见下表</w:t>
            </w:r>
            <w:r>
              <w:rPr>
                <w:rFonts w:hint="eastAsia"/>
                <w:color w:val="auto"/>
                <w:kern w:val="0"/>
                <w:highlight w:val="none"/>
                <w:lang w:bidi="en-US"/>
              </w:rPr>
              <w:t>：</w:t>
            </w:r>
          </w:p>
          <w:p w14:paraId="590014CF">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 xml:space="preserve"> </w:t>
            </w:r>
            <w:r>
              <w:rPr>
                <w:color w:val="auto"/>
                <w:highlight w:val="none"/>
              </w:rPr>
              <w:t>专项评价设置情况表</w:t>
            </w:r>
          </w:p>
          <w:tbl>
            <w:tblPr>
              <w:tblStyle w:val="24"/>
              <w:tblpPr w:leftFromText="180" w:rightFromText="180"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2533"/>
              <w:gridCol w:w="2011"/>
              <w:gridCol w:w="1245"/>
            </w:tblGrid>
            <w:tr w14:paraId="638E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19CA0A8B">
                  <w:pPr>
                    <w:pStyle w:val="30"/>
                    <w:rPr>
                      <w:color w:val="auto"/>
                      <w:highlight w:val="none"/>
                    </w:rPr>
                  </w:pPr>
                  <w:r>
                    <w:rPr>
                      <w:color w:val="auto"/>
                      <w:highlight w:val="none"/>
                    </w:rPr>
                    <w:t>专项评价类别</w:t>
                  </w:r>
                </w:p>
              </w:tc>
              <w:tc>
                <w:tcPr>
                  <w:tcW w:w="2487" w:type="dxa"/>
                  <w:vAlign w:val="center"/>
                </w:tcPr>
                <w:p w14:paraId="632C72B6">
                  <w:pPr>
                    <w:pStyle w:val="30"/>
                    <w:rPr>
                      <w:color w:val="auto"/>
                      <w:highlight w:val="none"/>
                    </w:rPr>
                  </w:pPr>
                  <w:r>
                    <w:rPr>
                      <w:color w:val="auto"/>
                      <w:highlight w:val="none"/>
                    </w:rPr>
                    <w:t>设置原则</w:t>
                  </w:r>
                </w:p>
              </w:tc>
              <w:tc>
                <w:tcPr>
                  <w:tcW w:w="1975" w:type="dxa"/>
                  <w:vAlign w:val="center"/>
                </w:tcPr>
                <w:p w14:paraId="26428BBB">
                  <w:pPr>
                    <w:pStyle w:val="30"/>
                    <w:rPr>
                      <w:color w:val="auto"/>
                      <w:highlight w:val="none"/>
                    </w:rPr>
                  </w:pPr>
                  <w:r>
                    <w:rPr>
                      <w:color w:val="auto"/>
                      <w:highlight w:val="none"/>
                    </w:rPr>
                    <w:t>项目情况</w:t>
                  </w:r>
                </w:p>
              </w:tc>
              <w:tc>
                <w:tcPr>
                  <w:tcW w:w="1223" w:type="dxa"/>
                  <w:vAlign w:val="center"/>
                </w:tcPr>
                <w:p w14:paraId="2A110143">
                  <w:pPr>
                    <w:pStyle w:val="30"/>
                    <w:rPr>
                      <w:color w:val="auto"/>
                      <w:highlight w:val="none"/>
                    </w:rPr>
                  </w:pPr>
                  <w:r>
                    <w:rPr>
                      <w:color w:val="auto"/>
                      <w:highlight w:val="none"/>
                    </w:rPr>
                    <w:t>设置与否</w:t>
                  </w:r>
                </w:p>
              </w:tc>
            </w:tr>
            <w:tr w14:paraId="207A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18F9D925">
                  <w:pPr>
                    <w:pStyle w:val="30"/>
                    <w:rPr>
                      <w:color w:val="auto"/>
                      <w:highlight w:val="none"/>
                    </w:rPr>
                  </w:pPr>
                  <w:bookmarkStart w:id="9" w:name="OLE_LINK9" w:colFirst="1" w:colLast="2"/>
                  <w:r>
                    <w:rPr>
                      <w:color w:val="auto"/>
                      <w:highlight w:val="none"/>
                    </w:rPr>
                    <w:t>大气</w:t>
                  </w:r>
                </w:p>
              </w:tc>
              <w:tc>
                <w:tcPr>
                  <w:tcW w:w="2487" w:type="dxa"/>
                  <w:vAlign w:val="center"/>
                </w:tcPr>
                <w:p w14:paraId="2EF1411E">
                  <w:pPr>
                    <w:pStyle w:val="30"/>
                    <w:rPr>
                      <w:color w:val="auto"/>
                      <w:highlight w:val="none"/>
                    </w:rPr>
                  </w:pPr>
                  <w:r>
                    <w:rPr>
                      <w:color w:val="auto"/>
                      <w:highlight w:val="none"/>
                    </w:rPr>
                    <w:t>排放废气含有毒有害污染物、二噁英、苯并[a]芘、氰化物、氯气且厂界外500米范围内有环境空气保护目标的建设项目</w:t>
                  </w:r>
                </w:p>
              </w:tc>
              <w:tc>
                <w:tcPr>
                  <w:tcW w:w="1975" w:type="dxa"/>
                  <w:vAlign w:val="center"/>
                </w:tcPr>
                <w:p w14:paraId="7AD8BB3F">
                  <w:pPr>
                    <w:pStyle w:val="30"/>
                    <w:rPr>
                      <w:color w:val="auto"/>
                      <w:highlight w:val="none"/>
                    </w:rPr>
                  </w:pPr>
                  <w:r>
                    <w:rPr>
                      <w:rFonts w:hint="eastAsia"/>
                      <w:color w:val="auto"/>
                      <w:highlight w:val="none"/>
                    </w:rPr>
                    <w:t>本项目</w:t>
                  </w:r>
                  <w:r>
                    <w:rPr>
                      <w:color w:val="auto"/>
                      <w:highlight w:val="none"/>
                    </w:rPr>
                    <w:t>不涉及有毒有害污染物、二噁英、苯并[a]芘、氰化物、氯气等物质</w:t>
                  </w:r>
                </w:p>
              </w:tc>
              <w:tc>
                <w:tcPr>
                  <w:tcW w:w="1223" w:type="dxa"/>
                  <w:vAlign w:val="center"/>
                </w:tcPr>
                <w:p w14:paraId="0487986D">
                  <w:pPr>
                    <w:pStyle w:val="30"/>
                    <w:rPr>
                      <w:color w:val="auto"/>
                      <w:highlight w:val="none"/>
                    </w:rPr>
                  </w:pPr>
                  <w:r>
                    <w:rPr>
                      <w:color w:val="auto"/>
                      <w:highlight w:val="none"/>
                    </w:rPr>
                    <w:t>否</w:t>
                  </w:r>
                </w:p>
              </w:tc>
            </w:tr>
            <w:tr w14:paraId="2465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01B90088">
                  <w:pPr>
                    <w:pStyle w:val="30"/>
                    <w:rPr>
                      <w:color w:val="auto"/>
                      <w:highlight w:val="none"/>
                    </w:rPr>
                  </w:pPr>
                  <w:r>
                    <w:rPr>
                      <w:color w:val="auto"/>
                      <w:highlight w:val="none"/>
                    </w:rPr>
                    <w:t>地表水</w:t>
                  </w:r>
                </w:p>
              </w:tc>
              <w:tc>
                <w:tcPr>
                  <w:tcW w:w="2487" w:type="dxa"/>
                  <w:vAlign w:val="center"/>
                </w:tcPr>
                <w:p w14:paraId="1BBD41EA">
                  <w:pPr>
                    <w:pStyle w:val="30"/>
                    <w:rPr>
                      <w:color w:val="auto"/>
                      <w:highlight w:val="none"/>
                    </w:rPr>
                  </w:pPr>
                  <w:r>
                    <w:rPr>
                      <w:color w:val="auto"/>
                      <w:highlight w:val="none"/>
                    </w:rPr>
                    <w:t>新增工业废水直排建设项目（槽罐车外送污水处理厂的除外）；新增废水直排的污水集中处理厂</w:t>
                  </w:r>
                </w:p>
              </w:tc>
              <w:tc>
                <w:tcPr>
                  <w:tcW w:w="1975" w:type="dxa"/>
                  <w:vAlign w:val="center"/>
                </w:tcPr>
                <w:p w14:paraId="7F081E8F">
                  <w:pPr>
                    <w:pStyle w:val="30"/>
                    <w:rPr>
                      <w:color w:val="auto"/>
                      <w:highlight w:val="none"/>
                    </w:rPr>
                  </w:pPr>
                  <w:r>
                    <w:rPr>
                      <w:color w:val="auto"/>
                      <w:highlight w:val="none"/>
                    </w:rPr>
                    <w:t>本项目废水</w:t>
                  </w:r>
                  <w:r>
                    <w:rPr>
                      <w:rFonts w:hint="eastAsia"/>
                      <w:color w:val="auto"/>
                      <w:highlight w:val="none"/>
                    </w:rPr>
                    <w:t>经废水处理设施预</w:t>
                  </w:r>
                  <w:r>
                    <w:rPr>
                      <w:color w:val="auto"/>
                      <w:highlight w:val="none"/>
                    </w:rPr>
                    <w:t>处理</w:t>
                  </w:r>
                  <w:r>
                    <w:rPr>
                      <w:rFonts w:hint="eastAsia"/>
                      <w:color w:val="auto"/>
                      <w:highlight w:val="none"/>
                    </w:rPr>
                    <w:t>达到接管标准</w:t>
                  </w:r>
                  <w:r>
                    <w:rPr>
                      <w:color w:val="auto"/>
                      <w:highlight w:val="none"/>
                    </w:rPr>
                    <w:t>后</w:t>
                  </w:r>
                  <w:r>
                    <w:rPr>
                      <w:rFonts w:hint="eastAsia"/>
                      <w:color w:val="auto"/>
                      <w:highlight w:val="none"/>
                    </w:rPr>
                    <w:t>排入市政污水管网，</w:t>
                  </w:r>
                  <w:r>
                    <w:rPr>
                      <w:color w:val="auto"/>
                      <w:highlight w:val="none"/>
                    </w:rPr>
                    <w:t>不属于直排</w:t>
                  </w:r>
                </w:p>
              </w:tc>
              <w:tc>
                <w:tcPr>
                  <w:tcW w:w="1223" w:type="dxa"/>
                  <w:vAlign w:val="center"/>
                </w:tcPr>
                <w:p w14:paraId="00476028">
                  <w:pPr>
                    <w:pStyle w:val="30"/>
                    <w:rPr>
                      <w:color w:val="auto"/>
                      <w:highlight w:val="none"/>
                    </w:rPr>
                  </w:pPr>
                  <w:r>
                    <w:rPr>
                      <w:color w:val="auto"/>
                      <w:highlight w:val="none"/>
                    </w:rPr>
                    <w:t>否</w:t>
                  </w:r>
                </w:p>
              </w:tc>
            </w:tr>
            <w:bookmarkEnd w:id="9"/>
            <w:tr w14:paraId="024C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620CDC90">
                  <w:pPr>
                    <w:pStyle w:val="30"/>
                    <w:rPr>
                      <w:color w:val="auto"/>
                      <w:highlight w:val="none"/>
                    </w:rPr>
                  </w:pPr>
                  <w:r>
                    <w:rPr>
                      <w:color w:val="auto"/>
                      <w:highlight w:val="none"/>
                    </w:rPr>
                    <w:t>环境风险</w:t>
                  </w:r>
                </w:p>
              </w:tc>
              <w:tc>
                <w:tcPr>
                  <w:tcW w:w="2487" w:type="dxa"/>
                  <w:vAlign w:val="center"/>
                </w:tcPr>
                <w:p w14:paraId="5990A854">
                  <w:pPr>
                    <w:pStyle w:val="30"/>
                    <w:rPr>
                      <w:rFonts w:hint="eastAsia" w:eastAsia="宋体"/>
                      <w:color w:val="auto"/>
                      <w:highlight w:val="none"/>
                      <w:lang w:eastAsia="zh-CN"/>
                    </w:rPr>
                  </w:pPr>
                  <w:r>
                    <w:rPr>
                      <w:color w:val="auto"/>
                      <w:highlight w:val="none"/>
                    </w:rPr>
                    <w:t>有毒有害和易燃易爆危险物质存储量超过</w:t>
                  </w:r>
                  <w:r>
                    <w:rPr>
                      <w:rFonts w:hint="eastAsia"/>
                      <w:color w:val="auto"/>
                      <w:highlight w:val="none"/>
                      <w:lang w:eastAsia="zh-CN"/>
                    </w:rPr>
                    <w:t>临界量</w:t>
                  </w:r>
                </w:p>
              </w:tc>
              <w:tc>
                <w:tcPr>
                  <w:tcW w:w="1975" w:type="dxa"/>
                  <w:vAlign w:val="center"/>
                </w:tcPr>
                <w:p w14:paraId="2D19E767">
                  <w:pPr>
                    <w:pStyle w:val="30"/>
                    <w:rPr>
                      <w:color w:val="auto"/>
                      <w:highlight w:val="none"/>
                    </w:rPr>
                  </w:pPr>
                  <w:r>
                    <w:rPr>
                      <w:color w:val="auto"/>
                      <w:highlight w:val="none"/>
                    </w:rPr>
                    <w:t>风险物质未超过临界量</w:t>
                  </w:r>
                </w:p>
              </w:tc>
              <w:tc>
                <w:tcPr>
                  <w:tcW w:w="1223" w:type="dxa"/>
                  <w:vAlign w:val="center"/>
                </w:tcPr>
                <w:p w14:paraId="35598C64">
                  <w:pPr>
                    <w:pStyle w:val="30"/>
                    <w:rPr>
                      <w:color w:val="auto"/>
                      <w:highlight w:val="none"/>
                    </w:rPr>
                  </w:pPr>
                  <w:r>
                    <w:rPr>
                      <w:color w:val="auto"/>
                      <w:highlight w:val="none"/>
                    </w:rPr>
                    <w:t>否</w:t>
                  </w:r>
                </w:p>
              </w:tc>
            </w:tr>
            <w:tr w14:paraId="2DE9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35E0F94E">
                  <w:pPr>
                    <w:pStyle w:val="30"/>
                    <w:rPr>
                      <w:color w:val="auto"/>
                      <w:highlight w:val="none"/>
                    </w:rPr>
                  </w:pPr>
                  <w:r>
                    <w:rPr>
                      <w:color w:val="auto"/>
                      <w:highlight w:val="none"/>
                    </w:rPr>
                    <w:t>生态</w:t>
                  </w:r>
                </w:p>
              </w:tc>
              <w:tc>
                <w:tcPr>
                  <w:tcW w:w="2487" w:type="dxa"/>
                  <w:vAlign w:val="center"/>
                </w:tcPr>
                <w:p w14:paraId="0F63EFAB">
                  <w:pPr>
                    <w:pStyle w:val="30"/>
                    <w:rPr>
                      <w:color w:val="auto"/>
                      <w:highlight w:val="none"/>
                    </w:rPr>
                  </w:pPr>
                  <w:r>
                    <w:rPr>
                      <w:color w:val="auto"/>
                      <w:highlight w:val="none"/>
                    </w:rPr>
                    <w:t>取水口下游500米范围内有重要水生生物的自然产卵场、索饵场、越冬场和洄游通道的新增河道取水的污染类建设项目</w:t>
                  </w:r>
                </w:p>
              </w:tc>
              <w:tc>
                <w:tcPr>
                  <w:tcW w:w="1975" w:type="dxa"/>
                  <w:vAlign w:val="center"/>
                </w:tcPr>
                <w:p w14:paraId="05CCC44D">
                  <w:pPr>
                    <w:pStyle w:val="30"/>
                    <w:rPr>
                      <w:color w:val="auto"/>
                      <w:highlight w:val="none"/>
                    </w:rPr>
                  </w:pPr>
                  <w:r>
                    <w:rPr>
                      <w:color w:val="auto"/>
                      <w:highlight w:val="none"/>
                    </w:rPr>
                    <w:t>不涉及</w:t>
                  </w:r>
                </w:p>
              </w:tc>
              <w:tc>
                <w:tcPr>
                  <w:tcW w:w="1223" w:type="dxa"/>
                  <w:vAlign w:val="center"/>
                </w:tcPr>
                <w:p w14:paraId="5AC8ACD5">
                  <w:pPr>
                    <w:pStyle w:val="30"/>
                    <w:rPr>
                      <w:color w:val="auto"/>
                      <w:highlight w:val="none"/>
                    </w:rPr>
                  </w:pPr>
                  <w:r>
                    <w:rPr>
                      <w:color w:val="auto"/>
                      <w:highlight w:val="none"/>
                    </w:rPr>
                    <w:t>否</w:t>
                  </w:r>
                </w:p>
              </w:tc>
            </w:tr>
            <w:tr w14:paraId="752E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28A38B25">
                  <w:pPr>
                    <w:pStyle w:val="30"/>
                    <w:rPr>
                      <w:color w:val="auto"/>
                      <w:highlight w:val="none"/>
                    </w:rPr>
                  </w:pPr>
                  <w:r>
                    <w:rPr>
                      <w:color w:val="auto"/>
                      <w:highlight w:val="none"/>
                    </w:rPr>
                    <w:t>海洋</w:t>
                  </w:r>
                </w:p>
              </w:tc>
              <w:tc>
                <w:tcPr>
                  <w:tcW w:w="2487" w:type="dxa"/>
                  <w:vAlign w:val="center"/>
                </w:tcPr>
                <w:p w14:paraId="5B4B0839">
                  <w:pPr>
                    <w:pStyle w:val="30"/>
                    <w:rPr>
                      <w:color w:val="auto"/>
                      <w:highlight w:val="none"/>
                    </w:rPr>
                  </w:pPr>
                  <w:r>
                    <w:rPr>
                      <w:color w:val="auto"/>
                      <w:highlight w:val="none"/>
                    </w:rPr>
                    <w:t>直接向海排放污染物的海洋工程建设项目</w:t>
                  </w:r>
                </w:p>
              </w:tc>
              <w:tc>
                <w:tcPr>
                  <w:tcW w:w="1975" w:type="dxa"/>
                  <w:vAlign w:val="center"/>
                </w:tcPr>
                <w:p w14:paraId="7A0218E1">
                  <w:pPr>
                    <w:pStyle w:val="30"/>
                    <w:rPr>
                      <w:color w:val="auto"/>
                      <w:highlight w:val="none"/>
                    </w:rPr>
                  </w:pPr>
                  <w:r>
                    <w:rPr>
                      <w:color w:val="auto"/>
                      <w:highlight w:val="none"/>
                    </w:rPr>
                    <w:t>不涉及</w:t>
                  </w:r>
                </w:p>
              </w:tc>
              <w:tc>
                <w:tcPr>
                  <w:tcW w:w="1223" w:type="dxa"/>
                  <w:vAlign w:val="center"/>
                </w:tcPr>
                <w:p w14:paraId="0C72F11F">
                  <w:pPr>
                    <w:pStyle w:val="30"/>
                    <w:rPr>
                      <w:color w:val="auto"/>
                      <w:highlight w:val="none"/>
                    </w:rPr>
                  </w:pPr>
                  <w:r>
                    <w:rPr>
                      <w:color w:val="auto"/>
                      <w:highlight w:val="none"/>
                    </w:rPr>
                    <w:t>否</w:t>
                  </w:r>
                </w:p>
              </w:tc>
            </w:tr>
          </w:tbl>
          <w:p w14:paraId="0A8291D0">
            <w:pPr>
              <w:widowControl/>
              <w:jc w:val="both"/>
              <w:rPr>
                <w:color w:val="auto"/>
                <w:kern w:val="0"/>
                <w:highlight w:val="none"/>
              </w:rPr>
            </w:pPr>
          </w:p>
        </w:tc>
      </w:tr>
      <w:tr w14:paraId="5C557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1109" w:type="dxa"/>
            <w:vAlign w:val="center"/>
          </w:tcPr>
          <w:p w14:paraId="16825DF3">
            <w:pPr>
              <w:jc w:val="center"/>
              <w:rPr>
                <w:rFonts w:ascii="宋体" w:hAnsi="宋体" w:cs="宋体"/>
                <w:color w:val="auto"/>
                <w:highlight w:val="none"/>
              </w:rPr>
            </w:pPr>
            <w:r>
              <w:rPr>
                <w:rFonts w:ascii="宋体" w:hAnsi="宋体" w:cs="宋体"/>
                <w:color w:val="auto"/>
                <w:highlight w:val="none"/>
              </w:rPr>
              <w:t>规划</w:t>
            </w:r>
          </w:p>
          <w:p w14:paraId="744D085E">
            <w:pPr>
              <w:jc w:val="center"/>
              <w:rPr>
                <w:rFonts w:hint="eastAsia" w:ascii="宋体" w:hAnsi="宋体" w:cs="宋体"/>
                <w:color w:val="auto"/>
                <w:highlight w:val="none"/>
              </w:rPr>
            </w:pPr>
            <w:r>
              <w:rPr>
                <w:rFonts w:ascii="宋体" w:hAnsi="宋体" w:cs="宋体"/>
                <w:color w:val="auto"/>
                <w:highlight w:val="none"/>
              </w:rPr>
              <w:t>情况</w:t>
            </w:r>
          </w:p>
        </w:tc>
        <w:tc>
          <w:tcPr>
            <w:tcW w:w="7344" w:type="dxa"/>
            <w:gridSpan w:val="4"/>
            <w:vAlign w:val="center"/>
          </w:tcPr>
          <w:p w14:paraId="3EF69EC4">
            <w:pPr>
              <w:bidi w:val="0"/>
              <w:rPr>
                <w:rFonts w:hint="eastAsia"/>
                <w:color w:val="auto"/>
                <w:highlight w:val="none"/>
              </w:rPr>
            </w:pPr>
            <w:r>
              <w:rPr>
                <w:rFonts w:hint="eastAsia"/>
                <w:color w:val="auto"/>
                <w:highlight w:val="none"/>
                <w:lang w:val="en-US" w:eastAsia="zh-CN"/>
              </w:rPr>
              <w:t>1</w:t>
            </w:r>
            <w:r>
              <w:rPr>
                <w:rFonts w:hint="eastAsia"/>
                <w:color w:val="auto"/>
                <w:highlight w:val="none"/>
              </w:rPr>
              <w:t>、规划名称：</w:t>
            </w:r>
            <w:bookmarkStart w:id="10" w:name="OLE_LINK2"/>
            <w:r>
              <w:rPr>
                <w:rFonts w:hint="eastAsia"/>
                <w:color w:val="auto"/>
                <w:highlight w:val="none"/>
              </w:rPr>
              <w:t>《淮南市城市综合交通驿站国土空间专项规划（2023-2035年）》</w:t>
            </w:r>
            <w:bookmarkEnd w:id="10"/>
            <w:r>
              <w:rPr>
                <w:rFonts w:hint="eastAsia"/>
                <w:color w:val="auto"/>
                <w:highlight w:val="none"/>
              </w:rPr>
              <w:t>；</w:t>
            </w:r>
          </w:p>
          <w:p w14:paraId="1EF75724">
            <w:pPr>
              <w:bidi w:val="0"/>
              <w:rPr>
                <w:rFonts w:hint="eastAsia"/>
                <w:color w:val="auto"/>
                <w:highlight w:val="none"/>
              </w:rPr>
            </w:pPr>
            <w:r>
              <w:rPr>
                <w:rFonts w:hint="eastAsia"/>
                <w:color w:val="auto"/>
                <w:highlight w:val="none"/>
              </w:rPr>
              <w:t>审批机关：淮南市人民政府。</w:t>
            </w:r>
          </w:p>
          <w:p w14:paraId="43DFBE94">
            <w:pPr>
              <w:bidi w:val="0"/>
              <w:rPr>
                <w:rFonts w:hint="eastAsia"/>
                <w:color w:val="auto"/>
                <w:highlight w:val="none"/>
                <w:lang w:eastAsia="zh-CN"/>
              </w:rPr>
            </w:pPr>
            <w:r>
              <w:rPr>
                <w:rFonts w:hint="eastAsia"/>
                <w:color w:val="auto"/>
                <w:highlight w:val="none"/>
                <w:lang w:val="en-US" w:eastAsia="zh-CN"/>
              </w:rPr>
              <w:t>2、</w:t>
            </w:r>
            <w:r>
              <w:rPr>
                <w:rFonts w:hint="eastAsia"/>
                <w:color w:val="auto"/>
                <w:highlight w:val="none"/>
              </w:rPr>
              <w:t>规划名称：《淮南市国土空间总体规划（2021-2035年）》</w:t>
            </w:r>
            <w:r>
              <w:rPr>
                <w:rFonts w:hint="eastAsia"/>
                <w:color w:val="auto"/>
                <w:highlight w:val="none"/>
                <w:lang w:eastAsia="zh-CN"/>
              </w:rPr>
              <w:t>；</w:t>
            </w:r>
          </w:p>
          <w:p w14:paraId="087A6136">
            <w:pPr>
              <w:bidi w:val="0"/>
              <w:rPr>
                <w:rFonts w:hint="eastAsia" w:eastAsia="宋体"/>
                <w:color w:val="auto"/>
                <w:highlight w:val="none"/>
                <w:lang w:eastAsia="zh-CN"/>
              </w:rPr>
            </w:pPr>
            <w:r>
              <w:rPr>
                <w:rFonts w:hint="eastAsia"/>
                <w:color w:val="auto"/>
                <w:highlight w:val="none"/>
              </w:rPr>
              <w:t>审批机关：安徽省人民政府</w:t>
            </w:r>
            <w:r>
              <w:rPr>
                <w:rFonts w:hint="eastAsia"/>
                <w:color w:val="auto"/>
                <w:highlight w:val="none"/>
                <w:lang w:eastAsia="zh-CN"/>
              </w:rPr>
              <w:t>。</w:t>
            </w:r>
          </w:p>
          <w:p w14:paraId="16D2AFF1">
            <w:pPr>
              <w:bidi w:val="0"/>
              <w:rPr>
                <w:color w:val="auto"/>
                <w:highlight w:val="none"/>
              </w:rPr>
            </w:pPr>
            <w:r>
              <w:rPr>
                <w:rFonts w:hint="eastAsia"/>
                <w:color w:val="auto"/>
                <w:highlight w:val="none"/>
                <w:lang w:val="en-US" w:eastAsia="zh-CN"/>
              </w:rPr>
              <w:t>3、规划名称：《淮南市田家庵区安成镇（地区）总体规划（</w:t>
            </w:r>
            <w:r>
              <w:rPr>
                <w:rFonts w:hint="default"/>
                <w:color w:val="auto"/>
                <w:highlight w:val="none"/>
                <w:lang w:val="en-US" w:eastAsia="zh-CN"/>
              </w:rPr>
              <w:t>2010-2030</w:t>
            </w:r>
            <w:r>
              <w:rPr>
                <w:rFonts w:hint="eastAsia"/>
                <w:color w:val="auto"/>
                <w:highlight w:val="none"/>
                <w:lang w:val="en-US" w:eastAsia="zh-CN"/>
              </w:rPr>
              <w:t>年）》；</w:t>
            </w:r>
          </w:p>
          <w:p w14:paraId="5306C7F0">
            <w:pPr>
              <w:autoSpaceDE w:val="0"/>
              <w:autoSpaceDN w:val="0"/>
              <w:spacing w:line="324" w:lineRule="auto"/>
              <w:jc w:val="left"/>
              <w:rPr>
                <w:rFonts w:hint="eastAsia" w:hAnsi="宋体"/>
                <w:color w:val="auto"/>
                <w:sz w:val="24"/>
                <w:szCs w:val="24"/>
                <w:highlight w:val="none"/>
                <w:lang w:val="en-US" w:eastAsia="zh-CN"/>
              </w:rPr>
            </w:pPr>
            <w:r>
              <w:rPr>
                <w:rFonts w:hint="eastAsia"/>
                <w:color w:val="auto"/>
                <w:highlight w:val="none"/>
              </w:rPr>
              <w:t>审批机关：淮南市人民政府。</w:t>
            </w:r>
          </w:p>
        </w:tc>
      </w:tr>
      <w:tr w14:paraId="554D0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109" w:type="dxa"/>
            <w:vAlign w:val="center"/>
          </w:tcPr>
          <w:p w14:paraId="549B6AB0">
            <w:pPr>
              <w:adjustRightInd w:val="0"/>
              <w:snapToGrid w:val="0"/>
              <w:jc w:val="center"/>
              <w:rPr>
                <w:color w:val="auto"/>
                <w:highlight w:val="none"/>
              </w:rPr>
            </w:pPr>
            <w:r>
              <w:rPr>
                <w:color w:val="auto"/>
                <w:highlight w:val="none"/>
              </w:rPr>
              <w:t>规划环境影响评价情况</w:t>
            </w:r>
          </w:p>
        </w:tc>
        <w:tc>
          <w:tcPr>
            <w:tcW w:w="7344" w:type="dxa"/>
            <w:gridSpan w:val="4"/>
            <w:vAlign w:val="center"/>
          </w:tcPr>
          <w:p w14:paraId="52E41571">
            <w:pPr>
              <w:widowControl/>
              <w:rPr>
                <w:color w:val="auto"/>
                <w:kern w:val="0"/>
                <w:highlight w:val="none"/>
              </w:rPr>
            </w:pPr>
            <w:r>
              <w:rPr>
                <w:color w:val="auto"/>
                <w:sz w:val="24"/>
                <w:highlight w:val="none"/>
              </w:rPr>
              <w:t>无</w:t>
            </w:r>
          </w:p>
        </w:tc>
      </w:tr>
      <w:tr w14:paraId="50EB3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Align w:val="center"/>
          </w:tcPr>
          <w:p w14:paraId="464DC29F">
            <w:pPr>
              <w:jc w:val="center"/>
              <w:rPr>
                <w:color w:val="auto"/>
                <w:highlight w:val="none"/>
              </w:rPr>
            </w:pPr>
            <w:bookmarkStart w:id="11" w:name="OLE_LINK10"/>
            <w:r>
              <w:rPr>
                <w:color w:val="auto"/>
                <w:highlight w:val="none"/>
              </w:rPr>
              <w:t>规划及规划环境影响评价符合性分析</w:t>
            </w:r>
            <w:bookmarkEnd w:id="11"/>
          </w:p>
        </w:tc>
        <w:tc>
          <w:tcPr>
            <w:tcW w:w="7344" w:type="dxa"/>
            <w:gridSpan w:val="4"/>
            <w:vAlign w:val="center"/>
          </w:tcPr>
          <w:p w14:paraId="6A62D231">
            <w:pPr>
              <w:widowControl/>
              <w:jc w:val="left"/>
              <w:rPr>
                <w:rFonts w:hint="eastAsia"/>
                <w:b/>
                <w:bCs/>
                <w:color w:val="auto"/>
                <w:highlight w:val="none"/>
                <w:lang w:val="en-US" w:eastAsia="zh-CN"/>
              </w:rPr>
            </w:pPr>
            <w:r>
              <w:rPr>
                <w:rFonts w:hint="eastAsia"/>
                <w:b/>
                <w:color w:val="auto"/>
                <w:highlight w:val="none"/>
                <w:lang w:val="en-US" w:eastAsia="zh-CN"/>
              </w:rPr>
              <w:t>1</w:t>
            </w:r>
            <w:r>
              <w:rPr>
                <w:rFonts w:hint="eastAsia"/>
                <w:b/>
                <w:bCs/>
                <w:color w:val="auto"/>
                <w:highlight w:val="none"/>
              </w:rPr>
              <w:t>、</w:t>
            </w:r>
            <w:r>
              <w:rPr>
                <w:rFonts w:hint="eastAsia"/>
                <w:b/>
                <w:bCs/>
                <w:color w:val="auto"/>
                <w:highlight w:val="none"/>
                <w:lang w:val="en-US" w:eastAsia="zh-CN"/>
              </w:rPr>
              <w:t>与《淮南市田家庵区安成镇（地区）总体规划（</w:t>
            </w:r>
            <w:r>
              <w:rPr>
                <w:rFonts w:hint="default"/>
                <w:b/>
                <w:bCs/>
                <w:color w:val="auto"/>
                <w:highlight w:val="none"/>
                <w:lang w:val="en-US" w:eastAsia="zh-CN"/>
              </w:rPr>
              <w:t>2010-2030</w:t>
            </w:r>
            <w:r>
              <w:rPr>
                <w:rFonts w:hint="eastAsia"/>
                <w:b/>
                <w:bCs/>
                <w:color w:val="auto"/>
                <w:highlight w:val="none"/>
                <w:lang w:val="en-US" w:eastAsia="zh-CN"/>
              </w:rPr>
              <w:t>年）》相符性分析</w:t>
            </w:r>
          </w:p>
          <w:p w14:paraId="379AF7E1">
            <w:pPr>
              <w:widowControl/>
              <w:ind w:firstLine="480" w:firstLineChars="200"/>
              <w:jc w:val="both"/>
              <w:rPr>
                <w:rFonts w:hint="default"/>
                <w:color w:val="auto"/>
                <w:highlight w:val="none"/>
                <w:lang w:val="en-US"/>
              </w:rPr>
            </w:pPr>
            <w:r>
              <w:rPr>
                <w:rFonts w:hint="eastAsia"/>
                <w:color w:val="auto"/>
                <w:highlight w:val="none"/>
                <w:lang w:val="en-US" w:eastAsia="zh-CN"/>
              </w:rPr>
              <w:t>本项目位于淮南市安成镇淮潘公路南侧，安成镇行政区范围总面积</w:t>
            </w:r>
            <w:r>
              <w:rPr>
                <w:rFonts w:hint="default"/>
                <w:color w:val="auto"/>
                <w:highlight w:val="none"/>
                <w:lang w:val="en-US" w:eastAsia="zh-CN"/>
              </w:rPr>
              <w:t>40</w:t>
            </w:r>
            <w:r>
              <w:rPr>
                <w:rFonts w:hint="eastAsia"/>
                <w:color w:val="auto"/>
                <w:highlight w:val="none"/>
                <w:lang w:val="en-US" w:eastAsia="zh-CN"/>
              </w:rPr>
              <w:t>平方公里，是淮南市中心城区的主要组成部分，是产、学、研协调发展的园林式、生态型现代化城区。</w:t>
            </w:r>
            <w:r>
              <w:rPr>
                <w:rFonts w:hint="eastAsia"/>
                <w:color w:val="auto"/>
                <w:highlight w:val="none"/>
                <w:lang w:eastAsia="zh-CN"/>
              </w:rPr>
              <w:t>根据</w:t>
            </w:r>
            <w:r>
              <w:rPr>
                <w:rFonts w:hint="eastAsia"/>
                <w:color w:val="auto"/>
                <w:highlight w:val="none"/>
              </w:rPr>
              <w:t>《田家庵区淮潘路西侧T01-A1局部地块详细规划》</w:t>
            </w:r>
            <w:r>
              <w:rPr>
                <w:rFonts w:hint="eastAsia"/>
                <w:color w:val="auto"/>
                <w:highlight w:val="none"/>
                <w:lang w:val="en-US" w:eastAsia="zh-CN"/>
              </w:rPr>
              <w:t>（详见附图10）</w:t>
            </w:r>
            <w:r>
              <w:rPr>
                <w:rFonts w:hint="eastAsia"/>
                <w:color w:val="auto"/>
                <w:highlight w:val="none"/>
                <w:lang w:eastAsia="zh-CN"/>
              </w:rPr>
              <w:t>，</w:t>
            </w:r>
            <w:r>
              <w:rPr>
                <w:rFonts w:hint="eastAsia"/>
                <w:color w:val="auto"/>
                <w:highlight w:val="none"/>
                <w:lang w:val="en-US" w:eastAsia="zh-CN"/>
              </w:rPr>
              <w:t>项目所在地</w:t>
            </w:r>
            <w:r>
              <w:rPr>
                <w:rFonts w:hint="eastAsia"/>
                <w:color w:val="auto"/>
                <w:highlight w:val="none"/>
              </w:rPr>
              <w:t>块规划用地为</w:t>
            </w:r>
            <w:r>
              <w:rPr>
                <w:rFonts w:hint="eastAsia"/>
                <w:color w:val="auto"/>
                <w:highlight w:val="none"/>
                <w:lang w:eastAsia="zh-CN"/>
              </w:rPr>
              <w:t>交通场枢纽用地。本项目</w:t>
            </w:r>
            <w:r>
              <w:rPr>
                <w:rFonts w:hint="eastAsia"/>
                <w:color w:val="auto"/>
                <w:highlight w:val="none"/>
                <w:lang w:val="en-US" w:eastAsia="zh-CN"/>
              </w:rPr>
              <w:t>不占用基本农田，符合当地的总体规划。项目地块现状地类为农用地和建设用地，</w:t>
            </w:r>
            <w:r>
              <w:rPr>
                <w:rFonts w:hint="eastAsia"/>
                <w:color w:val="auto"/>
                <w:highlight w:val="none"/>
                <w:lang w:eastAsia="zh-CN"/>
              </w:rPr>
              <w:t>目前建设单位</w:t>
            </w:r>
            <w:r>
              <w:rPr>
                <w:rFonts w:hint="eastAsia"/>
                <w:color w:val="auto"/>
                <w:highlight w:val="none"/>
              </w:rPr>
              <w:t>正在</w:t>
            </w:r>
            <w:r>
              <w:rPr>
                <w:rFonts w:hint="eastAsia"/>
                <w:color w:val="auto"/>
                <w:highlight w:val="none"/>
                <w:lang w:eastAsia="zh-CN"/>
              </w:rPr>
              <w:t>办理建设用地审批，确保在项目开工建设前完成土地性质、土地权属相关手续流程（详见附件</w:t>
            </w:r>
            <w:r>
              <w:rPr>
                <w:rFonts w:hint="eastAsia"/>
                <w:color w:val="auto"/>
                <w:highlight w:val="none"/>
                <w:lang w:val="en-US" w:eastAsia="zh-CN"/>
              </w:rPr>
              <w:t>7</w:t>
            </w:r>
            <w:r>
              <w:rPr>
                <w:rFonts w:hint="eastAsia"/>
                <w:color w:val="auto"/>
                <w:highlight w:val="none"/>
                <w:lang w:eastAsia="zh-CN"/>
              </w:rPr>
              <w:t>）</w:t>
            </w:r>
            <w:r>
              <w:rPr>
                <w:rFonts w:hint="eastAsia"/>
                <w:color w:val="auto"/>
                <w:highlight w:val="none"/>
                <w:lang w:val="en-US" w:eastAsia="zh-CN"/>
              </w:rPr>
              <w:t>。</w:t>
            </w:r>
          </w:p>
          <w:p w14:paraId="0035C03E">
            <w:pPr>
              <w:widowControl/>
              <w:jc w:val="left"/>
              <w:rPr>
                <w:b/>
                <w:bCs/>
                <w:color w:val="auto"/>
                <w:highlight w:val="none"/>
              </w:rPr>
            </w:pPr>
            <w:r>
              <w:rPr>
                <w:rFonts w:hint="eastAsia"/>
                <w:b/>
                <w:bCs/>
                <w:color w:val="auto"/>
                <w:highlight w:val="none"/>
                <w:lang w:val="en-US" w:eastAsia="zh-CN"/>
              </w:rPr>
              <w:t>2、</w:t>
            </w:r>
            <w:r>
              <w:rPr>
                <w:rFonts w:hint="eastAsia"/>
                <w:b/>
                <w:bCs/>
                <w:color w:val="auto"/>
                <w:highlight w:val="none"/>
              </w:rPr>
              <w:t>与《淮南市国土空间总体规划（2021-2035年）》相符性分析</w:t>
            </w:r>
          </w:p>
          <w:p w14:paraId="0A9A18BB">
            <w:pPr>
              <w:bidi w:val="0"/>
              <w:ind w:firstLine="480" w:firstLineChars="200"/>
              <w:rPr>
                <w:color w:val="auto"/>
                <w:highlight w:val="none"/>
              </w:rPr>
            </w:pPr>
            <w:r>
              <w:rPr>
                <w:color w:val="auto"/>
                <w:highlight w:val="none"/>
              </w:rPr>
              <w:t>本项目</w:t>
            </w:r>
            <w:r>
              <w:rPr>
                <w:rFonts w:hint="eastAsia"/>
                <w:color w:val="auto"/>
                <w:highlight w:val="none"/>
              </w:rPr>
              <w:t>位于安徽省</w:t>
            </w:r>
            <w:r>
              <w:rPr>
                <w:rFonts w:hint="eastAsia"/>
                <w:color w:val="auto"/>
                <w:highlight w:val="none"/>
                <w:lang w:val="en-US" w:eastAsia="zh-CN"/>
              </w:rPr>
              <w:t>淮南市安成镇淮潘公路南侧</w:t>
            </w:r>
            <w:r>
              <w:rPr>
                <w:color w:val="auto"/>
                <w:highlight w:val="none"/>
              </w:rPr>
              <w:t>，</w:t>
            </w:r>
            <w:r>
              <w:rPr>
                <w:rFonts w:hint="eastAsia"/>
                <w:color w:val="auto"/>
                <w:highlight w:val="none"/>
                <w:lang w:val="en-US" w:eastAsia="zh-CN"/>
              </w:rPr>
              <w:t>根据《淮南市国土空间规划（</w:t>
            </w:r>
            <w:r>
              <w:rPr>
                <w:rFonts w:hint="default"/>
                <w:color w:val="auto"/>
                <w:highlight w:val="none"/>
                <w:lang w:val="en-US" w:eastAsia="zh-CN"/>
              </w:rPr>
              <w:t xml:space="preserve">2021-2035 </w:t>
            </w:r>
            <w:r>
              <w:rPr>
                <w:rFonts w:hint="eastAsia"/>
                <w:color w:val="auto"/>
                <w:highlight w:val="none"/>
                <w:lang w:val="en-US" w:eastAsia="zh-CN"/>
              </w:rPr>
              <w:t>年）》空间布局原则，以及对现状城区发展方向分析，安成镇中心镇区总体的发展框架为“</w:t>
            </w:r>
            <w:r>
              <w:rPr>
                <w:rFonts w:hint="default"/>
                <w:color w:val="auto"/>
                <w:highlight w:val="none"/>
                <w:lang w:val="en-US" w:eastAsia="zh-CN"/>
              </w:rPr>
              <w:t>1234</w:t>
            </w:r>
            <w:r>
              <w:rPr>
                <w:rFonts w:hint="eastAsia"/>
                <w:color w:val="auto"/>
                <w:highlight w:val="none"/>
                <w:lang w:val="en-US" w:eastAsia="zh-CN"/>
              </w:rPr>
              <w:t>”的空间结构。</w:t>
            </w:r>
          </w:p>
          <w:p w14:paraId="31305E00">
            <w:pPr>
              <w:bidi w:val="0"/>
              <w:ind w:firstLine="480" w:firstLineChars="200"/>
              <w:rPr>
                <w:color w:val="auto"/>
                <w:highlight w:val="none"/>
              </w:rPr>
            </w:pPr>
            <w:r>
              <w:rPr>
                <w:rFonts w:hint="eastAsia"/>
                <w:color w:val="auto"/>
                <w:highlight w:val="none"/>
                <w:lang w:val="en-US" w:eastAsia="zh-CN"/>
              </w:rPr>
              <w:t>规划范围：淮南市行政辖区范围，包括五区两县。即田家庵区、大通区、谢家集区、八公山区、潘集区、寿县、凤台县（含毛集实验区）。市域开发保护总体格局一轴、两带、四板块。</w:t>
            </w:r>
          </w:p>
          <w:p w14:paraId="5E4A784F">
            <w:pPr>
              <w:bidi w:val="0"/>
              <w:ind w:firstLine="480" w:firstLineChars="200"/>
              <w:rPr>
                <w:color w:val="auto"/>
                <w:highlight w:val="none"/>
              </w:rPr>
            </w:pPr>
            <w:r>
              <w:rPr>
                <w:rFonts w:hint="eastAsia"/>
                <w:color w:val="auto"/>
                <w:highlight w:val="none"/>
                <w:lang w:val="en-US" w:eastAsia="zh-CN"/>
              </w:rPr>
              <w:t>一轴：合淮蚌发展轴；两带：沿淮绿色发展带、江淮运河生态复合廊带；四板块：北部粮煤复合功能板块、中部城镇集中建设板块、南部现代农业与特色旅游功能板块、新桥临空板块。</w:t>
            </w:r>
          </w:p>
          <w:p w14:paraId="151B3B8E">
            <w:pPr>
              <w:bidi w:val="0"/>
              <w:ind w:firstLine="480" w:firstLineChars="200"/>
              <w:rPr>
                <w:color w:val="auto"/>
                <w:highlight w:val="none"/>
              </w:rPr>
            </w:pPr>
            <w:r>
              <w:rPr>
                <w:rFonts w:hint="eastAsia"/>
                <w:color w:val="auto"/>
                <w:highlight w:val="none"/>
                <w:lang w:val="en-US" w:eastAsia="zh-CN"/>
              </w:rPr>
              <w:t>本项目位于淮南市中部城镇集中建设板块，占地类型为交通场枢纽用地，不占用耕地，符合《淮南市国土空间规划（</w:t>
            </w:r>
            <w:r>
              <w:rPr>
                <w:rFonts w:hint="default"/>
                <w:color w:val="auto"/>
                <w:highlight w:val="none"/>
                <w:lang w:val="en-US" w:eastAsia="zh-CN"/>
              </w:rPr>
              <w:t>2021-2035</w:t>
            </w:r>
            <w:r>
              <w:rPr>
                <w:rFonts w:hint="eastAsia"/>
                <w:color w:val="auto"/>
                <w:highlight w:val="none"/>
                <w:lang w:val="en-US" w:eastAsia="zh-CN"/>
              </w:rPr>
              <w:t>年）》。</w:t>
            </w:r>
          </w:p>
          <w:p w14:paraId="406F6C31">
            <w:pPr>
              <w:widowControl/>
              <w:jc w:val="left"/>
              <w:rPr>
                <w:b/>
                <w:bCs/>
                <w:color w:val="auto"/>
                <w:highlight w:val="none"/>
              </w:rPr>
            </w:pPr>
            <w:r>
              <w:rPr>
                <w:rFonts w:hint="eastAsia"/>
                <w:b/>
                <w:bCs/>
                <w:color w:val="auto"/>
                <w:highlight w:val="none"/>
                <w:lang w:val="en-US" w:eastAsia="zh-CN"/>
              </w:rPr>
              <w:t>3、</w:t>
            </w:r>
            <w:r>
              <w:rPr>
                <w:rFonts w:hint="eastAsia"/>
                <w:b/>
                <w:bCs/>
                <w:color w:val="auto"/>
                <w:highlight w:val="none"/>
              </w:rPr>
              <w:t>与《淮南市城市综合交通驿站国土空间专项规划（2023-2035年）》相符性分析</w:t>
            </w:r>
          </w:p>
          <w:p w14:paraId="710F3357">
            <w:pPr>
              <w:bidi w:val="0"/>
              <w:ind w:firstLine="480" w:firstLineChars="200"/>
              <w:rPr>
                <w:rFonts w:hint="eastAsia"/>
                <w:color w:val="auto"/>
                <w:highlight w:val="none"/>
              </w:rPr>
            </w:pPr>
            <w:r>
              <w:rPr>
                <w:rFonts w:hint="eastAsia"/>
                <w:color w:val="auto"/>
                <w:highlight w:val="none"/>
              </w:rPr>
              <w:t>本项目主要建设1座智慧货运维修中心、1座智慧货运服务中心、1座内部综合能源站及停车场，停车场设置货车停车位约245个</w:t>
            </w:r>
            <w:r>
              <w:rPr>
                <w:rFonts w:hint="eastAsia"/>
                <w:color w:val="auto"/>
                <w:highlight w:val="none"/>
                <w:lang w:eastAsia="zh-CN"/>
              </w:rPr>
              <w:t>（</w:t>
            </w:r>
            <w:r>
              <w:rPr>
                <w:rFonts w:hint="eastAsia"/>
                <w:color w:val="auto"/>
                <w:highlight w:val="none"/>
              </w:rPr>
              <w:t>大货车停车位约124个、中货车停车位约73个、小货车停车位约48个</w:t>
            </w:r>
            <w:r>
              <w:rPr>
                <w:rFonts w:hint="eastAsia"/>
                <w:color w:val="auto"/>
                <w:highlight w:val="none"/>
                <w:lang w:eastAsia="zh-CN"/>
              </w:rPr>
              <w:t>）</w:t>
            </w:r>
            <w:r>
              <w:rPr>
                <w:rFonts w:hint="eastAsia"/>
                <w:color w:val="auto"/>
                <w:highlight w:val="none"/>
              </w:rPr>
              <w:t>、小汽车停车位约26个</w:t>
            </w:r>
            <w:r>
              <w:rPr>
                <w:rFonts w:hint="eastAsia"/>
                <w:color w:val="auto"/>
                <w:highlight w:val="none"/>
                <w:lang w:eastAsia="zh-CN"/>
              </w:rPr>
              <w:t>，</w:t>
            </w:r>
            <w:r>
              <w:rPr>
                <w:rFonts w:hint="eastAsia"/>
                <w:color w:val="auto"/>
                <w:highlight w:val="none"/>
              </w:rPr>
              <w:t>以及配套建设公用工程及附属设施。根据《淮南市城市综合交通驿站国土空间专项规划（2023-2035年）》，规划在淮潘公路与003乡道交口西南侧建设</w:t>
            </w:r>
            <w:r>
              <w:rPr>
                <w:rFonts w:hint="eastAsia"/>
                <w:color w:val="auto"/>
                <w:highlight w:val="none"/>
                <w:lang w:eastAsia="zh-CN"/>
              </w:rPr>
              <w:t>安成</w:t>
            </w:r>
            <w:r>
              <w:rPr>
                <w:rFonts w:hint="eastAsia"/>
                <w:color w:val="auto"/>
                <w:highlight w:val="none"/>
              </w:rPr>
              <w:t>综合交通驿站</w:t>
            </w:r>
            <w:r>
              <w:rPr>
                <w:rFonts w:hint="eastAsia"/>
                <w:color w:val="auto"/>
                <w:highlight w:val="none"/>
                <w:lang w:eastAsia="zh-CN"/>
              </w:rPr>
              <w:t>（点位</w:t>
            </w:r>
            <w:r>
              <w:rPr>
                <w:rFonts w:hint="eastAsia"/>
                <w:color w:val="auto"/>
                <w:highlight w:val="none"/>
                <w:lang w:val="en-US" w:eastAsia="zh-CN"/>
              </w:rPr>
              <w:t>13</w:t>
            </w:r>
            <w:r>
              <w:rPr>
                <w:rFonts w:hint="eastAsia"/>
                <w:color w:val="auto"/>
                <w:highlight w:val="none"/>
                <w:lang w:eastAsia="zh-CN"/>
              </w:rPr>
              <w:t>），详见下图</w:t>
            </w:r>
            <w:r>
              <w:rPr>
                <w:rFonts w:hint="eastAsia"/>
                <w:color w:val="auto"/>
                <w:highlight w:val="none"/>
                <w:lang w:val="en-US" w:eastAsia="zh-CN"/>
              </w:rPr>
              <w:t>1-1综合交通驿站规划布局总图</w:t>
            </w:r>
            <w:r>
              <w:rPr>
                <w:rFonts w:hint="eastAsia"/>
                <w:color w:val="auto"/>
                <w:highlight w:val="none"/>
              </w:rPr>
              <w:t>。《淮南市城市综合交通驿站国土空间专项规划（2023-2035年）》已于2024年9月2日取得相关批复文件。详见附</w:t>
            </w:r>
            <w:r>
              <w:rPr>
                <w:rFonts w:hint="eastAsia"/>
                <w:color w:val="auto"/>
                <w:highlight w:val="none"/>
                <w:lang w:eastAsia="zh-CN"/>
              </w:rPr>
              <w:t>件</w:t>
            </w:r>
            <w:r>
              <w:rPr>
                <w:rFonts w:hint="eastAsia"/>
                <w:color w:val="auto"/>
                <w:highlight w:val="none"/>
                <w:lang w:val="en-US" w:eastAsia="zh-CN"/>
              </w:rPr>
              <w:t>5</w:t>
            </w:r>
            <w:r>
              <w:rPr>
                <w:rFonts w:hint="eastAsia"/>
                <w:color w:val="auto"/>
                <w:highlight w:val="none"/>
              </w:rPr>
              <w:t>。</w:t>
            </w:r>
          </w:p>
          <w:p w14:paraId="00F034D8">
            <w:pPr>
              <w:bidi w:val="0"/>
              <w:rPr>
                <w:color w:val="auto"/>
                <w:highlight w:val="none"/>
              </w:rPr>
            </w:pPr>
            <w:r>
              <w:rPr>
                <w:color w:val="auto"/>
                <w:highlight w:val="none"/>
              </w:rPr>
              <w:drawing>
                <wp:inline distT="0" distB="0" distL="114300" distR="114300">
                  <wp:extent cx="4524375" cy="3275965"/>
                  <wp:effectExtent l="0" t="0" r="9525" b="6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5"/>
                          <a:stretch>
                            <a:fillRect/>
                          </a:stretch>
                        </pic:blipFill>
                        <pic:spPr>
                          <a:xfrm>
                            <a:off x="0" y="0"/>
                            <a:ext cx="4524375" cy="3275965"/>
                          </a:xfrm>
                          <a:prstGeom prst="rect">
                            <a:avLst/>
                          </a:prstGeom>
                          <a:noFill/>
                          <a:ln>
                            <a:noFill/>
                          </a:ln>
                        </pic:spPr>
                      </pic:pic>
                    </a:graphicData>
                  </a:graphic>
                </wp:inline>
              </w:drawing>
            </w:r>
          </w:p>
          <w:p w14:paraId="087BE0F6">
            <w:pPr>
              <w:pStyle w:val="6"/>
              <w:bidi w:val="0"/>
              <w:rPr>
                <w:rFonts w:hint="eastAsia" w:eastAsia="宋体"/>
                <w:color w:val="auto"/>
                <w:highlight w:val="none"/>
                <w:lang w:val="en-US" w:eastAsia="zh-CN"/>
              </w:rPr>
            </w:pPr>
            <w:r>
              <w:rPr>
                <w:color w:val="auto"/>
                <w:highlight w:val="none"/>
              </w:rPr>
              <w:t xml:space="preserve">图 </w:t>
            </w:r>
            <w:r>
              <w:rPr>
                <w:rFonts w:hint="eastAsia"/>
                <w:color w:val="auto"/>
                <w:highlight w:val="none"/>
                <w:lang w:val="en-US" w:eastAsia="zh-CN"/>
              </w:rPr>
              <w:t>1</w:t>
            </w:r>
            <w:r>
              <w:rPr>
                <w:rFonts w:hint="eastAsia"/>
                <w:color w:val="auto"/>
                <w:highlight w:val="none"/>
                <w:lang w:eastAsia="zh-CN"/>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综合交通驿站规划布局总图</w:t>
            </w:r>
          </w:p>
          <w:p w14:paraId="79FC5238">
            <w:pPr>
              <w:bidi w:val="0"/>
              <w:ind w:firstLine="480" w:firstLineChars="200"/>
              <w:rPr>
                <w:rFonts w:hint="eastAsia"/>
                <w:b/>
                <w:bCs/>
                <w:color w:val="auto"/>
                <w:highlight w:val="none"/>
                <w:lang w:val="en-US" w:eastAsia="zh-CN"/>
              </w:rPr>
            </w:pPr>
            <w:r>
              <w:rPr>
                <w:rFonts w:hint="eastAsia"/>
                <w:color w:val="auto"/>
                <w:highlight w:val="none"/>
              </w:rPr>
              <w:t>因此，本项目建设符合《淮南市城市综合交通驿站国土空间专项规划（2023-2025年）》及其批复的相关要求。</w:t>
            </w:r>
          </w:p>
        </w:tc>
      </w:tr>
      <w:tr w14:paraId="35441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4" w:hRule="atLeast"/>
          <w:jc w:val="center"/>
        </w:trPr>
        <w:tc>
          <w:tcPr>
            <w:tcW w:w="1109" w:type="dxa"/>
            <w:vAlign w:val="center"/>
          </w:tcPr>
          <w:p w14:paraId="40BCE9D0">
            <w:pPr>
              <w:jc w:val="center"/>
              <w:rPr>
                <w:color w:val="auto"/>
                <w:highlight w:val="none"/>
              </w:rPr>
            </w:pPr>
            <w:r>
              <w:rPr>
                <w:rFonts w:hint="eastAsia"/>
                <w:color w:val="auto"/>
                <w:highlight w:val="none"/>
              </w:rPr>
              <w:t>其他符合性分析</w:t>
            </w:r>
          </w:p>
        </w:tc>
        <w:tc>
          <w:tcPr>
            <w:tcW w:w="7344" w:type="dxa"/>
            <w:gridSpan w:val="4"/>
            <w:vAlign w:val="center"/>
          </w:tcPr>
          <w:p w14:paraId="59FB79B8">
            <w:pPr>
              <w:rPr>
                <w:b/>
                <w:bCs/>
                <w:color w:val="auto"/>
                <w:highlight w:val="none"/>
              </w:rPr>
            </w:pPr>
            <w:r>
              <w:rPr>
                <w:rFonts w:hint="eastAsia"/>
                <w:b/>
                <w:bCs/>
                <w:color w:val="auto"/>
                <w:highlight w:val="none"/>
              </w:rPr>
              <w:t>1、产业政策符合性分析</w:t>
            </w:r>
          </w:p>
          <w:p w14:paraId="2B1B13AC">
            <w:pPr>
              <w:widowControl/>
              <w:ind w:firstLine="480" w:firstLineChars="200"/>
              <w:jc w:val="both"/>
              <w:rPr>
                <w:color w:val="auto"/>
                <w:highlight w:val="none"/>
              </w:rPr>
            </w:pPr>
            <w:r>
              <w:rPr>
                <w:rFonts w:hint="eastAsia" w:ascii="宋体" w:hAnsi="宋体" w:cs="宋体"/>
                <w:color w:val="auto"/>
                <w:kern w:val="0"/>
                <w:highlight w:val="none"/>
                <w:lang w:bidi="ar"/>
              </w:rPr>
              <w:t>本项目属</w:t>
            </w:r>
            <w:r>
              <w:rPr>
                <w:rFonts w:hint="eastAsia"/>
                <w:color w:val="auto"/>
                <w:highlight w:val="none"/>
              </w:rPr>
              <w:t>于G5449其他道路运输和辅助活动及F5265机动车燃油零售，对照国家发改委</w:t>
            </w:r>
            <w:r>
              <w:rPr>
                <w:rFonts w:hint="eastAsia" w:ascii="宋体" w:hAnsi="宋体" w:cs="宋体"/>
                <w:color w:val="auto"/>
                <w:kern w:val="0"/>
                <w:highlight w:val="none"/>
                <w:lang w:bidi="ar"/>
              </w:rPr>
              <w:t>《产业结构调整指导目录（</w:t>
            </w:r>
            <w:r>
              <w:rPr>
                <w:color w:val="auto"/>
                <w:kern w:val="0"/>
                <w:highlight w:val="none"/>
                <w:lang w:bidi="ar"/>
              </w:rPr>
              <w:t>2024</w:t>
            </w:r>
            <w:r>
              <w:rPr>
                <w:rFonts w:hint="eastAsia" w:ascii="宋体" w:hAnsi="宋体" w:cs="宋体"/>
                <w:color w:val="auto"/>
                <w:kern w:val="0"/>
                <w:highlight w:val="none"/>
                <w:lang w:bidi="ar"/>
              </w:rPr>
              <w:t>年本）》，本项目不属于限制类或淘汰类项目，</w:t>
            </w:r>
            <w:r>
              <w:rPr>
                <w:rFonts w:hint="eastAsia" w:ascii="宋体" w:hAnsi="宋体" w:cs="宋体"/>
                <w:color w:val="auto"/>
                <w:kern w:val="0"/>
                <w:highlight w:val="none"/>
                <w:lang w:val="en-US" w:eastAsia="zh-CN" w:bidi="ar"/>
              </w:rPr>
              <w:t>可</w:t>
            </w:r>
            <w:r>
              <w:rPr>
                <w:rFonts w:hint="eastAsia" w:ascii="宋体" w:hAnsi="宋体" w:cs="宋体"/>
                <w:color w:val="auto"/>
                <w:kern w:val="0"/>
                <w:highlight w:val="none"/>
                <w:lang w:bidi="ar"/>
              </w:rPr>
              <w:t>视为允许</w:t>
            </w:r>
            <w:r>
              <w:rPr>
                <w:rFonts w:hint="eastAsia" w:ascii="宋体" w:hAnsi="宋体" w:cs="宋体"/>
                <w:color w:val="auto"/>
                <w:kern w:val="0"/>
                <w:highlight w:val="none"/>
                <w:lang w:val="en-US" w:eastAsia="zh-CN" w:bidi="ar"/>
              </w:rPr>
              <w:t>类</w:t>
            </w:r>
            <w:r>
              <w:rPr>
                <w:rFonts w:hint="eastAsia" w:ascii="宋体" w:hAnsi="宋体" w:cs="宋体"/>
                <w:color w:val="auto"/>
                <w:kern w:val="0"/>
                <w:highlight w:val="none"/>
                <w:lang w:bidi="ar"/>
              </w:rPr>
              <w:t>建设项目。同时，项目已取得了</w:t>
            </w:r>
            <w:r>
              <w:rPr>
                <w:rFonts w:hint="eastAsia" w:ascii="宋体" w:hAnsi="宋体" w:cs="宋体"/>
                <w:color w:val="auto"/>
                <w:kern w:val="0"/>
                <w:highlight w:val="none"/>
                <w:lang w:eastAsia="zh-CN" w:bidi="ar"/>
              </w:rPr>
              <w:t>淮南市发展和改革委员会</w:t>
            </w:r>
            <w:r>
              <w:rPr>
                <w:rFonts w:hint="eastAsia" w:ascii="宋体" w:hAnsi="宋体" w:cs="宋体"/>
                <w:color w:val="auto"/>
                <w:kern w:val="0"/>
                <w:highlight w:val="none"/>
                <w:lang w:bidi="ar"/>
              </w:rPr>
              <w:t>出具的备案文件，项目代码为</w:t>
            </w:r>
            <w:r>
              <w:rPr>
                <w:rFonts w:hint="eastAsia"/>
                <w:color w:val="auto"/>
                <w:highlight w:val="none"/>
                <w:lang w:eastAsia="zh-CN"/>
              </w:rPr>
              <w:t>2504-340400-04-01-677087</w:t>
            </w:r>
            <w:r>
              <w:rPr>
                <w:rFonts w:hint="eastAsia" w:ascii="宋体" w:hAnsi="宋体" w:cs="宋体"/>
                <w:color w:val="auto"/>
                <w:kern w:val="0"/>
                <w:highlight w:val="none"/>
                <w:lang w:bidi="ar"/>
              </w:rPr>
              <w:t>。因此，本项目建设符合国家产业政策要求。</w:t>
            </w:r>
          </w:p>
          <w:p w14:paraId="02C29726">
            <w:pPr>
              <w:rPr>
                <w:b/>
                <w:bCs/>
                <w:color w:val="auto"/>
                <w:highlight w:val="none"/>
              </w:rPr>
            </w:pPr>
            <w:r>
              <w:rPr>
                <w:rFonts w:hint="eastAsia"/>
                <w:b/>
                <w:bCs/>
                <w:color w:val="auto"/>
                <w:highlight w:val="none"/>
              </w:rPr>
              <w:t>2、与《安徽省淮河流域水污染防治条例》相符性分析</w:t>
            </w:r>
          </w:p>
          <w:p w14:paraId="2A5E111A">
            <w:pPr>
              <w:ind w:firstLine="480" w:firstLineChars="200"/>
              <w:rPr>
                <w:color w:val="auto"/>
                <w:highlight w:val="none"/>
              </w:rPr>
            </w:pPr>
            <w:r>
              <w:rPr>
                <w:color w:val="auto"/>
                <w:highlight w:val="none"/>
              </w:rPr>
              <w:t>对照《安徽省淮河流域水污染防治条例》（安徽省第十三届人民代表大会常务委员会第六次会议修订，2019.1.1），项目符合性分析见下表：</w:t>
            </w:r>
          </w:p>
          <w:p w14:paraId="0E521923">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 xml:space="preserve"> </w:t>
            </w:r>
            <w:r>
              <w:rPr>
                <w:color w:val="auto"/>
                <w:highlight w:val="none"/>
              </w:rPr>
              <w:t>与《安徽省淮河流域水污染防治条例》相符性分析</w:t>
            </w:r>
          </w:p>
          <w:tbl>
            <w:tblPr>
              <w:tblStyle w:val="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773"/>
              <w:gridCol w:w="2109"/>
              <w:gridCol w:w="1450"/>
            </w:tblGrid>
            <w:tr w14:paraId="1941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14:paraId="5D993EA5">
                  <w:pPr>
                    <w:pStyle w:val="30"/>
                    <w:rPr>
                      <w:color w:val="auto"/>
                      <w:highlight w:val="none"/>
                    </w:rPr>
                  </w:pPr>
                  <w:r>
                    <w:rPr>
                      <w:rFonts w:hint="eastAsia"/>
                      <w:color w:val="auto"/>
                      <w:highlight w:val="none"/>
                    </w:rPr>
                    <w:t>序号</w:t>
                  </w:r>
                </w:p>
              </w:tc>
              <w:tc>
                <w:tcPr>
                  <w:tcW w:w="2773" w:type="dxa"/>
                  <w:vAlign w:val="center"/>
                </w:tcPr>
                <w:p w14:paraId="741E45F1">
                  <w:pPr>
                    <w:pStyle w:val="30"/>
                    <w:rPr>
                      <w:color w:val="auto"/>
                      <w:highlight w:val="none"/>
                    </w:rPr>
                  </w:pPr>
                  <w:r>
                    <w:rPr>
                      <w:rFonts w:hint="eastAsia"/>
                      <w:color w:val="auto"/>
                      <w:highlight w:val="none"/>
                    </w:rPr>
                    <w:t>措施内容</w:t>
                  </w:r>
                </w:p>
              </w:tc>
              <w:tc>
                <w:tcPr>
                  <w:tcW w:w="2109" w:type="dxa"/>
                  <w:vAlign w:val="center"/>
                </w:tcPr>
                <w:p w14:paraId="7935A201">
                  <w:pPr>
                    <w:pStyle w:val="30"/>
                    <w:rPr>
                      <w:color w:val="auto"/>
                      <w:highlight w:val="none"/>
                    </w:rPr>
                  </w:pPr>
                  <w:r>
                    <w:rPr>
                      <w:rFonts w:hint="eastAsia"/>
                      <w:color w:val="auto"/>
                      <w:highlight w:val="none"/>
                    </w:rPr>
                    <w:t>本项目措施</w:t>
                  </w:r>
                </w:p>
              </w:tc>
              <w:tc>
                <w:tcPr>
                  <w:tcW w:w="1450" w:type="dxa"/>
                  <w:vAlign w:val="center"/>
                </w:tcPr>
                <w:p w14:paraId="24D457AF">
                  <w:pPr>
                    <w:pStyle w:val="30"/>
                    <w:rPr>
                      <w:color w:val="auto"/>
                      <w:highlight w:val="none"/>
                    </w:rPr>
                  </w:pPr>
                  <w:r>
                    <w:rPr>
                      <w:rFonts w:hint="eastAsia"/>
                      <w:color w:val="auto"/>
                      <w:highlight w:val="none"/>
                    </w:rPr>
                    <w:t>相符性</w:t>
                  </w:r>
                </w:p>
              </w:tc>
            </w:tr>
            <w:tr w14:paraId="6A87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14:paraId="3275716E">
                  <w:pPr>
                    <w:pStyle w:val="30"/>
                    <w:rPr>
                      <w:color w:val="auto"/>
                      <w:highlight w:val="none"/>
                    </w:rPr>
                  </w:pPr>
                  <w:r>
                    <w:rPr>
                      <w:rFonts w:hint="eastAsia"/>
                      <w:color w:val="auto"/>
                      <w:highlight w:val="none"/>
                    </w:rPr>
                    <w:t>1</w:t>
                  </w:r>
                </w:p>
              </w:tc>
              <w:tc>
                <w:tcPr>
                  <w:tcW w:w="2773" w:type="dxa"/>
                </w:tcPr>
                <w:p w14:paraId="74EF0553">
                  <w:pPr>
                    <w:pStyle w:val="30"/>
                    <w:jc w:val="both"/>
                    <w:rPr>
                      <w:color w:val="auto"/>
                      <w:highlight w:val="none"/>
                    </w:rPr>
                  </w:pPr>
                  <w:r>
                    <w:rPr>
                      <w:rFonts w:hint="eastAsia"/>
                      <w:color w:val="auto"/>
                      <w:highlight w:val="none"/>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2109" w:type="dxa"/>
                  <w:vAlign w:val="center"/>
                </w:tcPr>
                <w:p w14:paraId="63A0EBD6">
                  <w:pPr>
                    <w:pStyle w:val="30"/>
                    <w:jc w:val="both"/>
                    <w:rPr>
                      <w:color w:val="auto"/>
                      <w:highlight w:val="none"/>
                    </w:rPr>
                  </w:pPr>
                  <w:r>
                    <w:rPr>
                      <w:rFonts w:hint="eastAsia"/>
                      <w:color w:val="auto"/>
                      <w:highlight w:val="none"/>
                    </w:rPr>
                    <w:t>本项目主要建设</w:t>
                  </w:r>
                  <w:r>
                    <w:rPr>
                      <w:rFonts w:hint="eastAsia"/>
                      <w:color w:val="auto"/>
                      <w:highlight w:val="none"/>
                      <w:lang w:eastAsia="zh-CN"/>
                    </w:rPr>
                    <w:t>安成城市综合交通驿站项目</w:t>
                  </w:r>
                  <w:r>
                    <w:rPr>
                      <w:rFonts w:hint="eastAsia"/>
                      <w:color w:val="auto"/>
                      <w:highlight w:val="none"/>
                    </w:rPr>
                    <w:t>，不属于印染、制革、化工、电镀、酿造等污染严重的</w:t>
                  </w:r>
                  <w:r>
                    <w:rPr>
                      <w:rFonts w:hint="eastAsia"/>
                      <w:color w:val="auto"/>
                      <w:highlight w:val="none"/>
                      <w:lang w:eastAsia="zh-CN"/>
                    </w:rPr>
                    <w:t>项目</w:t>
                  </w:r>
                  <w:r>
                    <w:rPr>
                      <w:rFonts w:hint="eastAsia"/>
                      <w:color w:val="auto"/>
                      <w:highlight w:val="none"/>
                    </w:rPr>
                    <w:t>。项目已取得</w:t>
                  </w:r>
                  <w:r>
                    <w:rPr>
                      <w:rFonts w:hint="eastAsia"/>
                      <w:color w:val="auto"/>
                      <w:highlight w:val="none"/>
                      <w:lang w:eastAsia="zh-CN"/>
                    </w:rPr>
                    <w:t>淮南市发展和改革委员会</w:t>
                  </w:r>
                  <w:r>
                    <w:rPr>
                      <w:rFonts w:hint="eastAsia"/>
                      <w:color w:val="auto"/>
                      <w:highlight w:val="none"/>
                    </w:rPr>
                    <w:t>备案。</w:t>
                  </w:r>
                </w:p>
              </w:tc>
              <w:tc>
                <w:tcPr>
                  <w:tcW w:w="1450" w:type="dxa"/>
                  <w:vAlign w:val="center"/>
                </w:tcPr>
                <w:p w14:paraId="50BFB568">
                  <w:pPr>
                    <w:pStyle w:val="30"/>
                    <w:rPr>
                      <w:color w:val="auto"/>
                      <w:highlight w:val="none"/>
                    </w:rPr>
                  </w:pPr>
                  <w:r>
                    <w:rPr>
                      <w:rFonts w:hint="eastAsia"/>
                      <w:color w:val="auto"/>
                      <w:highlight w:val="none"/>
                    </w:rPr>
                    <w:t>符合</w:t>
                  </w:r>
                </w:p>
              </w:tc>
            </w:tr>
            <w:tr w14:paraId="27F0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vAlign w:val="center"/>
                </w:tcPr>
                <w:p w14:paraId="337F53AF">
                  <w:pPr>
                    <w:pStyle w:val="30"/>
                    <w:rPr>
                      <w:color w:val="auto"/>
                      <w:highlight w:val="none"/>
                    </w:rPr>
                  </w:pPr>
                  <w:r>
                    <w:rPr>
                      <w:rFonts w:hint="eastAsia"/>
                      <w:color w:val="auto"/>
                      <w:highlight w:val="none"/>
                    </w:rPr>
                    <w:t>2</w:t>
                  </w:r>
                </w:p>
              </w:tc>
              <w:tc>
                <w:tcPr>
                  <w:tcW w:w="2773" w:type="dxa"/>
                  <w:vAlign w:val="center"/>
                </w:tcPr>
                <w:p w14:paraId="13A6FE48">
                  <w:pPr>
                    <w:pStyle w:val="30"/>
                    <w:jc w:val="both"/>
                    <w:rPr>
                      <w:color w:val="auto"/>
                      <w:highlight w:val="none"/>
                    </w:rPr>
                  </w:pPr>
                  <w:r>
                    <w:rPr>
                      <w:rFonts w:hint="eastAsia"/>
                      <w:color w:val="auto"/>
                      <w:highlight w:val="none"/>
                    </w:rPr>
                    <w:t>在淮河流域城市公共排水设施覆盖区域内，应当实行雨水、污水分流；排水户应当将雨水、污水分别排入公共雨水、污水管网及其附属设施</w:t>
                  </w:r>
                </w:p>
              </w:tc>
              <w:tc>
                <w:tcPr>
                  <w:tcW w:w="2109" w:type="dxa"/>
                  <w:vAlign w:val="center"/>
                </w:tcPr>
                <w:p w14:paraId="2A1A5755">
                  <w:pPr>
                    <w:pStyle w:val="30"/>
                    <w:jc w:val="both"/>
                    <w:rPr>
                      <w:color w:val="auto"/>
                      <w:highlight w:val="none"/>
                    </w:rPr>
                  </w:pPr>
                  <w:r>
                    <w:rPr>
                      <w:rFonts w:hint="eastAsia"/>
                      <w:color w:val="auto"/>
                      <w:highlight w:val="none"/>
                    </w:rPr>
                    <w:t>项目实行雨污分流，雨水流入雨水管网；</w:t>
                  </w:r>
                  <w:r>
                    <w:rPr>
                      <w:rFonts w:hint="eastAsia"/>
                      <w:color w:val="auto"/>
                      <w:highlight w:val="none"/>
                      <w:lang w:eastAsia="zh-CN"/>
                    </w:rPr>
                    <w:t>西侧地块</w:t>
                  </w:r>
                  <w:r>
                    <w:rPr>
                      <w:rFonts w:hint="eastAsia"/>
                      <w:color w:val="auto"/>
                      <w:highlight w:val="none"/>
                    </w:rPr>
                    <w:t>生活污水</w:t>
                  </w:r>
                  <w:r>
                    <w:rPr>
                      <w:rFonts w:hint="eastAsia"/>
                      <w:color w:val="auto"/>
                      <w:highlight w:val="none"/>
                      <w:lang w:eastAsia="zh-CN"/>
                    </w:rPr>
                    <w:t>（含餐饮废水）</w:t>
                  </w:r>
                  <w:r>
                    <w:rPr>
                      <w:rFonts w:hint="eastAsia"/>
                      <w:color w:val="auto"/>
                      <w:highlight w:val="none"/>
                    </w:rPr>
                    <w:t>经化粪池处理后排入市政污水管网，维修中心洗车废水、地面冲洗废水经</w:t>
                  </w:r>
                  <w:r>
                    <w:rPr>
                      <w:rFonts w:hint="eastAsia"/>
                      <w:color w:val="auto"/>
                      <w:highlight w:val="none"/>
                      <w:lang w:eastAsia="zh-CN"/>
                    </w:rPr>
                    <w:t>隔油池和沉淀池</w:t>
                  </w:r>
                  <w:r>
                    <w:rPr>
                      <w:rFonts w:hint="eastAsia"/>
                      <w:color w:val="auto"/>
                      <w:highlight w:val="none"/>
                    </w:rPr>
                    <w:t>处理达接管标准后经</w:t>
                  </w:r>
                  <w:r>
                    <w:rPr>
                      <w:rFonts w:hint="eastAsia"/>
                      <w:color w:val="auto"/>
                      <w:highlight w:val="none"/>
                      <w:lang w:eastAsia="zh-CN"/>
                    </w:rPr>
                    <w:t>西侧地块废水排口（</w:t>
                  </w:r>
                  <w:r>
                    <w:rPr>
                      <w:rFonts w:hint="eastAsia"/>
                      <w:color w:val="auto"/>
                      <w:highlight w:val="none"/>
                      <w:lang w:val="en-US" w:eastAsia="zh-CN"/>
                    </w:rPr>
                    <w:t>DW001</w:t>
                  </w:r>
                  <w:r>
                    <w:rPr>
                      <w:rFonts w:hint="eastAsia"/>
                      <w:color w:val="auto"/>
                      <w:highlight w:val="none"/>
                      <w:lang w:eastAsia="zh-CN"/>
                    </w:rPr>
                    <w:t>）接入</w:t>
                  </w:r>
                  <w:r>
                    <w:rPr>
                      <w:rFonts w:hint="eastAsia"/>
                      <w:color w:val="auto"/>
                      <w:highlight w:val="none"/>
                    </w:rPr>
                    <w:t>市政污水管网排入</w:t>
                  </w:r>
                  <w:r>
                    <w:rPr>
                      <w:rFonts w:hint="eastAsia"/>
                      <w:color w:val="auto"/>
                      <w:highlight w:val="none"/>
                      <w:lang w:eastAsia="zh-CN"/>
                    </w:rPr>
                    <w:t>石姚湾净水厂</w:t>
                  </w:r>
                  <w:r>
                    <w:rPr>
                      <w:rFonts w:hint="eastAsia"/>
                      <w:color w:val="auto"/>
                      <w:highlight w:val="none"/>
                    </w:rPr>
                    <w:t>处理</w:t>
                  </w:r>
                  <w:r>
                    <w:rPr>
                      <w:rFonts w:hint="eastAsia"/>
                      <w:color w:val="auto"/>
                      <w:highlight w:val="none"/>
                      <w:lang w:eastAsia="zh-CN"/>
                    </w:rPr>
                    <w:t>；</w:t>
                  </w:r>
                  <w:r>
                    <w:rPr>
                      <w:rFonts w:hint="eastAsia"/>
                      <w:color w:val="auto"/>
                      <w:highlight w:val="none"/>
                    </w:rPr>
                    <w:t>内部综合能源站地面冲洗废水</w:t>
                  </w:r>
                  <w:r>
                    <w:rPr>
                      <w:rFonts w:hint="eastAsia"/>
                      <w:color w:val="auto"/>
                      <w:highlight w:val="none"/>
                      <w:lang w:eastAsia="zh-CN"/>
                    </w:rPr>
                    <w:t>、</w:t>
                  </w:r>
                  <w:r>
                    <w:rPr>
                      <w:rFonts w:hint="eastAsia"/>
                      <w:color w:val="auto"/>
                      <w:highlight w:val="none"/>
                    </w:rPr>
                    <w:t>初期雨水经三级油水分离池处理</w:t>
                  </w:r>
                  <w:r>
                    <w:rPr>
                      <w:rFonts w:hint="eastAsia"/>
                      <w:color w:val="auto"/>
                      <w:highlight w:val="none"/>
                      <w:lang w:eastAsia="zh-CN"/>
                    </w:rPr>
                    <w:t>后汇同经化粪池处理的东侧地块生活污水经东侧地块废水排口（</w:t>
                  </w:r>
                  <w:r>
                    <w:rPr>
                      <w:rFonts w:hint="eastAsia"/>
                      <w:color w:val="auto"/>
                      <w:highlight w:val="none"/>
                      <w:lang w:val="en-US" w:eastAsia="zh-CN"/>
                    </w:rPr>
                    <w:t>DW002</w:t>
                  </w:r>
                  <w:r>
                    <w:rPr>
                      <w:rFonts w:hint="eastAsia"/>
                      <w:color w:val="auto"/>
                      <w:highlight w:val="none"/>
                      <w:lang w:eastAsia="zh-CN"/>
                    </w:rPr>
                    <w:t>）接入市政污水管网</w:t>
                  </w:r>
                  <w:r>
                    <w:rPr>
                      <w:rFonts w:hint="eastAsia"/>
                      <w:color w:val="auto"/>
                      <w:highlight w:val="none"/>
                    </w:rPr>
                    <w:t>。</w:t>
                  </w:r>
                </w:p>
              </w:tc>
              <w:tc>
                <w:tcPr>
                  <w:tcW w:w="1450" w:type="dxa"/>
                  <w:vAlign w:val="center"/>
                </w:tcPr>
                <w:p w14:paraId="323F3F5E">
                  <w:pPr>
                    <w:pStyle w:val="30"/>
                    <w:rPr>
                      <w:color w:val="auto"/>
                      <w:highlight w:val="none"/>
                    </w:rPr>
                  </w:pPr>
                  <w:r>
                    <w:rPr>
                      <w:rFonts w:hint="eastAsia"/>
                      <w:color w:val="auto"/>
                      <w:highlight w:val="none"/>
                    </w:rPr>
                    <w:t>符合</w:t>
                  </w:r>
                </w:p>
              </w:tc>
            </w:tr>
          </w:tbl>
          <w:p w14:paraId="4D3419D9">
            <w:pPr>
              <w:ind w:firstLine="480" w:firstLineChars="200"/>
              <w:rPr>
                <w:color w:val="auto"/>
                <w:highlight w:val="none"/>
              </w:rPr>
            </w:pPr>
            <w:r>
              <w:rPr>
                <w:rFonts w:hint="eastAsia"/>
                <w:color w:val="auto"/>
                <w:highlight w:val="none"/>
              </w:rPr>
              <w:t>根据上表可知，本项目与《安徽省淮河流域水污染防治条例》中的规定相符。</w:t>
            </w:r>
          </w:p>
          <w:p w14:paraId="43048C34">
            <w:pPr>
              <w:rPr>
                <w:b/>
                <w:bCs/>
                <w:color w:val="auto"/>
                <w:highlight w:val="none"/>
              </w:rPr>
            </w:pPr>
            <w:r>
              <w:rPr>
                <w:rFonts w:hint="eastAsia"/>
                <w:b/>
                <w:bCs/>
                <w:color w:val="auto"/>
                <w:highlight w:val="none"/>
              </w:rPr>
              <w:t>3、“</w:t>
            </w:r>
            <w:r>
              <w:rPr>
                <w:b/>
                <w:bCs/>
                <w:color w:val="auto"/>
                <w:highlight w:val="none"/>
              </w:rPr>
              <w:t>三线一单</w:t>
            </w:r>
            <w:r>
              <w:rPr>
                <w:rFonts w:hint="eastAsia"/>
                <w:b/>
                <w:bCs/>
                <w:color w:val="auto"/>
                <w:highlight w:val="none"/>
              </w:rPr>
              <w:t>”和生态环境分区管控符合性分析</w:t>
            </w:r>
          </w:p>
          <w:p w14:paraId="02092956">
            <w:pPr>
              <w:ind w:firstLine="480" w:firstLineChars="200"/>
              <w:rPr>
                <w:color w:val="auto"/>
                <w:highlight w:val="none"/>
              </w:rPr>
            </w:pPr>
            <w:r>
              <w:rPr>
                <w:color w:val="auto"/>
                <w:highlight w:val="none"/>
              </w:rPr>
              <w:t>根据环境保护部环评[2016]150号《关于以改善环境质量为核心加强环境影响评价管理的通知》要求：为适应以改善环境质量为核心的环境管理要求，切实加强环境影响评价（以下简称环评）管理，落实</w:t>
            </w:r>
            <w:r>
              <w:rPr>
                <w:rFonts w:hint="eastAsia"/>
                <w:color w:val="auto"/>
                <w:highlight w:val="none"/>
              </w:rPr>
              <w:t>“</w:t>
            </w:r>
            <w:r>
              <w:rPr>
                <w:color w:val="auto"/>
                <w:highlight w:val="none"/>
              </w:rPr>
              <w:t>生态保护红线、环境质量底线、资源利用上线和</w:t>
            </w:r>
            <w:r>
              <w:rPr>
                <w:rFonts w:hint="eastAsia"/>
                <w:color w:val="auto"/>
                <w:highlight w:val="none"/>
              </w:rPr>
              <w:t>生态环境准入清单”</w:t>
            </w:r>
            <w:r>
              <w:rPr>
                <w:color w:val="auto"/>
                <w:highlight w:val="none"/>
              </w:rPr>
              <w:t>（以下简称</w:t>
            </w:r>
            <w:r>
              <w:rPr>
                <w:rFonts w:hint="eastAsia"/>
                <w:color w:val="auto"/>
                <w:highlight w:val="none"/>
              </w:rPr>
              <w:t>“</w:t>
            </w:r>
            <w:r>
              <w:rPr>
                <w:color w:val="auto"/>
                <w:highlight w:val="none"/>
              </w:rPr>
              <w:t>三线一单</w:t>
            </w:r>
            <w:r>
              <w:rPr>
                <w:rFonts w:hint="eastAsia"/>
                <w:color w:val="auto"/>
                <w:highlight w:val="none"/>
              </w:rPr>
              <w:t>”</w:t>
            </w:r>
            <w:r>
              <w:rPr>
                <w:color w:val="auto"/>
                <w:highlight w:val="none"/>
              </w:rPr>
              <w:t>）约束，建立项目环评审批与规划环评、现有项目环境管理、区域环境质量联动机制，更好地发挥环评制度从源头防范环境污染和生态破坏的作用，加快推进改善环境质量。</w:t>
            </w:r>
          </w:p>
          <w:p w14:paraId="7EBD70BF">
            <w:pPr>
              <w:ind w:firstLine="482" w:firstLineChars="200"/>
              <w:rPr>
                <w:color w:val="auto"/>
                <w:highlight w:val="none"/>
              </w:rPr>
            </w:pPr>
            <w:r>
              <w:rPr>
                <w:rFonts w:hint="eastAsia"/>
                <w:b/>
                <w:bCs/>
                <w:color w:val="auto"/>
                <w:highlight w:val="none"/>
              </w:rPr>
              <w:t>（1）与淮南市“三线一单”符合性分析</w:t>
            </w:r>
          </w:p>
          <w:p w14:paraId="6BC0B356">
            <w:pPr>
              <w:ind w:firstLine="480" w:firstLineChars="200"/>
              <w:rPr>
                <w:color w:val="auto"/>
                <w:highlight w:val="none"/>
              </w:rPr>
            </w:pPr>
            <w:r>
              <w:rPr>
                <w:color w:val="auto"/>
                <w:highlight w:val="none"/>
              </w:rPr>
              <w:t>本项目</w:t>
            </w:r>
            <w:r>
              <w:rPr>
                <w:rFonts w:hint="eastAsia"/>
                <w:color w:val="auto"/>
                <w:highlight w:val="none"/>
              </w:rPr>
              <w:t>与淮南市“三线一单”符合性分析如下：</w:t>
            </w:r>
          </w:p>
          <w:p w14:paraId="3ECA5C42">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 xml:space="preserve"> </w:t>
            </w:r>
            <w:r>
              <w:rPr>
                <w:color w:val="auto"/>
                <w:highlight w:val="none"/>
              </w:rPr>
              <w:t>本项目</w:t>
            </w:r>
            <w:r>
              <w:rPr>
                <w:rFonts w:hint="eastAsia"/>
                <w:color w:val="auto"/>
                <w:highlight w:val="none"/>
              </w:rPr>
              <w:t>与淮南市“</w:t>
            </w:r>
            <w:r>
              <w:rPr>
                <w:color w:val="auto"/>
                <w:highlight w:val="none"/>
              </w:rPr>
              <w:t>三线一单</w:t>
            </w:r>
            <w:r>
              <w:rPr>
                <w:rFonts w:hint="eastAsia"/>
                <w:color w:val="auto"/>
                <w:highlight w:val="none"/>
              </w:rPr>
              <w:t>”</w:t>
            </w:r>
            <w:r>
              <w:rPr>
                <w:color w:val="auto"/>
                <w:highlight w:val="none"/>
              </w:rPr>
              <w:t>符合性分析一览表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8"/>
              <w:gridCol w:w="1618"/>
              <w:gridCol w:w="3703"/>
              <w:gridCol w:w="899"/>
            </w:tblGrid>
            <w:tr w14:paraId="5F73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2F05BD8C">
                  <w:pPr>
                    <w:pStyle w:val="30"/>
                    <w:rPr>
                      <w:b/>
                      <w:bCs/>
                      <w:color w:val="auto"/>
                      <w:highlight w:val="none"/>
                    </w:rPr>
                  </w:pPr>
                  <w:r>
                    <w:rPr>
                      <w:b/>
                      <w:bCs/>
                      <w:color w:val="auto"/>
                      <w:highlight w:val="none"/>
                    </w:rPr>
                    <w:t>内容</w:t>
                  </w:r>
                </w:p>
              </w:tc>
              <w:tc>
                <w:tcPr>
                  <w:tcW w:w="1682" w:type="dxa"/>
                  <w:vAlign w:val="center"/>
                </w:tcPr>
                <w:p w14:paraId="4313ACED">
                  <w:pPr>
                    <w:pStyle w:val="30"/>
                    <w:rPr>
                      <w:b/>
                      <w:bCs/>
                      <w:color w:val="auto"/>
                      <w:highlight w:val="none"/>
                    </w:rPr>
                  </w:pPr>
                  <w:r>
                    <w:rPr>
                      <w:b/>
                      <w:bCs/>
                      <w:color w:val="auto"/>
                      <w:highlight w:val="none"/>
                    </w:rPr>
                    <w:t>文件要求</w:t>
                  </w:r>
                </w:p>
              </w:tc>
              <w:tc>
                <w:tcPr>
                  <w:tcW w:w="3852" w:type="dxa"/>
                  <w:vAlign w:val="center"/>
                </w:tcPr>
                <w:p w14:paraId="2FC2291E">
                  <w:pPr>
                    <w:pStyle w:val="30"/>
                    <w:rPr>
                      <w:b/>
                      <w:bCs/>
                      <w:color w:val="auto"/>
                      <w:highlight w:val="none"/>
                    </w:rPr>
                  </w:pPr>
                  <w:r>
                    <w:rPr>
                      <w:b/>
                      <w:bCs/>
                      <w:color w:val="auto"/>
                      <w:highlight w:val="none"/>
                    </w:rPr>
                    <w:t>本项目情况对照简析</w:t>
                  </w:r>
                </w:p>
              </w:tc>
              <w:tc>
                <w:tcPr>
                  <w:tcW w:w="933" w:type="dxa"/>
                  <w:vAlign w:val="center"/>
                </w:tcPr>
                <w:p w14:paraId="70047868">
                  <w:pPr>
                    <w:pStyle w:val="30"/>
                    <w:rPr>
                      <w:b/>
                      <w:bCs/>
                      <w:color w:val="auto"/>
                      <w:highlight w:val="none"/>
                    </w:rPr>
                  </w:pPr>
                  <w:r>
                    <w:rPr>
                      <w:b/>
                      <w:bCs/>
                      <w:color w:val="auto"/>
                      <w:highlight w:val="none"/>
                    </w:rPr>
                    <w:t>分析结果</w:t>
                  </w:r>
                </w:p>
              </w:tc>
            </w:tr>
            <w:tr w14:paraId="2E65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41957807">
                  <w:pPr>
                    <w:pStyle w:val="30"/>
                    <w:rPr>
                      <w:color w:val="auto"/>
                      <w:highlight w:val="none"/>
                    </w:rPr>
                  </w:pPr>
                  <w:r>
                    <w:rPr>
                      <w:color w:val="auto"/>
                      <w:highlight w:val="none"/>
                    </w:rPr>
                    <w:t>生态保护红线</w:t>
                  </w:r>
                </w:p>
              </w:tc>
              <w:tc>
                <w:tcPr>
                  <w:tcW w:w="1682" w:type="dxa"/>
                  <w:vAlign w:val="center"/>
                </w:tcPr>
                <w:p w14:paraId="17B6DEB9">
                  <w:pPr>
                    <w:pStyle w:val="30"/>
                    <w:jc w:val="both"/>
                    <w:rPr>
                      <w:color w:val="auto"/>
                      <w:highlight w:val="none"/>
                    </w:rPr>
                  </w:pPr>
                  <w:r>
                    <w:rPr>
                      <w:color w:val="auto"/>
                      <w:highlight w:val="none"/>
                    </w:rPr>
                    <w:t>生态保护红线是生态空间范围内具有特殊重要生态功能必须实行强制性严格保护的区域。在生态保护红线范围内，严控各类开发建设活动，依法不予审批新建工业项目和矿产开发。</w:t>
                  </w:r>
                </w:p>
              </w:tc>
              <w:tc>
                <w:tcPr>
                  <w:tcW w:w="3852" w:type="dxa"/>
                  <w:vAlign w:val="center"/>
                </w:tcPr>
                <w:p w14:paraId="77148225">
                  <w:pPr>
                    <w:pStyle w:val="30"/>
                    <w:jc w:val="both"/>
                    <w:rPr>
                      <w:color w:val="auto"/>
                      <w:highlight w:val="none"/>
                    </w:rPr>
                  </w:pPr>
                  <w:r>
                    <w:rPr>
                      <w:color w:val="auto"/>
                      <w:highlight w:val="none"/>
                    </w:rPr>
                    <w:t>本项目建设地</w:t>
                  </w:r>
                  <w:r>
                    <w:rPr>
                      <w:rFonts w:hint="eastAsia"/>
                      <w:color w:val="auto"/>
                      <w:highlight w:val="none"/>
                    </w:rPr>
                    <w:t>位于</w:t>
                  </w:r>
                  <w:r>
                    <w:rPr>
                      <w:rFonts w:hint="eastAsia"/>
                      <w:color w:val="auto"/>
                      <w:highlight w:val="none"/>
                      <w:lang w:eastAsia="zh-CN"/>
                    </w:rPr>
                    <w:t>淮南市田家庵区安成镇王巷村和下陈社区境内淮潘公路南侧</w:t>
                  </w:r>
                  <w:r>
                    <w:rPr>
                      <w:color w:val="auto"/>
                      <w:highlight w:val="none"/>
                    </w:rPr>
                    <w:t>，不在生态红线范围内。</w:t>
                  </w:r>
                </w:p>
              </w:tc>
              <w:tc>
                <w:tcPr>
                  <w:tcW w:w="933" w:type="dxa"/>
                  <w:vAlign w:val="center"/>
                </w:tcPr>
                <w:p w14:paraId="74E50DBD">
                  <w:pPr>
                    <w:pStyle w:val="30"/>
                    <w:rPr>
                      <w:color w:val="auto"/>
                      <w:highlight w:val="none"/>
                    </w:rPr>
                  </w:pPr>
                  <w:r>
                    <w:rPr>
                      <w:color w:val="auto"/>
                      <w:highlight w:val="none"/>
                    </w:rPr>
                    <w:t>符合</w:t>
                  </w:r>
                </w:p>
              </w:tc>
            </w:tr>
            <w:tr w14:paraId="3E36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2896A13B">
                  <w:pPr>
                    <w:pStyle w:val="30"/>
                    <w:rPr>
                      <w:color w:val="auto"/>
                      <w:highlight w:val="none"/>
                    </w:rPr>
                  </w:pPr>
                  <w:r>
                    <w:rPr>
                      <w:color w:val="auto"/>
                      <w:highlight w:val="none"/>
                    </w:rPr>
                    <w:t>环境质量</w:t>
                  </w:r>
                  <w:r>
                    <w:rPr>
                      <w:rFonts w:hint="eastAsia"/>
                      <w:color w:val="auto"/>
                      <w:highlight w:val="none"/>
                    </w:rPr>
                    <w:t>底线</w:t>
                  </w:r>
                </w:p>
              </w:tc>
              <w:tc>
                <w:tcPr>
                  <w:tcW w:w="1682" w:type="dxa"/>
                  <w:vAlign w:val="center"/>
                </w:tcPr>
                <w:p w14:paraId="6D74F21B">
                  <w:pPr>
                    <w:pStyle w:val="30"/>
                    <w:jc w:val="both"/>
                    <w:rPr>
                      <w:color w:val="auto"/>
                      <w:highlight w:val="none"/>
                    </w:rPr>
                  </w:pPr>
                  <w:r>
                    <w:rPr>
                      <w:color w:val="auto"/>
                      <w:highlight w:val="none"/>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852" w:type="dxa"/>
                  <w:vAlign w:val="center"/>
                </w:tcPr>
                <w:p w14:paraId="579FDD8C">
                  <w:pPr>
                    <w:pStyle w:val="30"/>
                    <w:jc w:val="both"/>
                    <w:rPr>
                      <w:color w:val="auto"/>
                      <w:highlight w:val="none"/>
                    </w:rPr>
                  </w:pPr>
                  <w:r>
                    <w:rPr>
                      <w:color w:val="auto"/>
                      <w:highlight w:val="none"/>
                      <w:lang w:val="zh-CN"/>
                    </w:rPr>
                    <w:t>根据《</w:t>
                  </w:r>
                  <w:r>
                    <w:rPr>
                      <w:rFonts w:hint="eastAsia"/>
                      <w:color w:val="auto"/>
                      <w:highlight w:val="none"/>
                    </w:rPr>
                    <w:t>2024年淮南市生态环境质量状况公报</w:t>
                  </w:r>
                  <w:r>
                    <w:rPr>
                      <w:color w:val="auto"/>
                      <w:highlight w:val="none"/>
                      <w:lang w:val="zh-CN"/>
                    </w:rPr>
                    <w:t>》，本项目所在区域为大气环境</w:t>
                  </w:r>
                  <w:r>
                    <w:rPr>
                      <w:rFonts w:hint="eastAsia"/>
                      <w:color w:val="auto"/>
                      <w:highlight w:val="none"/>
                    </w:rPr>
                    <w:t>PM</w:t>
                  </w:r>
                  <w:r>
                    <w:rPr>
                      <w:rFonts w:hint="eastAsia"/>
                      <w:color w:val="auto"/>
                      <w:highlight w:val="none"/>
                      <w:vertAlign w:val="subscript"/>
                    </w:rPr>
                    <w:t>2.5</w:t>
                  </w:r>
                  <w:r>
                    <w:rPr>
                      <w:color w:val="auto"/>
                      <w:highlight w:val="none"/>
                      <w:lang w:val="zh-CN"/>
                    </w:rPr>
                    <w:t>不达标区，</w:t>
                  </w:r>
                  <w:r>
                    <w:rPr>
                      <w:color w:val="auto"/>
                      <w:highlight w:val="none"/>
                    </w:rPr>
                    <w:t>为进一步缓解大气不达标情况，改善淮南市环境空气质量，淮南市通过集中专项整治</w:t>
                  </w:r>
                  <w:r>
                    <w:rPr>
                      <w:rFonts w:hint="eastAsia"/>
                      <w:color w:val="auto"/>
                      <w:highlight w:val="none"/>
                    </w:rPr>
                    <w:t>“</w:t>
                  </w:r>
                  <w:r>
                    <w:rPr>
                      <w:color w:val="auto"/>
                      <w:highlight w:val="none"/>
                    </w:rPr>
                    <w:t>小散乱污</w:t>
                  </w:r>
                  <w:r>
                    <w:rPr>
                      <w:rFonts w:hint="eastAsia"/>
                      <w:color w:val="auto"/>
                      <w:highlight w:val="none"/>
                    </w:rPr>
                    <w:t>”</w:t>
                  </w:r>
                  <w:r>
                    <w:rPr>
                      <w:color w:val="auto"/>
                      <w:highlight w:val="none"/>
                    </w:rPr>
                    <w:t>企业、企业清洁生产技术改造、小锅炉升级改造、燃煤机组超低排放改造，整治散装物料堆场，督促企业完成挥发性有机物整改任务等措施改善环境空气质量；根据《</w:t>
                  </w:r>
                  <w:r>
                    <w:rPr>
                      <w:rFonts w:hint="eastAsia"/>
                      <w:color w:val="auto"/>
                      <w:highlight w:val="none"/>
                      <w:lang w:val="en-US" w:eastAsia="zh-CN"/>
                    </w:rPr>
                    <w:t>2025年5</w:t>
                  </w:r>
                  <w:r>
                    <w:rPr>
                      <w:rFonts w:hint="eastAsia"/>
                      <w:color w:val="auto"/>
                      <w:highlight w:val="none"/>
                    </w:rPr>
                    <w:t>月</w:t>
                  </w:r>
                  <w:r>
                    <w:rPr>
                      <w:color w:val="auto"/>
                      <w:highlight w:val="none"/>
                    </w:rPr>
                    <w:t>淮南市环境质量</w:t>
                  </w:r>
                  <w:r>
                    <w:rPr>
                      <w:rFonts w:hint="eastAsia"/>
                      <w:color w:val="auto"/>
                      <w:highlight w:val="none"/>
                    </w:rPr>
                    <w:t>月</w:t>
                  </w:r>
                  <w:r>
                    <w:rPr>
                      <w:color w:val="auto"/>
                      <w:highlight w:val="none"/>
                    </w:rPr>
                    <w:t>报》地表水总体状况，</w:t>
                  </w:r>
                  <w:r>
                    <w:rPr>
                      <w:color w:val="auto"/>
                      <w:highlight w:val="none"/>
                      <w:lang w:val="zh-CN"/>
                    </w:rPr>
                    <w:t>区域地表水淮河各监测断面水质</w:t>
                  </w:r>
                  <w:r>
                    <w:rPr>
                      <w:rFonts w:hint="eastAsia"/>
                      <w:color w:val="auto"/>
                      <w:highlight w:val="none"/>
                      <w:lang w:val="zh-CN"/>
                    </w:rPr>
                    <w:t>保持稳定</w:t>
                  </w:r>
                  <w:r>
                    <w:rPr>
                      <w:color w:val="auto"/>
                      <w:highlight w:val="none"/>
                      <w:lang w:val="zh-CN"/>
                    </w:rPr>
                    <w:t>；</w:t>
                  </w:r>
                  <w:r>
                    <w:rPr>
                      <w:rFonts w:hint="eastAsia"/>
                      <w:color w:val="auto"/>
                      <w:highlight w:val="none"/>
                    </w:rPr>
                    <w:t>本项目排放的</w:t>
                  </w:r>
                  <w:r>
                    <w:rPr>
                      <w:rFonts w:hint="eastAsia" w:ascii="宋体" w:hAnsi="宋体"/>
                      <w:color w:val="auto"/>
                      <w:highlight w:val="none"/>
                    </w:rPr>
                    <w:t>生产废水和生活污水处理后排入</w:t>
                  </w:r>
                  <w:r>
                    <w:rPr>
                      <w:rFonts w:hint="eastAsia" w:ascii="宋体" w:hAnsi="宋体"/>
                      <w:color w:val="auto"/>
                      <w:highlight w:val="none"/>
                      <w:lang w:eastAsia="zh-CN"/>
                    </w:rPr>
                    <w:t>石姚湾净水厂</w:t>
                  </w:r>
                  <w:r>
                    <w:rPr>
                      <w:rFonts w:hint="eastAsia" w:ascii="宋体" w:hAnsi="宋体"/>
                      <w:color w:val="auto"/>
                      <w:highlight w:val="none"/>
                    </w:rPr>
                    <w:t>处理达标后外排淮河，对淮河影响较小，故不会破坏项目的环境质量底线。区域声环境质量</w:t>
                  </w:r>
                  <w:r>
                    <w:rPr>
                      <w:rFonts w:hint="eastAsia" w:ascii="宋体" w:hAnsi="宋体"/>
                      <w:color w:val="auto"/>
                      <w:highlight w:val="none"/>
                      <w:lang w:eastAsia="zh-CN"/>
                    </w:rPr>
                    <w:t>东、西、南侧</w:t>
                  </w:r>
                  <w:r>
                    <w:rPr>
                      <w:rFonts w:hint="eastAsia" w:ascii="宋体" w:hAnsi="宋体"/>
                      <w:color w:val="auto"/>
                      <w:highlight w:val="none"/>
                    </w:rPr>
                    <w:t>达到《声环境质量标准》</w:t>
                  </w:r>
                  <w:r>
                    <w:rPr>
                      <w:rFonts w:hint="default" w:ascii="Times New Roman" w:hAnsi="Times New Roman" w:cs="Times New Roman"/>
                      <w:color w:val="auto"/>
                      <w:highlight w:val="none"/>
                    </w:rPr>
                    <w:t>（GB3096-2008）</w:t>
                  </w:r>
                  <w:r>
                    <w:rPr>
                      <w:rFonts w:hint="eastAsia" w:ascii="宋体" w:hAnsi="宋体"/>
                      <w:color w:val="auto"/>
                      <w:highlight w:val="none"/>
                      <w:lang w:val="en-US" w:eastAsia="zh-CN"/>
                    </w:rPr>
                    <w:t>3</w:t>
                  </w:r>
                  <w:r>
                    <w:rPr>
                      <w:rFonts w:hint="eastAsia" w:ascii="宋体" w:hAnsi="宋体"/>
                      <w:color w:val="auto"/>
                      <w:highlight w:val="none"/>
                    </w:rPr>
                    <w:t>类标准</w:t>
                  </w:r>
                  <w:r>
                    <w:rPr>
                      <w:rFonts w:hint="eastAsia" w:ascii="宋体" w:hAnsi="宋体"/>
                      <w:color w:val="auto"/>
                      <w:highlight w:val="none"/>
                      <w:lang w:eastAsia="zh-CN"/>
                    </w:rPr>
                    <w:t>，北侧达到</w:t>
                  </w:r>
                  <w:r>
                    <w:rPr>
                      <w:rFonts w:hint="eastAsia" w:ascii="宋体" w:hAnsi="宋体"/>
                      <w:color w:val="auto"/>
                      <w:highlight w:val="none"/>
                      <w:lang w:val="en-US" w:eastAsia="zh-CN"/>
                    </w:rPr>
                    <w:t>4a类标准</w:t>
                  </w:r>
                  <w:r>
                    <w:rPr>
                      <w:rFonts w:hint="eastAsia" w:ascii="宋体" w:hAnsi="宋体"/>
                      <w:color w:val="auto"/>
                      <w:highlight w:val="none"/>
                    </w:rPr>
                    <w:t>。该项目运营过程中会</w:t>
                  </w:r>
                  <w:r>
                    <w:rPr>
                      <w:rFonts w:ascii="宋体" w:hAnsi="宋体"/>
                      <w:color w:val="auto"/>
                      <w:highlight w:val="none"/>
                    </w:rPr>
                    <w:t>产生一定的污染物，采取相应的污染防治措施后，各类污染物的排放对周围环境造成的影响较小，不会降低当地环境质量，不会触碰区域环境质量底线。</w:t>
                  </w:r>
                </w:p>
              </w:tc>
              <w:tc>
                <w:tcPr>
                  <w:tcW w:w="933" w:type="dxa"/>
                  <w:vAlign w:val="center"/>
                </w:tcPr>
                <w:p w14:paraId="295348B4">
                  <w:pPr>
                    <w:pStyle w:val="30"/>
                    <w:rPr>
                      <w:color w:val="auto"/>
                      <w:highlight w:val="none"/>
                    </w:rPr>
                  </w:pPr>
                  <w:r>
                    <w:rPr>
                      <w:color w:val="auto"/>
                      <w:highlight w:val="none"/>
                    </w:rPr>
                    <w:t>符合</w:t>
                  </w:r>
                </w:p>
              </w:tc>
            </w:tr>
            <w:tr w14:paraId="403C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27B3E529">
                  <w:pPr>
                    <w:pStyle w:val="30"/>
                    <w:rPr>
                      <w:color w:val="auto"/>
                      <w:highlight w:val="none"/>
                    </w:rPr>
                  </w:pPr>
                  <w:r>
                    <w:rPr>
                      <w:color w:val="auto"/>
                      <w:highlight w:val="none"/>
                    </w:rPr>
                    <w:t>资源利用上线</w:t>
                  </w:r>
                </w:p>
              </w:tc>
              <w:tc>
                <w:tcPr>
                  <w:tcW w:w="1682" w:type="dxa"/>
                  <w:vAlign w:val="center"/>
                </w:tcPr>
                <w:p w14:paraId="5013F40C">
                  <w:pPr>
                    <w:pStyle w:val="30"/>
                    <w:jc w:val="both"/>
                    <w:rPr>
                      <w:color w:val="auto"/>
                      <w:highlight w:val="none"/>
                    </w:rPr>
                  </w:pPr>
                  <w:r>
                    <w:rPr>
                      <w:color w:val="auto"/>
                      <w:highlight w:val="none"/>
                    </w:rPr>
                    <w:t>依据有关资源利用上线要求，即各地区能源、水、土地等资源消耗是不得突破的</w:t>
                  </w:r>
                  <w:r>
                    <w:rPr>
                      <w:rFonts w:hint="eastAsia"/>
                      <w:color w:val="auto"/>
                      <w:highlight w:val="none"/>
                    </w:rPr>
                    <w:t>“</w:t>
                  </w:r>
                  <w:r>
                    <w:rPr>
                      <w:color w:val="auto"/>
                      <w:highlight w:val="none"/>
                    </w:rPr>
                    <w:t>天花板</w:t>
                  </w:r>
                  <w:r>
                    <w:rPr>
                      <w:rFonts w:hint="eastAsia"/>
                      <w:color w:val="auto"/>
                      <w:highlight w:val="none"/>
                    </w:rPr>
                    <w:t>”</w:t>
                  </w:r>
                  <w:r>
                    <w:rPr>
                      <w:color w:val="auto"/>
                      <w:highlight w:val="none"/>
                    </w:rPr>
                    <w:t>。</w:t>
                  </w:r>
                </w:p>
              </w:tc>
              <w:tc>
                <w:tcPr>
                  <w:tcW w:w="3852" w:type="dxa"/>
                  <w:vAlign w:val="center"/>
                </w:tcPr>
                <w:p w14:paraId="10182ABB">
                  <w:pPr>
                    <w:pStyle w:val="30"/>
                    <w:jc w:val="both"/>
                    <w:rPr>
                      <w:color w:val="auto"/>
                      <w:highlight w:val="none"/>
                    </w:rPr>
                  </w:pPr>
                  <w:r>
                    <w:rPr>
                      <w:color w:val="auto"/>
                      <w:highlight w:val="none"/>
                    </w:rPr>
                    <w:t>本项目运营过程主要资源消耗为电能，由市政供电供给，对当地能源、水、土地资源影响不大，不会超出当地资源利用上线。</w:t>
                  </w:r>
                </w:p>
              </w:tc>
              <w:tc>
                <w:tcPr>
                  <w:tcW w:w="933" w:type="dxa"/>
                  <w:vAlign w:val="center"/>
                </w:tcPr>
                <w:p w14:paraId="361A8CB2">
                  <w:pPr>
                    <w:pStyle w:val="30"/>
                    <w:rPr>
                      <w:color w:val="auto"/>
                      <w:highlight w:val="none"/>
                    </w:rPr>
                  </w:pPr>
                  <w:r>
                    <w:rPr>
                      <w:color w:val="auto"/>
                      <w:highlight w:val="none"/>
                    </w:rPr>
                    <w:t>符合</w:t>
                  </w:r>
                </w:p>
              </w:tc>
            </w:tr>
            <w:tr w14:paraId="3491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00BBE40A">
                  <w:pPr>
                    <w:pStyle w:val="30"/>
                    <w:rPr>
                      <w:color w:val="auto"/>
                      <w:highlight w:val="none"/>
                    </w:rPr>
                  </w:pPr>
                  <w:r>
                    <w:rPr>
                      <w:color w:val="auto"/>
                      <w:highlight w:val="none"/>
                    </w:rPr>
                    <w:t>生态环境准入清单</w:t>
                  </w:r>
                </w:p>
              </w:tc>
              <w:tc>
                <w:tcPr>
                  <w:tcW w:w="1682" w:type="dxa"/>
                  <w:vAlign w:val="center"/>
                </w:tcPr>
                <w:p w14:paraId="3B7EDDAE">
                  <w:pPr>
                    <w:pStyle w:val="30"/>
                    <w:jc w:val="both"/>
                    <w:rPr>
                      <w:color w:val="auto"/>
                      <w:highlight w:val="none"/>
                    </w:rPr>
                  </w:pPr>
                  <w:r>
                    <w:rPr>
                      <w:color w:val="auto"/>
                      <w:highlight w:val="none"/>
                    </w:rPr>
                    <w:t>生态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852" w:type="dxa"/>
                  <w:vAlign w:val="center"/>
                </w:tcPr>
                <w:p w14:paraId="0D861591">
                  <w:pPr>
                    <w:pStyle w:val="30"/>
                    <w:jc w:val="both"/>
                    <w:rPr>
                      <w:color w:val="auto"/>
                      <w:highlight w:val="none"/>
                    </w:rPr>
                  </w:pPr>
                  <w:r>
                    <w:rPr>
                      <w:color w:val="auto"/>
                      <w:highlight w:val="none"/>
                    </w:rPr>
                    <w:t>本项目</w:t>
                  </w:r>
                  <w:r>
                    <w:rPr>
                      <w:rFonts w:hint="eastAsia"/>
                      <w:color w:val="auto"/>
                      <w:highlight w:val="none"/>
                    </w:rPr>
                    <w:t>主要建设内容为</w:t>
                  </w:r>
                  <w:r>
                    <w:rPr>
                      <w:rFonts w:hint="eastAsia"/>
                      <w:color w:val="auto"/>
                      <w:highlight w:val="none"/>
                      <w:lang w:eastAsia="zh-CN"/>
                    </w:rPr>
                    <w:t>安成城市综合交通驿站</w:t>
                  </w:r>
                  <w:r>
                    <w:rPr>
                      <w:color w:val="auto"/>
                      <w:highlight w:val="none"/>
                    </w:rPr>
                    <w:t>，</w:t>
                  </w:r>
                  <w:r>
                    <w:rPr>
                      <w:rFonts w:hint="eastAsia"/>
                      <w:color w:val="auto"/>
                      <w:highlight w:val="none"/>
                    </w:rPr>
                    <w:t>对照《安徽省“两高”项目管理目录》</w:t>
                  </w:r>
                  <w:r>
                    <w:rPr>
                      <w:rFonts w:hint="eastAsia"/>
                      <w:color w:val="auto"/>
                      <w:highlight w:val="none"/>
                      <w:lang w:eastAsia="zh-CN"/>
                    </w:rPr>
                    <w:t>（</w:t>
                  </w:r>
                  <w:r>
                    <w:rPr>
                      <w:rFonts w:hint="eastAsia"/>
                      <w:color w:val="auto"/>
                      <w:highlight w:val="none"/>
                    </w:rPr>
                    <w:t>2022年试行</w:t>
                  </w:r>
                  <w:r>
                    <w:rPr>
                      <w:rFonts w:hint="eastAsia"/>
                      <w:color w:val="auto"/>
                      <w:highlight w:val="none"/>
                      <w:lang w:eastAsia="zh-CN"/>
                    </w:rPr>
                    <w:t>）</w:t>
                  </w:r>
                  <w:r>
                    <w:rPr>
                      <w:rFonts w:hint="eastAsia"/>
                      <w:color w:val="auto"/>
                      <w:highlight w:val="none"/>
                    </w:rPr>
                    <w:t>，本项目不在安徽省两高目录范围内，</w:t>
                  </w:r>
                  <w:r>
                    <w:rPr>
                      <w:color w:val="auto"/>
                      <w:highlight w:val="none"/>
                    </w:rPr>
                    <w:t>不属于高耗能高污染项目</w:t>
                  </w:r>
                  <w:r>
                    <w:rPr>
                      <w:rFonts w:hint="eastAsia"/>
                      <w:color w:val="auto"/>
                      <w:highlight w:val="none"/>
                    </w:rPr>
                    <w:t>；对照《产业结构调整指导目录》（2024年本），本项目不属于禁止类、限制类产业，可视为允许类。</w:t>
                  </w:r>
                  <w:r>
                    <w:rPr>
                      <w:color w:val="auto"/>
                      <w:highlight w:val="none"/>
                    </w:rPr>
                    <w:t>且该项目已经</w:t>
                  </w:r>
                  <w:r>
                    <w:rPr>
                      <w:rFonts w:hint="eastAsia"/>
                      <w:color w:val="auto"/>
                      <w:highlight w:val="none"/>
                      <w:lang w:eastAsia="zh-CN"/>
                    </w:rPr>
                    <w:t>淮南市发展和改革委员会</w:t>
                  </w:r>
                  <w:r>
                    <w:rPr>
                      <w:color w:val="auto"/>
                      <w:highlight w:val="none"/>
                    </w:rPr>
                    <w:t>备案。</w:t>
                  </w:r>
                </w:p>
              </w:tc>
              <w:tc>
                <w:tcPr>
                  <w:tcW w:w="933" w:type="dxa"/>
                  <w:vAlign w:val="center"/>
                </w:tcPr>
                <w:p w14:paraId="2704F178">
                  <w:pPr>
                    <w:pStyle w:val="30"/>
                    <w:rPr>
                      <w:color w:val="auto"/>
                      <w:highlight w:val="none"/>
                    </w:rPr>
                  </w:pPr>
                  <w:r>
                    <w:rPr>
                      <w:color w:val="auto"/>
                      <w:highlight w:val="none"/>
                    </w:rPr>
                    <w:t>符合</w:t>
                  </w:r>
                </w:p>
              </w:tc>
            </w:tr>
          </w:tbl>
          <w:p w14:paraId="2C267082">
            <w:pPr>
              <w:ind w:firstLine="482" w:firstLineChars="200"/>
              <w:rPr>
                <w:color w:val="auto"/>
                <w:highlight w:val="none"/>
              </w:rPr>
            </w:pPr>
            <w:r>
              <w:rPr>
                <w:rFonts w:hint="eastAsia"/>
                <w:b/>
                <w:bCs/>
                <w:color w:val="auto"/>
                <w:highlight w:val="none"/>
              </w:rPr>
              <w:t>（2）</w:t>
            </w:r>
            <w:r>
              <w:rPr>
                <w:b/>
                <w:bCs/>
                <w:color w:val="auto"/>
                <w:highlight w:val="none"/>
              </w:rPr>
              <w:t>与</w:t>
            </w:r>
            <w:r>
              <w:rPr>
                <w:b/>
                <w:color w:val="auto"/>
                <w:highlight w:val="none"/>
              </w:rPr>
              <w:t>生态管控单元符合性分析</w:t>
            </w:r>
          </w:p>
          <w:p w14:paraId="4FD98413">
            <w:pPr>
              <w:bidi w:val="0"/>
              <w:ind w:firstLine="480" w:firstLineChars="200"/>
              <w:rPr>
                <w:color w:val="auto"/>
                <w:highlight w:val="none"/>
                <w:lang w:val="zh-CN"/>
              </w:rPr>
            </w:pPr>
            <w:r>
              <w:rPr>
                <w:rFonts w:hint="eastAsia"/>
                <w:color w:val="auto"/>
                <w:highlight w:val="none"/>
              </w:rPr>
              <w:t>本项目位于</w:t>
            </w:r>
            <w:r>
              <w:rPr>
                <w:rFonts w:hint="eastAsia"/>
                <w:color w:val="auto"/>
                <w:highlight w:val="none"/>
                <w:lang w:eastAsia="zh-CN"/>
              </w:rPr>
              <w:t>淮南市田家庵区安成镇王巷村和下陈社区境内淮潘公路南侧</w:t>
            </w:r>
            <w:r>
              <w:rPr>
                <w:rFonts w:hint="eastAsia"/>
                <w:color w:val="auto"/>
                <w:highlight w:val="none"/>
              </w:rPr>
              <w:t>，经查阅“安徽省三线一单公众服务平台”（</w:t>
            </w:r>
            <w:r>
              <w:rPr>
                <w:color w:val="auto"/>
                <w:highlight w:val="none"/>
              </w:rPr>
              <w:t>http://39.145.8.156:1509/ah/public/#/home</w:t>
            </w:r>
            <w:r>
              <w:rPr>
                <w:rFonts w:hint="eastAsia"/>
                <w:color w:val="auto"/>
                <w:highlight w:val="none"/>
              </w:rPr>
              <w:t>），本项目所在区域管控单元分类属于“重点管控单元”，涉及的管控单元细类为大气重点和水重点。本项目</w:t>
            </w:r>
            <w:r>
              <w:rPr>
                <w:color w:val="auto"/>
                <w:highlight w:val="none"/>
              </w:rPr>
              <w:t>生态管控单元查询</w:t>
            </w:r>
            <w:r>
              <w:rPr>
                <w:rFonts w:hint="eastAsia"/>
                <w:color w:val="auto"/>
                <w:highlight w:val="none"/>
              </w:rPr>
              <w:t>情况（截选）如</w:t>
            </w:r>
            <w:r>
              <w:rPr>
                <w:rFonts w:hint="eastAsia"/>
                <w:color w:val="auto"/>
                <w:highlight w:val="none"/>
                <w:lang w:val="en-US" w:eastAsia="zh-CN"/>
              </w:rPr>
              <w:t>下图</w:t>
            </w:r>
            <w:r>
              <w:rPr>
                <w:rFonts w:hint="default"/>
                <w:color w:val="auto"/>
                <w:highlight w:val="none"/>
                <w:lang w:val="en-US" w:eastAsia="zh-CN"/>
              </w:rPr>
              <w:t>1-1</w:t>
            </w:r>
            <w:r>
              <w:rPr>
                <w:rFonts w:hint="eastAsia"/>
                <w:color w:val="auto"/>
                <w:highlight w:val="none"/>
                <w:lang w:val="en-US" w:eastAsia="zh-CN"/>
              </w:rPr>
              <w:t>所示，</w:t>
            </w:r>
            <w:r>
              <w:rPr>
                <w:rFonts w:hint="eastAsia"/>
                <w:color w:val="auto"/>
                <w:highlight w:val="none"/>
              </w:rPr>
              <w:t>详见附图</w:t>
            </w:r>
            <w:r>
              <w:rPr>
                <w:rFonts w:hint="eastAsia"/>
                <w:color w:val="auto"/>
                <w:highlight w:val="none"/>
                <w:lang w:val="en-US" w:eastAsia="zh-CN"/>
              </w:rPr>
              <w:t>11</w:t>
            </w:r>
            <w:r>
              <w:rPr>
                <w:rFonts w:hint="eastAsia"/>
                <w:color w:val="auto"/>
                <w:highlight w:val="none"/>
              </w:rPr>
              <w:t>。</w:t>
            </w:r>
          </w:p>
          <w:p w14:paraId="30B9C42C">
            <w:pPr>
              <w:tabs>
                <w:tab w:val="left" w:pos="5280"/>
              </w:tabs>
              <w:rPr>
                <w:color w:val="auto"/>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1347470</wp:posOffset>
                      </wp:positionH>
                      <wp:positionV relativeFrom="paragraph">
                        <wp:posOffset>1253490</wp:posOffset>
                      </wp:positionV>
                      <wp:extent cx="683260" cy="294005"/>
                      <wp:effectExtent l="5080" t="4445" r="16510" b="6350"/>
                      <wp:wrapNone/>
                      <wp:docPr id="18" name="文本框 18"/>
                      <wp:cNvGraphicFramePr/>
                      <a:graphic xmlns:a="http://schemas.openxmlformats.org/drawingml/2006/main">
                        <a:graphicData uri="http://schemas.microsoft.com/office/word/2010/wordprocessingShape">
                          <wps:wsp>
                            <wps:cNvSpPr txBox="1"/>
                            <wps:spPr>
                              <a:xfrm>
                                <a:off x="4594860" y="2653665"/>
                                <a:ext cx="68326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60E8E2">
                                  <w:pPr>
                                    <w:spacing w:line="240" w:lineRule="auto"/>
                                  </w:pPr>
                                  <w:r>
                                    <w:rPr>
                                      <w:rFonts w:hint="eastAsia"/>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1pt;margin-top:98.7pt;height:23.15pt;width:53.8pt;z-index:251663360;mso-width-relative:page;mso-height-relative:page;" fillcolor="#FFFFFF [3201]" filled="t" stroked="t" coordsize="21600,21600" o:gfxdata="UEsDBAoAAAAAAIdO4kAAAAAAAAAAAAAAAAAEAAAAZHJzL1BLAwQUAAAACACHTuJA/WJ2E9cAAAAL&#10;AQAADwAAAGRycy9kb3ducmV2LnhtbE2PwU7DMBBE70j8g7VI3KgTp2ppGqcSSEiIG20u3Nx4m0S1&#10;11HsNuXvWU5wXM3T7Jtqd/NOXHGKQyAN+SIDgdQGO1CnoTm8PT2DiMmQNS4QavjGCLv6/q4ypQ0z&#10;feJ1nzrBJRRLo6FPaSyljG2P3sRFGJE4O4XJm8Tn1Ek7mZnLvZMqy1bSm4H4Q29GfO2xPe8vXsP7&#10;6iV9YWM/bKGKMDeynU4uav34kGdbEAlv6Q+GX31Wh5qdjuFCNgqnQeVKMcrBZr0EwUSRb3jMkaNl&#10;sQZZV/L/hvoHUEsDBBQAAAAIAIdO4kCoDaorZAIAAMQEAAAOAAAAZHJzL2Uyb0RvYy54bWytVM1u&#10;EzEQviPxDpbvdDdpEtKomyq0CkKqaKWCODteb9bCaxvbyW55APoGnLhw57n6HHz2Jv3l0AM5OGPP&#10;l29mvpnJ8UnXKLIVzkujCzo4yCkRmptS6nVBP39avplS4gPTJVNGi4JeC09P5q9fHbd2JoamNqoU&#10;joBE+1lrC1qHYGdZ5nktGuYPjBUazsq4hgVc3TorHWvB3qhsmOeTrDWutM5w4T1ez3on3TG6lxCa&#10;qpJcnBm+aYQOPasTigWU5GtpPZ2nbKtK8HBRVV4EogqKSkM6EQT2Kp7Z/JjN1o7ZWvJdCuwlKTyp&#10;qWFSI+gd1RkLjGycfEbVSO6MN1U44KbJ+kKSIqhikD/R5qpmVqRaILW3d6L7/0fLP24vHZElJgF9&#10;16xBx29/3tz++nP7+wfBGwRqrZ8Bd2WBDN070wG8f/d4jHV3lWviNyoi8I/GR6PpBCJfF3Q4GR9O&#10;JuNeatEFwgGYTA+H0c8j4GiU58mf3RNZ58N7YRoSjYI6dDIJzLbnPiApQPeQGNcbJculVCpd3Hp1&#10;qhzZMnR9mT4xOn7yCKY0aZHJ4ThPzI98kfuOYqUY//qcAXxKgzbq0+sQrdCtup1oK1NeQzNn+rHz&#10;li8leM+ZD5fMYc4gADYxXOColEEyZmdRUhv3/V/vEY/2w0tJi7ktqP+2YU5Qoj5oDMbRYDQCbUiX&#10;0fjtEBf30LN66NGb5tRApAF23vJkRnxQe7NypvmChV3EqHAxzRG7oGFvnoZ+m7DwXCwWCYTRtiyc&#10;6yvLI3VsiTaLTTCVTK2LMvXa7NTDcKf27BYxbs/De0Ld//n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9YnYT1wAAAAsBAAAPAAAAAAAAAAEAIAAAACIAAABkcnMvZG93bnJldi54bWxQSwECFAAU&#10;AAAACACHTuJAqA2qK2QCAADEBAAADgAAAAAAAAABACAAAAAmAQAAZHJzL2Uyb0RvYy54bWxQSwUG&#10;AAAAAAYABgBZAQAA/AUAAAAA&#10;">
                      <v:fill on="t" focussize="0,0"/>
                      <v:stroke weight="0.5pt" color="#000000 [3204]" joinstyle="round"/>
                      <v:imagedata o:title=""/>
                      <o:lock v:ext="edit" aspectratio="f"/>
                      <v:textbox>
                        <w:txbxContent>
                          <w:p w14:paraId="2460E8E2">
                            <w:pPr>
                              <w:spacing w:line="240" w:lineRule="auto"/>
                            </w:pPr>
                            <w:r>
                              <w:rPr>
                                <w:rFonts w:hint="eastAsia"/>
                              </w:rPr>
                              <w:t>本项目</w:t>
                            </w:r>
                          </w:p>
                        </w:txbxContent>
                      </v:textbox>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1976120</wp:posOffset>
                      </wp:positionH>
                      <wp:positionV relativeFrom="paragraph">
                        <wp:posOffset>1120140</wp:posOffset>
                      </wp:positionV>
                      <wp:extent cx="78105" cy="78105"/>
                      <wp:effectExtent l="19050" t="21590" r="36195" b="33655"/>
                      <wp:wrapNone/>
                      <wp:docPr id="16" name="五角星 16"/>
                      <wp:cNvGraphicFramePr/>
                      <a:graphic xmlns:a="http://schemas.openxmlformats.org/drawingml/2006/main">
                        <a:graphicData uri="http://schemas.microsoft.com/office/word/2010/wordprocessingShape">
                          <wps:wsp>
                            <wps:cNvSpPr/>
                            <wps:spPr>
                              <a:xfrm>
                                <a:off x="5105400" y="3017520"/>
                                <a:ext cx="78105" cy="7810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5.6pt;margin-top:88.2pt;height:6.15pt;width:6.15pt;z-index:251662336;v-text-anchor:middle;mso-width-relative:page;mso-height-relative:page;" fillcolor="#FF0000" filled="t" stroked="t" coordsize="78105,78105" o:gfxdata="UEsDBAoAAAAAAIdO4kAAAAAAAAAAAAAAAAAEAAAAZHJzL1BLAwQUAAAACACHTuJAuGuB/twAAAAL&#10;AQAADwAAAGRycy9kb3ducmV2LnhtbE2PTU/CQBCG7yb+h82YeJPtB0Kt3ZIA8cDFBDQh3Jbu2DZ2&#10;Z2t3oeCvdzzpceZ98s4zxeJiO3HGwbeOFMSTCARS5UxLtYL3t5eHDIQPmozuHKGCK3pYlLc3hc6N&#10;G2mL512oBZeQz7WCJoQ+l9JXDVrtJ65H4uzDDVYHHodamkGPXG47mUTRTFrdEl9odI+rBqvP3ckq&#10;+JqOUbra7A/+6XVj10u5vi6Tb6Xu7+LoGUTAS/iD4Vef1aFkp6M7kfGiU5DGccIoB/PZFAQTaZI+&#10;gjjyJsvmIMtC/v+h/AFQSwMEFAAAAAgAh07iQAOejA96AgAAAwUAAA4AAABkcnMvZTJvRG9jLnht&#10;bK1UzW4TMRC+I/EOlu90NyFpStRNFTUKQqpopII4O15v1pL/sJ2f8hiIAzeOvAPPgxCPwWfv9hcO&#10;PZCDM+OZ/Wbmmxmfnh20Ijvhg7SmooOjkhJhuK2l2VT0/bvlixNKQmSmZsoaUdFrEejZ7Pmz072b&#10;iqFtraqFJwAxYbp3FW1jdNOiCLwVmoUj64SBsbFeswjVb4rasz3QtSqGZXlc7K2vnbdchIDbRWek&#10;PaJ/CqBtGsnFwvKtFiZ2qF4oFlFSaKULdJazbRrB42XTBBGJqigqjflEEMjrdBazUzbdeOZayfsU&#10;2FNSeFSTZtIg6C3UgkVGtl7+BaUl9zbYJh5xq4uukMwIqhiUj7i5apkTuRZQHdwt6eH/wfK3u5Un&#10;ssYkHFNimEbHf/748vv7519fvxHcgaC9C1P4XbmV77UAMVV7aLxO/6iDHCo6HpTjUQlqryv6shxM&#10;xsOeYHGIhMNhcgIPSjjsnQi84g7G+RBfC6tJEiqKKfTjzCrbXYTY+d74pLDBKlkvpVJZ8Zv1ufJk&#10;x9Dq5bLELyUP+AduypA9ih1OUp6cYYAbDA5E7UBCMBtKmNpgM3j0OfaDr8PTgqQkFyy0XTIZoZs0&#10;LSOWR0ld0ZOU4U2KyiDTxHPHbJLWtr5Ga7ztZjY4vpSAvWAhrpjHkCJ/rHG8xNEoi6JsL1HSWv/p&#10;X/fJH7MDKyV7DD0K/rhlXlCi3hhM1avBaATYmJXReIL+EX/fsr5vMVt9bkH2AA+G41lM/lHdiI23&#10;+gO2fZ6iwsQMR+yO2l45j90y4r3gYj7PbtgMx+KFuXI8gafmGjvfRtvIPAR37PSkYTdyo/s9Tst3&#10;X89ed2/X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4a4H+3AAAAAsBAAAPAAAAAAAAAAEAIAAA&#10;ACIAAABkcnMvZG93bnJldi54bWxQSwECFAAUAAAACACHTuJAA56MD3oCAAADBQAADgAAAAAAAAAB&#10;ACAAAAArAQAAZHJzL2Uyb0RvYy54bWxQSwUGAAAAAAYABgBZAQAAFwYAAAAA&#10;" path="m0,29833l29833,29833,39052,0,48271,29833,78104,29833,53968,48271,63188,78104,39052,59666,14916,78104,24136,48271xe">
                      <v:path o:connectlocs="39052,0;0,29833;14916,78104;63188,78104;78104,29833" o:connectangles="247,164,82,82,0"/>
                      <v:fill on="t" focussize="0,0"/>
                      <v:stroke weight="1pt" color="#FF0000 [2404]" miterlimit="8" joinstyle="miter"/>
                      <v:imagedata o:title=""/>
                      <o:lock v:ext="edit" aspectratio="f"/>
                    </v:shape>
                  </w:pict>
                </mc:Fallback>
              </mc:AlternateContent>
            </w:r>
            <w:r>
              <w:rPr>
                <w:color w:val="auto"/>
                <w:highlight w:val="none"/>
              </w:rPr>
              <w:drawing>
                <wp:inline distT="0" distB="0" distL="114300" distR="114300">
                  <wp:extent cx="4435475" cy="2686685"/>
                  <wp:effectExtent l="9525" t="9525" r="12700" b="279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4435475" cy="2686685"/>
                          </a:xfrm>
                          <a:prstGeom prst="rect">
                            <a:avLst/>
                          </a:prstGeom>
                          <a:noFill/>
                          <a:ln>
                            <a:solidFill>
                              <a:schemeClr val="tx1"/>
                            </a:solidFill>
                          </a:ln>
                        </pic:spPr>
                      </pic:pic>
                    </a:graphicData>
                  </a:graphic>
                </wp:inline>
              </w:drawing>
            </w:r>
          </w:p>
          <w:p w14:paraId="0300F060">
            <w:pPr>
              <w:pStyle w:val="6"/>
              <w:bidi w:val="0"/>
              <w:rPr>
                <w:color w:val="auto"/>
                <w:highlight w:val="none"/>
              </w:rPr>
            </w:pPr>
            <w:r>
              <w:rPr>
                <w:color w:val="auto"/>
                <w:highlight w:val="none"/>
              </w:rPr>
              <w:t xml:space="preserve">图 </w:t>
            </w:r>
            <w:r>
              <w:rPr>
                <w:rFonts w:hint="eastAsia"/>
                <w:color w:val="auto"/>
                <w:highlight w:val="none"/>
              </w:rPr>
              <w:t>1-</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 xml:space="preserve"> </w:t>
            </w:r>
            <w:r>
              <w:rPr>
                <w:rFonts w:hint="eastAsia"/>
                <w:color w:val="auto"/>
                <w:highlight w:val="none"/>
                <w:lang w:val="en-US" w:eastAsia="zh-CN"/>
              </w:rPr>
              <w:t>本项目生态</w:t>
            </w:r>
            <w:r>
              <w:rPr>
                <w:color w:val="auto"/>
                <w:highlight w:val="none"/>
              </w:rPr>
              <w:t>管控单元图</w:t>
            </w:r>
          </w:p>
          <w:p w14:paraId="527C4B53">
            <w:pPr>
              <w:ind w:firstLine="480" w:firstLineChars="200"/>
              <w:rPr>
                <w:color w:val="auto"/>
                <w:highlight w:val="none"/>
              </w:rPr>
            </w:pPr>
            <w:r>
              <w:rPr>
                <w:rFonts w:hint="eastAsia"/>
                <w:color w:val="auto"/>
                <w:highlight w:val="none"/>
                <w:lang w:eastAsia="zh-CN"/>
              </w:rPr>
              <w:t>本项目与生态管控单元的符合性分析如下</w:t>
            </w:r>
            <w:r>
              <w:rPr>
                <w:color w:val="auto"/>
                <w:highlight w:val="none"/>
              </w:rPr>
              <w:t>：</w:t>
            </w:r>
          </w:p>
          <w:p w14:paraId="6919BA69">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lang w:val="en-US" w:eastAsia="zh-CN"/>
              </w:rPr>
              <w:t xml:space="preserve"> </w:t>
            </w:r>
            <w:r>
              <w:rPr>
                <w:color w:val="auto"/>
                <w:highlight w:val="none"/>
              </w:rPr>
              <w:t>本项目与生态管控单元符合性分析</w:t>
            </w:r>
          </w:p>
          <w:tbl>
            <w:tblPr>
              <w:tblStyle w:val="2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16"/>
              <w:gridCol w:w="2795"/>
              <w:gridCol w:w="2198"/>
              <w:gridCol w:w="815"/>
            </w:tblGrid>
            <w:tr w14:paraId="74A1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noWrap w:val="0"/>
                  <w:vAlign w:val="center"/>
                </w:tcPr>
                <w:p w14:paraId="0712B0E3">
                  <w:pPr>
                    <w:pStyle w:val="30"/>
                    <w:bidi w:val="0"/>
                    <w:rPr>
                      <w:rFonts w:hint="default"/>
                      <w:b/>
                      <w:bCs/>
                      <w:color w:val="auto"/>
                      <w:highlight w:val="none"/>
                    </w:rPr>
                  </w:pPr>
                  <w:r>
                    <w:rPr>
                      <w:rFonts w:hint="default"/>
                      <w:b/>
                      <w:bCs/>
                      <w:color w:val="auto"/>
                      <w:highlight w:val="none"/>
                      <w:lang w:val="en-US" w:eastAsia="zh-CN"/>
                    </w:rPr>
                    <w:t>区域管控要求</w:t>
                  </w:r>
                </w:p>
              </w:tc>
              <w:tc>
                <w:tcPr>
                  <w:tcW w:w="433" w:type="pct"/>
                  <w:noWrap w:val="0"/>
                  <w:vAlign w:val="center"/>
                </w:tcPr>
                <w:p w14:paraId="16C6A08F">
                  <w:pPr>
                    <w:pStyle w:val="30"/>
                    <w:bidi w:val="0"/>
                    <w:rPr>
                      <w:rFonts w:hint="default"/>
                      <w:b/>
                      <w:bCs/>
                      <w:color w:val="auto"/>
                      <w:highlight w:val="none"/>
                      <w:lang w:val="en-US" w:eastAsia="zh-CN"/>
                    </w:rPr>
                  </w:pPr>
                  <w:r>
                    <w:rPr>
                      <w:rFonts w:hint="default"/>
                      <w:b/>
                      <w:bCs/>
                      <w:color w:val="auto"/>
                      <w:highlight w:val="none"/>
                      <w:lang w:val="en-US" w:eastAsia="zh-CN"/>
                    </w:rPr>
                    <w:t>管控</w:t>
                  </w:r>
                </w:p>
                <w:p w14:paraId="0C5194D5">
                  <w:pPr>
                    <w:pStyle w:val="30"/>
                    <w:bidi w:val="0"/>
                    <w:rPr>
                      <w:rFonts w:hint="default"/>
                      <w:b/>
                      <w:bCs/>
                      <w:color w:val="auto"/>
                      <w:highlight w:val="none"/>
                    </w:rPr>
                  </w:pPr>
                  <w:r>
                    <w:rPr>
                      <w:rFonts w:hint="default"/>
                      <w:b/>
                      <w:bCs/>
                      <w:color w:val="auto"/>
                      <w:highlight w:val="none"/>
                      <w:lang w:val="en-US" w:eastAsia="zh-CN"/>
                    </w:rPr>
                    <w:t>类别</w:t>
                  </w:r>
                </w:p>
              </w:tc>
              <w:tc>
                <w:tcPr>
                  <w:tcW w:w="1965" w:type="pct"/>
                  <w:noWrap w:val="0"/>
                  <w:vAlign w:val="center"/>
                </w:tcPr>
                <w:p w14:paraId="58DD5749">
                  <w:pPr>
                    <w:pStyle w:val="30"/>
                    <w:bidi w:val="0"/>
                    <w:rPr>
                      <w:rFonts w:hint="default"/>
                      <w:b/>
                      <w:bCs/>
                      <w:color w:val="auto"/>
                      <w:highlight w:val="none"/>
                    </w:rPr>
                  </w:pPr>
                  <w:r>
                    <w:rPr>
                      <w:rFonts w:hint="default"/>
                      <w:b/>
                      <w:bCs/>
                      <w:color w:val="auto"/>
                      <w:highlight w:val="none"/>
                      <w:lang w:val="en-US" w:eastAsia="zh-CN"/>
                    </w:rPr>
                    <w:t>管控要求</w:t>
                  </w:r>
                </w:p>
              </w:tc>
              <w:tc>
                <w:tcPr>
                  <w:tcW w:w="1545" w:type="pct"/>
                  <w:noWrap w:val="0"/>
                  <w:vAlign w:val="center"/>
                </w:tcPr>
                <w:p w14:paraId="544C41F4">
                  <w:pPr>
                    <w:pStyle w:val="30"/>
                    <w:bidi w:val="0"/>
                    <w:rPr>
                      <w:rFonts w:hint="default"/>
                      <w:b/>
                      <w:bCs/>
                      <w:color w:val="auto"/>
                      <w:highlight w:val="none"/>
                    </w:rPr>
                  </w:pPr>
                  <w:r>
                    <w:rPr>
                      <w:rFonts w:hint="eastAsia"/>
                      <w:b/>
                      <w:bCs/>
                      <w:color w:val="auto"/>
                      <w:highlight w:val="none"/>
                      <w:lang w:val="en-US" w:eastAsia="zh-CN"/>
                    </w:rPr>
                    <w:t>符合</w:t>
                  </w:r>
                  <w:r>
                    <w:rPr>
                      <w:rFonts w:hint="default"/>
                      <w:b/>
                      <w:bCs/>
                      <w:color w:val="auto"/>
                      <w:highlight w:val="none"/>
                    </w:rPr>
                    <w:t>性分析</w:t>
                  </w:r>
                </w:p>
              </w:tc>
              <w:tc>
                <w:tcPr>
                  <w:tcW w:w="573" w:type="pct"/>
                  <w:noWrap w:val="0"/>
                  <w:vAlign w:val="center"/>
                </w:tcPr>
                <w:p w14:paraId="602DE4F0">
                  <w:pPr>
                    <w:pStyle w:val="30"/>
                    <w:bidi w:val="0"/>
                    <w:rPr>
                      <w:rFonts w:hint="default"/>
                      <w:b/>
                      <w:bCs/>
                      <w:color w:val="auto"/>
                      <w:highlight w:val="none"/>
                    </w:rPr>
                  </w:pPr>
                  <w:r>
                    <w:rPr>
                      <w:rFonts w:hint="default"/>
                      <w:b/>
                      <w:bCs/>
                      <w:color w:val="auto"/>
                      <w:highlight w:val="none"/>
                    </w:rPr>
                    <w:t>符合性分析</w:t>
                  </w:r>
                </w:p>
              </w:tc>
            </w:tr>
            <w:tr w14:paraId="4984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restart"/>
                  <w:noWrap w:val="0"/>
                  <w:vAlign w:val="center"/>
                </w:tcPr>
                <w:p w14:paraId="7EAD2637">
                  <w:pPr>
                    <w:pStyle w:val="30"/>
                    <w:bidi w:val="0"/>
                    <w:rPr>
                      <w:rFonts w:hint="eastAsia"/>
                      <w:color w:val="auto"/>
                      <w:highlight w:val="none"/>
                      <w:lang w:eastAsia="zh-CN"/>
                    </w:rPr>
                  </w:pPr>
                  <w:r>
                    <w:rPr>
                      <w:rFonts w:hint="default"/>
                      <w:color w:val="auto"/>
                      <w:highlight w:val="none"/>
                    </w:rPr>
                    <w:t>重点管控单元</w:t>
                  </w:r>
                  <w:r>
                    <w:rPr>
                      <w:rFonts w:hint="eastAsia"/>
                      <w:color w:val="auto"/>
                      <w:highlight w:val="none"/>
                      <w:lang w:val="en-US" w:eastAsia="zh-CN"/>
                    </w:rPr>
                    <w:t>6</w:t>
                  </w:r>
                </w:p>
              </w:tc>
              <w:tc>
                <w:tcPr>
                  <w:tcW w:w="433" w:type="pct"/>
                  <w:vMerge w:val="restart"/>
                  <w:noWrap w:val="0"/>
                  <w:vAlign w:val="center"/>
                </w:tcPr>
                <w:p w14:paraId="7BCD0365">
                  <w:pPr>
                    <w:pStyle w:val="30"/>
                    <w:bidi w:val="0"/>
                    <w:rPr>
                      <w:rFonts w:hint="default"/>
                      <w:color w:val="auto"/>
                      <w:highlight w:val="none"/>
                    </w:rPr>
                  </w:pPr>
                  <w:r>
                    <w:rPr>
                      <w:rFonts w:hint="default"/>
                      <w:color w:val="auto"/>
                      <w:highlight w:val="none"/>
                      <w:lang w:val="en-US" w:eastAsia="zh-CN"/>
                    </w:rPr>
                    <w:t>空间布局约束</w:t>
                  </w:r>
                </w:p>
              </w:tc>
              <w:tc>
                <w:tcPr>
                  <w:tcW w:w="1965" w:type="pct"/>
                  <w:noWrap w:val="0"/>
                  <w:vAlign w:val="center"/>
                </w:tcPr>
                <w:p w14:paraId="70F19265">
                  <w:pPr>
                    <w:pStyle w:val="30"/>
                    <w:bidi w:val="0"/>
                    <w:rPr>
                      <w:rFonts w:hint="default"/>
                      <w:color w:val="auto"/>
                      <w:highlight w:val="none"/>
                    </w:rPr>
                  </w:pPr>
                  <w:r>
                    <w:rPr>
                      <w:rFonts w:hint="default"/>
                      <w:color w:val="auto"/>
                      <w:highlight w:val="none"/>
                    </w:rPr>
                    <w:t>1在城市城区及其近郊禁止新建、扩建钢铁、有色、石化、水泥、化工等重污染企业。</w:t>
                  </w:r>
                </w:p>
              </w:tc>
              <w:tc>
                <w:tcPr>
                  <w:tcW w:w="1545" w:type="pct"/>
                  <w:noWrap w:val="0"/>
                  <w:vAlign w:val="center"/>
                </w:tcPr>
                <w:p w14:paraId="4F53212A">
                  <w:pPr>
                    <w:pStyle w:val="30"/>
                    <w:bidi w:val="0"/>
                    <w:rPr>
                      <w:rFonts w:hint="default"/>
                      <w:color w:val="auto"/>
                      <w:highlight w:val="none"/>
                    </w:rPr>
                  </w:pPr>
                  <w:r>
                    <w:rPr>
                      <w:rFonts w:hint="eastAsia"/>
                      <w:color w:val="auto"/>
                      <w:highlight w:val="none"/>
                      <w:lang w:val="en-US" w:eastAsia="zh-CN"/>
                    </w:rPr>
                    <w:t>本项目</w:t>
                  </w:r>
                  <w:r>
                    <w:rPr>
                      <w:rFonts w:hint="eastAsia"/>
                      <w:color w:val="auto"/>
                      <w:highlight w:val="none"/>
                    </w:rPr>
                    <w:t>主要建设内容为</w:t>
                  </w:r>
                  <w:r>
                    <w:rPr>
                      <w:rFonts w:hint="eastAsia"/>
                      <w:color w:val="auto"/>
                      <w:highlight w:val="none"/>
                      <w:lang w:eastAsia="zh-CN"/>
                    </w:rPr>
                    <w:t>安成城市综合交通驿站</w:t>
                  </w:r>
                  <w:r>
                    <w:rPr>
                      <w:rFonts w:hint="eastAsia"/>
                      <w:color w:val="auto"/>
                      <w:highlight w:val="none"/>
                      <w:lang w:val="en-US" w:eastAsia="zh-CN"/>
                    </w:rPr>
                    <w:t>，不涉及前述行业</w:t>
                  </w:r>
                  <w:r>
                    <w:rPr>
                      <w:rFonts w:hint="default"/>
                      <w:color w:val="auto"/>
                      <w:highlight w:val="none"/>
                      <w:lang w:val="en-US" w:eastAsia="zh-CN"/>
                    </w:rPr>
                    <w:t>。</w:t>
                  </w:r>
                </w:p>
              </w:tc>
              <w:tc>
                <w:tcPr>
                  <w:tcW w:w="573" w:type="pct"/>
                  <w:noWrap w:val="0"/>
                  <w:vAlign w:val="center"/>
                </w:tcPr>
                <w:p w14:paraId="6FFF6395">
                  <w:pPr>
                    <w:pStyle w:val="30"/>
                    <w:bidi w:val="0"/>
                    <w:rPr>
                      <w:rFonts w:hint="default"/>
                      <w:color w:val="auto"/>
                      <w:highlight w:val="none"/>
                    </w:rPr>
                  </w:pPr>
                  <w:r>
                    <w:rPr>
                      <w:rFonts w:hint="default"/>
                      <w:color w:val="auto"/>
                      <w:highlight w:val="none"/>
                    </w:rPr>
                    <w:t>符合</w:t>
                  </w:r>
                </w:p>
              </w:tc>
            </w:tr>
            <w:tr w14:paraId="1708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0F5219B5">
                  <w:pPr>
                    <w:pStyle w:val="30"/>
                    <w:bidi w:val="0"/>
                    <w:rPr>
                      <w:rFonts w:hint="default"/>
                      <w:color w:val="auto"/>
                      <w:highlight w:val="none"/>
                    </w:rPr>
                  </w:pPr>
                </w:p>
              </w:tc>
              <w:tc>
                <w:tcPr>
                  <w:tcW w:w="433" w:type="pct"/>
                  <w:vMerge w:val="continue"/>
                  <w:noWrap w:val="0"/>
                  <w:vAlign w:val="center"/>
                </w:tcPr>
                <w:p w14:paraId="202AD433">
                  <w:pPr>
                    <w:pStyle w:val="30"/>
                    <w:bidi w:val="0"/>
                    <w:rPr>
                      <w:rFonts w:hint="default"/>
                      <w:color w:val="auto"/>
                      <w:highlight w:val="none"/>
                      <w:lang w:val="en-US" w:eastAsia="zh-CN"/>
                    </w:rPr>
                  </w:pPr>
                </w:p>
              </w:tc>
              <w:tc>
                <w:tcPr>
                  <w:tcW w:w="1965" w:type="pct"/>
                  <w:noWrap w:val="0"/>
                  <w:vAlign w:val="center"/>
                </w:tcPr>
                <w:p w14:paraId="1CA41DAA">
                  <w:pPr>
                    <w:pStyle w:val="30"/>
                    <w:bidi w:val="0"/>
                    <w:rPr>
                      <w:rFonts w:hint="default"/>
                      <w:color w:val="auto"/>
                      <w:highlight w:val="none"/>
                    </w:rPr>
                  </w:pPr>
                  <w:r>
                    <w:rPr>
                      <w:rFonts w:hint="default"/>
                      <w:color w:val="auto"/>
                      <w:highlight w:val="none"/>
                    </w:rPr>
                    <w:t>2禁止新建燃料类煤气发生炉（园区现有企业统一建设的清洁煤制气中心除外）。</w:t>
                  </w:r>
                </w:p>
              </w:tc>
              <w:tc>
                <w:tcPr>
                  <w:tcW w:w="1545" w:type="pct"/>
                  <w:noWrap w:val="0"/>
                  <w:vAlign w:val="center"/>
                </w:tcPr>
                <w:p w14:paraId="78D27636">
                  <w:pPr>
                    <w:pStyle w:val="30"/>
                    <w:bidi w:val="0"/>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不使用煤气发生炉</w:t>
                  </w:r>
                </w:p>
              </w:tc>
              <w:tc>
                <w:tcPr>
                  <w:tcW w:w="573" w:type="pct"/>
                  <w:noWrap w:val="0"/>
                  <w:vAlign w:val="center"/>
                </w:tcPr>
                <w:p w14:paraId="4DBE6D1E">
                  <w:pPr>
                    <w:pStyle w:val="30"/>
                    <w:bidi w:val="0"/>
                    <w:rPr>
                      <w:rFonts w:hint="default"/>
                      <w:color w:val="auto"/>
                      <w:highlight w:val="none"/>
                    </w:rPr>
                  </w:pPr>
                  <w:r>
                    <w:rPr>
                      <w:rFonts w:hint="default"/>
                      <w:color w:val="auto"/>
                      <w:highlight w:val="none"/>
                    </w:rPr>
                    <w:t>符合</w:t>
                  </w:r>
                </w:p>
              </w:tc>
            </w:tr>
            <w:tr w14:paraId="052E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36766B4B">
                  <w:pPr>
                    <w:pStyle w:val="30"/>
                    <w:bidi w:val="0"/>
                    <w:rPr>
                      <w:rFonts w:hint="default"/>
                      <w:color w:val="auto"/>
                      <w:highlight w:val="none"/>
                    </w:rPr>
                  </w:pPr>
                </w:p>
              </w:tc>
              <w:tc>
                <w:tcPr>
                  <w:tcW w:w="433" w:type="pct"/>
                  <w:vMerge w:val="continue"/>
                  <w:noWrap w:val="0"/>
                  <w:vAlign w:val="center"/>
                </w:tcPr>
                <w:p w14:paraId="3D1BB8A9">
                  <w:pPr>
                    <w:pStyle w:val="30"/>
                    <w:bidi w:val="0"/>
                    <w:rPr>
                      <w:rFonts w:hint="default"/>
                      <w:color w:val="auto"/>
                      <w:highlight w:val="none"/>
                      <w:lang w:val="en-US" w:eastAsia="zh-CN"/>
                    </w:rPr>
                  </w:pPr>
                </w:p>
              </w:tc>
              <w:tc>
                <w:tcPr>
                  <w:tcW w:w="1965" w:type="pct"/>
                  <w:noWrap w:val="0"/>
                  <w:vAlign w:val="center"/>
                </w:tcPr>
                <w:p w14:paraId="0AF7A08F">
                  <w:pPr>
                    <w:pStyle w:val="30"/>
                    <w:bidi w:val="0"/>
                    <w:rPr>
                      <w:rFonts w:hint="default"/>
                      <w:color w:val="auto"/>
                      <w:highlight w:val="none"/>
                    </w:rPr>
                  </w:pPr>
                  <w:r>
                    <w:rPr>
                      <w:rFonts w:hint="default"/>
                      <w:color w:val="auto"/>
                      <w:highlight w:val="none"/>
                    </w:rPr>
                    <w:t>3严禁新增钢铁、焦化、电解铝、铸造、水泥和平板玻璃等产能；严格执行钢铁、水泥、平板玻璃等行业产能置换实施办法。</w:t>
                  </w:r>
                </w:p>
              </w:tc>
              <w:tc>
                <w:tcPr>
                  <w:tcW w:w="1545" w:type="pct"/>
                  <w:noWrap w:val="0"/>
                  <w:vAlign w:val="center"/>
                </w:tcPr>
                <w:p w14:paraId="495C956D">
                  <w:pPr>
                    <w:pStyle w:val="30"/>
                    <w:bidi w:val="0"/>
                    <w:rPr>
                      <w:rFonts w:hint="default"/>
                      <w:color w:val="auto"/>
                      <w:highlight w:val="none"/>
                      <w:lang w:val="en-US" w:eastAsia="zh-CN"/>
                    </w:rPr>
                  </w:pPr>
                  <w:r>
                    <w:rPr>
                      <w:rFonts w:hint="eastAsia"/>
                      <w:color w:val="auto"/>
                      <w:highlight w:val="none"/>
                      <w:lang w:val="en-US" w:eastAsia="zh-CN"/>
                    </w:rPr>
                    <w:t>本项目</w:t>
                  </w:r>
                  <w:r>
                    <w:rPr>
                      <w:rFonts w:hint="eastAsia"/>
                      <w:color w:val="auto"/>
                      <w:highlight w:val="none"/>
                    </w:rPr>
                    <w:t>主要建设内容为</w:t>
                  </w:r>
                  <w:r>
                    <w:rPr>
                      <w:rFonts w:hint="eastAsia"/>
                      <w:color w:val="auto"/>
                      <w:highlight w:val="none"/>
                      <w:lang w:eastAsia="zh-CN"/>
                    </w:rPr>
                    <w:t>安成城市综合交通驿站</w:t>
                  </w:r>
                  <w:r>
                    <w:rPr>
                      <w:rFonts w:hint="eastAsia"/>
                      <w:color w:val="auto"/>
                      <w:highlight w:val="none"/>
                      <w:lang w:val="en-US" w:eastAsia="zh-CN"/>
                    </w:rPr>
                    <w:t>，不属于钢铁、焦化、电解铝、铸造、水泥和平板玻璃制造产业。</w:t>
                  </w:r>
                </w:p>
              </w:tc>
              <w:tc>
                <w:tcPr>
                  <w:tcW w:w="573" w:type="pct"/>
                  <w:noWrap w:val="0"/>
                  <w:vAlign w:val="center"/>
                </w:tcPr>
                <w:p w14:paraId="1795141B">
                  <w:pPr>
                    <w:pStyle w:val="30"/>
                    <w:bidi w:val="0"/>
                    <w:rPr>
                      <w:rFonts w:hint="default"/>
                      <w:color w:val="auto"/>
                      <w:highlight w:val="none"/>
                    </w:rPr>
                  </w:pPr>
                  <w:r>
                    <w:rPr>
                      <w:rFonts w:hint="default"/>
                      <w:color w:val="auto"/>
                      <w:highlight w:val="none"/>
                    </w:rPr>
                    <w:t>符合</w:t>
                  </w:r>
                </w:p>
              </w:tc>
            </w:tr>
            <w:tr w14:paraId="51FE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12D18064">
                  <w:pPr>
                    <w:pStyle w:val="30"/>
                    <w:bidi w:val="0"/>
                    <w:rPr>
                      <w:rFonts w:hint="default"/>
                      <w:color w:val="auto"/>
                      <w:highlight w:val="none"/>
                    </w:rPr>
                  </w:pPr>
                </w:p>
              </w:tc>
              <w:tc>
                <w:tcPr>
                  <w:tcW w:w="433" w:type="pct"/>
                  <w:vMerge w:val="continue"/>
                  <w:noWrap w:val="0"/>
                  <w:vAlign w:val="center"/>
                </w:tcPr>
                <w:p w14:paraId="32C072E9">
                  <w:pPr>
                    <w:pStyle w:val="30"/>
                    <w:bidi w:val="0"/>
                    <w:rPr>
                      <w:rFonts w:hint="default"/>
                      <w:color w:val="auto"/>
                      <w:highlight w:val="none"/>
                      <w:lang w:val="en-US" w:eastAsia="zh-CN"/>
                    </w:rPr>
                  </w:pPr>
                </w:p>
              </w:tc>
              <w:tc>
                <w:tcPr>
                  <w:tcW w:w="1965" w:type="pct"/>
                  <w:noWrap w:val="0"/>
                  <w:vAlign w:val="center"/>
                </w:tcPr>
                <w:p w14:paraId="292509D6">
                  <w:pPr>
                    <w:pStyle w:val="30"/>
                    <w:bidi w:val="0"/>
                    <w:rPr>
                      <w:rFonts w:hint="default"/>
                      <w:color w:val="auto"/>
                      <w:highlight w:val="none"/>
                    </w:rPr>
                  </w:pPr>
                  <w:r>
                    <w:rPr>
                      <w:rFonts w:hint="default"/>
                      <w:color w:val="auto"/>
                      <w:highlight w:val="none"/>
                    </w:rPr>
                    <w:t>4严格执行国家关于</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产业准入目录和产能总量控制政策措施。严禁新增钢铁、焦化、电解铝、铸造、水泥和平板玻璃等产能；新、改、扩建涉及大宗物料运输的建设项目，原则上不得采用公路运输。</w:t>
                  </w:r>
                </w:p>
              </w:tc>
              <w:tc>
                <w:tcPr>
                  <w:tcW w:w="1545" w:type="pct"/>
                  <w:noWrap w:val="0"/>
                  <w:vAlign w:val="center"/>
                </w:tcPr>
                <w:p w14:paraId="14BF20FE">
                  <w:pPr>
                    <w:pStyle w:val="30"/>
                    <w:bidi w:val="0"/>
                    <w:rPr>
                      <w:rFonts w:hint="eastAsia"/>
                      <w:color w:val="auto"/>
                      <w:highlight w:val="none"/>
                      <w:lang w:val="en-US" w:eastAsia="zh-CN"/>
                    </w:rPr>
                  </w:pPr>
                  <w:r>
                    <w:rPr>
                      <w:rFonts w:hint="eastAsia"/>
                      <w:color w:val="auto"/>
                      <w:highlight w:val="none"/>
                      <w:lang w:val="en-US" w:eastAsia="zh-CN"/>
                    </w:rPr>
                    <w:t>对照《安徽省“两高”项目管理目录（试行）》，本项目不属于“两高”项目。</w:t>
                  </w:r>
                </w:p>
              </w:tc>
              <w:tc>
                <w:tcPr>
                  <w:tcW w:w="573" w:type="pct"/>
                  <w:noWrap w:val="0"/>
                  <w:vAlign w:val="center"/>
                </w:tcPr>
                <w:p w14:paraId="5269FF95">
                  <w:pPr>
                    <w:pStyle w:val="30"/>
                    <w:bidi w:val="0"/>
                    <w:rPr>
                      <w:rFonts w:hint="default"/>
                      <w:color w:val="auto"/>
                      <w:highlight w:val="none"/>
                    </w:rPr>
                  </w:pPr>
                  <w:r>
                    <w:rPr>
                      <w:rFonts w:hint="default"/>
                      <w:color w:val="auto"/>
                      <w:highlight w:val="none"/>
                    </w:rPr>
                    <w:t>符合</w:t>
                  </w:r>
                </w:p>
              </w:tc>
            </w:tr>
            <w:tr w14:paraId="6306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496EB411">
                  <w:pPr>
                    <w:pStyle w:val="30"/>
                    <w:bidi w:val="0"/>
                    <w:rPr>
                      <w:rFonts w:hint="default"/>
                      <w:color w:val="auto"/>
                      <w:highlight w:val="none"/>
                    </w:rPr>
                  </w:pPr>
                </w:p>
              </w:tc>
              <w:tc>
                <w:tcPr>
                  <w:tcW w:w="433" w:type="pct"/>
                  <w:vMerge w:val="continue"/>
                  <w:noWrap w:val="0"/>
                  <w:vAlign w:val="center"/>
                </w:tcPr>
                <w:p w14:paraId="7E90475B">
                  <w:pPr>
                    <w:pStyle w:val="30"/>
                    <w:bidi w:val="0"/>
                    <w:rPr>
                      <w:rFonts w:hint="default"/>
                      <w:color w:val="auto"/>
                      <w:highlight w:val="none"/>
                      <w:lang w:val="en-US" w:eastAsia="zh-CN"/>
                    </w:rPr>
                  </w:pPr>
                </w:p>
              </w:tc>
              <w:tc>
                <w:tcPr>
                  <w:tcW w:w="1965" w:type="pct"/>
                  <w:noWrap w:val="0"/>
                  <w:vAlign w:val="center"/>
                </w:tcPr>
                <w:p w14:paraId="680C5B1F">
                  <w:pPr>
                    <w:pStyle w:val="30"/>
                    <w:bidi w:val="0"/>
                    <w:rPr>
                      <w:rFonts w:hint="default"/>
                      <w:color w:val="auto"/>
                      <w:highlight w:val="none"/>
                    </w:rPr>
                  </w:pPr>
                  <w:r>
                    <w:rPr>
                      <w:rFonts w:hint="default"/>
                      <w:color w:val="auto"/>
                      <w:highlight w:val="none"/>
                    </w:rPr>
                    <w:t>7非电行业新建项目，禁止配套建设自备纯凝、抽凝燃煤电站。</w:t>
                  </w:r>
                </w:p>
              </w:tc>
              <w:tc>
                <w:tcPr>
                  <w:tcW w:w="1545" w:type="pct"/>
                  <w:noWrap w:val="0"/>
                  <w:vAlign w:val="center"/>
                </w:tcPr>
                <w:p w14:paraId="222857A6">
                  <w:pPr>
                    <w:pStyle w:val="30"/>
                    <w:bidi w:val="0"/>
                    <w:rPr>
                      <w:rFonts w:hint="default"/>
                      <w:color w:val="auto"/>
                      <w:highlight w:val="none"/>
                      <w:lang w:val="en-US" w:eastAsia="zh-CN"/>
                    </w:rPr>
                  </w:pPr>
                  <w:r>
                    <w:rPr>
                      <w:rFonts w:hint="eastAsia"/>
                      <w:color w:val="auto"/>
                      <w:highlight w:val="none"/>
                      <w:lang w:val="en-US" w:eastAsia="zh-CN"/>
                    </w:rPr>
                    <w:t>本项目不建设燃煤电站。</w:t>
                  </w:r>
                </w:p>
              </w:tc>
              <w:tc>
                <w:tcPr>
                  <w:tcW w:w="573" w:type="pct"/>
                  <w:noWrap w:val="0"/>
                  <w:vAlign w:val="center"/>
                </w:tcPr>
                <w:p w14:paraId="0B8B7D2A">
                  <w:pPr>
                    <w:pStyle w:val="30"/>
                    <w:bidi w:val="0"/>
                    <w:rPr>
                      <w:rFonts w:hint="default"/>
                      <w:color w:val="auto"/>
                      <w:highlight w:val="none"/>
                    </w:rPr>
                  </w:pPr>
                  <w:r>
                    <w:rPr>
                      <w:rFonts w:hint="default"/>
                      <w:color w:val="auto"/>
                      <w:highlight w:val="none"/>
                    </w:rPr>
                    <w:t>符合</w:t>
                  </w:r>
                </w:p>
              </w:tc>
            </w:tr>
            <w:tr w14:paraId="60D0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57B0B9CB">
                  <w:pPr>
                    <w:pStyle w:val="30"/>
                    <w:bidi w:val="0"/>
                    <w:rPr>
                      <w:rFonts w:hint="default"/>
                      <w:color w:val="auto"/>
                      <w:highlight w:val="none"/>
                    </w:rPr>
                  </w:pPr>
                </w:p>
              </w:tc>
              <w:tc>
                <w:tcPr>
                  <w:tcW w:w="433" w:type="pct"/>
                  <w:vMerge w:val="continue"/>
                  <w:noWrap w:val="0"/>
                  <w:vAlign w:val="center"/>
                </w:tcPr>
                <w:p w14:paraId="0EBEBCD2">
                  <w:pPr>
                    <w:pStyle w:val="30"/>
                    <w:bidi w:val="0"/>
                    <w:rPr>
                      <w:rFonts w:hint="default"/>
                      <w:color w:val="auto"/>
                      <w:highlight w:val="none"/>
                    </w:rPr>
                  </w:pPr>
                </w:p>
              </w:tc>
              <w:tc>
                <w:tcPr>
                  <w:tcW w:w="1965" w:type="pct"/>
                  <w:noWrap w:val="0"/>
                  <w:vAlign w:val="center"/>
                </w:tcPr>
                <w:p w14:paraId="049AF910">
                  <w:pPr>
                    <w:pStyle w:val="30"/>
                    <w:bidi w:val="0"/>
                    <w:rPr>
                      <w:rFonts w:hint="default"/>
                      <w:color w:val="auto"/>
                      <w:highlight w:val="none"/>
                    </w:rPr>
                  </w:pPr>
                  <w:r>
                    <w:rPr>
                      <w:rFonts w:hint="default"/>
                      <w:color w:val="auto"/>
                      <w:highlight w:val="none"/>
                    </w:rPr>
                    <w:t>9严格控制新增</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项目审批，认真分析评估拟建项目必要性、可行性和对产业高质量发展、能耗双控、碳排放和环境质量的影响，严格审查项目是否符合产业政策、产业规划、</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、规划环评要求，是否依法依规落实产能置换、能耗置换、煤炭消费减量替代、污染物排放区域削减等要求。对已建成投产的存量</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项目，有节能减排潜力的加快改造升级，属于落后产能的加快淘汰。</w:t>
                  </w:r>
                </w:p>
              </w:tc>
              <w:tc>
                <w:tcPr>
                  <w:tcW w:w="1545" w:type="pct"/>
                  <w:noWrap w:val="0"/>
                  <w:vAlign w:val="center"/>
                </w:tcPr>
                <w:p w14:paraId="0712D83C">
                  <w:pPr>
                    <w:pStyle w:val="30"/>
                    <w:bidi w:val="0"/>
                    <w:rPr>
                      <w:rFonts w:hint="default"/>
                      <w:color w:val="auto"/>
                      <w:highlight w:val="none"/>
                      <w:lang w:val="en-US"/>
                    </w:rPr>
                  </w:pPr>
                  <w:r>
                    <w:rPr>
                      <w:rFonts w:hint="default"/>
                      <w:color w:val="auto"/>
                      <w:highlight w:val="none"/>
                      <w:lang w:val="en-US" w:eastAsia="zh-CN"/>
                    </w:rPr>
                    <w:t>本项目</w:t>
                  </w:r>
                  <w:r>
                    <w:rPr>
                      <w:rFonts w:hint="eastAsia"/>
                      <w:color w:val="auto"/>
                      <w:highlight w:val="none"/>
                      <w:lang w:val="en-US" w:eastAsia="zh-CN"/>
                    </w:rPr>
                    <w:t>不属于“两高”项目。</w:t>
                  </w:r>
                </w:p>
              </w:tc>
              <w:tc>
                <w:tcPr>
                  <w:tcW w:w="573" w:type="pct"/>
                  <w:noWrap w:val="0"/>
                  <w:vAlign w:val="center"/>
                </w:tcPr>
                <w:p w14:paraId="27B5C5E8">
                  <w:pPr>
                    <w:pStyle w:val="30"/>
                    <w:bidi w:val="0"/>
                    <w:rPr>
                      <w:rFonts w:hint="default"/>
                      <w:color w:val="auto"/>
                      <w:highlight w:val="none"/>
                    </w:rPr>
                  </w:pPr>
                  <w:r>
                    <w:rPr>
                      <w:rFonts w:hint="default"/>
                      <w:color w:val="auto"/>
                      <w:highlight w:val="none"/>
                    </w:rPr>
                    <w:t>符合</w:t>
                  </w:r>
                </w:p>
              </w:tc>
            </w:tr>
            <w:tr w14:paraId="2237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57DB4DBB">
                  <w:pPr>
                    <w:pStyle w:val="30"/>
                    <w:bidi w:val="0"/>
                    <w:rPr>
                      <w:rFonts w:hint="default"/>
                      <w:color w:val="auto"/>
                      <w:highlight w:val="none"/>
                    </w:rPr>
                  </w:pPr>
                </w:p>
              </w:tc>
              <w:tc>
                <w:tcPr>
                  <w:tcW w:w="433" w:type="pct"/>
                  <w:vMerge w:val="continue"/>
                  <w:noWrap w:val="0"/>
                  <w:vAlign w:val="center"/>
                </w:tcPr>
                <w:p w14:paraId="4D3B77A8">
                  <w:pPr>
                    <w:pStyle w:val="30"/>
                    <w:bidi w:val="0"/>
                    <w:rPr>
                      <w:rFonts w:hint="default"/>
                      <w:color w:val="auto"/>
                      <w:highlight w:val="none"/>
                    </w:rPr>
                  </w:pPr>
                </w:p>
              </w:tc>
              <w:tc>
                <w:tcPr>
                  <w:tcW w:w="1965" w:type="pct"/>
                  <w:noWrap w:val="0"/>
                  <w:vAlign w:val="center"/>
                </w:tcPr>
                <w:p w14:paraId="57B1E2E4">
                  <w:pPr>
                    <w:pStyle w:val="30"/>
                    <w:bidi w:val="0"/>
                    <w:rPr>
                      <w:rFonts w:hint="default"/>
                      <w:color w:val="auto"/>
                      <w:highlight w:val="none"/>
                    </w:rPr>
                  </w:pPr>
                  <w:r>
                    <w:rPr>
                      <w:rFonts w:hint="default"/>
                      <w:color w:val="auto"/>
                      <w:highlight w:val="none"/>
                    </w:rPr>
                    <w:t>12禁止新建、扩建分散燃煤供热锅炉。</w:t>
                  </w:r>
                </w:p>
              </w:tc>
              <w:tc>
                <w:tcPr>
                  <w:tcW w:w="1545" w:type="pct"/>
                  <w:noWrap w:val="0"/>
                  <w:vAlign w:val="center"/>
                </w:tcPr>
                <w:p w14:paraId="12BE3B0D">
                  <w:pPr>
                    <w:pStyle w:val="30"/>
                    <w:bidi w:val="0"/>
                    <w:rPr>
                      <w:rFonts w:hint="default"/>
                      <w:color w:val="auto"/>
                      <w:highlight w:val="none"/>
                      <w:lang w:val="en-US" w:eastAsia="zh-CN"/>
                    </w:rPr>
                  </w:pPr>
                  <w:r>
                    <w:rPr>
                      <w:rFonts w:hint="eastAsia"/>
                      <w:color w:val="auto"/>
                      <w:highlight w:val="none"/>
                      <w:lang w:val="en-US" w:eastAsia="zh-CN"/>
                    </w:rPr>
                    <w:t>本项目生产不涉及燃煤。</w:t>
                  </w:r>
                </w:p>
              </w:tc>
              <w:tc>
                <w:tcPr>
                  <w:tcW w:w="573" w:type="pct"/>
                  <w:noWrap w:val="0"/>
                  <w:vAlign w:val="center"/>
                </w:tcPr>
                <w:p w14:paraId="5629AFD4">
                  <w:pPr>
                    <w:pStyle w:val="30"/>
                    <w:bidi w:val="0"/>
                    <w:rPr>
                      <w:rFonts w:hint="default"/>
                      <w:color w:val="auto"/>
                      <w:highlight w:val="none"/>
                    </w:rPr>
                  </w:pPr>
                  <w:r>
                    <w:rPr>
                      <w:rFonts w:hint="default"/>
                      <w:color w:val="auto"/>
                      <w:highlight w:val="none"/>
                    </w:rPr>
                    <w:t>符合</w:t>
                  </w:r>
                </w:p>
              </w:tc>
            </w:tr>
            <w:tr w14:paraId="22FC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56363796">
                  <w:pPr>
                    <w:pStyle w:val="30"/>
                    <w:bidi w:val="0"/>
                    <w:rPr>
                      <w:rFonts w:hint="default"/>
                      <w:color w:val="auto"/>
                      <w:highlight w:val="none"/>
                    </w:rPr>
                  </w:pPr>
                </w:p>
              </w:tc>
              <w:tc>
                <w:tcPr>
                  <w:tcW w:w="433" w:type="pct"/>
                  <w:vMerge w:val="continue"/>
                  <w:noWrap w:val="0"/>
                  <w:vAlign w:val="center"/>
                </w:tcPr>
                <w:p w14:paraId="0C7DEBBC">
                  <w:pPr>
                    <w:pStyle w:val="30"/>
                    <w:bidi w:val="0"/>
                    <w:rPr>
                      <w:rFonts w:hint="default"/>
                      <w:color w:val="auto"/>
                      <w:highlight w:val="none"/>
                    </w:rPr>
                  </w:pPr>
                </w:p>
              </w:tc>
              <w:tc>
                <w:tcPr>
                  <w:tcW w:w="1965" w:type="pct"/>
                  <w:noWrap w:val="0"/>
                  <w:vAlign w:val="center"/>
                </w:tcPr>
                <w:p w14:paraId="0DBC00FD">
                  <w:pPr>
                    <w:pStyle w:val="30"/>
                    <w:bidi w:val="0"/>
                    <w:rPr>
                      <w:rFonts w:hint="default"/>
                      <w:color w:val="auto"/>
                      <w:highlight w:val="none"/>
                    </w:rPr>
                  </w:pPr>
                  <w:r>
                    <w:rPr>
                      <w:rFonts w:hint="default"/>
                      <w:color w:val="auto"/>
                      <w:highlight w:val="none"/>
                    </w:rPr>
                    <w:t>13在城市规划区内禁止新建、扩建大气污染严重的建设项目。</w:t>
                  </w:r>
                </w:p>
              </w:tc>
              <w:tc>
                <w:tcPr>
                  <w:tcW w:w="1545" w:type="pct"/>
                  <w:noWrap w:val="0"/>
                  <w:vAlign w:val="center"/>
                </w:tcPr>
                <w:p w14:paraId="11A8633F">
                  <w:pPr>
                    <w:pStyle w:val="30"/>
                    <w:bidi w:val="0"/>
                    <w:rPr>
                      <w:rFonts w:hint="default"/>
                      <w:color w:val="auto"/>
                      <w:highlight w:val="none"/>
                      <w:lang w:val="en-US" w:eastAsia="zh-CN"/>
                    </w:rPr>
                  </w:pPr>
                  <w:r>
                    <w:rPr>
                      <w:rFonts w:hint="eastAsia"/>
                      <w:color w:val="auto"/>
                      <w:highlight w:val="none"/>
                      <w:lang w:val="en-US" w:eastAsia="zh-CN"/>
                    </w:rPr>
                    <w:t>本项目营运期会产生挥发性有机物，配套废气处理设备，确保达标排放，不属于新建大气污染严重项目。</w:t>
                  </w:r>
                </w:p>
              </w:tc>
              <w:tc>
                <w:tcPr>
                  <w:tcW w:w="573" w:type="pct"/>
                  <w:noWrap w:val="0"/>
                  <w:vAlign w:val="center"/>
                </w:tcPr>
                <w:p w14:paraId="10F9C785">
                  <w:pPr>
                    <w:pStyle w:val="30"/>
                    <w:bidi w:val="0"/>
                    <w:rPr>
                      <w:rFonts w:hint="default"/>
                      <w:color w:val="auto"/>
                      <w:highlight w:val="none"/>
                    </w:rPr>
                  </w:pPr>
                  <w:r>
                    <w:rPr>
                      <w:rFonts w:hint="default"/>
                      <w:color w:val="auto"/>
                      <w:highlight w:val="none"/>
                    </w:rPr>
                    <w:t>符合</w:t>
                  </w:r>
                </w:p>
              </w:tc>
            </w:tr>
            <w:tr w14:paraId="58B1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06961CC3">
                  <w:pPr>
                    <w:pStyle w:val="30"/>
                    <w:bidi w:val="0"/>
                    <w:rPr>
                      <w:rFonts w:hint="default"/>
                      <w:color w:val="auto"/>
                      <w:highlight w:val="none"/>
                    </w:rPr>
                  </w:pPr>
                </w:p>
              </w:tc>
              <w:tc>
                <w:tcPr>
                  <w:tcW w:w="433" w:type="pct"/>
                  <w:vMerge w:val="continue"/>
                  <w:noWrap w:val="0"/>
                  <w:vAlign w:val="center"/>
                </w:tcPr>
                <w:p w14:paraId="2307A7FF">
                  <w:pPr>
                    <w:pStyle w:val="30"/>
                    <w:bidi w:val="0"/>
                    <w:rPr>
                      <w:rFonts w:hint="default"/>
                      <w:color w:val="auto"/>
                      <w:highlight w:val="none"/>
                    </w:rPr>
                  </w:pPr>
                </w:p>
              </w:tc>
              <w:tc>
                <w:tcPr>
                  <w:tcW w:w="1965" w:type="pct"/>
                  <w:shd w:val="clear" w:color="auto" w:fill="auto"/>
                  <w:noWrap w:val="0"/>
                  <w:vAlign w:val="center"/>
                </w:tcPr>
                <w:p w14:paraId="69757304">
                  <w:pPr>
                    <w:pStyle w:val="30"/>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rPr>
                    <w:t>6在燃气管网和集中供热管网覆盖的区域，不得新建、扩建、改建燃烧煤炭、重油、渣油的供热设施；原有分散的中小型燃煤供热锅炉应当限期拆除。</w:t>
                  </w:r>
                </w:p>
              </w:tc>
              <w:tc>
                <w:tcPr>
                  <w:tcW w:w="1545" w:type="pct"/>
                  <w:shd w:val="clear" w:color="auto" w:fill="auto"/>
                  <w:noWrap w:val="0"/>
                  <w:vAlign w:val="center"/>
                </w:tcPr>
                <w:p w14:paraId="14AACA20">
                  <w:pPr>
                    <w:pStyle w:val="30"/>
                    <w:bidi w:val="0"/>
                    <w:rPr>
                      <w:rFonts w:hint="default"/>
                      <w:color w:val="auto"/>
                      <w:highlight w:val="none"/>
                      <w:lang w:val="en-US" w:eastAsia="zh-CN"/>
                    </w:rPr>
                  </w:pPr>
                  <w:r>
                    <w:rPr>
                      <w:rFonts w:hint="eastAsia"/>
                      <w:color w:val="auto"/>
                      <w:highlight w:val="none"/>
                      <w:lang w:val="en-US" w:eastAsia="zh-CN"/>
                    </w:rPr>
                    <w:t>本项目生产能源主要电能，不涉及煤炭、重油、渣油等燃料使用。</w:t>
                  </w:r>
                </w:p>
              </w:tc>
              <w:tc>
                <w:tcPr>
                  <w:tcW w:w="573" w:type="pct"/>
                  <w:noWrap w:val="0"/>
                  <w:vAlign w:val="center"/>
                </w:tcPr>
                <w:p w14:paraId="0CC9D513">
                  <w:pPr>
                    <w:pStyle w:val="30"/>
                    <w:bidi w:val="0"/>
                    <w:rPr>
                      <w:rFonts w:hint="eastAsia"/>
                      <w:color w:val="auto"/>
                      <w:highlight w:val="none"/>
                      <w:lang w:val="en-US" w:eastAsia="zh-CN"/>
                    </w:rPr>
                  </w:pPr>
                  <w:r>
                    <w:rPr>
                      <w:rFonts w:hint="eastAsia"/>
                      <w:color w:val="auto"/>
                      <w:highlight w:val="none"/>
                      <w:lang w:val="en-US" w:eastAsia="zh-CN"/>
                    </w:rPr>
                    <w:t>符合</w:t>
                  </w:r>
                </w:p>
              </w:tc>
            </w:tr>
            <w:tr w14:paraId="4FF4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43FA7465">
                  <w:pPr>
                    <w:pStyle w:val="30"/>
                    <w:bidi w:val="0"/>
                    <w:rPr>
                      <w:rFonts w:hint="default"/>
                      <w:color w:val="auto"/>
                      <w:highlight w:val="none"/>
                    </w:rPr>
                  </w:pPr>
                </w:p>
              </w:tc>
              <w:tc>
                <w:tcPr>
                  <w:tcW w:w="433" w:type="pct"/>
                  <w:vMerge w:val="continue"/>
                  <w:noWrap w:val="0"/>
                  <w:vAlign w:val="center"/>
                </w:tcPr>
                <w:p w14:paraId="4443F667">
                  <w:pPr>
                    <w:pStyle w:val="30"/>
                    <w:bidi w:val="0"/>
                    <w:rPr>
                      <w:rFonts w:hint="default"/>
                      <w:color w:val="auto"/>
                      <w:highlight w:val="none"/>
                    </w:rPr>
                  </w:pPr>
                </w:p>
              </w:tc>
              <w:tc>
                <w:tcPr>
                  <w:tcW w:w="1965" w:type="pct"/>
                  <w:shd w:val="clear" w:color="auto" w:fill="auto"/>
                  <w:noWrap w:val="0"/>
                  <w:vAlign w:val="center"/>
                </w:tcPr>
                <w:p w14:paraId="1ACEC6E3">
                  <w:pPr>
                    <w:pStyle w:val="30"/>
                    <w:bidi w:val="0"/>
                    <w:rPr>
                      <w:rFonts w:hint="default"/>
                      <w:color w:val="auto"/>
                      <w:highlight w:val="none"/>
                      <w:lang w:val="en-US" w:eastAsia="zh-CN"/>
                    </w:rPr>
                  </w:pPr>
                  <w:r>
                    <w:rPr>
                      <w:rFonts w:hint="eastAsia"/>
                      <w:color w:val="auto"/>
                      <w:highlight w:val="none"/>
                      <w:lang w:val="en-US" w:eastAsia="zh-CN"/>
                    </w:rPr>
                    <w:t>17</w:t>
                  </w:r>
                  <w:r>
                    <w:rPr>
                      <w:rFonts w:hint="default"/>
                      <w:color w:val="auto"/>
                      <w:highlight w:val="none"/>
                    </w:rPr>
                    <w:t>禁止在居民住宅楼、未配套设立专用烟道的商住综合楼、商住综合楼内与居住层相邻的商业楼层内新建、改建、扩建产生油烟、异味、废气的饮食服务项目。</w:t>
                  </w:r>
                </w:p>
              </w:tc>
              <w:tc>
                <w:tcPr>
                  <w:tcW w:w="1545" w:type="pct"/>
                  <w:shd w:val="clear" w:color="auto" w:fill="auto"/>
                  <w:noWrap w:val="0"/>
                  <w:vAlign w:val="center"/>
                </w:tcPr>
                <w:p w14:paraId="1FD9BC14">
                  <w:pPr>
                    <w:pStyle w:val="30"/>
                    <w:bidi w:val="0"/>
                    <w:rPr>
                      <w:rFonts w:hint="default"/>
                      <w:color w:val="auto"/>
                      <w:highlight w:val="none"/>
                      <w:lang w:val="en-US" w:eastAsia="zh-CN"/>
                    </w:rPr>
                  </w:pPr>
                  <w:r>
                    <w:rPr>
                      <w:rFonts w:hint="eastAsia"/>
                      <w:color w:val="auto"/>
                      <w:highlight w:val="none"/>
                      <w:lang w:val="en-US" w:eastAsia="zh-CN"/>
                    </w:rPr>
                    <w:t>本项目服务中心配置的餐饮服务不与周边居民住宅楼相邻。</w:t>
                  </w:r>
                </w:p>
              </w:tc>
              <w:tc>
                <w:tcPr>
                  <w:tcW w:w="573" w:type="pct"/>
                  <w:noWrap w:val="0"/>
                  <w:vAlign w:val="center"/>
                </w:tcPr>
                <w:p w14:paraId="534F49ED">
                  <w:pPr>
                    <w:pStyle w:val="30"/>
                    <w:bidi w:val="0"/>
                    <w:rPr>
                      <w:rFonts w:hint="default"/>
                      <w:color w:val="auto"/>
                      <w:highlight w:val="none"/>
                      <w:lang w:val="en-US" w:eastAsia="zh-CN"/>
                    </w:rPr>
                  </w:pPr>
                  <w:r>
                    <w:rPr>
                      <w:rFonts w:hint="eastAsia"/>
                      <w:color w:val="auto"/>
                      <w:highlight w:val="none"/>
                      <w:lang w:val="en-US" w:eastAsia="zh-CN"/>
                    </w:rPr>
                    <w:t>符合</w:t>
                  </w:r>
                </w:p>
              </w:tc>
            </w:tr>
            <w:tr w14:paraId="423A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6ACF13EB">
                  <w:pPr>
                    <w:pStyle w:val="30"/>
                    <w:bidi w:val="0"/>
                    <w:rPr>
                      <w:rFonts w:hint="default"/>
                      <w:color w:val="auto"/>
                      <w:highlight w:val="none"/>
                    </w:rPr>
                  </w:pPr>
                </w:p>
              </w:tc>
              <w:tc>
                <w:tcPr>
                  <w:tcW w:w="433" w:type="pct"/>
                  <w:vMerge w:val="continue"/>
                  <w:noWrap w:val="0"/>
                  <w:vAlign w:val="center"/>
                </w:tcPr>
                <w:p w14:paraId="7BEF0AC0">
                  <w:pPr>
                    <w:pStyle w:val="30"/>
                    <w:bidi w:val="0"/>
                    <w:rPr>
                      <w:rFonts w:hint="default"/>
                      <w:color w:val="auto"/>
                      <w:highlight w:val="none"/>
                    </w:rPr>
                  </w:pPr>
                </w:p>
              </w:tc>
              <w:tc>
                <w:tcPr>
                  <w:tcW w:w="1965" w:type="pct"/>
                  <w:noWrap w:val="0"/>
                  <w:vAlign w:val="center"/>
                </w:tcPr>
                <w:p w14:paraId="66C9658F">
                  <w:pPr>
                    <w:pStyle w:val="30"/>
                    <w:bidi w:val="0"/>
                    <w:rPr>
                      <w:rFonts w:hint="default"/>
                      <w:color w:val="auto"/>
                      <w:highlight w:val="none"/>
                    </w:rPr>
                  </w:pPr>
                  <w:r>
                    <w:rPr>
                      <w:rFonts w:hint="default"/>
                      <w:color w:val="auto"/>
                      <w:highlight w:val="none"/>
                    </w:rPr>
                    <w:t>12全市范围内严禁违规新增钢铁、焦化、水泥熟料、平板玻璃、电解铝、氧化铝、煤化工产能，合理控制煤制油气产能规模。未纳入国家有关领域产业规划的，一律不得新建改扩建炼油和新建乙烯、对二甲苯、煤制烯烃项目。</w:t>
                  </w:r>
                </w:p>
              </w:tc>
              <w:tc>
                <w:tcPr>
                  <w:tcW w:w="1545" w:type="pct"/>
                  <w:noWrap w:val="0"/>
                  <w:vAlign w:val="center"/>
                </w:tcPr>
                <w:p w14:paraId="63D6B37D">
                  <w:pPr>
                    <w:pStyle w:val="30"/>
                    <w:bidi w:val="0"/>
                    <w:rPr>
                      <w:rFonts w:hint="default"/>
                      <w:color w:val="auto"/>
                      <w:highlight w:val="none"/>
                      <w:lang w:val="en-US" w:eastAsia="zh-CN"/>
                    </w:rPr>
                  </w:pPr>
                  <w:r>
                    <w:rPr>
                      <w:rFonts w:hint="eastAsia"/>
                      <w:color w:val="auto"/>
                      <w:highlight w:val="none"/>
                      <w:lang w:val="en-US" w:eastAsia="zh-CN"/>
                    </w:rPr>
                    <w:t>本项目</w:t>
                  </w:r>
                  <w:r>
                    <w:rPr>
                      <w:rFonts w:hint="eastAsia"/>
                      <w:color w:val="auto"/>
                      <w:highlight w:val="none"/>
                    </w:rPr>
                    <w:t>主要建设内容为</w:t>
                  </w:r>
                  <w:r>
                    <w:rPr>
                      <w:rFonts w:hint="eastAsia"/>
                      <w:color w:val="auto"/>
                      <w:highlight w:val="none"/>
                      <w:lang w:eastAsia="zh-CN"/>
                    </w:rPr>
                    <w:t>安成城市综合交通驿站</w:t>
                  </w:r>
                  <w:r>
                    <w:rPr>
                      <w:rFonts w:hint="eastAsia"/>
                      <w:color w:val="auto"/>
                      <w:highlight w:val="none"/>
                      <w:lang w:val="en-US" w:eastAsia="zh-CN"/>
                    </w:rPr>
                    <w:t>，不涉及</w:t>
                  </w:r>
                  <w:r>
                    <w:rPr>
                      <w:rFonts w:hint="default"/>
                      <w:color w:val="auto"/>
                      <w:highlight w:val="none"/>
                    </w:rPr>
                    <w:t>新增钢铁、焦化、水泥熟料、平板玻璃、电解铝、氧化铝、煤化工</w:t>
                  </w:r>
                  <w:r>
                    <w:rPr>
                      <w:rFonts w:hint="eastAsia"/>
                      <w:color w:val="auto"/>
                      <w:highlight w:val="none"/>
                      <w:lang w:val="en-US" w:eastAsia="zh-CN"/>
                    </w:rPr>
                    <w:t>生产加工，不属于禁止新增项目。</w:t>
                  </w:r>
                </w:p>
              </w:tc>
              <w:tc>
                <w:tcPr>
                  <w:tcW w:w="573" w:type="pct"/>
                  <w:noWrap w:val="0"/>
                  <w:vAlign w:val="center"/>
                </w:tcPr>
                <w:p w14:paraId="4CB468E7">
                  <w:pPr>
                    <w:pStyle w:val="30"/>
                    <w:bidi w:val="0"/>
                    <w:rPr>
                      <w:rFonts w:hint="default"/>
                      <w:color w:val="auto"/>
                      <w:highlight w:val="none"/>
                      <w:lang w:val="en-US" w:eastAsia="zh-CN"/>
                    </w:rPr>
                  </w:pPr>
                  <w:r>
                    <w:rPr>
                      <w:rFonts w:hint="eastAsia"/>
                      <w:color w:val="auto"/>
                      <w:highlight w:val="none"/>
                      <w:lang w:val="en-US" w:eastAsia="zh-CN"/>
                    </w:rPr>
                    <w:t>符合</w:t>
                  </w:r>
                </w:p>
              </w:tc>
            </w:tr>
            <w:tr w14:paraId="659F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61CE9B3B">
                  <w:pPr>
                    <w:pStyle w:val="30"/>
                    <w:bidi w:val="0"/>
                    <w:rPr>
                      <w:rFonts w:hint="default"/>
                      <w:color w:val="auto"/>
                      <w:highlight w:val="none"/>
                    </w:rPr>
                  </w:pPr>
                </w:p>
              </w:tc>
              <w:tc>
                <w:tcPr>
                  <w:tcW w:w="433" w:type="pct"/>
                  <w:vMerge w:val="continue"/>
                  <w:noWrap w:val="0"/>
                  <w:vAlign w:val="center"/>
                </w:tcPr>
                <w:p w14:paraId="678C269E">
                  <w:pPr>
                    <w:pStyle w:val="30"/>
                    <w:bidi w:val="0"/>
                    <w:rPr>
                      <w:rFonts w:hint="default"/>
                      <w:color w:val="auto"/>
                      <w:highlight w:val="none"/>
                    </w:rPr>
                  </w:pPr>
                </w:p>
              </w:tc>
              <w:tc>
                <w:tcPr>
                  <w:tcW w:w="1965" w:type="pct"/>
                  <w:noWrap w:val="0"/>
                  <w:vAlign w:val="center"/>
                </w:tcPr>
                <w:p w14:paraId="159A4DFB">
                  <w:pPr>
                    <w:pStyle w:val="30"/>
                    <w:bidi w:val="0"/>
                    <w:rPr>
                      <w:rFonts w:hint="default"/>
                      <w:color w:val="auto"/>
                      <w:highlight w:val="none"/>
                    </w:rPr>
                  </w:pPr>
                  <w:r>
                    <w:rPr>
                      <w:rFonts w:hint="default"/>
                      <w:color w:val="auto"/>
                      <w:highlight w:val="none"/>
                    </w:rPr>
                    <w:t>13严把</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项目审批，严格落实区域削减措施，对不符合规定的坚决停批停建。17禁止新建焦化、有色金属、制革、农药等行业企业。</w:t>
                  </w:r>
                </w:p>
              </w:tc>
              <w:tc>
                <w:tcPr>
                  <w:tcW w:w="1545" w:type="pct"/>
                  <w:noWrap w:val="0"/>
                  <w:vAlign w:val="center"/>
                </w:tcPr>
                <w:p w14:paraId="23A487D0">
                  <w:pPr>
                    <w:pStyle w:val="30"/>
                    <w:bidi w:val="0"/>
                    <w:rPr>
                      <w:rFonts w:hint="default"/>
                      <w:color w:val="auto"/>
                      <w:highlight w:val="none"/>
                      <w:lang w:val="en-US" w:eastAsia="zh-CN"/>
                    </w:rPr>
                  </w:pPr>
                  <w:r>
                    <w:rPr>
                      <w:rFonts w:hint="eastAsia"/>
                      <w:color w:val="auto"/>
                      <w:highlight w:val="none"/>
                      <w:lang w:val="en-US" w:eastAsia="zh-CN"/>
                    </w:rPr>
                    <w:t>本项目不属于两高项目，不属于焦化、有色金属、制革、农药等行业。</w:t>
                  </w:r>
                </w:p>
              </w:tc>
              <w:tc>
                <w:tcPr>
                  <w:tcW w:w="573" w:type="pct"/>
                  <w:noWrap w:val="0"/>
                  <w:vAlign w:val="center"/>
                </w:tcPr>
                <w:p w14:paraId="41057F00">
                  <w:pPr>
                    <w:pStyle w:val="30"/>
                    <w:bidi w:val="0"/>
                    <w:rPr>
                      <w:rFonts w:hint="eastAsia"/>
                      <w:color w:val="auto"/>
                      <w:highlight w:val="none"/>
                      <w:lang w:val="en-US" w:eastAsia="zh-CN"/>
                    </w:rPr>
                  </w:pPr>
                  <w:r>
                    <w:rPr>
                      <w:rFonts w:hint="eastAsia"/>
                      <w:color w:val="auto"/>
                      <w:highlight w:val="none"/>
                      <w:lang w:val="en-US" w:eastAsia="zh-CN"/>
                    </w:rPr>
                    <w:t>符合</w:t>
                  </w:r>
                </w:p>
              </w:tc>
            </w:tr>
            <w:tr w14:paraId="15AB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Merge w:val="continue"/>
                  <w:noWrap w:val="0"/>
                  <w:vAlign w:val="center"/>
                </w:tcPr>
                <w:p w14:paraId="5D7A0485">
                  <w:pPr>
                    <w:pStyle w:val="30"/>
                    <w:bidi w:val="0"/>
                    <w:rPr>
                      <w:rFonts w:hint="default"/>
                      <w:color w:val="auto"/>
                      <w:highlight w:val="none"/>
                    </w:rPr>
                  </w:pPr>
                </w:p>
              </w:tc>
              <w:tc>
                <w:tcPr>
                  <w:tcW w:w="433" w:type="pct"/>
                  <w:vMerge w:val="continue"/>
                  <w:noWrap w:val="0"/>
                  <w:vAlign w:val="center"/>
                </w:tcPr>
                <w:p w14:paraId="2B49890E">
                  <w:pPr>
                    <w:pStyle w:val="30"/>
                    <w:bidi w:val="0"/>
                    <w:rPr>
                      <w:rFonts w:hint="default"/>
                      <w:color w:val="auto"/>
                      <w:highlight w:val="none"/>
                    </w:rPr>
                  </w:pPr>
                </w:p>
              </w:tc>
              <w:tc>
                <w:tcPr>
                  <w:tcW w:w="1965" w:type="pct"/>
                  <w:noWrap w:val="0"/>
                  <w:vAlign w:val="center"/>
                </w:tcPr>
                <w:p w14:paraId="5E319794">
                  <w:pPr>
                    <w:pStyle w:val="30"/>
                    <w:bidi w:val="0"/>
                    <w:rPr>
                      <w:rFonts w:hint="default"/>
                      <w:color w:val="auto"/>
                      <w:highlight w:val="none"/>
                    </w:rPr>
                  </w:pPr>
                  <w:r>
                    <w:rPr>
                      <w:rFonts w:hint="default"/>
                      <w:color w:val="auto"/>
                      <w:highlight w:val="none"/>
                    </w:rPr>
                    <w:t>8严格限制在淮河流域新建印染、制革、化工、电镀、酿造等大中型项目或者其他污染严重的项目；建设该类项目的，应当事前征得省人民政府生态环境行政主管部门的同意，并按照规定办理有关手续。</w:t>
                  </w:r>
                </w:p>
              </w:tc>
              <w:tc>
                <w:tcPr>
                  <w:tcW w:w="1545" w:type="pct"/>
                  <w:noWrap w:val="0"/>
                  <w:vAlign w:val="center"/>
                </w:tcPr>
                <w:p w14:paraId="27F6A5C3">
                  <w:pPr>
                    <w:pStyle w:val="30"/>
                    <w:bidi w:val="0"/>
                    <w:rPr>
                      <w:rFonts w:hint="default"/>
                      <w:color w:val="auto"/>
                      <w:highlight w:val="none"/>
                      <w:lang w:val="en-US" w:eastAsia="zh-CN"/>
                    </w:rPr>
                  </w:pPr>
                  <w:r>
                    <w:rPr>
                      <w:rFonts w:hint="eastAsia"/>
                      <w:color w:val="auto"/>
                      <w:highlight w:val="none"/>
                      <w:lang w:val="en-US" w:eastAsia="zh-CN"/>
                    </w:rPr>
                    <w:t>本项目不涉及上述行业。</w:t>
                  </w:r>
                </w:p>
              </w:tc>
              <w:tc>
                <w:tcPr>
                  <w:tcW w:w="573" w:type="pct"/>
                  <w:noWrap w:val="0"/>
                  <w:vAlign w:val="center"/>
                </w:tcPr>
                <w:p w14:paraId="5A1291B8">
                  <w:pPr>
                    <w:pStyle w:val="30"/>
                    <w:bidi w:val="0"/>
                    <w:rPr>
                      <w:rFonts w:hint="eastAsia"/>
                      <w:color w:val="auto"/>
                      <w:highlight w:val="none"/>
                      <w:lang w:val="en-US" w:eastAsia="zh-CN"/>
                    </w:rPr>
                  </w:pPr>
                  <w:r>
                    <w:rPr>
                      <w:rFonts w:hint="eastAsia"/>
                      <w:color w:val="auto"/>
                      <w:highlight w:val="none"/>
                      <w:lang w:val="en-US" w:eastAsia="zh-CN"/>
                    </w:rPr>
                    <w:t>符合</w:t>
                  </w:r>
                </w:p>
              </w:tc>
            </w:tr>
            <w:tr w14:paraId="30C5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481" w:type="pct"/>
                  <w:vMerge w:val="continue"/>
                  <w:noWrap w:val="0"/>
                  <w:vAlign w:val="center"/>
                </w:tcPr>
                <w:p w14:paraId="7707DA9D">
                  <w:pPr>
                    <w:pStyle w:val="30"/>
                    <w:bidi w:val="0"/>
                    <w:rPr>
                      <w:rFonts w:hint="default"/>
                      <w:color w:val="auto"/>
                      <w:highlight w:val="none"/>
                    </w:rPr>
                  </w:pPr>
                </w:p>
              </w:tc>
              <w:tc>
                <w:tcPr>
                  <w:tcW w:w="433" w:type="pct"/>
                  <w:vMerge w:val="restart"/>
                  <w:noWrap w:val="0"/>
                  <w:vAlign w:val="center"/>
                </w:tcPr>
                <w:p w14:paraId="47B37AF6">
                  <w:pPr>
                    <w:pStyle w:val="30"/>
                    <w:bidi w:val="0"/>
                    <w:rPr>
                      <w:rFonts w:hint="default"/>
                      <w:color w:val="auto"/>
                      <w:highlight w:val="none"/>
                      <w:lang w:val="en-US" w:eastAsia="zh-CN"/>
                    </w:rPr>
                  </w:pPr>
                  <w:r>
                    <w:rPr>
                      <w:rFonts w:hint="default"/>
                      <w:color w:val="auto"/>
                      <w:highlight w:val="none"/>
                    </w:rPr>
                    <w:t>污染物排放管控</w:t>
                  </w:r>
                </w:p>
              </w:tc>
              <w:tc>
                <w:tcPr>
                  <w:tcW w:w="1965" w:type="pct"/>
                  <w:shd w:val="clear" w:color="auto" w:fill="auto"/>
                  <w:noWrap w:val="0"/>
                  <w:vAlign w:val="center"/>
                </w:tcPr>
                <w:p w14:paraId="5390CCC3">
                  <w:pPr>
                    <w:pStyle w:val="30"/>
                    <w:bidi w:val="0"/>
                    <w:rPr>
                      <w:rFonts w:hint="default"/>
                      <w:color w:val="auto"/>
                      <w:highlight w:val="none"/>
                      <w:lang w:val="en-US" w:eastAsia="zh-CN"/>
                    </w:rPr>
                  </w:pPr>
                  <w:r>
                    <w:rPr>
                      <w:rFonts w:hint="eastAsia"/>
                      <w:color w:val="auto"/>
                      <w:highlight w:val="none"/>
                      <w:lang w:val="en-US" w:eastAsia="zh-CN"/>
                    </w:rPr>
                    <w:t>49新建、改建、扩建排放重点大气污染物的项目不符合总量控制要求的，不得通过环境影响评价。</w:t>
                  </w:r>
                </w:p>
              </w:tc>
              <w:tc>
                <w:tcPr>
                  <w:tcW w:w="1545" w:type="pct"/>
                  <w:shd w:val="clear" w:color="auto" w:fill="auto"/>
                  <w:noWrap w:val="0"/>
                  <w:vAlign w:val="center"/>
                </w:tcPr>
                <w:p w14:paraId="5AC00323">
                  <w:pPr>
                    <w:pStyle w:val="30"/>
                    <w:bidi w:val="0"/>
                    <w:rPr>
                      <w:rFonts w:hint="default"/>
                      <w:color w:val="auto"/>
                      <w:highlight w:val="none"/>
                      <w:lang w:val="en-US" w:eastAsia="zh-CN"/>
                    </w:rPr>
                  </w:pPr>
                  <w:r>
                    <w:rPr>
                      <w:rFonts w:hint="eastAsia"/>
                      <w:color w:val="auto"/>
                      <w:highlight w:val="none"/>
                      <w:lang w:val="en-US" w:eastAsia="zh-CN"/>
                    </w:rPr>
                    <w:t>本项目目前正积极履行环评手续</w:t>
                  </w:r>
                </w:p>
              </w:tc>
              <w:tc>
                <w:tcPr>
                  <w:tcW w:w="573" w:type="pct"/>
                  <w:noWrap w:val="0"/>
                  <w:vAlign w:val="center"/>
                </w:tcPr>
                <w:p w14:paraId="14994505">
                  <w:pPr>
                    <w:pStyle w:val="30"/>
                    <w:bidi w:val="0"/>
                    <w:rPr>
                      <w:rFonts w:hint="default"/>
                      <w:color w:val="auto"/>
                      <w:highlight w:val="none"/>
                    </w:rPr>
                  </w:pPr>
                  <w:r>
                    <w:rPr>
                      <w:rFonts w:hint="default"/>
                      <w:color w:val="auto"/>
                      <w:highlight w:val="none"/>
                    </w:rPr>
                    <w:t>符合</w:t>
                  </w:r>
                </w:p>
              </w:tc>
            </w:tr>
            <w:tr w14:paraId="27B1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481" w:type="pct"/>
                  <w:vMerge w:val="continue"/>
                  <w:noWrap w:val="0"/>
                  <w:vAlign w:val="center"/>
                </w:tcPr>
                <w:p w14:paraId="00CF3A34">
                  <w:pPr>
                    <w:pStyle w:val="30"/>
                    <w:bidi w:val="0"/>
                    <w:rPr>
                      <w:rFonts w:hint="default"/>
                      <w:color w:val="auto"/>
                      <w:highlight w:val="none"/>
                    </w:rPr>
                  </w:pPr>
                </w:p>
              </w:tc>
              <w:tc>
                <w:tcPr>
                  <w:tcW w:w="433" w:type="pct"/>
                  <w:vMerge w:val="continue"/>
                  <w:noWrap w:val="0"/>
                  <w:vAlign w:val="center"/>
                </w:tcPr>
                <w:p w14:paraId="54DEC841">
                  <w:pPr>
                    <w:pStyle w:val="30"/>
                    <w:bidi w:val="0"/>
                    <w:rPr>
                      <w:rFonts w:hint="default"/>
                      <w:color w:val="auto"/>
                      <w:highlight w:val="none"/>
                    </w:rPr>
                  </w:pPr>
                </w:p>
              </w:tc>
              <w:tc>
                <w:tcPr>
                  <w:tcW w:w="1965" w:type="pct"/>
                  <w:shd w:val="clear" w:color="auto" w:fill="auto"/>
                  <w:noWrap w:val="0"/>
                  <w:vAlign w:val="center"/>
                </w:tcPr>
                <w:p w14:paraId="33D479C6">
                  <w:pPr>
                    <w:pStyle w:val="30"/>
                    <w:bidi w:val="0"/>
                    <w:rPr>
                      <w:rFonts w:hint="eastAsia"/>
                      <w:color w:val="auto"/>
                      <w:highlight w:val="none"/>
                      <w:lang w:val="en-US" w:eastAsia="zh-CN"/>
                    </w:rPr>
                  </w:pPr>
                  <w:r>
                    <w:rPr>
                      <w:rFonts w:hint="eastAsia"/>
                      <w:color w:val="auto"/>
                      <w:highlight w:val="none"/>
                      <w:lang w:val="en-US" w:eastAsia="zh-CN"/>
                    </w:rPr>
                    <w:t>59按《挥发性有机物无组织排放控制标准》(GB37822-2019）要求，做好VOCs物料储存、物料转移和输送、工艺过程、设备与管线组件、敞开液面VOCs排放，以及VOCs无组织排放废气收集处理系统要求</w:t>
                  </w:r>
                </w:p>
              </w:tc>
              <w:tc>
                <w:tcPr>
                  <w:tcW w:w="1545" w:type="pct"/>
                  <w:shd w:val="clear" w:color="auto" w:fill="auto"/>
                  <w:noWrap w:val="0"/>
                  <w:vAlign w:val="center"/>
                </w:tcPr>
                <w:p w14:paraId="74769B0C">
                  <w:pPr>
                    <w:pStyle w:val="30"/>
                    <w:bidi w:val="0"/>
                    <w:rPr>
                      <w:rFonts w:hint="eastAsia"/>
                      <w:color w:val="auto"/>
                      <w:highlight w:val="none"/>
                      <w:lang w:val="en-US" w:eastAsia="zh-CN"/>
                    </w:rPr>
                  </w:pPr>
                  <w:r>
                    <w:rPr>
                      <w:rFonts w:hint="eastAsia"/>
                      <w:color w:val="auto"/>
                      <w:highlight w:val="none"/>
                      <w:lang w:val="en-US" w:eastAsia="zh-CN"/>
                    </w:rPr>
                    <w:t>项目采用三次油气回收装置，减少项目运营过程中的油气挥发，减少废气无组织排放。</w:t>
                  </w:r>
                </w:p>
              </w:tc>
              <w:tc>
                <w:tcPr>
                  <w:tcW w:w="573" w:type="pct"/>
                  <w:noWrap w:val="0"/>
                  <w:vAlign w:val="center"/>
                </w:tcPr>
                <w:p w14:paraId="4674030F">
                  <w:pPr>
                    <w:pStyle w:val="30"/>
                    <w:bidi w:val="0"/>
                    <w:rPr>
                      <w:rFonts w:hint="default"/>
                      <w:color w:val="auto"/>
                      <w:highlight w:val="none"/>
                    </w:rPr>
                  </w:pPr>
                  <w:r>
                    <w:rPr>
                      <w:rFonts w:hint="default"/>
                      <w:color w:val="auto"/>
                      <w:highlight w:val="none"/>
                    </w:rPr>
                    <w:t>符合</w:t>
                  </w:r>
                </w:p>
              </w:tc>
            </w:tr>
            <w:tr w14:paraId="6C72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481" w:type="pct"/>
                  <w:vMerge w:val="continue"/>
                  <w:noWrap w:val="0"/>
                  <w:vAlign w:val="center"/>
                </w:tcPr>
                <w:p w14:paraId="4505B390">
                  <w:pPr>
                    <w:pStyle w:val="30"/>
                    <w:bidi w:val="0"/>
                    <w:rPr>
                      <w:rFonts w:hint="default"/>
                      <w:color w:val="auto"/>
                      <w:highlight w:val="none"/>
                    </w:rPr>
                  </w:pPr>
                </w:p>
              </w:tc>
              <w:tc>
                <w:tcPr>
                  <w:tcW w:w="433" w:type="pct"/>
                  <w:vMerge w:val="continue"/>
                  <w:noWrap w:val="0"/>
                  <w:vAlign w:val="center"/>
                </w:tcPr>
                <w:p w14:paraId="51EC78F6">
                  <w:pPr>
                    <w:pStyle w:val="30"/>
                    <w:bidi w:val="0"/>
                    <w:rPr>
                      <w:rFonts w:hint="default"/>
                      <w:color w:val="auto"/>
                      <w:highlight w:val="none"/>
                      <w:lang w:val="en-US" w:eastAsia="zh-CN"/>
                    </w:rPr>
                  </w:pPr>
                </w:p>
              </w:tc>
              <w:tc>
                <w:tcPr>
                  <w:tcW w:w="1965" w:type="pct"/>
                  <w:shd w:val="clear" w:color="auto" w:fill="auto"/>
                  <w:noWrap w:val="0"/>
                  <w:vAlign w:val="center"/>
                </w:tcPr>
                <w:p w14:paraId="1EF969D7">
                  <w:pPr>
                    <w:pStyle w:val="30"/>
                    <w:bidi w:val="0"/>
                    <w:rPr>
                      <w:rFonts w:hint="default"/>
                      <w:color w:val="auto"/>
                      <w:highlight w:val="none"/>
                      <w:lang w:val="en-US" w:eastAsia="zh-CN"/>
                    </w:rPr>
                  </w:pPr>
                  <w:r>
                    <w:rPr>
                      <w:rFonts w:hint="eastAsia"/>
                      <w:color w:val="auto"/>
                      <w:highlight w:val="none"/>
                      <w:lang w:val="en-US" w:eastAsia="zh-CN"/>
                    </w:rPr>
                    <w:t>73 强化餐饮油烟和露天烧烤治理。加强餐饮油烟污染治理，对未安装油烟净化设施、不正常使用油烟净化设施或者未采取其他油烟净化措施，超过排放标准排放油烟的，依法责令改正，并处以罚款。</w:t>
                  </w:r>
                </w:p>
              </w:tc>
              <w:tc>
                <w:tcPr>
                  <w:tcW w:w="1545" w:type="pct"/>
                  <w:noWrap w:val="0"/>
                  <w:vAlign w:val="center"/>
                </w:tcPr>
                <w:p w14:paraId="275F6D81">
                  <w:pPr>
                    <w:pStyle w:val="30"/>
                    <w:bidi w:val="0"/>
                    <w:rPr>
                      <w:rFonts w:hint="default"/>
                      <w:color w:val="auto"/>
                      <w:highlight w:val="none"/>
                      <w:lang w:val="en-US" w:eastAsia="zh-CN"/>
                    </w:rPr>
                  </w:pPr>
                  <w:r>
                    <w:rPr>
                      <w:rFonts w:hint="eastAsia"/>
                      <w:color w:val="auto"/>
                      <w:highlight w:val="none"/>
                      <w:lang w:val="en-US" w:eastAsia="zh-CN"/>
                    </w:rPr>
                    <w:t>本项目产生的餐饮油烟经油烟净化器处理后引至楼顶达标排放。</w:t>
                  </w:r>
                </w:p>
              </w:tc>
              <w:tc>
                <w:tcPr>
                  <w:tcW w:w="573" w:type="pct"/>
                  <w:noWrap w:val="0"/>
                  <w:vAlign w:val="center"/>
                </w:tcPr>
                <w:p w14:paraId="79916F5F">
                  <w:pPr>
                    <w:pStyle w:val="30"/>
                    <w:bidi w:val="0"/>
                    <w:rPr>
                      <w:rFonts w:hint="default"/>
                      <w:color w:val="auto"/>
                      <w:highlight w:val="none"/>
                      <w:lang w:val="en-US" w:eastAsia="zh-CN"/>
                    </w:rPr>
                  </w:pPr>
                  <w:r>
                    <w:rPr>
                      <w:rFonts w:hint="default"/>
                      <w:color w:val="auto"/>
                      <w:highlight w:val="none"/>
                      <w:lang w:val="en-US" w:eastAsia="zh-CN"/>
                    </w:rPr>
                    <w:t>符合</w:t>
                  </w:r>
                </w:p>
              </w:tc>
            </w:tr>
            <w:tr w14:paraId="033D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481" w:type="pct"/>
                  <w:vMerge w:val="continue"/>
                  <w:noWrap w:val="0"/>
                  <w:vAlign w:val="center"/>
                </w:tcPr>
                <w:p w14:paraId="37BA7364">
                  <w:pPr>
                    <w:pStyle w:val="30"/>
                    <w:bidi w:val="0"/>
                    <w:rPr>
                      <w:rFonts w:hint="default"/>
                      <w:color w:val="auto"/>
                      <w:highlight w:val="none"/>
                    </w:rPr>
                  </w:pPr>
                </w:p>
              </w:tc>
              <w:tc>
                <w:tcPr>
                  <w:tcW w:w="433" w:type="pct"/>
                  <w:noWrap w:val="0"/>
                  <w:vAlign w:val="center"/>
                </w:tcPr>
                <w:p w14:paraId="02829CAE">
                  <w:pPr>
                    <w:pStyle w:val="30"/>
                    <w:bidi w:val="0"/>
                    <w:rPr>
                      <w:rFonts w:hint="default"/>
                      <w:color w:val="auto"/>
                      <w:highlight w:val="none"/>
                      <w:lang w:val="en-US" w:eastAsia="zh-CN"/>
                    </w:rPr>
                  </w:pPr>
                  <w:r>
                    <w:rPr>
                      <w:rFonts w:hint="eastAsia"/>
                      <w:color w:val="auto"/>
                      <w:highlight w:val="none"/>
                      <w:lang w:val="en-US" w:eastAsia="zh-CN"/>
                    </w:rPr>
                    <w:t>环境风险防控</w:t>
                  </w:r>
                </w:p>
              </w:tc>
              <w:tc>
                <w:tcPr>
                  <w:tcW w:w="1965" w:type="pct"/>
                  <w:shd w:val="clear" w:color="auto" w:fill="auto"/>
                  <w:noWrap w:val="0"/>
                  <w:vAlign w:val="center"/>
                </w:tcPr>
                <w:p w14:paraId="28D214EB">
                  <w:pPr>
                    <w:pStyle w:val="30"/>
                    <w:bidi w:val="0"/>
                    <w:rPr>
                      <w:rFonts w:hint="default"/>
                      <w:color w:val="auto"/>
                      <w:highlight w:val="none"/>
                      <w:lang w:val="en-US" w:eastAsia="zh-CN"/>
                    </w:rPr>
                  </w:pPr>
                  <w:r>
                    <w:rPr>
                      <w:rFonts w:hint="default"/>
                      <w:color w:val="auto"/>
                      <w:highlight w:val="none"/>
                      <w:lang w:val="en-US" w:eastAsia="zh-CN"/>
                    </w:rPr>
                    <w:t>79 对使用有毒有害化学物质或在生产过程中排放有毒有害物质的企业，全面实施强制性清洁生产审核，严格执行产品质量标准中有毒有害化学物质的含量限值，加强农药、石化、涂料、印染、医药等行业新污染物环境风险管控。</w:t>
                  </w:r>
                </w:p>
              </w:tc>
              <w:tc>
                <w:tcPr>
                  <w:tcW w:w="1545" w:type="pct"/>
                  <w:noWrap w:val="0"/>
                  <w:vAlign w:val="center"/>
                </w:tcPr>
                <w:p w14:paraId="53B472A5">
                  <w:pPr>
                    <w:pStyle w:val="30"/>
                    <w:bidi w:val="0"/>
                    <w:rPr>
                      <w:rFonts w:hint="default"/>
                      <w:color w:val="auto"/>
                      <w:highlight w:val="none"/>
                      <w:lang w:val="en-US" w:eastAsia="zh-CN"/>
                    </w:rPr>
                  </w:pPr>
                  <w:r>
                    <w:rPr>
                      <w:rFonts w:hint="eastAsia"/>
                      <w:color w:val="auto"/>
                      <w:highlight w:val="none"/>
                      <w:lang w:val="en-US" w:eastAsia="zh-CN"/>
                    </w:rPr>
                    <w:t>本项目不涉及有毒有害化学物质的使用和排放，不属于</w:t>
                  </w:r>
                  <w:r>
                    <w:rPr>
                      <w:rFonts w:hint="default"/>
                      <w:color w:val="auto"/>
                      <w:highlight w:val="none"/>
                      <w:lang w:val="en-US" w:eastAsia="zh-CN"/>
                    </w:rPr>
                    <w:t>农药、石化、涂料、印染、医药等行业</w:t>
                  </w:r>
                  <w:r>
                    <w:rPr>
                      <w:rFonts w:hint="eastAsia"/>
                      <w:color w:val="auto"/>
                      <w:highlight w:val="none"/>
                      <w:lang w:val="en-US" w:eastAsia="zh-CN"/>
                    </w:rPr>
                    <w:t>。</w:t>
                  </w:r>
                </w:p>
              </w:tc>
              <w:tc>
                <w:tcPr>
                  <w:tcW w:w="573" w:type="pct"/>
                  <w:noWrap w:val="0"/>
                  <w:vAlign w:val="center"/>
                </w:tcPr>
                <w:p w14:paraId="115BECFD">
                  <w:pPr>
                    <w:pStyle w:val="30"/>
                    <w:bidi w:val="0"/>
                    <w:rPr>
                      <w:rFonts w:hint="eastAsia"/>
                      <w:color w:val="auto"/>
                      <w:highlight w:val="none"/>
                      <w:lang w:val="en-US" w:eastAsia="zh-CN"/>
                    </w:rPr>
                  </w:pPr>
                  <w:r>
                    <w:rPr>
                      <w:rFonts w:hint="eastAsia"/>
                      <w:color w:val="auto"/>
                      <w:highlight w:val="none"/>
                      <w:lang w:val="en-US" w:eastAsia="zh-CN"/>
                    </w:rPr>
                    <w:t>符合</w:t>
                  </w:r>
                </w:p>
              </w:tc>
            </w:tr>
            <w:tr w14:paraId="556F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481" w:type="pct"/>
                  <w:vMerge w:val="continue"/>
                  <w:noWrap w:val="0"/>
                  <w:vAlign w:val="center"/>
                </w:tcPr>
                <w:p w14:paraId="459EF320">
                  <w:pPr>
                    <w:pStyle w:val="30"/>
                    <w:bidi w:val="0"/>
                    <w:rPr>
                      <w:rFonts w:hint="default"/>
                      <w:color w:val="auto"/>
                      <w:highlight w:val="none"/>
                    </w:rPr>
                  </w:pPr>
                </w:p>
              </w:tc>
              <w:tc>
                <w:tcPr>
                  <w:tcW w:w="433" w:type="pct"/>
                  <w:noWrap w:val="0"/>
                  <w:vAlign w:val="center"/>
                </w:tcPr>
                <w:p w14:paraId="4FC0B04B">
                  <w:pPr>
                    <w:pStyle w:val="30"/>
                    <w:bidi w:val="0"/>
                    <w:rPr>
                      <w:rFonts w:hint="default"/>
                      <w:color w:val="auto"/>
                      <w:highlight w:val="none"/>
                      <w:lang w:val="en-US" w:eastAsia="zh-CN"/>
                    </w:rPr>
                  </w:pPr>
                  <w:r>
                    <w:rPr>
                      <w:rFonts w:hint="default"/>
                      <w:color w:val="auto"/>
                      <w:highlight w:val="none"/>
                      <w:lang w:val="en-US" w:eastAsia="zh-CN"/>
                    </w:rPr>
                    <w:t>资源开发效率要求</w:t>
                  </w:r>
                </w:p>
              </w:tc>
              <w:tc>
                <w:tcPr>
                  <w:tcW w:w="1965" w:type="pct"/>
                  <w:shd w:val="clear" w:color="auto" w:fill="auto"/>
                  <w:noWrap w:val="0"/>
                  <w:vAlign w:val="center"/>
                </w:tcPr>
                <w:p w14:paraId="496164E3">
                  <w:pPr>
                    <w:pStyle w:val="30"/>
                    <w:bidi w:val="0"/>
                    <w:rPr>
                      <w:rFonts w:hint="default"/>
                      <w:color w:val="auto"/>
                      <w:highlight w:val="none"/>
                      <w:lang w:val="en-US" w:eastAsia="zh-CN"/>
                    </w:rPr>
                  </w:pPr>
                  <w:r>
                    <w:rPr>
                      <w:rFonts w:hint="default"/>
                      <w:color w:val="auto"/>
                      <w:highlight w:val="none"/>
                      <w:lang w:val="en-US" w:eastAsia="zh-CN"/>
                    </w:rPr>
                    <w:t>74禁燃区内禁止销售、燃用高污染燃料，不得新建、扩建燃用高污染燃料的锅炉、窑炉、炉灶等燃烧设施（集中供热、火电厂锅炉除外）。</w:t>
                  </w:r>
                </w:p>
              </w:tc>
              <w:tc>
                <w:tcPr>
                  <w:tcW w:w="1545" w:type="pct"/>
                  <w:noWrap w:val="0"/>
                  <w:vAlign w:val="center"/>
                </w:tcPr>
                <w:p w14:paraId="5946E849">
                  <w:pPr>
                    <w:pStyle w:val="30"/>
                    <w:bidi w:val="0"/>
                    <w:rPr>
                      <w:rFonts w:hint="default"/>
                      <w:color w:val="auto"/>
                      <w:highlight w:val="none"/>
                      <w:lang w:val="en-US" w:eastAsia="zh-CN"/>
                    </w:rPr>
                  </w:pPr>
                  <w:r>
                    <w:rPr>
                      <w:rFonts w:hint="eastAsia"/>
                      <w:color w:val="auto"/>
                      <w:highlight w:val="none"/>
                      <w:lang w:val="en-US" w:eastAsia="zh-CN"/>
                    </w:rPr>
                    <w:t>本项目不涉及。</w:t>
                  </w:r>
                </w:p>
              </w:tc>
              <w:tc>
                <w:tcPr>
                  <w:tcW w:w="573" w:type="pct"/>
                  <w:noWrap w:val="0"/>
                  <w:vAlign w:val="center"/>
                </w:tcPr>
                <w:p w14:paraId="3C33AB15">
                  <w:pPr>
                    <w:pStyle w:val="30"/>
                    <w:bidi w:val="0"/>
                    <w:rPr>
                      <w:rFonts w:hint="eastAsia"/>
                      <w:color w:val="auto"/>
                      <w:highlight w:val="none"/>
                      <w:lang w:val="en-US" w:eastAsia="zh-CN"/>
                    </w:rPr>
                  </w:pPr>
                  <w:r>
                    <w:rPr>
                      <w:rFonts w:hint="eastAsia"/>
                      <w:color w:val="auto"/>
                      <w:highlight w:val="none"/>
                      <w:lang w:val="en-US" w:eastAsia="zh-CN"/>
                    </w:rPr>
                    <w:t>符合</w:t>
                  </w:r>
                </w:p>
              </w:tc>
            </w:tr>
          </w:tbl>
          <w:p w14:paraId="320C9433">
            <w:pPr>
              <w:ind w:firstLine="480" w:firstLineChars="200"/>
              <w:rPr>
                <w:color w:val="auto"/>
                <w:highlight w:val="none"/>
              </w:rPr>
            </w:pPr>
            <w:r>
              <w:rPr>
                <w:rFonts w:hint="eastAsia"/>
                <w:color w:val="auto"/>
                <w:highlight w:val="none"/>
              </w:rPr>
              <w:t>本项目运营过程中会产生一定的污染物，采取相应的污染防治措施后，各类污染物的排放对周围环境造成的影响较小，不会降低当地环境质量，不会触碰区域环境质量底线。</w:t>
            </w:r>
          </w:p>
          <w:p w14:paraId="7B2162EC">
            <w:pPr>
              <w:numPr>
                <w:ilvl w:val="0"/>
                <w:numId w:val="1"/>
              </w:numPr>
              <w:ind w:firstLine="482" w:firstLineChars="200"/>
              <w:rPr>
                <w:b/>
                <w:bCs/>
                <w:color w:val="auto"/>
                <w:highlight w:val="none"/>
              </w:rPr>
            </w:pPr>
            <w:r>
              <w:rPr>
                <w:rFonts w:hint="eastAsia"/>
                <w:b/>
                <w:bCs/>
                <w:color w:val="auto"/>
                <w:highlight w:val="none"/>
              </w:rPr>
              <w:t>与</w:t>
            </w:r>
            <w:r>
              <w:rPr>
                <w:b/>
                <w:bCs/>
                <w:color w:val="auto"/>
                <w:highlight w:val="none"/>
              </w:rPr>
              <w:t>《淮南市</w:t>
            </w:r>
            <w:r>
              <w:rPr>
                <w:rFonts w:hint="eastAsia"/>
                <w:b/>
                <w:bCs/>
                <w:color w:val="auto"/>
                <w:highlight w:val="none"/>
              </w:rPr>
              <w:t>“</w:t>
            </w:r>
            <w:r>
              <w:rPr>
                <w:b/>
                <w:bCs/>
                <w:color w:val="auto"/>
                <w:highlight w:val="none"/>
              </w:rPr>
              <w:t>三区三线</w:t>
            </w:r>
            <w:r>
              <w:rPr>
                <w:rFonts w:hint="eastAsia"/>
                <w:b/>
                <w:bCs/>
                <w:color w:val="auto"/>
                <w:highlight w:val="none"/>
              </w:rPr>
              <w:t>”</w:t>
            </w:r>
            <w:r>
              <w:rPr>
                <w:b/>
                <w:bCs/>
                <w:color w:val="auto"/>
                <w:highlight w:val="none"/>
              </w:rPr>
              <w:t>划定方案》</w:t>
            </w:r>
            <w:r>
              <w:rPr>
                <w:rFonts w:hint="eastAsia"/>
                <w:b/>
                <w:bCs/>
                <w:color w:val="auto"/>
                <w:highlight w:val="none"/>
              </w:rPr>
              <w:t>（2022年11月）成果符合性分析</w:t>
            </w:r>
          </w:p>
          <w:p w14:paraId="19D2A354">
            <w:pPr>
              <w:ind w:firstLine="480" w:firstLineChars="200"/>
              <w:rPr>
                <w:rFonts w:hint="eastAsia"/>
                <w:color w:val="auto"/>
                <w:highlight w:val="none"/>
              </w:rPr>
            </w:pPr>
            <w:r>
              <w:rPr>
                <w:rFonts w:hint="eastAsia"/>
                <w:color w:val="auto"/>
                <w:highlight w:val="none"/>
              </w:rPr>
              <w:t>本项目位于</w:t>
            </w:r>
            <w:r>
              <w:rPr>
                <w:rFonts w:hint="eastAsia"/>
                <w:color w:val="auto"/>
                <w:highlight w:val="none"/>
                <w:lang w:eastAsia="zh-CN"/>
              </w:rPr>
              <w:t>淮南市田家庵区安成镇王巷村和下陈社区境内淮潘公路南侧</w:t>
            </w:r>
            <w:r>
              <w:rPr>
                <w:rFonts w:hint="eastAsia"/>
                <w:color w:val="auto"/>
                <w:highlight w:val="none"/>
              </w:rPr>
              <w:t>，</w:t>
            </w:r>
            <w:r>
              <w:rPr>
                <w:color w:val="auto"/>
                <w:highlight w:val="none"/>
              </w:rPr>
              <w:t>根据《淮南市</w:t>
            </w:r>
            <w:r>
              <w:rPr>
                <w:rFonts w:hint="eastAsia"/>
                <w:color w:val="auto"/>
                <w:highlight w:val="none"/>
              </w:rPr>
              <w:t>“</w:t>
            </w:r>
            <w:r>
              <w:rPr>
                <w:color w:val="auto"/>
                <w:highlight w:val="none"/>
              </w:rPr>
              <w:t>三区三线</w:t>
            </w:r>
            <w:r>
              <w:rPr>
                <w:rFonts w:hint="eastAsia"/>
                <w:color w:val="auto"/>
                <w:highlight w:val="none"/>
              </w:rPr>
              <w:t>”</w:t>
            </w:r>
            <w:r>
              <w:rPr>
                <w:color w:val="auto"/>
                <w:highlight w:val="none"/>
              </w:rPr>
              <w:t>划定方案》，</w:t>
            </w:r>
            <w:r>
              <w:rPr>
                <w:rFonts w:hint="eastAsia"/>
                <w:color w:val="auto"/>
                <w:highlight w:val="none"/>
                <w:lang w:val="en-US" w:eastAsia="zh-CN"/>
              </w:rPr>
              <w:t>本项目</w:t>
            </w:r>
            <w:r>
              <w:rPr>
                <w:rFonts w:hint="eastAsia"/>
                <w:color w:val="auto"/>
                <w:highlight w:val="none"/>
              </w:rPr>
              <w:t>在城镇开发边界内，不占用耕地和永久基本农田，不在淮南市生态红线范</w:t>
            </w:r>
            <w:r>
              <w:rPr>
                <w:color w:val="auto"/>
                <w:highlight w:val="none"/>
              </w:rPr>
              <w:t>围内</w:t>
            </w:r>
            <w:r>
              <w:rPr>
                <w:rFonts w:hint="eastAsia"/>
                <w:color w:val="auto"/>
                <w:highlight w:val="none"/>
                <w:lang w:eastAsia="zh-CN"/>
              </w:rPr>
              <w:t>，建设项目影响范围内无重要生态影响功能区域、无自然保护区、风景名胜区、森林公园、地质公园、重要湿地等特殊生态敏感区以及重要生态敏感区。</w:t>
            </w:r>
            <w:r>
              <w:rPr>
                <w:rFonts w:hint="eastAsia"/>
                <w:color w:val="auto"/>
                <w:highlight w:val="none"/>
              </w:rPr>
              <w:t>因此，本项目的建设不违背生态红线区域保护规划的要求。</w:t>
            </w:r>
            <w:r>
              <w:rPr>
                <w:rFonts w:hint="eastAsia"/>
                <w:color w:val="auto"/>
                <w:highlight w:val="none"/>
                <w:lang w:val="en-US" w:eastAsia="zh-CN"/>
              </w:rPr>
              <w:t>本项目所在</w:t>
            </w:r>
            <w:r>
              <w:rPr>
                <w:color w:val="auto"/>
                <w:highlight w:val="none"/>
              </w:rPr>
              <w:t>淮南市</w:t>
            </w:r>
            <w:r>
              <w:rPr>
                <w:rFonts w:hint="eastAsia"/>
                <w:color w:val="auto"/>
                <w:highlight w:val="none"/>
              </w:rPr>
              <w:t>“</w:t>
            </w:r>
            <w:r>
              <w:rPr>
                <w:color w:val="auto"/>
                <w:highlight w:val="none"/>
              </w:rPr>
              <w:t>三区三线</w:t>
            </w:r>
            <w:r>
              <w:rPr>
                <w:rFonts w:hint="eastAsia"/>
                <w:color w:val="auto"/>
                <w:highlight w:val="none"/>
              </w:rPr>
              <w:t>”图</w:t>
            </w:r>
            <w:r>
              <w:rPr>
                <w:rFonts w:hint="eastAsia"/>
                <w:color w:val="auto"/>
                <w:highlight w:val="none"/>
                <w:lang w:val="en-US" w:eastAsia="zh-CN"/>
              </w:rPr>
              <w:t>如下所示，</w:t>
            </w:r>
            <w:r>
              <w:rPr>
                <w:rFonts w:hint="eastAsia"/>
                <w:color w:val="auto"/>
                <w:highlight w:val="none"/>
              </w:rPr>
              <w:t>详见附图</w:t>
            </w:r>
            <w:r>
              <w:rPr>
                <w:rFonts w:hint="eastAsia"/>
                <w:color w:val="auto"/>
                <w:highlight w:val="none"/>
                <w:lang w:val="en-US" w:eastAsia="zh-CN"/>
              </w:rPr>
              <w:t>12</w:t>
            </w:r>
            <w:r>
              <w:rPr>
                <w:rFonts w:hint="eastAsia"/>
                <w:color w:val="auto"/>
                <w:highlight w:val="none"/>
              </w:rPr>
              <w:t>。</w:t>
            </w:r>
          </w:p>
          <w:p w14:paraId="27B49F15">
            <w:pPr>
              <w:pStyle w:val="9"/>
              <w:spacing w:line="240" w:lineRule="auto"/>
              <w:ind w:left="0" w:leftChars="0" w:right="0" w:rightChars="0" w:firstLine="0" w:firstLineChars="0"/>
              <w:jc w:val="center"/>
              <w:rPr>
                <w:color w:val="auto"/>
                <w:highlight w:val="none"/>
              </w:rPr>
            </w:pPr>
            <w:r>
              <w:rPr>
                <w:color w:val="auto"/>
                <w:highlight w:val="none"/>
              </w:rPr>
              <w:drawing>
                <wp:inline distT="0" distB="0" distL="114300" distR="114300">
                  <wp:extent cx="4521200" cy="6404610"/>
                  <wp:effectExtent l="0" t="0" r="12700"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4521200" cy="6404610"/>
                          </a:xfrm>
                          <a:prstGeom prst="rect">
                            <a:avLst/>
                          </a:prstGeom>
                          <a:noFill/>
                          <a:ln>
                            <a:noFill/>
                          </a:ln>
                        </pic:spPr>
                      </pic:pic>
                    </a:graphicData>
                  </a:graphic>
                </wp:inline>
              </w:drawing>
            </w:r>
          </w:p>
          <w:p w14:paraId="4F819914">
            <w:pPr>
              <w:pStyle w:val="6"/>
              <w:rPr>
                <w:rFonts w:hint="eastAsia" w:eastAsia="宋体"/>
                <w:color w:val="auto"/>
                <w:highlight w:val="none"/>
                <w:lang w:val="en-US" w:eastAsia="zh-CN"/>
              </w:rPr>
            </w:pPr>
            <w:r>
              <w:rPr>
                <w:color w:val="auto"/>
                <w:highlight w:val="none"/>
              </w:rPr>
              <w:t xml:space="preserve">图 </w:t>
            </w:r>
            <w:r>
              <w:rPr>
                <w:rFonts w:hint="eastAsia"/>
                <w:color w:val="auto"/>
                <w:highlight w:val="none"/>
                <w:lang w:val="en-US" w:eastAsia="zh-CN"/>
              </w:rPr>
              <w:t>1</w:t>
            </w:r>
            <w:r>
              <w:rPr>
                <w:rFonts w:hint="eastAsia"/>
                <w:color w:val="auto"/>
                <w:highlight w:val="none"/>
                <w:lang w:eastAsia="zh-CN"/>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lang w:val="en-US" w:eastAsia="zh-CN"/>
              </w:rPr>
              <w:t xml:space="preserve"> </w:t>
            </w:r>
            <w:r>
              <w:rPr>
                <w:rFonts w:hint="eastAsia" w:ascii="Times New Roman" w:hAnsi="Times New Roman" w:eastAsia="宋体" w:cs="Times New Roman"/>
                <w:color w:val="auto"/>
                <w:sz w:val="24"/>
                <w:highlight w:val="none"/>
                <w:lang w:val="en-US" w:eastAsia="zh-CN"/>
              </w:rPr>
              <w:t>淮南市三区三线图</w:t>
            </w:r>
          </w:p>
          <w:p w14:paraId="3A9EF686">
            <w:pPr>
              <w:ind w:firstLine="482" w:firstLineChars="200"/>
              <w:rPr>
                <w:b/>
                <w:bCs/>
                <w:color w:val="auto"/>
                <w:highlight w:val="none"/>
              </w:rPr>
            </w:pPr>
            <w:r>
              <w:rPr>
                <w:rFonts w:hint="eastAsia"/>
                <w:b/>
                <w:bCs/>
                <w:color w:val="auto"/>
                <w:highlight w:val="none"/>
              </w:rPr>
              <w:t>6</w:t>
            </w:r>
            <w:r>
              <w:rPr>
                <w:b/>
                <w:bCs/>
                <w:color w:val="auto"/>
                <w:highlight w:val="none"/>
              </w:rPr>
              <w:t>、与地方及行业环保管理要求的相符性分析</w:t>
            </w:r>
          </w:p>
          <w:p w14:paraId="3FDC3A41">
            <w:pPr>
              <w:widowControl/>
              <w:ind w:firstLine="482" w:firstLineChars="200"/>
              <w:jc w:val="left"/>
              <w:rPr>
                <w:b/>
                <w:bCs/>
                <w:color w:val="auto"/>
                <w:highlight w:val="none"/>
              </w:rPr>
            </w:pPr>
            <w:r>
              <w:rPr>
                <w:b/>
                <w:bCs/>
                <w:color w:val="auto"/>
                <w:kern w:val="0"/>
                <w:highlight w:val="none"/>
                <w:lang w:bidi="ar"/>
              </w:rPr>
              <w:t>（1）</w:t>
            </w:r>
            <w:r>
              <w:rPr>
                <w:b/>
                <w:bCs/>
                <w:color w:val="auto"/>
                <w:highlight w:val="none"/>
              </w:rPr>
              <w:t>与《重点行业挥发性有机物治理方案》（环大气【2019】53号）的相符性分析。</w:t>
            </w:r>
          </w:p>
          <w:p w14:paraId="0F2B0F54">
            <w:pPr>
              <w:ind w:firstLine="480" w:firstLineChars="200"/>
              <w:rPr>
                <w:color w:val="auto"/>
                <w:highlight w:val="none"/>
              </w:rPr>
            </w:pPr>
            <w:r>
              <w:rPr>
                <w:color w:val="auto"/>
                <w:kern w:val="0"/>
                <w:highlight w:val="none"/>
                <w:lang w:bidi="ar"/>
              </w:rPr>
              <w:t>2019年6月26日生态环境部发布的《重点行业挥发性有机物综合治理方案》中指出</w:t>
            </w:r>
            <w:r>
              <w:rPr>
                <w:rFonts w:hint="eastAsia"/>
                <w:color w:val="auto"/>
                <w:kern w:val="0"/>
                <w:highlight w:val="none"/>
                <w:lang w:bidi="ar"/>
              </w:rPr>
              <w:t>“</w:t>
            </w:r>
            <w:r>
              <w:rPr>
                <w:color w:val="auto"/>
                <w:kern w:val="0"/>
                <w:highlight w:val="none"/>
                <w:lang w:bidi="ar"/>
              </w:rPr>
              <w:t>加大汽油（含乙醇汽油）、石脑油、煤油（含航空煤油）以及原油等VOCs排放控制，重点推进加油站、油罐车、储油库油气回收治理；埋地油罐全面采用电子液位仪进行汽油密闭测量。规范油气回收设施运行，自行或聘请第三方加强加油枪气液比、系统密闭性及管线液阻等检查，提高检测频次，重点区域原则上每半年开展一次，确保油气回收系统正常运行</w:t>
            </w:r>
            <w:r>
              <w:rPr>
                <w:rFonts w:hint="eastAsia"/>
                <w:color w:val="auto"/>
                <w:kern w:val="0"/>
                <w:highlight w:val="none"/>
                <w:lang w:bidi="ar"/>
              </w:rPr>
              <w:t>”</w:t>
            </w:r>
            <w:r>
              <w:rPr>
                <w:color w:val="auto"/>
                <w:kern w:val="0"/>
                <w:highlight w:val="none"/>
                <w:lang w:bidi="ar"/>
              </w:rPr>
              <w:t>。</w:t>
            </w:r>
            <w:r>
              <w:rPr>
                <w:color w:val="auto"/>
                <w:kern w:val="0"/>
                <w:highlight w:val="none"/>
                <w:lang w:bidi="ar"/>
              </w:rPr>
              <w:t>根据业主提供资料，本项目卸油、加油</w:t>
            </w:r>
            <w:r>
              <w:rPr>
                <w:rFonts w:hint="eastAsia"/>
                <w:color w:val="auto"/>
                <w:kern w:val="0"/>
                <w:highlight w:val="none"/>
                <w:lang w:bidi="ar"/>
              </w:rPr>
              <w:t>采用</w:t>
            </w:r>
            <w:r>
              <w:rPr>
                <w:color w:val="auto"/>
                <w:kern w:val="0"/>
                <w:highlight w:val="none"/>
                <w:lang w:bidi="ar"/>
              </w:rPr>
              <w:t>油气回收系统，有效地减少了VOC</w:t>
            </w:r>
            <w:r>
              <w:rPr>
                <w:rFonts w:hint="eastAsia"/>
                <w:color w:val="auto"/>
                <w:kern w:val="0"/>
                <w:highlight w:val="none"/>
                <w:lang w:bidi="ar"/>
              </w:rPr>
              <w:t>s</w:t>
            </w:r>
            <w:r>
              <w:rPr>
                <w:color w:val="auto"/>
                <w:kern w:val="0"/>
                <w:highlight w:val="none"/>
                <w:lang w:bidi="ar"/>
              </w:rPr>
              <w:t>的排放，降低了对大气的影响</w:t>
            </w:r>
            <w:r>
              <w:rPr>
                <w:rFonts w:hint="eastAsia"/>
                <w:color w:val="auto"/>
                <w:kern w:val="0"/>
                <w:highlight w:val="none"/>
                <w:lang w:bidi="ar"/>
              </w:rPr>
              <w:t>；</w:t>
            </w:r>
            <w:r>
              <w:rPr>
                <w:color w:val="auto"/>
                <w:kern w:val="0"/>
                <w:highlight w:val="none"/>
                <w:lang w:bidi="ar"/>
              </w:rPr>
              <w:t>项目加油站埋地油罐拟采用电子液位仪进行汽油密闭测量。综上所述，本项目符合《重点行业挥发性有机物综合治理方案》的要求。</w:t>
            </w:r>
          </w:p>
          <w:p w14:paraId="726FD5D7">
            <w:pPr>
              <w:widowControl/>
              <w:ind w:firstLine="482" w:firstLineChars="200"/>
              <w:jc w:val="left"/>
              <w:rPr>
                <w:b/>
                <w:bCs/>
                <w:color w:val="auto"/>
                <w:kern w:val="0"/>
                <w:highlight w:val="none"/>
                <w:lang w:bidi="ar"/>
              </w:rPr>
            </w:pPr>
            <w:r>
              <w:rPr>
                <w:b/>
                <w:bCs/>
                <w:color w:val="auto"/>
                <w:kern w:val="0"/>
                <w:highlight w:val="none"/>
                <w:lang w:bidi="ar"/>
              </w:rPr>
              <w:t>（2）与《挥发性有机物无组织排放控制标准》（GB 37822-2019）的相符性分析</w:t>
            </w:r>
          </w:p>
          <w:p w14:paraId="75B391A1">
            <w:pPr>
              <w:ind w:firstLine="480" w:firstLineChars="200"/>
              <w:rPr>
                <w:color w:val="auto"/>
                <w:highlight w:val="none"/>
              </w:rPr>
            </w:pPr>
            <w:r>
              <w:rPr>
                <w:rFonts w:hint="eastAsia"/>
                <w:color w:val="auto"/>
                <w:highlight w:val="none"/>
              </w:rPr>
              <w:t>本项目与</w:t>
            </w:r>
            <w:r>
              <w:rPr>
                <w:color w:val="auto"/>
                <w:highlight w:val="none"/>
              </w:rPr>
              <w:t>《挥发性有机物无组织排放控制标准》（GB 37822-2019）的相符性分析</w:t>
            </w:r>
            <w:r>
              <w:rPr>
                <w:rFonts w:hint="eastAsia"/>
                <w:color w:val="auto"/>
                <w:highlight w:val="none"/>
              </w:rPr>
              <w:t>如下：</w:t>
            </w:r>
          </w:p>
          <w:p w14:paraId="7F9F3EF4">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lang w:val="en-US" w:eastAsia="zh-CN"/>
              </w:rPr>
              <w:t xml:space="preserve"> </w:t>
            </w:r>
            <w:r>
              <w:rPr>
                <w:color w:val="auto"/>
                <w:highlight w:val="none"/>
              </w:rPr>
              <w:t>与《挥发性有机物无组织排放控制标准》（GB 37822-2019）的相符性分析</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471"/>
              <w:gridCol w:w="1593"/>
              <w:gridCol w:w="1328"/>
            </w:tblGrid>
            <w:tr w14:paraId="6310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2" w:type="dxa"/>
                  <w:vAlign w:val="center"/>
                </w:tcPr>
                <w:p w14:paraId="3B76285D">
                  <w:pPr>
                    <w:pStyle w:val="30"/>
                    <w:rPr>
                      <w:b w:val="0"/>
                      <w:bCs w:val="0"/>
                      <w:color w:val="auto"/>
                      <w:highlight w:val="none"/>
                    </w:rPr>
                  </w:pPr>
                  <w:r>
                    <w:rPr>
                      <w:b w:val="0"/>
                      <w:bCs w:val="0"/>
                      <w:color w:val="auto"/>
                      <w:highlight w:val="none"/>
                    </w:rPr>
                    <w:t>序号</w:t>
                  </w:r>
                </w:p>
              </w:tc>
              <w:tc>
                <w:tcPr>
                  <w:tcW w:w="3519" w:type="dxa"/>
                  <w:vAlign w:val="center"/>
                </w:tcPr>
                <w:p w14:paraId="3322C439">
                  <w:pPr>
                    <w:pStyle w:val="30"/>
                    <w:rPr>
                      <w:b w:val="0"/>
                      <w:bCs w:val="0"/>
                      <w:color w:val="auto"/>
                      <w:highlight w:val="none"/>
                    </w:rPr>
                  </w:pPr>
                  <w:r>
                    <w:rPr>
                      <w:b w:val="0"/>
                      <w:bCs w:val="0"/>
                      <w:color w:val="auto"/>
                      <w:highlight w:val="none"/>
                    </w:rPr>
                    <w:t>固定</w:t>
                  </w:r>
                  <w:r>
                    <w:rPr>
                      <w:rFonts w:hint="eastAsia"/>
                      <w:b w:val="0"/>
                      <w:bCs w:val="0"/>
                      <w:color w:val="auto"/>
                      <w:highlight w:val="none"/>
                    </w:rPr>
                    <w:t>顶罐</w:t>
                  </w:r>
                  <w:r>
                    <w:rPr>
                      <w:b w:val="0"/>
                      <w:bCs w:val="0"/>
                      <w:color w:val="auto"/>
                      <w:highlight w:val="none"/>
                    </w:rPr>
                    <w:t>维护要求</w:t>
                  </w:r>
                </w:p>
              </w:tc>
              <w:tc>
                <w:tcPr>
                  <w:tcW w:w="1615" w:type="dxa"/>
                  <w:vAlign w:val="center"/>
                </w:tcPr>
                <w:p w14:paraId="5C1CF398">
                  <w:pPr>
                    <w:pStyle w:val="30"/>
                    <w:rPr>
                      <w:b w:val="0"/>
                      <w:bCs w:val="0"/>
                      <w:color w:val="auto"/>
                      <w:highlight w:val="none"/>
                    </w:rPr>
                  </w:pPr>
                  <w:r>
                    <w:rPr>
                      <w:b w:val="0"/>
                      <w:bCs w:val="0"/>
                      <w:color w:val="auto"/>
                      <w:highlight w:val="none"/>
                    </w:rPr>
                    <w:t>本项目情况</w:t>
                  </w:r>
                </w:p>
              </w:tc>
              <w:tc>
                <w:tcPr>
                  <w:tcW w:w="1346" w:type="dxa"/>
                  <w:vAlign w:val="center"/>
                </w:tcPr>
                <w:p w14:paraId="001815EF">
                  <w:pPr>
                    <w:pStyle w:val="30"/>
                    <w:rPr>
                      <w:b w:val="0"/>
                      <w:bCs w:val="0"/>
                      <w:color w:val="auto"/>
                      <w:highlight w:val="none"/>
                    </w:rPr>
                  </w:pPr>
                  <w:r>
                    <w:rPr>
                      <w:b w:val="0"/>
                      <w:bCs w:val="0"/>
                      <w:color w:val="auto"/>
                      <w:highlight w:val="none"/>
                    </w:rPr>
                    <w:t>相符性分析</w:t>
                  </w:r>
                </w:p>
              </w:tc>
            </w:tr>
            <w:tr w14:paraId="54FA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2" w:type="dxa"/>
                  <w:vAlign w:val="center"/>
                </w:tcPr>
                <w:p w14:paraId="07F2724F">
                  <w:pPr>
                    <w:pStyle w:val="30"/>
                    <w:rPr>
                      <w:color w:val="auto"/>
                      <w:highlight w:val="none"/>
                    </w:rPr>
                  </w:pPr>
                  <w:r>
                    <w:rPr>
                      <w:color w:val="auto"/>
                      <w:highlight w:val="none"/>
                    </w:rPr>
                    <w:t>1</w:t>
                  </w:r>
                </w:p>
              </w:tc>
              <w:tc>
                <w:tcPr>
                  <w:tcW w:w="3519" w:type="dxa"/>
                  <w:vAlign w:val="center"/>
                </w:tcPr>
                <w:p w14:paraId="4D085F28">
                  <w:pPr>
                    <w:pStyle w:val="30"/>
                    <w:rPr>
                      <w:color w:val="auto"/>
                      <w:highlight w:val="none"/>
                    </w:rPr>
                  </w:pPr>
                  <w:r>
                    <w:rPr>
                      <w:color w:val="auto"/>
                      <w:highlight w:val="none"/>
                    </w:rPr>
                    <w:t>固定顶罐罐体应保持完好，不应有孔洞、缝隙</w:t>
                  </w:r>
                </w:p>
              </w:tc>
              <w:tc>
                <w:tcPr>
                  <w:tcW w:w="1615" w:type="dxa"/>
                  <w:vAlign w:val="center"/>
                </w:tcPr>
                <w:p w14:paraId="18048BF7">
                  <w:pPr>
                    <w:pStyle w:val="30"/>
                    <w:rPr>
                      <w:color w:val="auto"/>
                      <w:highlight w:val="none"/>
                    </w:rPr>
                  </w:pPr>
                  <w:r>
                    <w:rPr>
                      <w:color w:val="auto"/>
                      <w:highlight w:val="none"/>
                    </w:rPr>
                    <w:t>项目埋地储罐为全密闭设置</w:t>
                  </w:r>
                </w:p>
              </w:tc>
              <w:tc>
                <w:tcPr>
                  <w:tcW w:w="1346" w:type="dxa"/>
                  <w:vAlign w:val="center"/>
                </w:tcPr>
                <w:p w14:paraId="3E42B753">
                  <w:pPr>
                    <w:pStyle w:val="30"/>
                    <w:rPr>
                      <w:color w:val="auto"/>
                      <w:highlight w:val="none"/>
                    </w:rPr>
                  </w:pPr>
                  <w:r>
                    <w:rPr>
                      <w:color w:val="auto"/>
                      <w:highlight w:val="none"/>
                    </w:rPr>
                    <w:t>符合</w:t>
                  </w:r>
                </w:p>
              </w:tc>
            </w:tr>
            <w:tr w14:paraId="551C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2" w:type="dxa"/>
                  <w:vAlign w:val="center"/>
                </w:tcPr>
                <w:p w14:paraId="09E75480">
                  <w:pPr>
                    <w:pStyle w:val="30"/>
                    <w:rPr>
                      <w:color w:val="auto"/>
                      <w:highlight w:val="none"/>
                    </w:rPr>
                  </w:pPr>
                  <w:r>
                    <w:rPr>
                      <w:color w:val="auto"/>
                      <w:highlight w:val="none"/>
                    </w:rPr>
                    <w:t>2</w:t>
                  </w:r>
                </w:p>
              </w:tc>
              <w:tc>
                <w:tcPr>
                  <w:tcW w:w="3519" w:type="dxa"/>
                  <w:vAlign w:val="center"/>
                </w:tcPr>
                <w:p w14:paraId="1A6E3977">
                  <w:pPr>
                    <w:pStyle w:val="30"/>
                    <w:rPr>
                      <w:color w:val="auto"/>
                      <w:highlight w:val="none"/>
                    </w:rPr>
                  </w:pPr>
                  <w:r>
                    <w:rPr>
                      <w:color w:val="auto"/>
                      <w:highlight w:val="none"/>
                    </w:rPr>
                    <w:t>储罐附件开口（孔），除采样、计量、例行检查、维护和其他正常活动外，应密闭</w:t>
                  </w:r>
                </w:p>
              </w:tc>
              <w:tc>
                <w:tcPr>
                  <w:tcW w:w="1615" w:type="dxa"/>
                  <w:vAlign w:val="center"/>
                </w:tcPr>
                <w:p w14:paraId="3E0315D0">
                  <w:pPr>
                    <w:pStyle w:val="30"/>
                    <w:rPr>
                      <w:color w:val="auto"/>
                      <w:highlight w:val="none"/>
                    </w:rPr>
                  </w:pPr>
                  <w:r>
                    <w:rPr>
                      <w:color w:val="auto"/>
                      <w:highlight w:val="none"/>
                    </w:rPr>
                    <w:t>项目埋地储罐为全密闭设置</w:t>
                  </w:r>
                </w:p>
              </w:tc>
              <w:tc>
                <w:tcPr>
                  <w:tcW w:w="1346" w:type="dxa"/>
                  <w:vAlign w:val="center"/>
                </w:tcPr>
                <w:p w14:paraId="42120FBD">
                  <w:pPr>
                    <w:pStyle w:val="30"/>
                    <w:rPr>
                      <w:color w:val="auto"/>
                      <w:highlight w:val="none"/>
                    </w:rPr>
                  </w:pPr>
                  <w:r>
                    <w:rPr>
                      <w:color w:val="auto"/>
                      <w:highlight w:val="none"/>
                    </w:rPr>
                    <w:t>符合</w:t>
                  </w:r>
                </w:p>
              </w:tc>
            </w:tr>
            <w:tr w14:paraId="417C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2" w:type="dxa"/>
                  <w:vAlign w:val="center"/>
                </w:tcPr>
                <w:p w14:paraId="73871938">
                  <w:pPr>
                    <w:pStyle w:val="30"/>
                    <w:rPr>
                      <w:color w:val="auto"/>
                      <w:highlight w:val="none"/>
                    </w:rPr>
                  </w:pPr>
                  <w:r>
                    <w:rPr>
                      <w:color w:val="auto"/>
                      <w:highlight w:val="none"/>
                    </w:rPr>
                    <w:t>3</w:t>
                  </w:r>
                </w:p>
              </w:tc>
              <w:tc>
                <w:tcPr>
                  <w:tcW w:w="3519" w:type="dxa"/>
                  <w:vAlign w:val="center"/>
                </w:tcPr>
                <w:p w14:paraId="13E00931">
                  <w:pPr>
                    <w:pStyle w:val="30"/>
                    <w:rPr>
                      <w:color w:val="auto"/>
                      <w:highlight w:val="none"/>
                    </w:rPr>
                  </w:pPr>
                  <w:r>
                    <w:rPr>
                      <w:color w:val="auto"/>
                      <w:highlight w:val="none"/>
                    </w:rPr>
                    <w:t>定期检查呼吸阀的定压是否符合设定要求</w:t>
                  </w:r>
                </w:p>
              </w:tc>
              <w:tc>
                <w:tcPr>
                  <w:tcW w:w="1615" w:type="dxa"/>
                  <w:vAlign w:val="center"/>
                </w:tcPr>
                <w:p w14:paraId="59FC247D">
                  <w:pPr>
                    <w:pStyle w:val="30"/>
                    <w:rPr>
                      <w:color w:val="auto"/>
                      <w:highlight w:val="none"/>
                    </w:rPr>
                  </w:pPr>
                  <w:r>
                    <w:rPr>
                      <w:color w:val="auto"/>
                      <w:highlight w:val="none"/>
                    </w:rPr>
                    <w:t>加油站定期检查呼吸阀的密闭性</w:t>
                  </w:r>
                </w:p>
              </w:tc>
              <w:tc>
                <w:tcPr>
                  <w:tcW w:w="1346" w:type="dxa"/>
                  <w:vAlign w:val="center"/>
                </w:tcPr>
                <w:p w14:paraId="45F08AE4">
                  <w:pPr>
                    <w:pStyle w:val="30"/>
                    <w:rPr>
                      <w:color w:val="auto"/>
                      <w:highlight w:val="none"/>
                    </w:rPr>
                  </w:pPr>
                  <w:r>
                    <w:rPr>
                      <w:color w:val="auto"/>
                      <w:highlight w:val="none"/>
                    </w:rPr>
                    <w:t>符合</w:t>
                  </w:r>
                </w:p>
              </w:tc>
            </w:tr>
          </w:tbl>
          <w:p w14:paraId="70C9F22B">
            <w:pPr>
              <w:ind w:firstLine="482" w:firstLineChars="200"/>
              <w:rPr>
                <w:b/>
                <w:bCs/>
                <w:color w:val="auto"/>
                <w:highlight w:val="none"/>
              </w:rPr>
            </w:pPr>
            <w:r>
              <w:rPr>
                <w:b/>
                <w:bCs/>
                <w:color w:val="auto"/>
                <w:highlight w:val="none"/>
              </w:rPr>
              <w:t>（3）与《加油站大气污染物排放标准》（GB20952-2020）的相符性分析</w:t>
            </w:r>
          </w:p>
          <w:p w14:paraId="0E14FCC8">
            <w:pPr>
              <w:ind w:firstLine="480" w:firstLineChars="200"/>
              <w:rPr>
                <w:color w:val="auto"/>
                <w:highlight w:val="none"/>
              </w:rPr>
            </w:pPr>
            <w:r>
              <w:rPr>
                <w:rFonts w:hint="eastAsia"/>
                <w:color w:val="auto"/>
                <w:highlight w:val="none"/>
              </w:rPr>
              <w:t>本项目</w:t>
            </w:r>
            <w:r>
              <w:rPr>
                <w:color w:val="auto"/>
                <w:highlight w:val="none"/>
              </w:rPr>
              <w:t>与《加油站大气污染物排放标准》（GB20952-2020）的相符性分析</w:t>
            </w:r>
            <w:r>
              <w:rPr>
                <w:rFonts w:hint="eastAsia"/>
                <w:color w:val="auto"/>
                <w:highlight w:val="none"/>
              </w:rPr>
              <w:t>如下：</w:t>
            </w:r>
          </w:p>
          <w:p w14:paraId="5D952BA2">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油气排放控制基本要求</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27"/>
              <w:gridCol w:w="2109"/>
              <w:gridCol w:w="1451"/>
            </w:tblGrid>
            <w:tr w14:paraId="581B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4F4BC7DC">
                  <w:pPr>
                    <w:pStyle w:val="30"/>
                    <w:rPr>
                      <w:color w:val="auto"/>
                      <w:highlight w:val="none"/>
                    </w:rPr>
                  </w:pPr>
                  <w:r>
                    <w:rPr>
                      <w:color w:val="auto"/>
                      <w:highlight w:val="none"/>
                    </w:rPr>
                    <w:t>序号</w:t>
                  </w:r>
                </w:p>
              </w:tc>
              <w:tc>
                <w:tcPr>
                  <w:tcW w:w="2968" w:type="dxa"/>
                  <w:vAlign w:val="center"/>
                </w:tcPr>
                <w:p w14:paraId="38ACACA8">
                  <w:pPr>
                    <w:pStyle w:val="30"/>
                    <w:rPr>
                      <w:color w:val="auto"/>
                      <w:highlight w:val="none"/>
                    </w:rPr>
                  </w:pPr>
                  <w:r>
                    <w:rPr>
                      <w:color w:val="auto"/>
                      <w:highlight w:val="none"/>
                    </w:rPr>
                    <w:t>标准内容</w:t>
                  </w:r>
                </w:p>
              </w:tc>
              <w:tc>
                <w:tcPr>
                  <w:tcW w:w="2138" w:type="dxa"/>
                  <w:vAlign w:val="center"/>
                </w:tcPr>
                <w:p w14:paraId="069C1963">
                  <w:pPr>
                    <w:pStyle w:val="30"/>
                    <w:rPr>
                      <w:color w:val="auto"/>
                      <w:highlight w:val="none"/>
                    </w:rPr>
                  </w:pPr>
                  <w:r>
                    <w:rPr>
                      <w:color w:val="auto"/>
                      <w:highlight w:val="none"/>
                    </w:rPr>
                    <w:t>本项目情况</w:t>
                  </w:r>
                </w:p>
              </w:tc>
              <w:tc>
                <w:tcPr>
                  <w:tcW w:w="1471" w:type="dxa"/>
                  <w:vAlign w:val="center"/>
                </w:tcPr>
                <w:p w14:paraId="2FF42B4E">
                  <w:pPr>
                    <w:pStyle w:val="30"/>
                    <w:rPr>
                      <w:color w:val="auto"/>
                      <w:highlight w:val="none"/>
                    </w:rPr>
                  </w:pPr>
                  <w:r>
                    <w:rPr>
                      <w:color w:val="auto"/>
                      <w:highlight w:val="none"/>
                    </w:rPr>
                    <w:t>相符性分析</w:t>
                  </w:r>
                </w:p>
              </w:tc>
            </w:tr>
            <w:tr w14:paraId="20DF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12307A97">
                  <w:pPr>
                    <w:pStyle w:val="30"/>
                    <w:rPr>
                      <w:color w:val="auto"/>
                      <w:highlight w:val="none"/>
                    </w:rPr>
                  </w:pPr>
                  <w:r>
                    <w:rPr>
                      <w:color w:val="auto"/>
                      <w:highlight w:val="none"/>
                    </w:rPr>
                    <w:t>1</w:t>
                  </w:r>
                </w:p>
              </w:tc>
              <w:tc>
                <w:tcPr>
                  <w:tcW w:w="2968" w:type="dxa"/>
                  <w:vAlign w:val="center"/>
                </w:tcPr>
                <w:p w14:paraId="66E1BED1">
                  <w:pPr>
                    <w:pStyle w:val="30"/>
                    <w:rPr>
                      <w:rFonts w:hint="eastAsia" w:eastAsia="宋体"/>
                      <w:color w:val="auto"/>
                      <w:highlight w:val="none"/>
                      <w:lang w:eastAsia="zh-CN"/>
                    </w:rPr>
                  </w:pPr>
                  <w:r>
                    <w:rPr>
                      <w:color w:val="auto"/>
                      <w:highlight w:val="none"/>
                    </w:rPr>
                    <w:t>4</w:t>
                  </w:r>
                  <w:r>
                    <w:rPr>
                      <w:rFonts w:hint="eastAsia"/>
                      <w:color w:val="auto"/>
                      <w:highlight w:val="none"/>
                    </w:rPr>
                    <w:t>.1.1</w:t>
                  </w:r>
                  <w:r>
                    <w:rPr>
                      <w:color w:val="auto"/>
                      <w:highlight w:val="none"/>
                    </w:rPr>
                    <w:t>加油站卸油、储油和加油时排放的油气，应采用以密闭收集为基础的油气回收方法进行控制</w:t>
                  </w:r>
                  <w:r>
                    <w:rPr>
                      <w:rFonts w:hint="eastAsia"/>
                      <w:color w:val="auto"/>
                      <w:highlight w:val="none"/>
                      <w:lang w:eastAsia="zh-CN"/>
                    </w:rPr>
                    <w:t>。</w:t>
                  </w:r>
                </w:p>
              </w:tc>
              <w:tc>
                <w:tcPr>
                  <w:tcW w:w="2138" w:type="dxa"/>
                  <w:vAlign w:val="center"/>
                </w:tcPr>
                <w:p w14:paraId="5110EAAA">
                  <w:pPr>
                    <w:pStyle w:val="30"/>
                    <w:rPr>
                      <w:rFonts w:hint="eastAsia" w:eastAsia="宋体"/>
                      <w:color w:val="auto"/>
                      <w:highlight w:val="none"/>
                      <w:lang w:eastAsia="zh-CN"/>
                    </w:rPr>
                  </w:pPr>
                  <w:r>
                    <w:rPr>
                      <w:color w:val="auto"/>
                      <w:highlight w:val="none"/>
                    </w:rPr>
                    <w:t>本项目</w:t>
                  </w:r>
                  <w:r>
                    <w:rPr>
                      <w:rFonts w:hint="eastAsia"/>
                      <w:color w:val="auto"/>
                      <w:highlight w:val="none"/>
                    </w:rPr>
                    <w:t>拟</w:t>
                  </w:r>
                  <w:r>
                    <w:rPr>
                      <w:color w:val="auto"/>
                      <w:highlight w:val="none"/>
                    </w:rPr>
                    <w:t>采用的</w:t>
                  </w:r>
                  <w:r>
                    <w:rPr>
                      <w:rFonts w:hint="eastAsia"/>
                      <w:color w:val="auto"/>
                      <w:highlight w:val="none"/>
                    </w:rPr>
                    <w:t>三</w:t>
                  </w:r>
                  <w:r>
                    <w:rPr>
                      <w:color w:val="auto"/>
                      <w:highlight w:val="none"/>
                    </w:rPr>
                    <w:t>次油气回收系统回收方式</w:t>
                  </w:r>
                  <w:r>
                    <w:rPr>
                      <w:rFonts w:hint="eastAsia"/>
                      <w:color w:val="auto"/>
                      <w:highlight w:val="none"/>
                    </w:rPr>
                    <w:t>均</w:t>
                  </w:r>
                  <w:r>
                    <w:rPr>
                      <w:color w:val="auto"/>
                      <w:highlight w:val="none"/>
                    </w:rPr>
                    <w:t>为密闭收集</w:t>
                  </w:r>
                  <w:r>
                    <w:rPr>
                      <w:rFonts w:hint="eastAsia"/>
                      <w:color w:val="auto"/>
                      <w:highlight w:val="none"/>
                      <w:lang w:eastAsia="zh-CN"/>
                    </w:rPr>
                    <w:t>。</w:t>
                  </w:r>
                </w:p>
              </w:tc>
              <w:tc>
                <w:tcPr>
                  <w:tcW w:w="1471" w:type="dxa"/>
                  <w:vAlign w:val="center"/>
                </w:tcPr>
                <w:p w14:paraId="45CD2663">
                  <w:pPr>
                    <w:pStyle w:val="30"/>
                    <w:rPr>
                      <w:color w:val="auto"/>
                      <w:highlight w:val="none"/>
                    </w:rPr>
                  </w:pPr>
                  <w:r>
                    <w:rPr>
                      <w:color w:val="auto"/>
                      <w:highlight w:val="none"/>
                    </w:rPr>
                    <w:t>符合</w:t>
                  </w:r>
                </w:p>
              </w:tc>
            </w:tr>
            <w:tr w14:paraId="6D9E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2035111A">
                  <w:pPr>
                    <w:pStyle w:val="30"/>
                    <w:rPr>
                      <w:color w:val="auto"/>
                      <w:highlight w:val="none"/>
                    </w:rPr>
                  </w:pPr>
                  <w:r>
                    <w:rPr>
                      <w:color w:val="auto"/>
                      <w:highlight w:val="none"/>
                    </w:rPr>
                    <w:t>2</w:t>
                  </w:r>
                </w:p>
              </w:tc>
              <w:tc>
                <w:tcPr>
                  <w:tcW w:w="2968" w:type="dxa"/>
                  <w:vAlign w:val="center"/>
                </w:tcPr>
                <w:p w14:paraId="1D77F1CB">
                  <w:pPr>
                    <w:pStyle w:val="30"/>
                    <w:rPr>
                      <w:color w:val="auto"/>
                      <w:highlight w:val="none"/>
                    </w:rPr>
                  </w:pPr>
                  <w:r>
                    <w:rPr>
                      <w:color w:val="auto"/>
                      <w:highlight w:val="none"/>
                    </w:rPr>
                    <w:t>4</w:t>
                  </w:r>
                  <w:r>
                    <w:rPr>
                      <w:rFonts w:hint="eastAsia"/>
                      <w:color w:val="auto"/>
                      <w:highlight w:val="none"/>
                    </w:rPr>
                    <w:t>.1.2加油站应建立油气回收施工图纸、油气回收系统测试校核、系统参数设置等技术档案，制定加油站油气回收系统管理、操作规程，定期进行检查、维护、维修并记录留档。</w:t>
                  </w:r>
                </w:p>
              </w:tc>
              <w:tc>
                <w:tcPr>
                  <w:tcW w:w="2138" w:type="dxa"/>
                  <w:vAlign w:val="center"/>
                </w:tcPr>
                <w:p w14:paraId="50B88F37">
                  <w:pPr>
                    <w:pStyle w:val="30"/>
                    <w:rPr>
                      <w:color w:val="auto"/>
                      <w:highlight w:val="none"/>
                    </w:rPr>
                  </w:pPr>
                  <w:r>
                    <w:rPr>
                      <w:color w:val="auto"/>
                      <w:highlight w:val="none"/>
                    </w:rPr>
                    <w:t>本项目</w:t>
                  </w:r>
                  <w:r>
                    <w:rPr>
                      <w:rFonts w:hint="eastAsia"/>
                      <w:color w:val="auto"/>
                      <w:highlight w:val="none"/>
                    </w:rPr>
                    <w:t>设计图纸完善，运营期定期检查维护设备，并记录台账。</w:t>
                  </w:r>
                </w:p>
              </w:tc>
              <w:tc>
                <w:tcPr>
                  <w:tcW w:w="1471" w:type="dxa"/>
                  <w:vAlign w:val="center"/>
                </w:tcPr>
                <w:p w14:paraId="21DE7F1B">
                  <w:pPr>
                    <w:pStyle w:val="30"/>
                    <w:rPr>
                      <w:color w:val="auto"/>
                      <w:highlight w:val="none"/>
                    </w:rPr>
                  </w:pPr>
                  <w:r>
                    <w:rPr>
                      <w:color w:val="auto"/>
                      <w:highlight w:val="none"/>
                    </w:rPr>
                    <w:t>符合</w:t>
                  </w:r>
                </w:p>
              </w:tc>
            </w:tr>
            <w:tr w14:paraId="5085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7BD5B2B7">
                  <w:pPr>
                    <w:pStyle w:val="30"/>
                    <w:rPr>
                      <w:color w:val="auto"/>
                      <w:highlight w:val="none"/>
                    </w:rPr>
                  </w:pPr>
                  <w:r>
                    <w:rPr>
                      <w:color w:val="auto"/>
                      <w:highlight w:val="none"/>
                    </w:rPr>
                    <w:t>3</w:t>
                  </w:r>
                </w:p>
              </w:tc>
              <w:tc>
                <w:tcPr>
                  <w:tcW w:w="2968" w:type="dxa"/>
                  <w:vAlign w:val="center"/>
                </w:tcPr>
                <w:p w14:paraId="38EE4424">
                  <w:pPr>
                    <w:pStyle w:val="30"/>
                    <w:rPr>
                      <w:color w:val="auto"/>
                      <w:highlight w:val="none"/>
                    </w:rPr>
                  </w:pPr>
                  <w:r>
                    <w:rPr>
                      <w:color w:val="auto"/>
                      <w:highlight w:val="none"/>
                    </w:rPr>
                    <w:t>4.</w:t>
                  </w:r>
                  <w:r>
                    <w:rPr>
                      <w:rFonts w:hint="eastAsia"/>
                      <w:color w:val="auto"/>
                      <w:highlight w:val="none"/>
                    </w:rPr>
                    <w:t>1.3加油站应按照环境监测管理规定和技术规范的要求，设计、建设、维护采样口或采样测试平台。</w:t>
                  </w:r>
                </w:p>
              </w:tc>
              <w:tc>
                <w:tcPr>
                  <w:tcW w:w="2138" w:type="dxa"/>
                  <w:vAlign w:val="center"/>
                </w:tcPr>
                <w:p w14:paraId="0BE748C2">
                  <w:pPr>
                    <w:pStyle w:val="30"/>
                    <w:rPr>
                      <w:color w:val="auto"/>
                      <w:highlight w:val="none"/>
                    </w:rPr>
                  </w:pPr>
                  <w:r>
                    <w:rPr>
                      <w:color w:val="auto"/>
                      <w:highlight w:val="none"/>
                    </w:rPr>
                    <w:t>本项目拟按照标准要求</w:t>
                  </w:r>
                  <w:r>
                    <w:rPr>
                      <w:rFonts w:hint="eastAsia"/>
                      <w:color w:val="auto"/>
                      <w:highlight w:val="none"/>
                    </w:rPr>
                    <w:t>设计建设。</w:t>
                  </w:r>
                </w:p>
              </w:tc>
              <w:tc>
                <w:tcPr>
                  <w:tcW w:w="1471" w:type="dxa"/>
                  <w:vAlign w:val="center"/>
                </w:tcPr>
                <w:p w14:paraId="3C62795C">
                  <w:pPr>
                    <w:pStyle w:val="30"/>
                    <w:rPr>
                      <w:color w:val="auto"/>
                      <w:highlight w:val="none"/>
                    </w:rPr>
                  </w:pPr>
                  <w:r>
                    <w:rPr>
                      <w:color w:val="auto"/>
                      <w:highlight w:val="none"/>
                    </w:rPr>
                    <w:t>符合</w:t>
                  </w:r>
                </w:p>
              </w:tc>
            </w:tr>
            <w:tr w14:paraId="7EF8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6D33CD8E">
                  <w:pPr>
                    <w:pStyle w:val="30"/>
                    <w:rPr>
                      <w:color w:val="auto"/>
                      <w:highlight w:val="none"/>
                    </w:rPr>
                  </w:pPr>
                  <w:r>
                    <w:rPr>
                      <w:color w:val="auto"/>
                      <w:highlight w:val="none"/>
                    </w:rPr>
                    <w:t>4</w:t>
                  </w:r>
                </w:p>
              </w:tc>
              <w:tc>
                <w:tcPr>
                  <w:tcW w:w="2968" w:type="dxa"/>
                  <w:vAlign w:val="center"/>
                </w:tcPr>
                <w:p w14:paraId="77E5AE7E">
                  <w:pPr>
                    <w:pStyle w:val="30"/>
                    <w:rPr>
                      <w:color w:val="auto"/>
                      <w:highlight w:val="none"/>
                    </w:rPr>
                  </w:pPr>
                  <w:r>
                    <w:rPr>
                      <w:color w:val="auto"/>
                      <w:highlight w:val="none"/>
                    </w:rPr>
                    <w:t>4</w:t>
                  </w:r>
                  <w:r>
                    <w:rPr>
                      <w:rFonts w:hint="eastAsia"/>
                      <w:color w:val="auto"/>
                      <w:highlight w:val="none"/>
                    </w:rPr>
                    <w:t>.1.4油气回收系统、油气处理装置、在线监测系统应采用标准化连接。</w:t>
                  </w:r>
                </w:p>
              </w:tc>
              <w:tc>
                <w:tcPr>
                  <w:tcW w:w="2138" w:type="dxa"/>
                  <w:vAlign w:val="center"/>
                </w:tcPr>
                <w:p w14:paraId="794D295F">
                  <w:pPr>
                    <w:pStyle w:val="30"/>
                    <w:rPr>
                      <w:color w:val="auto"/>
                      <w:highlight w:val="none"/>
                    </w:rPr>
                  </w:pPr>
                  <w:r>
                    <w:rPr>
                      <w:color w:val="auto"/>
                      <w:highlight w:val="none"/>
                    </w:rPr>
                    <w:t>本项目</w:t>
                  </w:r>
                  <w:r>
                    <w:rPr>
                      <w:rFonts w:hint="eastAsia"/>
                      <w:color w:val="auto"/>
                      <w:highlight w:val="none"/>
                    </w:rPr>
                    <w:t>油气回收系统采用标准化连接。</w:t>
                  </w:r>
                </w:p>
              </w:tc>
              <w:tc>
                <w:tcPr>
                  <w:tcW w:w="1471" w:type="dxa"/>
                  <w:vAlign w:val="center"/>
                </w:tcPr>
                <w:p w14:paraId="11BB7301">
                  <w:pPr>
                    <w:pStyle w:val="30"/>
                    <w:rPr>
                      <w:color w:val="auto"/>
                      <w:highlight w:val="none"/>
                    </w:rPr>
                  </w:pPr>
                  <w:r>
                    <w:rPr>
                      <w:color w:val="auto"/>
                      <w:highlight w:val="none"/>
                    </w:rPr>
                    <w:t>符合</w:t>
                  </w:r>
                </w:p>
              </w:tc>
            </w:tr>
            <w:tr w14:paraId="3845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188F5238">
                  <w:pPr>
                    <w:pStyle w:val="30"/>
                    <w:rPr>
                      <w:color w:val="auto"/>
                      <w:highlight w:val="none"/>
                    </w:rPr>
                  </w:pPr>
                  <w:r>
                    <w:rPr>
                      <w:color w:val="auto"/>
                      <w:highlight w:val="none"/>
                    </w:rPr>
                    <w:t>5</w:t>
                  </w:r>
                </w:p>
              </w:tc>
              <w:tc>
                <w:tcPr>
                  <w:tcW w:w="2968" w:type="dxa"/>
                  <w:vAlign w:val="center"/>
                </w:tcPr>
                <w:p w14:paraId="1100CAE9">
                  <w:pPr>
                    <w:pStyle w:val="30"/>
                    <w:rPr>
                      <w:color w:val="auto"/>
                      <w:highlight w:val="none"/>
                    </w:rPr>
                  </w:pPr>
                  <w:r>
                    <w:rPr>
                      <w:color w:val="auto"/>
                      <w:highlight w:val="none"/>
                    </w:rPr>
                    <w:t>4</w:t>
                  </w:r>
                  <w:r>
                    <w:rPr>
                      <w:rFonts w:hint="eastAsia"/>
                      <w:color w:val="auto"/>
                      <w:highlight w:val="none"/>
                    </w:rPr>
                    <w:t>.1.5在进行包括加油油气排放控制在内的油气回收设计和施工时，应将在线监测系统、油气处理装置等设备管线预先埋设。</w:t>
                  </w:r>
                </w:p>
              </w:tc>
              <w:tc>
                <w:tcPr>
                  <w:tcW w:w="2138" w:type="dxa"/>
                  <w:vAlign w:val="center"/>
                </w:tcPr>
                <w:p w14:paraId="4DEE14FF">
                  <w:pPr>
                    <w:pStyle w:val="30"/>
                    <w:rPr>
                      <w:color w:val="auto"/>
                      <w:highlight w:val="none"/>
                    </w:rPr>
                  </w:pPr>
                  <w:r>
                    <w:rPr>
                      <w:color w:val="auto"/>
                      <w:highlight w:val="none"/>
                    </w:rPr>
                    <w:t>本项目</w:t>
                  </w:r>
                  <w:r>
                    <w:rPr>
                      <w:rFonts w:hint="eastAsia"/>
                      <w:color w:val="auto"/>
                      <w:highlight w:val="none"/>
                    </w:rPr>
                    <w:t>预留在线监测系统、油气处理装置等设备管线。</w:t>
                  </w:r>
                </w:p>
              </w:tc>
              <w:tc>
                <w:tcPr>
                  <w:tcW w:w="1471" w:type="dxa"/>
                  <w:vAlign w:val="center"/>
                </w:tcPr>
                <w:p w14:paraId="22BE90E1">
                  <w:pPr>
                    <w:pStyle w:val="30"/>
                    <w:rPr>
                      <w:color w:val="auto"/>
                      <w:highlight w:val="none"/>
                    </w:rPr>
                  </w:pPr>
                  <w:r>
                    <w:rPr>
                      <w:color w:val="auto"/>
                      <w:highlight w:val="none"/>
                    </w:rPr>
                    <w:t>符合</w:t>
                  </w:r>
                </w:p>
              </w:tc>
            </w:tr>
          </w:tbl>
          <w:p w14:paraId="13274214">
            <w:pPr>
              <w:spacing w:before="38" w:line="358" w:lineRule="auto"/>
              <w:ind w:right="105" w:firstLine="476" w:firstLineChars="200"/>
              <w:rPr>
                <w:color w:val="auto"/>
                <w:highlight w:val="none"/>
              </w:rPr>
            </w:pPr>
            <w:r>
              <w:rPr>
                <w:color w:val="auto"/>
                <w:spacing w:val="-1"/>
                <w:highlight w:val="none"/>
              </w:rPr>
              <w:t>由上述分析可知，本项目拟采取大气污染物排放控制措施，均符合</w:t>
            </w:r>
            <w:r>
              <w:rPr>
                <w:color w:val="auto"/>
                <w:highlight w:val="none"/>
              </w:rPr>
              <w:t>《加油站大气污染物排放标准》（GB20952-2020）</w:t>
            </w:r>
            <w:r>
              <w:rPr>
                <w:rFonts w:hint="eastAsia"/>
                <w:color w:val="auto"/>
                <w:highlight w:val="none"/>
              </w:rPr>
              <w:t>中</w:t>
            </w:r>
            <w:r>
              <w:rPr>
                <w:color w:val="auto"/>
                <w:spacing w:val="-5"/>
                <w:highlight w:val="none"/>
              </w:rPr>
              <w:t>的</w:t>
            </w:r>
            <w:r>
              <w:rPr>
                <w:rFonts w:hint="eastAsia"/>
                <w:color w:val="auto"/>
                <w:spacing w:val="-1"/>
                <w:highlight w:val="none"/>
              </w:rPr>
              <w:t>油气排放控制基本</w:t>
            </w:r>
            <w:r>
              <w:rPr>
                <w:color w:val="auto"/>
                <w:spacing w:val="-1"/>
                <w:highlight w:val="none"/>
              </w:rPr>
              <w:t>要求</w:t>
            </w:r>
            <w:r>
              <w:rPr>
                <w:color w:val="auto"/>
                <w:spacing w:val="-5"/>
                <w:highlight w:val="none"/>
              </w:rPr>
              <w:t>。</w:t>
            </w:r>
          </w:p>
          <w:p w14:paraId="7515A3C5">
            <w:pPr>
              <w:numPr>
                <w:ilvl w:val="0"/>
                <w:numId w:val="2"/>
              </w:numPr>
              <w:ind w:firstLine="482" w:firstLineChars="200"/>
              <w:rPr>
                <w:b/>
                <w:bCs/>
                <w:color w:val="auto"/>
                <w:highlight w:val="none"/>
              </w:rPr>
            </w:pPr>
            <w:r>
              <w:rPr>
                <w:b/>
                <w:bCs/>
                <w:color w:val="auto"/>
                <w:highlight w:val="none"/>
              </w:rPr>
              <w:t>与《加油站地下水污染防治技术指南（试行）》</w:t>
            </w:r>
            <w:r>
              <w:rPr>
                <w:rFonts w:hint="eastAsia"/>
                <w:b/>
                <w:bCs/>
                <w:color w:val="auto"/>
                <w:highlight w:val="none"/>
                <w:lang w:eastAsia="zh-CN"/>
              </w:rPr>
              <w:t>（</w:t>
            </w:r>
            <w:r>
              <w:rPr>
                <w:rFonts w:hint="eastAsia"/>
                <w:b/>
                <w:bCs/>
                <w:color w:val="auto"/>
                <w:highlight w:val="none"/>
                <w:lang w:val="en-US" w:eastAsia="zh-CN"/>
              </w:rPr>
              <w:t>2017年3月</w:t>
            </w:r>
            <w:r>
              <w:rPr>
                <w:rFonts w:hint="eastAsia"/>
                <w:b/>
                <w:bCs/>
                <w:color w:val="auto"/>
                <w:highlight w:val="none"/>
                <w:lang w:eastAsia="zh-CN"/>
              </w:rPr>
              <w:t>）</w:t>
            </w:r>
            <w:r>
              <w:rPr>
                <w:b/>
                <w:bCs/>
                <w:color w:val="auto"/>
                <w:highlight w:val="none"/>
              </w:rPr>
              <w:t>的相符性分析</w:t>
            </w:r>
          </w:p>
          <w:p w14:paraId="6656F942">
            <w:pPr>
              <w:ind w:firstLine="480" w:firstLineChars="200"/>
              <w:rPr>
                <w:color w:val="auto"/>
                <w:highlight w:val="none"/>
              </w:rPr>
            </w:pPr>
            <w:r>
              <w:rPr>
                <w:rFonts w:hint="eastAsia"/>
                <w:color w:val="auto"/>
                <w:highlight w:val="none"/>
              </w:rPr>
              <w:t>本项目</w:t>
            </w:r>
            <w:r>
              <w:rPr>
                <w:color w:val="auto"/>
                <w:highlight w:val="none"/>
              </w:rPr>
              <w:t>与《加油站地下水污染防治技术指南（试行）》的相符性分析</w:t>
            </w:r>
            <w:r>
              <w:rPr>
                <w:rFonts w:hint="eastAsia"/>
                <w:color w:val="auto"/>
                <w:highlight w:val="none"/>
              </w:rPr>
              <w:t>如下：</w:t>
            </w:r>
          </w:p>
          <w:p w14:paraId="3CC690F3">
            <w:pPr>
              <w:pStyle w:val="6"/>
              <w:rPr>
                <w:color w:val="auto"/>
                <w:sz w:val="21"/>
                <w:szCs w:val="21"/>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lang w:val="en-US" w:eastAsia="zh-CN"/>
              </w:rPr>
              <w:t xml:space="preserve"> </w:t>
            </w:r>
            <w:r>
              <w:rPr>
                <w:color w:val="auto"/>
                <w:sz w:val="21"/>
                <w:szCs w:val="21"/>
                <w:highlight w:val="none"/>
              </w:rPr>
              <w:t>与《加油站地下水污染防治技术指南（试行）》的相符性分析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9"/>
              <w:gridCol w:w="3458"/>
              <w:gridCol w:w="1790"/>
              <w:gridCol w:w="1220"/>
            </w:tblGrid>
            <w:tr w14:paraId="76E4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3CA6E48E">
                  <w:pPr>
                    <w:pStyle w:val="30"/>
                    <w:rPr>
                      <w:color w:val="auto"/>
                      <w:highlight w:val="none"/>
                    </w:rPr>
                  </w:pPr>
                  <w:r>
                    <w:rPr>
                      <w:rFonts w:hint="eastAsia"/>
                      <w:color w:val="auto"/>
                      <w:highlight w:val="none"/>
                    </w:rPr>
                    <w:t>序号</w:t>
                  </w:r>
                </w:p>
              </w:tc>
              <w:tc>
                <w:tcPr>
                  <w:tcW w:w="3390" w:type="dxa"/>
                  <w:vAlign w:val="center"/>
                </w:tcPr>
                <w:p w14:paraId="1535341C">
                  <w:pPr>
                    <w:pStyle w:val="30"/>
                    <w:rPr>
                      <w:color w:val="auto"/>
                      <w:highlight w:val="none"/>
                    </w:rPr>
                  </w:pPr>
                  <w:r>
                    <w:rPr>
                      <w:color w:val="auto"/>
                      <w:highlight w:val="none"/>
                    </w:rPr>
                    <w:t>标准内容</w:t>
                  </w:r>
                </w:p>
              </w:tc>
              <w:tc>
                <w:tcPr>
                  <w:tcW w:w="1755" w:type="dxa"/>
                  <w:vAlign w:val="center"/>
                </w:tcPr>
                <w:p w14:paraId="68D48791">
                  <w:pPr>
                    <w:pStyle w:val="30"/>
                    <w:rPr>
                      <w:color w:val="auto"/>
                      <w:highlight w:val="none"/>
                    </w:rPr>
                  </w:pPr>
                  <w:r>
                    <w:rPr>
                      <w:color w:val="auto"/>
                      <w:highlight w:val="none"/>
                    </w:rPr>
                    <w:t>本项目情况</w:t>
                  </w:r>
                </w:p>
              </w:tc>
              <w:tc>
                <w:tcPr>
                  <w:tcW w:w="1196" w:type="dxa"/>
                  <w:vAlign w:val="center"/>
                </w:tcPr>
                <w:p w14:paraId="76D9CB82">
                  <w:pPr>
                    <w:pStyle w:val="30"/>
                    <w:rPr>
                      <w:color w:val="auto"/>
                      <w:highlight w:val="none"/>
                    </w:rPr>
                  </w:pPr>
                  <w:r>
                    <w:rPr>
                      <w:color w:val="auto"/>
                      <w:highlight w:val="none"/>
                    </w:rPr>
                    <w:t>相符性分析</w:t>
                  </w:r>
                </w:p>
              </w:tc>
            </w:tr>
            <w:tr w14:paraId="2D77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200D6153">
                  <w:pPr>
                    <w:pStyle w:val="30"/>
                    <w:rPr>
                      <w:color w:val="auto"/>
                      <w:highlight w:val="none"/>
                    </w:rPr>
                  </w:pPr>
                  <w:r>
                    <w:rPr>
                      <w:color w:val="auto"/>
                      <w:highlight w:val="none"/>
                    </w:rPr>
                    <w:t>1</w:t>
                  </w:r>
                </w:p>
              </w:tc>
              <w:tc>
                <w:tcPr>
                  <w:tcW w:w="3390" w:type="dxa"/>
                  <w:vAlign w:val="center"/>
                </w:tcPr>
                <w:p w14:paraId="322678EF">
                  <w:pPr>
                    <w:pStyle w:val="30"/>
                    <w:rPr>
                      <w:color w:val="auto"/>
                      <w:highlight w:val="none"/>
                    </w:rPr>
                  </w:pPr>
                  <w:r>
                    <w:rPr>
                      <w:color w:val="auto"/>
                      <w:highlight w:val="none"/>
                    </w:rPr>
                    <w:t>为防止加油站油品泄漏，污染土壤和地下水，加油站需要采取防渗漏和防渗漏检测措施。所有加油站的油罐需要更新为双层罐或者设置防渗池，双层罐和防渗池应符合《汽车加油加气</w:t>
                  </w:r>
                  <w:r>
                    <w:rPr>
                      <w:rFonts w:hint="eastAsia"/>
                      <w:color w:val="auto"/>
                      <w:highlight w:val="none"/>
                    </w:rPr>
                    <w:t>加氢</w:t>
                  </w:r>
                  <w:r>
                    <w:rPr>
                      <w:color w:val="auto"/>
                      <w:highlight w:val="none"/>
                    </w:rPr>
                    <w:t>站</w:t>
                  </w:r>
                  <w:r>
                    <w:rPr>
                      <w:rFonts w:hint="eastAsia"/>
                      <w:color w:val="auto"/>
                      <w:highlight w:val="none"/>
                    </w:rPr>
                    <w:t>技术标准</w:t>
                  </w:r>
                  <w:r>
                    <w:rPr>
                      <w:color w:val="auto"/>
                      <w:highlight w:val="none"/>
                    </w:rPr>
                    <w:t>》（GB50156-20</w:t>
                  </w:r>
                  <w:r>
                    <w:rPr>
                      <w:rFonts w:hint="eastAsia"/>
                      <w:color w:val="auto"/>
                      <w:highlight w:val="none"/>
                    </w:rPr>
                    <w:t>21</w:t>
                  </w:r>
                  <w:r>
                    <w:rPr>
                      <w:color w:val="auto"/>
                      <w:highlight w:val="none"/>
                    </w:rPr>
                    <w:t>）的要求，设置时可进行自行检查，检查内容见附录。加油站需要开展渗漏检测，设置常规地下水监测井，开展地下水常规监测。</w:t>
                  </w:r>
                </w:p>
              </w:tc>
              <w:tc>
                <w:tcPr>
                  <w:tcW w:w="1755" w:type="dxa"/>
                  <w:vAlign w:val="center"/>
                </w:tcPr>
                <w:p w14:paraId="1BB4ECEF">
                  <w:pPr>
                    <w:pStyle w:val="30"/>
                    <w:rPr>
                      <w:color w:val="auto"/>
                      <w:highlight w:val="none"/>
                    </w:rPr>
                  </w:pPr>
                  <w:r>
                    <w:rPr>
                      <w:color w:val="auto"/>
                      <w:highlight w:val="none"/>
                    </w:rPr>
                    <w:t>本项目油罐均为双层罐，且拟设置地下水监测井，开展地下水常规监测。</w:t>
                  </w:r>
                </w:p>
              </w:tc>
              <w:tc>
                <w:tcPr>
                  <w:tcW w:w="1196" w:type="dxa"/>
                  <w:vAlign w:val="center"/>
                </w:tcPr>
                <w:p w14:paraId="0ACBD828">
                  <w:pPr>
                    <w:pStyle w:val="30"/>
                    <w:rPr>
                      <w:color w:val="auto"/>
                      <w:highlight w:val="none"/>
                    </w:rPr>
                  </w:pPr>
                  <w:r>
                    <w:rPr>
                      <w:color w:val="auto"/>
                      <w:highlight w:val="none"/>
                    </w:rPr>
                    <w:t>符合</w:t>
                  </w:r>
                </w:p>
              </w:tc>
            </w:tr>
            <w:tr w14:paraId="3E6A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6ACAB6BC">
                  <w:pPr>
                    <w:pStyle w:val="30"/>
                    <w:rPr>
                      <w:color w:val="auto"/>
                      <w:highlight w:val="none"/>
                    </w:rPr>
                  </w:pPr>
                  <w:r>
                    <w:rPr>
                      <w:color w:val="auto"/>
                      <w:highlight w:val="none"/>
                    </w:rPr>
                    <w:t>2</w:t>
                  </w:r>
                </w:p>
              </w:tc>
              <w:tc>
                <w:tcPr>
                  <w:tcW w:w="3390" w:type="dxa"/>
                  <w:vAlign w:val="center"/>
                </w:tcPr>
                <w:p w14:paraId="6CC9D327">
                  <w:pPr>
                    <w:pStyle w:val="30"/>
                    <w:rPr>
                      <w:color w:val="auto"/>
                      <w:highlight w:val="none"/>
                    </w:rPr>
                  </w:pPr>
                  <w:r>
                    <w:rPr>
                      <w:color w:val="auto"/>
                      <w:highlight w:val="none"/>
                    </w:rPr>
                    <w:t>埋地油罐采用双层油罐时，可采用双层钢制油罐、双层玻璃纤维增强塑料油罐、内钢外玻璃纤维增强塑料双层油罐。既有加油站的埋地单层钢制油罐改造为双层油罐时，可采用玻璃纤增强塑料等满足强度和防渗要求的材料进行衬里改造。</w:t>
                  </w:r>
                </w:p>
              </w:tc>
              <w:tc>
                <w:tcPr>
                  <w:tcW w:w="1755" w:type="dxa"/>
                  <w:vAlign w:val="center"/>
                </w:tcPr>
                <w:p w14:paraId="252A8013">
                  <w:pPr>
                    <w:pStyle w:val="30"/>
                    <w:rPr>
                      <w:color w:val="auto"/>
                      <w:highlight w:val="none"/>
                    </w:rPr>
                  </w:pPr>
                  <w:r>
                    <w:rPr>
                      <w:color w:val="auto"/>
                      <w:highlight w:val="none"/>
                    </w:rPr>
                    <w:t>本项目采用双层罐（内钢外玻璃纤维增强塑料双层油罐）。</w:t>
                  </w:r>
                </w:p>
              </w:tc>
              <w:tc>
                <w:tcPr>
                  <w:tcW w:w="1196" w:type="dxa"/>
                  <w:vAlign w:val="center"/>
                </w:tcPr>
                <w:p w14:paraId="3AE1496E">
                  <w:pPr>
                    <w:pStyle w:val="30"/>
                    <w:rPr>
                      <w:color w:val="auto"/>
                      <w:highlight w:val="none"/>
                    </w:rPr>
                  </w:pPr>
                  <w:r>
                    <w:rPr>
                      <w:color w:val="auto"/>
                      <w:highlight w:val="none"/>
                    </w:rPr>
                    <w:t>符合</w:t>
                  </w:r>
                </w:p>
              </w:tc>
            </w:tr>
            <w:tr w14:paraId="2789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1972D847">
                  <w:pPr>
                    <w:pStyle w:val="30"/>
                    <w:rPr>
                      <w:color w:val="auto"/>
                      <w:highlight w:val="none"/>
                    </w:rPr>
                  </w:pPr>
                  <w:r>
                    <w:rPr>
                      <w:color w:val="auto"/>
                      <w:highlight w:val="none"/>
                    </w:rPr>
                    <w:t>3</w:t>
                  </w:r>
                </w:p>
              </w:tc>
              <w:tc>
                <w:tcPr>
                  <w:tcW w:w="3390" w:type="dxa"/>
                  <w:vAlign w:val="center"/>
                </w:tcPr>
                <w:p w14:paraId="4EF275B6">
                  <w:pPr>
                    <w:pStyle w:val="30"/>
                    <w:rPr>
                      <w:color w:val="auto"/>
                      <w:highlight w:val="none"/>
                    </w:rPr>
                  </w:pPr>
                  <w:r>
                    <w:rPr>
                      <w:color w:val="auto"/>
                      <w:highlight w:val="none"/>
                    </w:rPr>
                    <w:t>装有潜油泵的油罐人孔操作井、卸油口井、加油机底槽等可能发生油品渗漏的部位，也应采取相应的防渗措施。</w:t>
                  </w:r>
                </w:p>
              </w:tc>
              <w:tc>
                <w:tcPr>
                  <w:tcW w:w="1755" w:type="dxa"/>
                  <w:vAlign w:val="center"/>
                </w:tcPr>
                <w:p w14:paraId="3A4C035E">
                  <w:pPr>
                    <w:pStyle w:val="30"/>
                    <w:rPr>
                      <w:color w:val="auto"/>
                      <w:highlight w:val="none"/>
                    </w:rPr>
                  </w:pPr>
                  <w:r>
                    <w:rPr>
                      <w:color w:val="auto"/>
                      <w:highlight w:val="none"/>
                    </w:rPr>
                    <w:t>本项目可能发生油品渗漏的部位，均拟采取相应的防渗措施。</w:t>
                  </w:r>
                </w:p>
              </w:tc>
              <w:tc>
                <w:tcPr>
                  <w:tcW w:w="1196" w:type="dxa"/>
                  <w:vAlign w:val="center"/>
                </w:tcPr>
                <w:p w14:paraId="64115DAD">
                  <w:pPr>
                    <w:pStyle w:val="30"/>
                    <w:rPr>
                      <w:color w:val="auto"/>
                      <w:highlight w:val="none"/>
                    </w:rPr>
                  </w:pPr>
                  <w:r>
                    <w:rPr>
                      <w:color w:val="auto"/>
                      <w:highlight w:val="none"/>
                    </w:rPr>
                    <w:t>符合</w:t>
                  </w:r>
                </w:p>
              </w:tc>
            </w:tr>
            <w:tr w14:paraId="12FE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1B77827C">
                  <w:pPr>
                    <w:pStyle w:val="30"/>
                    <w:rPr>
                      <w:color w:val="auto"/>
                      <w:highlight w:val="none"/>
                    </w:rPr>
                  </w:pPr>
                  <w:r>
                    <w:rPr>
                      <w:color w:val="auto"/>
                      <w:highlight w:val="none"/>
                    </w:rPr>
                    <w:t>4</w:t>
                  </w:r>
                </w:p>
              </w:tc>
              <w:tc>
                <w:tcPr>
                  <w:tcW w:w="3390" w:type="dxa"/>
                  <w:vAlign w:val="center"/>
                </w:tcPr>
                <w:p w14:paraId="5330B5A4">
                  <w:pPr>
                    <w:pStyle w:val="30"/>
                    <w:jc w:val="both"/>
                    <w:rPr>
                      <w:color w:val="auto"/>
                      <w:highlight w:val="none"/>
                    </w:rPr>
                  </w:pPr>
                  <w:r>
                    <w:rPr>
                      <w:color w:val="auto"/>
                      <w:highlight w:val="none"/>
                    </w:rPr>
                    <w:t>采取防渗漏措施的加油站，其埋地加油管道应采用双层管道。具体设计要求应符合《汽车加油加气</w:t>
                  </w:r>
                  <w:r>
                    <w:rPr>
                      <w:rFonts w:hint="eastAsia"/>
                      <w:color w:val="auto"/>
                      <w:highlight w:val="none"/>
                    </w:rPr>
                    <w:t>加氢</w:t>
                  </w:r>
                  <w:r>
                    <w:rPr>
                      <w:color w:val="auto"/>
                      <w:highlight w:val="none"/>
                    </w:rPr>
                    <w:t>站</w:t>
                  </w:r>
                  <w:r>
                    <w:rPr>
                      <w:rFonts w:hint="eastAsia"/>
                      <w:color w:val="auto"/>
                      <w:highlight w:val="none"/>
                    </w:rPr>
                    <w:t>技术标准</w:t>
                  </w:r>
                  <w:r>
                    <w:rPr>
                      <w:color w:val="auto"/>
                      <w:highlight w:val="none"/>
                    </w:rPr>
                    <w:t>》（GB50156-20</w:t>
                  </w:r>
                  <w:r>
                    <w:rPr>
                      <w:rFonts w:hint="eastAsia"/>
                      <w:color w:val="auto"/>
                      <w:highlight w:val="none"/>
                    </w:rPr>
                    <w:t>21</w:t>
                  </w:r>
                  <w:r>
                    <w:rPr>
                      <w:color w:val="auto"/>
                      <w:highlight w:val="none"/>
                    </w:rPr>
                    <w:t>）的规定。双层油罐、防渗池和管道系统的渗漏检测宜采用在线监测系统。采用液体传感器监测时，传感器的检测精度不应大于3.5mm。其他设置要求可参见《汽车加油加气</w:t>
                  </w:r>
                  <w:r>
                    <w:rPr>
                      <w:rFonts w:hint="eastAsia"/>
                      <w:color w:val="auto"/>
                      <w:highlight w:val="none"/>
                    </w:rPr>
                    <w:t>加氢</w:t>
                  </w:r>
                  <w:r>
                    <w:rPr>
                      <w:color w:val="auto"/>
                      <w:highlight w:val="none"/>
                    </w:rPr>
                    <w:t>站</w:t>
                  </w:r>
                  <w:r>
                    <w:rPr>
                      <w:rFonts w:hint="eastAsia"/>
                      <w:color w:val="auto"/>
                      <w:highlight w:val="none"/>
                    </w:rPr>
                    <w:t>技术标准</w:t>
                  </w:r>
                  <w:r>
                    <w:rPr>
                      <w:color w:val="auto"/>
                      <w:highlight w:val="none"/>
                    </w:rPr>
                    <w:t>》（GB50156-20</w:t>
                  </w:r>
                  <w:r>
                    <w:rPr>
                      <w:rFonts w:hint="eastAsia"/>
                      <w:color w:val="auto"/>
                      <w:highlight w:val="none"/>
                    </w:rPr>
                    <w:t>21</w:t>
                  </w:r>
                  <w:r>
                    <w:rPr>
                      <w:color w:val="auto"/>
                      <w:highlight w:val="none"/>
                    </w:rPr>
                    <w:t>）及《石油化工防渗工程技术规范》（GB/T 50934</w:t>
                  </w:r>
                  <w:r>
                    <w:rPr>
                      <w:rFonts w:hint="eastAsia"/>
                      <w:color w:val="auto"/>
                      <w:highlight w:val="none"/>
                      <w:lang w:val="en-US" w:eastAsia="zh-CN"/>
                    </w:rPr>
                    <w:t>-2013</w:t>
                  </w:r>
                  <w:r>
                    <w:rPr>
                      <w:color w:val="auto"/>
                      <w:highlight w:val="none"/>
                    </w:rPr>
                    <w:t>）。</w:t>
                  </w:r>
                </w:p>
              </w:tc>
              <w:tc>
                <w:tcPr>
                  <w:tcW w:w="1755" w:type="dxa"/>
                  <w:vAlign w:val="center"/>
                </w:tcPr>
                <w:p w14:paraId="04719C51">
                  <w:pPr>
                    <w:pStyle w:val="30"/>
                    <w:rPr>
                      <w:color w:val="auto"/>
                      <w:highlight w:val="none"/>
                    </w:rPr>
                  </w:pPr>
                  <w:r>
                    <w:rPr>
                      <w:color w:val="auto"/>
                      <w:highlight w:val="none"/>
                    </w:rPr>
                    <w:t>本项目按照《汽车加油加气</w:t>
                  </w:r>
                  <w:r>
                    <w:rPr>
                      <w:rFonts w:hint="eastAsia"/>
                      <w:color w:val="auto"/>
                      <w:highlight w:val="none"/>
                    </w:rPr>
                    <w:t>加氢</w:t>
                  </w:r>
                  <w:r>
                    <w:rPr>
                      <w:color w:val="auto"/>
                      <w:highlight w:val="none"/>
                    </w:rPr>
                    <w:t>站</w:t>
                  </w:r>
                  <w:r>
                    <w:rPr>
                      <w:rFonts w:hint="eastAsia"/>
                      <w:color w:val="auto"/>
                      <w:highlight w:val="none"/>
                    </w:rPr>
                    <w:t>技术标准</w:t>
                  </w:r>
                  <w:r>
                    <w:rPr>
                      <w:color w:val="auto"/>
                      <w:highlight w:val="none"/>
                    </w:rPr>
                    <w:t>》（GB50156-20</w:t>
                  </w:r>
                  <w:r>
                    <w:rPr>
                      <w:rFonts w:hint="eastAsia"/>
                      <w:color w:val="auto"/>
                      <w:highlight w:val="none"/>
                    </w:rPr>
                    <w:t>21</w:t>
                  </w:r>
                  <w:r>
                    <w:rPr>
                      <w:color w:val="auto"/>
                      <w:highlight w:val="none"/>
                    </w:rPr>
                    <w:t>）的规定设置双层管道。</w:t>
                  </w:r>
                  <w:r>
                    <w:rPr>
                      <w:rFonts w:hint="eastAsia"/>
                      <w:color w:val="auto"/>
                      <w:highlight w:val="none"/>
                    </w:rPr>
                    <w:t>已预留</w:t>
                  </w:r>
                  <w:r>
                    <w:rPr>
                      <w:color w:val="auto"/>
                      <w:highlight w:val="none"/>
                    </w:rPr>
                    <w:t>在线监测系统。</w:t>
                  </w:r>
                </w:p>
              </w:tc>
              <w:tc>
                <w:tcPr>
                  <w:tcW w:w="1196" w:type="dxa"/>
                  <w:vAlign w:val="center"/>
                </w:tcPr>
                <w:p w14:paraId="4224C85E">
                  <w:pPr>
                    <w:pStyle w:val="30"/>
                    <w:rPr>
                      <w:color w:val="auto"/>
                      <w:highlight w:val="none"/>
                    </w:rPr>
                  </w:pPr>
                  <w:r>
                    <w:rPr>
                      <w:color w:val="auto"/>
                      <w:highlight w:val="none"/>
                    </w:rPr>
                    <w:t>符合</w:t>
                  </w:r>
                </w:p>
              </w:tc>
            </w:tr>
          </w:tbl>
          <w:p w14:paraId="56ADDA9E">
            <w:pPr>
              <w:ind w:firstLine="480" w:firstLineChars="200"/>
              <w:rPr>
                <w:color w:val="auto"/>
                <w:highlight w:val="none"/>
              </w:rPr>
            </w:pPr>
            <w:r>
              <w:rPr>
                <w:rFonts w:hint="eastAsia"/>
                <w:color w:val="auto"/>
                <w:highlight w:val="none"/>
              </w:rPr>
              <w:t>由上述分析可知，项目拟采取的地下水防治措施符合《加油站地下水污染防治技术指南（试行）》的相关要求。</w:t>
            </w:r>
          </w:p>
          <w:p w14:paraId="3B585EBA">
            <w:pPr>
              <w:ind w:firstLine="482" w:firstLineChars="200"/>
              <w:rPr>
                <w:b/>
                <w:bCs/>
                <w:color w:val="auto"/>
                <w:highlight w:val="none"/>
              </w:rPr>
            </w:pPr>
            <w:r>
              <w:rPr>
                <w:rFonts w:hint="eastAsia"/>
                <w:b/>
                <w:bCs/>
                <w:color w:val="auto"/>
                <w:highlight w:val="none"/>
              </w:rPr>
              <w:t>（5）与《汽车加油加气加氢站技术标准》（</w:t>
            </w:r>
            <w:r>
              <w:rPr>
                <w:b/>
                <w:bCs/>
                <w:color w:val="auto"/>
                <w:highlight w:val="none"/>
              </w:rPr>
              <w:t>GB50156-2021</w:t>
            </w:r>
            <w:r>
              <w:rPr>
                <w:rFonts w:hint="eastAsia"/>
                <w:b/>
                <w:bCs/>
                <w:color w:val="auto"/>
                <w:highlight w:val="none"/>
              </w:rPr>
              <w:t>）相符性分析</w:t>
            </w:r>
          </w:p>
          <w:p w14:paraId="6421BAFE">
            <w:pPr>
              <w:ind w:firstLine="464" w:firstLineChars="200"/>
              <w:rPr>
                <w:rFonts w:hint="default" w:eastAsia="宋体"/>
                <w:color w:val="auto"/>
                <w:highlight w:val="none"/>
                <w:lang w:val="en-US" w:eastAsia="zh-CN"/>
              </w:rPr>
            </w:pPr>
            <w:r>
              <w:rPr>
                <w:color w:val="auto"/>
                <w:spacing w:val="-4"/>
                <w:highlight w:val="none"/>
              </w:rPr>
              <w:t>项</w:t>
            </w:r>
            <w:r>
              <w:rPr>
                <w:color w:val="auto"/>
                <w:highlight w:val="none"/>
              </w:rPr>
              <w:t>目位于</w:t>
            </w:r>
            <w:r>
              <w:rPr>
                <w:rFonts w:hint="eastAsia"/>
                <w:color w:val="auto"/>
                <w:highlight w:val="none"/>
                <w:lang w:eastAsia="zh-CN"/>
              </w:rPr>
              <w:t>淮南市田家庵区安成镇王巷村和下陈社区境内淮潘公路南侧</w:t>
            </w:r>
            <w:r>
              <w:rPr>
                <w:color w:val="auto"/>
                <w:highlight w:val="none"/>
              </w:rPr>
              <w:t>，交通便利，</w:t>
            </w:r>
            <w:r>
              <w:rPr>
                <w:rFonts w:hint="eastAsia"/>
                <w:color w:val="auto"/>
                <w:highlight w:val="none"/>
                <w:lang w:eastAsia="zh-CN"/>
              </w:rPr>
              <w:t>进出车辆</w:t>
            </w:r>
            <w:r>
              <w:rPr>
                <w:color w:val="auto"/>
                <w:highlight w:val="none"/>
              </w:rPr>
              <w:t>较多，且不在城市干道的交叉口位置，总体符合《汽车加油加气加氢站技术标准》（G</w:t>
            </w:r>
            <w:r>
              <w:rPr>
                <w:color w:val="auto"/>
                <w:spacing w:val="-1"/>
                <w:highlight w:val="none"/>
              </w:rPr>
              <w:t>B50156</w:t>
            </w:r>
            <w:r>
              <w:rPr>
                <w:color w:val="auto"/>
                <w:spacing w:val="-2"/>
                <w:highlight w:val="none"/>
              </w:rPr>
              <w:t>-</w:t>
            </w:r>
            <w:r>
              <w:rPr>
                <w:color w:val="auto"/>
                <w:spacing w:val="-1"/>
                <w:highlight w:val="none"/>
              </w:rPr>
              <w:t>2021</w:t>
            </w:r>
            <w:r>
              <w:rPr>
                <w:color w:val="auto"/>
                <w:spacing w:val="-157"/>
                <w:highlight w:val="none"/>
              </w:rPr>
              <w:t>）</w:t>
            </w:r>
            <w:r>
              <w:rPr>
                <w:color w:val="auto"/>
                <w:highlight w:val="none"/>
              </w:rPr>
              <w:t>）相关规范要求。</w:t>
            </w:r>
            <w:r>
              <w:rPr>
                <w:rFonts w:hint="eastAsia"/>
                <w:color w:val="auto"/>
                <w:highlight w:val="none"/>
                <w:lang w:val="en-US" w:eastAsia="zh-CN"/>
              </w:rPr>
              <w:t>本项目与《汽车加油加气加氢站技术标准》（GB50156-2021））的相符性分析如下：</w:t>
            </w:r>
          </w:p>
          <w:p w14:paraId="2F95AA5B">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加油加气站选址原则</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784"/>
              <w:gridCol w:w="2208"/>
              <w:gridCol w:w="1328"/>
            </w:tblGrid>
            <w:tr w14:paraId="26BF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0EE0E111">
                  <w:pPr>
                    <w:pStyle w:val="30"/>
                    <w:rPr>
                      <w:color w:val="auto"/>
                      <w:highlight w:val="none"/>
                    </w:rPr>
                  </w:pPr>
                  <w:r>
                    <w:rPr>
                      <w:rFonts w:hint="eastAsia"/>
                      <w:color w:val="auto"/>
                      <w:highlight w:val="none"/>
                    </w:rPr>
                    <w:t>序号</w:t>
                  </w:r>
                </w:p>
              </w:tc>
              <w:tc>
                <w:tcPr>
                  <w:tcW w:w="2735" w:type="dxa"/>
                  <w:vAlign w:val="center"/>
                </w:tcPr>
                <w:p w14:paraId="658B4FE8">
                  <w:pPr>
                    <w:pStyle w:val="30"/>
                    <w:rPr>
                      <w:color w:val="auto"/>
                      <w:highlight w:val="none"/>
                    </w:rPr>
                  </w:pPr>
                  <w:r>
                    <w:rPr>
                      <w:rFonts w:hint="eastAsia"/>
                      <w:color w:val="auto"/>
                      <w:highlight w:val="none"/>
                    </w:rPr>
                    <w:t>标准要求</w:t>
                  </w:r>
                </w:p>
              </w:tc>
              <w:tc>
                <w:tcPr>
                  <w:tcW w:w="2169" w:type="dxa"/>
                  <w:vAlign w:val="center"/>
                </w:tcPr>
                <w:p w14:paraId="5BD6FD44">
                  <w:pPr>
                    <w:pStyle w:val="30"/>
                    <w:rPr>
                      <w:color w:val="auto"/>
                      <w:highlight w:val="none"/>
                    </w:rPr>
                  </w:pPr>
                  <w:r>
                    <w:rPr>
                      <w:rFonts w:hint="eastAsia"/>
                      <w:color w:val="auto"/>
                      <w:highlight w:val="none"/>
                    </w:rPr>
                    <w:t>本项目情况</w:t>
                  </w:r>
                </w:p>
              </w:tc>
              <w:tc>
                <w:tcPr>
                  <w:tcW w:w="1304" w:type="dxa"/>
                  <w:vAlign w:val="center"/>
                </w:tcPr>
                <w:p w14:paraId="242805AA">
                  <w:pPr>
                    <w:pStyle w:val="30"/>
                    <w:rPr>
                      <w:color w:val="auto"/>
                      <w:highlight w:val="none"/>
                    </w:rPr>
                  </w:pPr>
                  <w:r>
                    <w:rPr>
                      <w:rFonts w:hint="eastAsia"/>
                      <w:color w:val="auto"/>
                      <w:highlight w:val="none"/>
                    </w:rPr>
                    <w:t>符合性</w:t>
                  </w:r>
                </w:p>
              </w:tc>
            </w:tr>
            <w:tr w14:paraId="3E75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495AB0C9">
                  <w:pPr>
                    <w:pStyle w:val="30"/>
                    <w:rPr>
                      <w:color w:val="auto"/>
                      <w:highlight w:val="none"/>
                    </w:rPr>
                  </w:pPr>
                  <w:r>
                    <w:rPr>
                      <w:rFonts w:hint="eastAsia"/>
                      <w:color w:val="auto"/>
                      <w:highlight w:val="none"/>
                    </w:rPr>
                    <w:t>1</w:t>
                  </w:r>
                </w:p>
              </w:tc>
              <w:tc>
                <w:tcPr>
                  <w:tcW w:w="2735" w:type="dxa"/>
                  <w:vAlign w:val="center"/>
                </w:tcPr>
                <w:p w14:paraId="6398C3C8">
                  <w:pPr>
                    <w:pStyle w:val="30"/>
                    <w:rPr>
                      <w:color w:val="auto"/>
                      <w:highlight w:val="none"/>
                    </w:rPr>
                  </w:pPr>
                  <w:r>
                    <w:rPr>
                      <w:color w:val="auto"/>
                      <w:highlight w:val="none"/>
                    </w:rPr>
                    <w:t>汽车加油加气加氢站的站址选择应符合有关规划、环境保护和防火安全的要求，并应选在交通便利、用户使用方便的地点。</w:t>
                  </w:r>
                </w:p>
              </w:tc>
              <w:tc>
                <w:tcPr>
                  <w:tcW w:w="2169" w:type="dxa"/>
                  <w:vAlign w:val="center"/>
                </w:tcPr>
                <w:p w14:paraId="3FBDF9F7">
                  <w:pPr>
                    <w:pStyle w:val="30"/>
                    <w:rPr>
                      <w:color w:val="auto"/>
                      <w:highlight w:val="none"/>
                    </w:rPr>
                  </w:pPr>
                  <w:r>
                    <w:rPr>
                      <w:color w:val="auto"/>
                      <w:highlight w:val="none"/>
                    </w:rPr>
                    <w:t>项目位于</w:t>
                  </w:r>
                  <w:r>
                    <w:rPr>
                      <w:rFonts w:hint="eastAsia"/>
                      <w:color w:val="auto"/>
                      <w:highlight w:val="none"/>
                      <w:lang w:eastAsia="zh-CN"/>
                    </w:rPr>
                    <w:t>淮南市田家庵区安成镇王巷村和下陈社区境内淮潘公路南侧</w:t>
                  </w:r>
                  <w:r>
                    <w:rPr>
                      <w:color w:val="auto"/>
                      <w:highlight w:val="none"/>
                    </w:rPr>
                    <w:t>，交通便利，使用方便，符合要求；汽车加油站的站址选择符合有关规划、环境保护和防火安全的要求。</w:t>
                  </w:r>
                </w:p>
              </w:tc>
              <w:tc>
                <w:tcPr>
                  <w:tcW w:w="1304" w:type="dxa"/>
                  <w:vAlign w:val="center"/>
                </w:tcPr>
                <w:p w14:paraId="3F6F2DD0">
                  <w:pPr>
                    <w:pStyle w:val="30"/>
                    <w:rPr>
                      <w:color w:val="auto"/>
                      <w:highlight w:val="none"/>
                    </w:rPr>
                  </w:pPr>
                  <w:r>
                    <w:rPr>
                      <w:rFonts w:hint="eastAsia"/>
                      <w:color w:val="auto"/>
                      <w:highlight w:val="none"/>
                    </w:rPr>
                    <w:t>符合</w:t>
                  </w:r>
                </w:p>
              </w:tc>
            </w:tr>
            <w:tr w14:paraId="37D0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1239E251">
                  <w:pPr>
                    <w:pStyle w:val="30"/>
                    <w:rPr>
                      <w:color w:val="auto"/>
                      <w:highlight w:val="none"/>
                    </w:rPr>
                  </w:pPr>
                  <w:r>
                    <w:rPr>
                      <w:rFonts w:hint="eastAsia"/>
                      <w:color w:val="auto"/>
                      <w:highlight w:val="none"/>
                    </w:rPr>
                    <w:t>2</w:t>
                  </w:r>
                </w:p>
              </w:tc>
              <w:tc>
                <w:tcPr>
                  <w:tcW w:w="2735" w:type="dxa"/>
                  <w:vAlign w:val="center"/>
                </w:tcPr>
                <w:p w14:paraId="633F4A31">
                  <w:pPr>
                    <w:pStyle w:val="30"/>
                    <w:rPr>
                      <w:color w:val="auto"/>
                      <w:highlight w:val="none"/>
                    </w:rPr>
                  </w:pPr>
                  <w:r>
                    <w:rPr>
                      <w:color w:val="auto"/>
                      <w:highlight w:val="none"/>
                    </w:rPr>
                    <w:t>在城市中心区不应建一级汽车加油加气加氢站，CNG加气母站。</w:t>
                  </w:r>
                </w:p>
              </w:tc>
              <w:tc>
                <w:tcPr>
                  <w:tcW w:w="2169" w:type="dxa"/>
                  <w:vAlign w:val="center"/>
                </w:tcPr>
                <w:p w14:paraId="4D817C42">
                  <w:pPr>
                    <w:pStyle w:val="30"/>
                    <w:rPr>
                      <w:color w:val="auto"/>
                      <w:highlight w:val="none"/>
                    </w:rPr>
                  </w:pPr>
                  <w:r>
                    <w:rPr>
                      <w:rFonts w:hint="eastAsia"/>
                      <w:color w:val="auto"/>
                      <w:highlight w:val="none"/>
                    </w:rPr>
                    <w:t>本项目为二级综合能源站，符合要求</w:t>
                  </w:r>
                  <w:r>
                    <w:rPr>
                      <w:color w:val="auto"/>
                      <w:highlight w:val="none"/>
                    </w:rPr>
                    <w:t>。</w:t>
                  </w:r>
                </w:p>
              </w:tc>
              <w:tc>
                <w:tcPr>
                  <w:tcW w:w="1304" w:type="dxa"/>
                  <w:vAlign w:val="center"/>
                </w:tcPr>
                <w:p w14:paraId="11629B76">
                  <w:pPr>
                    <w:pStyle w:val="30"/>
                    <w:rPr>
                      <w:color w:val="auto"/>
                      <w:highlight w:val="none"/>
                    </w:rPr>
                  </w:pPr>
                  <w:r>
                    <w:rPr>
                      <w:rFonts w:hint="eastAsia"/>
                      <w:color w:val="auto"/>
                      <w:highlight w:val="none"/>
                    </w:rPr>
                    <w:t>符合</w:t>
                  </w:r>
                </w:p>
              </w:tc>
            </w:tr>
            <w:tr w14:paraId="5974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07836238">
                  <w:pPr>
                    <w:pStyle w:val="30"/>
                    <w:rPr>
                      <w:color w:val="auto"/>
                      <w:highlight w:val="none"/>
                    </w:rPr>
                  </w:pPr>
                  <w:r>
                    <w:rPr>
                      <w:rFonts w:hint="eastAsia"/>
                      <w:color w:val="auto"/>
                      <w:highlight w:val="none"/>
                    </w:rPr>
                    <w:t>3</w:t>
                  </w:r>
                </w:p>
              </w:tc>
              <w:tc>
                <w:tcPr>
                  <w:tcW w:w="2735" w:type="dxa"/>
                  <w:vAlign w:val="center"/>
                </w:tcPr>
                <w:p w14:paraId="653376C5">
                  <w:pPr>
                    <w:pStyle w:val="30"/>
                    <w:rPr>
                      <w:color w:val="auto"/>
                      <w:highlight w:val="none"/>
                    </w:rPr>
                  </w:pPr>
                  <w:r>
                    <w:rPr>
                      <w:color w:val="auto"/>
                      <w:highlight w:val="none"/>
                    </w:rPr>
                    <w:t>城市建成区内的汽车加油加气加氢站宜靠近城市道路，不宜选在城市干道的交叉路口附近。</w:t>
                  </w:r>
                </w:p>
              </w:tc>
              <w:tc>
                <w:tcPr>
                  <w:tcW w:w="2169" w:type="dxa"/>
                  <w:vAlign w:val="center"/>
                </w:tcPr>
                <w:p w14:paraId="39FD81BF">
                  <w:pPr>
                    <w:pStyle w:val="30"/>
                    <w:rPr>
                      <w:color w:val="auto"/>
                      <w:highlight w:val="none"/>
                    </w:rPr>
                  </w:pPr>
                  <w:r>
                    <w:rPr>
                      <w:color w:val="auto"/>
                      <w:highlight w:val="none"/>
                    </w:rPr>
                    <w:t>项目</w:t>
                  </w:r>
                  <w:r>
                    <w:rPr>
                      <w:rFonts w:hint="eastAsia"/>
                      <w:color w:val="auto"/>
                      <w:highlight w:val="none"/>
                    </w:rPr>
                    <w:t>位置靠近城市道路，</w:t>
                  </w:r>
                  <w:r>
                    <w:rPr>
                      <w:color w:val="auto"/>
                      <w:highlight w:val="none"/>
                    </w:rPr>
                    <w:t>不在城市干道交叉路口附近，符合要求。</w:t>
                  </w:r>
                </w:p>
              </w:tc>
              <w:tc>
                <w:tcPr>
                  <w:tcW w:w="1304" w:type="dxa"/>
                  <w:vAlign w:val="center"/>
                </w:tcPr>
                <w:p w14:paraId="29B6DDEE">
                  <w:pPr>
                    <w:pStyle w:val="30"/>
                    <w:rPr>
                      <w:color w:val="auto"/>
                      <w:highlight w:val="none"/>
                    </w:rPr>
                  </w:pPr>
                  <w:r>
                    <w:rPr>
                      <w:rFonts w:hint="eastAsia"/>
                      <w:color w:val="auto"/>
                      <w:highlight w:val="none"/>
                    </w:rPr>
                    <w:t>符合</w:t>
                  </w:r>
                </w:p>
              </w:tc>
            </w:tr>
            <w:tr w14:paraId="0F88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601E0446">
                  <w:pPr>
                    <w:pStyle w:val="30"/>
                    <w:rPr>
                      <w:color w:val="auto"/>
                      <w:highlight w:val="none"/>
                    </w:rPr>
                  </w:pPr>
                  <w:r>
                    <w:rPr>
                      <w:rFonts w:hint="eastAsia"/>
                      <w:color w:val="auto"/>
                      <w:highlight w:val="none"/>
                    </w:rPr>
                    <w:t>4</w:t>
                  </w:r>
                </w:p>
              </w:tc>
              <w:tc>
                <w:tcPr>
                  <w:tcW w:w="2735" w:type="dxa"/>
                  <w:vAlign w:val="center"/>
                </w:tcPr>
                <w:p w14:paraId="728D3C58">
                  <w:pPr>
                    <w:pStyle w:val="30"/>
                    <w:rPr>
                      <w:color w:val="auto"/>
                      <w:highlight w:val="none"/>
                    </w:rPr>
                  </w:pPr>
                  <w:r>
                    <w:rPr>
                      <w:color w:val="auto"/>
                      <w:highlight w:val="none"/>
                    </w:rPr>
                    <w:t>加油站、各类合建站中的汽油、柴油工艺设备与站外建（构）筑物的安全间距，不应小于表4.0.4的规定。</w:t>
                  </w:r>
                </w:p>
              </w:tc>
              <w:tc>
                <w:tcPr>
                  <w:tcW w:w="2169" w:type="dxa"/>
                  <w:vAlign w:val="center"/>
                </w:tcPr>
                <w:p w14:paraId="418C93E2">
                  <w:pPr>
                    <w:pStyle w:val="30"/>
                    <w:rPr>
                      <w:color w:val="auto"/>
                      <w:highlight w:val="none"/>
                    </w:rPr>
                  </w:pPr>
                  <w:r>
                    <w:rPr>
                      <w:rFonts w:hint="eastAsia"/>
                      <w:color w:val="auto"/>
                      <w:highlight w:val="none"/>
                    </w:rPr>
                    <w:t>项目综合能源站工艺设备与站外建构物安全间距符合表4.0.4中规定</w:t>
                  </w:r>
                  <w:r>
                    <w:rPr>
                      <w:color w:val="auto"/>
                      <w:highlight w:val="none"/>
                    </w:rPr>
                    <w:t>。</w:t>
                  </w:r>
                </w:p>
              </w:tc>
              <w:tc>
                <w:tcPr>
                  <w:tcW w:w="1304" w:type="dxa"/>
                  <w:vAlign w:val="center"/>
                </w:tcPr>
                <w:p w14:paraId="304D38DA">
                  <w:pPr>
                    <w:pStyle w:val="30"/>
                    <w:rPr>
                      <w:color w:val="auto"/>
                      <w:highlight w:val="none"/>
                    </w:rPr>
                  </w:pPr>
                  <w:r>
                    <w:rPr>
                      <w:rFonts w:hint="eastAsia"/>
                      <w:color w:val="auto"/>
                      <w:highlight w:val="none"/>
                    </w:rPr>
                    <w:t>符合</w:t>
                  </w:r>
                </w:p>
              </w:tc>
            </w:tr>
            <w:tr w14:paraId="3863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2C7D64C6">
                  <w:pPr>
                    <w:pStyle w:val="30"/>
                    <w:rPr>
                      <w:color w:val="auto"/>
                      <w:highlight w:val="none"/>
                    </w:rPr>
                  </w:pPr>
                  <w:r>
                    <w:rPr>
                      <w:rFonts w:hint="eastAsia"/>
                      <w:color w:val="auto"/>
                      <w:highlight w:val="none"/>
                    </w:rPr>
                    <w:t>5</w:t>
                  </w:r>
                </w:p>
              </w:tc>
              <w:tc>
                <w:tcPr>
                  <w:tcW w:w="2735" w:type="dxa"/>
                  <w:vAlign w:val="center"/>
                </w:tcPr>
                <w:p w14:paraId="3A3DED00">
                  <w:pPr>
                    <w:pStyle w:val="30"/>
                    <w:rPr>
                      <w:color w:val="auto"/>
                      <w:highlight w:val="none"/>
                    </w:rPr>
                  </w:pPr>
                  <w:r>
                    <w:rPr>
                      <w:color w:val="auto"/>
                      <w:highlight w:val="none"/>
                    </w:rPr>
                    <w:t>架空电力线路不应跨越汽车加油加气加氢站的作业区，架空通信线路不应跨越加气站、加氢合建站中加氢设施的作业区。</w:t>
                  </w:r>
                </w:p>
              </w:tc>
              <w:tc>
                <w:tcPr>
                  <w:tcW w:w="2169" w:type="dxa"/>
                  <w:vAlign w:val="center"/>
                </w:tcPr>
                <w:p w14:paraId="4B4442CE">
                  <w:pPr>
                    <w:pStyle w:val="30"/>
                    <w:rPr>
                      <w:color w:val="auto"/>
                      <w:highlight w:val="none"/>
                    </w:rPr>
                  </w:pPr>
                  <w:r>
                    <w:rPr>
                      <w:color w:val="auto"/>
                      <w:highlight w:val="none"/>
                    </w:rPr>
                    <w:t>项目加油作业区无架空电力线路跨越，符合要求。</w:t>
                  </w:r>
                </w:p>
              </w:tc>
              <w:tc>
                <w:tcPr>
                  <w:tcW w:w="1304" w:type="dxa"/>
                  <w:vAlign w:val="center"/>
                </w:tcPr>
                <w:p w14:paraId="43284A29">
                  <w:pPr>
                    <w:pStyle w:val="30"/>
                    <w:rPr>
                      <w:color w:val="auto"/>
                      <w:highlight w:val="none"/>
                    </w:rPr>
                  </w:pPr>
                  <w:r>
                    <w:rPr>
                      <w:rFonts w:hint="eastAsia"/>
                      <w:color w:val="auto"/>
                      <w:highlight w:val="none"/>
                    </w:rPr>
                    <w:t>符合</w:t>
                  </w:r>
                </w:p>
              </w:tc>
            </w:tr>
            <w:tr w14:paraId="3DD3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46AF8D8C">
                  <w:pPr>
                    <w:pStyle w:val="30"/>
                    <w:rPr>
                      <w:color w:val="auto"/>
                      <w:highlight w:val="none"/>
                    </w:rPr>
                  </w:pPr>
                  <w:r>
                    <w:rPr>
                      <w:rFonts w:hint="eastAsia"/>
                      <w:color w:val="auto"/>
                      <w:highlight w:val="none"/>
                    </w:rPr>
                    <w:t>6</w:t>
                  </w:r>
                </w:p>
              </w:tc>
              <w:tc>
                <w:tcPr>
                  <w:tcW w:w="2735" w:type="dxa"/>
                  <w:vAlign w:val="center"/>
                </w:tcPr>
                <w:p w14:paraId="0330AC0E">
                  <w:pPr>
                    <w:pStyle w:val="30"/>
                    <w:rPr>
                      <w:color w:val="auto"/>
                      <w:highlight w:val="none"/>
                    </w:rPr>
                  </w:pPr>
                  <w:r>
                    <w:rPr>
                      <w:color w:val="auto"/>
                      <w:highlight w:val="none"/>
                    </w:rPr>
                    <w:t>与汽车加油加气加氢站无关的可燃介质管道不应穿越汽车加油加气加氢站的用地范围。</w:t>
                  </w:r>
                </w:p>
              </w:tc>
              <w:tc>
                <w:tcPr>
                  <w:tcW w:w="2169" w:type="dxa"/>
                  <w:vAlign w:val="center"/>
                </w:tcPr>
                <w:p w14:paraId="51077C3A">
                  <w:pPr>
                    <w:pStyle w:val="30"/>
                    <w:rPr>
                      <w:color w:val="auto"/>
                      <w:highlight w:val="none"/>
                    </w:rPr>
                  </w:pPr>
                  <w:r>
                    <w:rPr>
                      <w:color w:val="auto"/>
                      <w:highlight w:val="none"/>
                    </w:rPr>
                    <w:t>项目用地范围内无与汽车加油站无关的可燃介质管道穿越。</w:t>
                  </w:r>
                </w:p>
              </w:tc>
              <w:tc>
                <w:tcPr>
                  <w:tcW w:w="1304" w:type="dxa"/>
                  <w:vAlign w:val="center"/>
                </w:tcPr>
                <w:p w14:paraId="2BB76A1E">
                  <w:pPr>
                    <w:pStyle w:val="30"/>
                    <w:rPr>
                      <w:color w:val="auto"/>
                      <w:highlight w:val="none"/>
                    </w:rPr>
                  </w:pPr>
                  <w:r>
                    <w:rPr>
                      <w:rFonts w:hint="eastAsia"/>
                      <w:color w:val="auto"/>
                      <w:highlight w:val="none"/>
                    </w:rPr>
                    <w:t>符合</w:t>
                  </w:r>
                </w:p>
              </w:tc>
            </w:tr>
          </w:tbl>
          <w:p w14:paraId="04F6EFE6">
            <w:pPr>
              <w:pStyle w:val="6"/>
              <w:rPr>
                <w:color w:val="auto"/>
                <w:highlight w:val="none"/>
              </w:rPr>
            </w:pPr>
            <w:r>
              <w:rPr>
                <w:color w:val="auto"/>
                <w:highlight w:val="none"/>
              </w:rPr>
              <w:t xml:space="preserve">表 </w:t>
            </w:r>
            <w:r>
              <w:rPr>
                <w:rFonts w:hint="eastAsia"/>
                <w:color w:val="auto"/>
                <w:highlight w:val="none"/>
              </w:rPr>
              <w:t>1-</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lang w:val="en-US" w:eastAsia="zh-CN"/>
              </w:rPr>
              <w:t xml:space="preserve"> </w:t>
            </w:r>
            <w:r>
              <w:rPr>
                <w:bCs/>
                <w:color w:val="auto"/>
                <w:szCs w:val="18"/>
                <w:highlight w:val="none"/>
              </w:rPr>
              <w:t>设备与站外建（构）筑物的安全间距</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7"/>
              <w:gridCol w:w="818"/>
              <w:gridCol w:w="896"/>
              <w:gridCol w:w="1333"/>
              <w:gridCol w:w="669"/>
              <w:gridCol w:w="728"/>
              <w:gridCol w:w="668"/>
              <w:gridCol w:w="671"/>
              <w:gridCol w:w="668"/>
            </w:tblGrid>
            <w:tr w14:paraId="4868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vMerge w:val="restart"/>
                  <w:shd w:val="clear" w:color="auto" w:fill="auto"/>
                  <w:vAlign w:val="center"/>
                </w:tcPr>
                <w:p w14:paraId="6D398441">
                  <w:pPr>
                    <w:pStyle w:val="30"/>
                    <w:rPr>
                      <w:color w:val="auto"/>
                      <w:highlight w:val="none"/>
                    </w:rPr>
                  </w:pPr>
                  <w:r>
                    <w:rPr>
                      <w:color w:val="auto"/>
                      <w:highlight w:val="none"/>
                    </w:rPr>
                    <w:t>站外建（构）筑物</w:t>
                  </w:r>
                </w:p>
              </w:tc>
              <w:tc>
                <w:tcPr>
                  <w:tcW w:w="1406" w:type="pct"/>
                  <w:gridSpan w:val="2"/>
                  <w:shd w:val="clear" w:color="auto" w:fill="auto"/>
                  <w:vAlign w:val="center"/>
                </w:tcPr>
                <w:p w14:paraId="77D68D5B">
                  <w:pPr>
                    <w:pStyle w:val="30"/>
                    <w:rPr>
                      <w:rFonts w:hint="eastAsia" w:eastAsia="宋体"/>
                      <w:color w:val="auto"/>
                      <w:highlight w:val="none"/>
                      <w:lang w:eastAsia="zh-CN"/>
                    </w:rPr>
                  </w:pPr>
                  <w:r>
                    <w:rPr>
                      <w:color w:val="auto"/>
                      <w:highlight w:val="none"/>
                    </w:rPr>
                    <w:t>埋地油罐</w:t>
                  </w:r>
                  <w:r>
                    <w:rPr>
                      <w:rFonts w:hint="eastAsia"/>
                      <w:color w:val="auto"/>
                      <w:highlight w:val="none"/>
                      <w:lang w:eastAsia="zh-CN"/>
                    </w:rPr>
                    <w:t>（汽油</w:t>
                  </w:r>
                  <w:r>
                    <w:rPr>
                      <w:rFonts w:hint="eastAsia"/>
                      <w:color w:val="auto"/>
                      <w:highlight w:val="none"/>
                      <w:lang w:val="en-US" w:eastAsia="zh-CN"/>
                    </w:rPr>
                    <w:t>/柴油</w:t>
                  </w:r>
                  <w:r>
                    <w:rPr>
                      <w:rFonts w:hint="eastAsia"/>
                      <w:color w:val="auto"/>
                      <w:highlight w:val="none"/>
                      <w:lang w:eastAsia="zh-CN"/>
                    </w:rPr>
                    <w:t>）</w:t>
                  </w:r>
                </w:p>
              </w:tc>
              <w:tc>
                <w:tcPr>
                  <w:tcW w:w="1451" w:type="pct"/>
                  <w:gridSpan w:val="3"/>
                  <w:shd w:val="clear" w:color="auto" w:fill="auto"/>
                  <w:vAlign w:val="center"/>
                </w:tcPr>
                <w:p w14:paraId="5173B512">
                  <w:pPr>
                    <w:pStyle w:val="30"/>
                    <w:rPr>
                      <w:color w:val="auto"/>
                      <w:highlight w:val="none"/>
                    </w:rPr>
                  </w:pPr>
                  <w:r>
                    <w:rPr>
                      <w:color w:val="auto"/>
                      <w:highlight w:val="none"/>
                    </w:rPr>
                    <w:t>加油机、通风管管口</w:t>
                  </w:r>
                  <w:r>
                    <w:rPr>
                      <w:rFonts w:hint="eastAsia"/>
                      <w:color w:val="auto"/>
                      <w:highlight w:val="none"/>
                      <w:lang w:eastAsia="zh-CN"/>
                    </w:rPr>
                    <w:t>（汽油</w:t>
                  </w:r>
                  <w:r>
                    <w:rPr>
                      <w:rFonts w:hint="eastAsia"/>
                      <w:color w:val="auto"/>
                      <w:highlight w:val="none"/>
                      <w:lang w:val="en-US" w:eastAsia="zh-CN"/>
                    </w:rPr>
                    <w:t>/柴油</w:t>
                  </w:r>
                  <w:r>
                    <w:rPr>
                      <w:rFonts w:hint="eastAsia"/>
                      <w:color w:val="auto"/>
                      <w:highlight w:val="none"/>
                      <w:lang w:eastAsia="zh-CN"/>
                    </w:rPr>
                    <w:t>）</w:t>
                  </w:r>
                </w:p>
              </w:tc>
              <w:tc>
                <w:tcPr>
                  <w:tcW w:w="469" w:type="pct"/>
                  <w:vMerge w:val="restart"/>
                  <w:shd w:val="clear" w:color="auto" w:fill="auto"/>
                  <w:vAlign w:val="center"/>
                </w:tcPr>
                <w:p w14:paraId="349C2193">
                  <w:pPr>
                    <w:pStyle w:val="30"/>
                    <w:rPr>
                      <w:color w:val="auto"/>
                      <w:highlight w:val="none"/>
                    </w:rPr>
                  </w:pPr>
                  <w:r>
                    <w:rPr>
                      <w:color w:val="auto"/>
                      <w:highlight w:val="none"/>
                    </w:rPr>
                    <w:t>结论</w:t>
                  </w:r>
                </w:p>
              </w:tc>
            </w:tr>
            <w:tr w14:paraId="0339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vMerge w:val="continue"/>
                  <w:shd w:val="clear" w:color="auto" w:fill="auto"/>
                  <w:vAlign w:val="center"/>
                </w:tcPr>
                <w:p w14:paraId="27B4B76E">
                  <w:pPr>
                    <w:pStyle w:val="30"/>
                    <w:rPr>
                      <w:color w:val="auto"/>
                      <w:highlight w:val="none"/>
                    </w:rPr>
                  </w:pPr>
                </w:p>
              </w:tc>
              <w:tc>
                <w:tcPr>
                  <w:tcW w:w="936" w:type="pct"/>
                  <w:vMerge w:val="restart"/>
                  <w:shd w:val="clear" w:color="auto" w:fill="auto"/>
                  <w:vAlign w:val="center"/>
                </w:tcPr>
                <w:p w14:paraId="0A728B20">
                  <w:pPr>
                    <w:pStyle w:val="30"/>
                    <w:rPr>
                      <w:color w:val="auto"/>
                      <w:highlight w:val="none"/>
                    </w:rPr>
                  </w:pPr>
                  <w:r>
                    <w:rPr>
                      <w:color w:val="auto"/>
                      <w:highlight w:val="none"/>
                    </w:rPr>
                    <w:t>有卸油和加油油气回收系统</w:t>
                  </w:r>
                </w:p>
              </w:tc>
              <w:tc>
                <w:tcPr>
                  <w:tcW w:w="470" w:type="pct"/>
                  <w:vMerge w:val="restart"/>
                  <w:shd w:val="clear" w:color="auto" w:fill="auto"/>
                  <w:vAlign w:val="center"/>
                </w:tcPr>
                <w:p w14:paraId="1609DE10">
                  <w:pPr>
                    <w:pStyle w:val="30"/>
                    <w:rPr>
                      <w:color w:val="auto"/>
                      <w:highlight w:val="none"/>
                    </w:rPr>
                  </w:pPr>
                  <w:r>
                    <w:rPr>
                      <w:color w:val="auto"/>
                      <w:highlight w:val="none"/>
                    </w:rPr>
                    <w:t>实际</w:t>
                  </w:r>
                </w:p>
                <w:p w14:paraId="0E61A08E">
                  <w:pPr>
                    <w:pStyle w:val="30"/>
                    <w:rPr>
                      <w:color w:val="auto"/>
                      <w:highlight w:val="none"/>
                    </w:rPr>
                  </w:pPr>
                  <w:r>
                    <w:rPr>
                      <w:color w:val="auto"/>
                      <w:highlight w:val="none"/>
                    </w:rPr>
                    <w:t>距离</w:t>
                  </w:r>
                </w:p>
              </w:tc>
              <w:tc>
                <w:tcPr>
                  <w:tcW w:w="511" w:type="pct"/>
                  <w:vMerge w:val="restart"/>
                  <w:shd w:val="clear" w:color="auto" w:fill="auto"/>
                  <w:vAlign w:val="center"/>
                </w:tcPr>
                <w:p w14:paraId="50D4318D">
                  <w:pPr>
                    <w:pStyle w:val="30"/>
                    <w:rPr>
                      <w:color w:val="auto"/>
                      <w:highlight w:val="none"/>
                    </w:rPr>
                  </w:pPr>
                  <w:r>
                    <w:rPr>
                      <w:color w:val="auto"/>
                      <w:highlight w:val="none"/>
                    </w:rPr>
                    <w:t>有卸油和加油油气回收系统</w:t>
                  </w:r>
                </w:p>
              </w:tc>
              <w:tc>
                <w:tcPr>
                  <w:tcW w:w="939" w:type="pct"/>
                  <w:gridSpan w:val="2"/>
                  <w:shd w:val="clear" w:color="auto" w:fill="auto"/>
                  <w:vAlign w:val="center"/>
                </w:tcPr>
                <w:p w14:paraId="7FAA4BA9">
                  <w:pPr>
                    <w:pStyle w:val="30"/>
                    <w:rPr>
                      <w:color w:val="auto"/>
                      <w:highlight w:val="none"/>
                    </w:rPr>
                  </w:pPr>
                  <w:r>
                    <w:rPr>
                      <w:color w:val="auto"/>
                      <w:highlight w:val="none"/>
                    </w:rPr>
                    <w:t>实际距离</w:t>
                  </w:r>
                </w:p>
              </w:tc>
              <w:tc>
                <w:tcPr>
                  <w:tcW w:w="469" w:type="pct"/>
                  <w:vMerge w:val="continue"/>
                  <w:shd w:val="clear" w:color="auto" w:fill="auto"/>
                  <w:vAlign w:val="center"/>
                </w:tcPr>
                <w:p w14:paraId="1E92997E">
                  <w:pPr>
                    <w:pStyle w:val="30"/>
                    <w:rPr>
                      <w:color w:val="auto"/>
                      <w:highlight w:val="none"/>
                    </w:rPr>
                  </w:pPr>
                </w:p>
              </w:tc>
            </w:tr>
            <w:tr w14:paraId="299B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vMerge w:val="continue"/>
                  <w:shd w:val="clear" w:color="auto" w:fill="auto"/>
                  <w:vAlign w:val="center"/>
                </w:tcPr>
                <w:p w14:paraId="1FAF6097">
                  <w:pPr>
                    <w:pStyle w:val="30"/>
                    <w:rPr>
                      <w:color w:val="auto"/>
                      <w:highlight w:val="none"/>
                    </w:rPr>
                  </w:pPr>
                </w:p>
              </w:tc>
              <w:tc>
                <w:tcPr>
                  <w:tcW w:w="936" w:type="pct"/>
                  <w:vMerge w:val="continue"/>
                  <w:shd w:val="clear" w:color="auto" w:fill="auto"/>
                  <w:vAlign w:val="center"/>
                </w:tcPr>
                <w:p w14:paraId="2FEB59E1">
                  <w:pPr>
                    <w:pStyle w:val="30"/>
                    <w:rPr>
                      <w:color w:val="auto"/>
                      <w:highlight w:val="none"/>
                    </w:rPr>
                  </w:pPr>
                </w:p>
              </w:tc>
              <w:tc>
                <w:tcPr>
                  <w:tcW w:w="470" w:type="pct"/>
                  <w:vMerge w:val="continue"/>
                  <w:shd w:val="clear" w:color="auto" w:fill="auto"/>
                  <w:vAlign w:val="center"/>
                </w:tcPr>
                <w:p w14:paraId="7C06C116">
                  <w:pPr>
                    <w:pStyle w:val="30"/>
                    <w:rPr>
                      <w:color w:val="auto"/>
                      <w:highlight w:val="none"/>
                    </w:rPr>
                  </w:pPr>
                </w:p>
              </w:tc>
              <w:tc>
                <w:tcPr>
                  <w:tcW w:w="511" w:type="pct"/>
                  <w:vMerge w:val="continue"/>
                  <w:shd w:val="clear" w:color="auto" w:fill="auto"/>
                  <w:vAlign w:val="center"/>
                </w:tcPr>
                <w:p w14:paraId="2A05E928">
                  <w:pPr>
                    <w:pStyle w:val="30"/>
                    <w:rPr>
                      <w:color w:val="auto"/>
                      <w:highlight w:val="none"/>
                    </w:rPr>
                  </w:pPr>
                </w:p>
              </w:tc>
              <w:tc>
                <w:tcPr>
                  <w:tcW w:w="469" w:type="pct"/>
                  <w:shd w:val="clear" w:color="auto" w:fill="auto"/>
                  <w:vAlign w:val="center"/>
                </w:tcPr>
                <w:p w14:paraId="4D5EF1BD">
                  <w:pPr>
                    <w:pStyle w:val="30"/>
                    <w:rPr>
                      <w:color w:val="auto"/>
                      <w:highlight w:val="none"/>
                    </w:rPr>
                  </w:pPr>
                  <w:r>
                    <w:rPr>
                      <w:color w:val="auto"/>
                      <w:highlight w:val="none"/>
                    </w:rPr>
                    <w:t>加油机</w:t>
                  </w:r>
                </w:p>
              </w:tc>
              <w:tc>
                <w:tcPr>
                  <w:tcW w:w="470" w:type="pct"/>
                  <w:shd w:val="clear" w:color="auto" w:fill="auto"/>
                  <w:vAlign w:val="center"/>
                </w:tcPr>
                <w:p w14:paraId="2EACF425">
                  <w:pPr>
                    <w:pStyle w:val="30"/>
                    <w:rPr>
                      <w:color w:val="auto"/>
                      <w:highlight w:val="none"/>
                    </w:rPr>
                  </w:pPr>
                  <w:r>
                    <w:rPr>
                      <w:color w:val="auto"/>
                      <w:highlight w:val="none"/>
                    </w:rPr>
                    <w:t>通风管管口</w:t>
                  </w:r>
                </w:p>
              </w:tc>
              <w:tc>
                <w:tcPr>
                  <w:tcW w:w="469" w:type="pct"/>
                  <w:vMerge w:val="continue"/>
                  <w:shd w:val="clear" w:color="auto" w:fill="auto"/>
                  <w:vAlign w:val="center"/>
                </w:tcPr>
                <w:p w14:paraId="0975B32B">
                  <w:pPr>
                    <w:pStyle w:val="30"/>
                    <w:rPr>
                      <w:color w:val="auto"/>
                      <w:highlight w:val="none"/>
                    </w:rPr>
                  </w:pPr>
                </w:p>
              </w:tc>
            </w:tr>
            <w:tr w14:paraId="7A45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shd w:val="clear" w:color="auto" w:fill="auto"/>
                  <w:vAlign w:val="center"/>
                </w:tcPr>
                <w:p w14:paraId="621EB5D8">
                  <w:pPr>
                    <w:pStyle w:val="30"/>
                    <w:rPr>
                      <w:color w:val="auto"/>
                      <w:highlight w:val="none"/>
                    </w:rPr>
                  </w:pPr>
                  <w:r>
                    <w:rPr>
                      <w:color w:val="auto"/>
                      <w:highlight w:val="none"/>
                    </w:rPr>
                    <w:t>重要公共建筑物</w:t>
                  </w:r>
                </w:p>
              </w:tc>
              <w:tc>
                <w:tcPr>
                  <w:tcW w:w="936" w:type="pct"/>
                  <w:shd w:val="clear" w:color="auto" w:fill="auto"/>
                  <w:vAlign w:val="center"/>
                </w:tcPr>
                <w:p w14:paraId="52A89A27">
                  <w:pPr>
                    <w:pStyle w:val="30"/>
                    <w:rPr>
                      <w:rFonts w:hint="default" w:eastAsia="宋体"/>
                      <w:color w:val="auto"/>
                      <w:highlight w:val="none"/>
                      <w:lang w:val="en-US" w:eastAsia="zh-CN"/>
                    </w:rPr>
                  </w:pPr>
                  <w:r>
                    <w:rPr>
                      <w:color w:val="auto"/>
                      <w:highlight w:val="none"/>
                    </w:rPr>
                    <w:t>35</w:t>
                  </w:r>
                  <w:r>
                    <w:rPr>
                      <w:rFonts w:hint="eastAsia"/>
                      <w:color w:val="auto"/>
                      <w:highlight w:val="none"/>
                      <w:lang w:val="en-US" w:eastAsia="zh-CN"/>
                    </w:rPr>
                    <w:t>/25</w:t>
                  </w:r>
                </w:p>
              </w:tc>
              <w:tc>
                <w:tcPr>
                  <w:tcW w:w="470" w:type="pct"/>
                  <w:shd w:val="clear" w:color="auto" w:fill="auto"/>
                  <w:vAlign w:val="center"/>
                </w:tcPr>
                <w:p w14:paraId="5E5457E9">
                  <w:pPr>
                    <w:pStyle w:val="30"/>
                    <w:rPr>
                      <w:color w:val="auto"/>
                      <w:highlight w:val="none"/>
                    </w:rPr>
                  </w:pPr>
                  <w:r>
                    <w:rPr>
                      <w:rFonts w:hint="eastAsia"/>
                      <w:color w:val="auto"/>
                      <w:highlight w:val="none"/>
                    </w:rPr>
                    <w:t>/</w:t>
                  </w:r>
                </w:p>
              </w:tc>
              <w:tc>
                <w:tcPr>
                  <w:tcW w:w="511" w:type="pct"/>
                  <w:shd w:val="clear" w:color="auto" w:fill="auto"/>
                  <w:vAlign w:val="center"/>
                </w:tcPr>
                <w:p w14:paraId="03A0144F">
                  <w:pPr>
                    <w:pStyle w:val="30"/>
                    <w:rPr>
                      <w:rFonts w:hint="default" w:eastAsia="宋体"/>
                      <w:color w:val="auto"/>
                      <w:highlight w:val="none"/>
                      <w:lang w:val="en-US" w:eastAsia="zh-CN"/>
                    </w:rPr>
                  </w:pPr>
                  <w:r>
                    <w:rPr>
                      <w:color w:val="auto"/>
                      <w:highlight w:val="none"/>
                    </w:rPr>
                    <w:t>35</w:t>
                  </w:r>
                  <w:r>
                    <w:rPr>
                      <w:rFonts w:hint="eastAsia"/>
                      <w:color w:val="auto"/>
                      <w:highlight w:val="none"/>
                      <w:lang w:val="en-US" w:eastAsia="zh-CN"/>
                    </w:rPr>
                    <w:t>/25</w:t>
                  </w:r>
                </w:p>
              </w:tc>
              <w:tc>
                <w:tcPr>
                  <w:tcW w:w="469" w:type="pct"/>
                  <w:shd w:val="clear" w:color="auto" w:fill="auto"/>
                  <w:vAlign w:val="center"/>
                </w:tcPr>
                <w:p w14:paraId="24A70463">
                  <w:pPr>
                    <w:pStyle w:val="30"/>
                    <w:rPr>
                      <w:color w:val="auto"/>
                      <w:highlight w:val="none"/>
                    </w:rPr>
                  </w:pPr>
                  <w:r>
                    <w:rPr>
                      <w:rFonts w:hint="eastAsia"/>
                      <w:color w:val="auto"/>
                      <w:highlight w:val="none"/>
                    </w:rPr>
                    <w:t>/</w:t>
                  </w:r>
                </w:p>
              </w:tc>
              <w:tc>
                <w:tcPr>
                  <w:tcW w:w="470" w:type="pct"/>
                  <w:shd w:val="clear" w:color="auto" w:fill="auto"/>
                  <w:vAlign w:val="center"/>
                </w:tcPr>
                <w:p w14:paraId="6504EB12">
                  <w:pPr>
                    <w:pStyle w:val="30"/>
                    <w:rPr>
                      <w:color w:val="auto"/>
                      <w:highlight w:val="none"/>
                    </w:rPr>
                  </w:pPr>
                  <w:r>
                    <w:rPr>
                      <w:rFonts w:hint="eastAsia"/>
                      <w:color w:val="auto"/>
                      <w:highlight w:val="none"/>
                    </w:rPr>
                    <w:t>/</w:t>
                  </w:r>
                </w:p>
              </w:tc>
              <w:tc>
                <w:tcPr>
                  <w:tcW w:w="469" w:type="pct"/>
                  <w:shd w:val="clear" w:color="auto" w:fill="auto"/>
                  <w:vAlign w:val="center"/>
                </w:tcPr>
                <w:p w14:paraId="15A0A0FD">
                  <w:pPr>
                    <w:pStyle w:val="30"/>
                    <w:rPr>
                      <w:rFonts w:hint="eastAsia" w:eastAsia="宋体"/>
                      <w:color w:val="auto"/>
                      <w:highlight w:val="none"/>
                      <w:lang w:eastAsia="zh-CN"/>
                    </w:rPr>
                  </w:pPr>
                  <w:r>
                    <w:rPr>
                      <w:rFonts w:hint="eastAsia"/>
                      <w:color w:val="auto"/>
                      <w:highlight w:val="none"/>
                      <w:lang w:eastAsia="zh-CN"/>
                    </w:rPr>
                    <w:t>不涉及</w:t>
                  </w:r>
                </w:p>
              </w:tc>
            </w:tr>
            <w:tr w14:paraId="32A0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shd w:val="clear" w:color="auto" w:fill="auto"/>
                  <w:vAlign w:val="center"/>
                </w:tcPr>
                <w:p w14:paraId="653FDC8D">
                  <w:pPr>
                    <w:pStyle w:val="30"/>
                    <w:rPr>
                      <w:color w:val="auto"/>
                      <w:highlight w:val="none"/>
                    </w:rPr>
                  </w:pPr>
                  <w:r>
                    <w:rPr>
                      <w:color w:val="auto"/>
                      <w:highlight w:val="none"/>
                    </w:rPr>
                    <w:t>明火地点或散发火花地点</w:t>
                  </w:r>
                </w:p>
              </w:tc>
              <w:tc>
                <w:tcPr>
                  <w:tcW w:w="936" w:type="pct"/>
                  <w:shd w:val="clear" w:color="auto" w:fill="auto"/>
                  <w:vAlign w:val="center"/>
                </w:tcPr>
                <w:p w14:paraId="0EE58E1F">
                  <w:pPr>
                    <w:pStyle w:val="30"/>
                    <w:rPr>
                      <w:rFonts w:hint="default" w:eastAsia="宋体"/>
                      <w:color w:val="auto"/>
                      <w:highlight w:val="none"/>
                      <w:lang w:val="en-US" w:eastAsia="zh-CN"/>
                    </w:rPr>
                  </w:pPr>
                  <w:r>
                    <w:rPr>
                      <w:rFonts w:hint="eastAsia"/>
                      <w:color w:val="auto"/>
                      <w:highlight w:val="none"/>
                    </w:rPr>
                    <w:t>17.5</w:t>
                  </w:r>
                  <w:r>
                    <w:rPr>
                      <w:rFonts w:hint="eastAsia"/>
                      <w:color w:val="auto"/>
                      <w:highlight w:val="none"/>
                      <w:lang w:val="en-US" w:eastAsia="zh-CN"/>
                    </w:rPr>
                    <w:t>/12.5</w:t>
                  </w:r>
                </w:p>
              </w:tc>
              <w:tc>
                <w:tcPr>
                  <w:tcW w:w="470" w:type="pct"/>
                  <w:shd w:val="clear" w:color="auto" w:fill="auto"/>
                  <w:vAlign w:val="center"/>
                </w:tcPr>
                <w:p w14:paraId="5D4BCC29">
                  <w:pPr>
                    <w:pStyle w:val="30"/>
                    <w:rPr>
                      <w:color w:val="auto"/>
                      <w:highlight w:val="none"/>
                    </w:rPr>
                  </w:pPr>
                  <w:r>
                    <w:rPr>
                      <w:rFonts w:hint="eastAsia"/>
                      <w:color w:val="auto"/>
                      <w:highlight w:val="none"/>
                    </w:rPr>
                    <w:t>/</w:t>
                  </w:r>
                </w:p>
              </w:tc>
              <w:tc>
                <w:tcPr>
                  <w:tcW w:w="511" w:type="pct"/>
                  <w:shd w:val="clear" w:color="auto" w:fill="auto"/>
                  <w:vAlign w:val="center"/>
                </w:tcPr>
                <w:p w14:paraId="23357523">
                  <w:pPr>
                    <w:pStyle w:val="30"/>
                    <w:rPr>
                      <w:rFonts w:hint="default" w:eastAsia="宋体"/>
                      <w:color w:val="auto"/>
                      <w:highlight w:val="none"/>
                      <w:lang w:val="en-US" w:eastAsia="zh-CN"/>
                    </w:rPr>
                  </w:pPr>
                  <w:r>
                    <w:rPr>
                      <w:color w:val="auto"/>
                      <w:highlight w:val="none"/>
                    </w:rPr>
                    <w:t>12.5</w:t>
                  </w:r>
                  <w:r>
                    <w:rPr>
                      <w:rFonts w:hint="eastAsia"/>
                      <w:color w:val="auto"/>
                      <w:highlight w:val="none"/>
                      <w:lang w:val="en-US" w:eastAsia="zh-CN"/>
                    </w:rPr>
                    <w:t>/10</w:t>
                  </w:r>
                </w:p>
              </w:tc>
              <w:tc>
                <w:tcPr>
                  <w:tcW w:w="469" w:type="pct"/>
                  <w:shd w:val="clear" w:color="auto" w:fill="auto"/>
                  <w:vAlign w:val="center"/>
                </w:tcPr>
                <w:p w14:paraId="632CBA73">
                  <w:pPr>
                    <w:pStyle w:val="30"/>
                    <w:rPr>
                      <w:color w:val="auto"/>
                      <w:highlight w:val="none"/>
                    </w:rPr>
                  </w:pPr>
                  <w:r>
                    <w:rPr>
                      <w:rFonts w:hint="eastAsia"/>
                      <w:color w:val="auto"/>
                      <w:highlight w:val="none"/>
                    </w:rPr>
                    <w:t>/</w:t>
                  </w:r>
                </w:p>
              </w:tc>
              <w:tc>
                <w:tcPr>
                  <w:tcW w:w="470" w:type="pct"/>
                  <w:shd w:val="clear" w:color="auto" w:fill="auto"/>
                  <w:vAlign w:val="center"/>
                </w:tcPr>
                <w:p w14:paraId="339B9713">
                  <w:pPr>
                    <w:pStyle w:val="30"/>
                    <w:rPr>
                      <w:color w:val="auto"/>
                      <w:highlight w:val="none"/>
                    </w:rPr>
                  </w:pPr>
                  <w:r>
                    <w:rPr>
                      <w:rFonts w:hint="eastAsia"/>
                      <w:color w:val="auto"/>
                      <w:highlight w:val="none"/>
                    </w:rPr>
                    <w:t>/</w:t>
                  </w:r>
                </w:p>
              </w:tc>
              <w:tc>
                <w:tcPr>
                  <w:tcW w:w="469" w:type="pct"/>
                  <w:vMerge w:val="restart"/>
                  <w:shd w:val="clear" w:color="auto" w:fill="auto"/>
                  <w:vAlign w:val="center"/>
                </w:tcPr>
                <w:p w14:paraId="133A1519">
                  <w:pPr>
                    <w:pStyle w:val="30"/>
                    <w:rPr>
                      <w:color w:val="auto"/>
                      <w:highlight w:val="none"/>
                    </w:rPr>
                  </w:pPr>
                  <w:r>
                    <w:rPr>
                      <w:rFonts w:hint="eastAsia"/>
                      <w:color w:val="auto"/>
                      <w:highlight w:val="none"/>
                    </w:rPr>
                    <w:t>满足</w:t>
                  </w:r>
                </w:p>
              </w:tc>
            </w:tr>
            <w:tr w14:paraId="3CFD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restart"/>
                  <w:shd w:val="clear" w:color="auto" w:fill="auto"/>
                  <w:vAlign w:val="center"/>
                </w:tcPr>
                <w:p w14:paraId="2008DA24">
                  <w:pPr>
                    <w:pStyle w:val="30"/>
                    <w:rPr>
                      <w:color w:val="auto"/>
                      <w:highlight w:val="none"/>
                    </w:rPr>
                  </w:pPr>
                  <w:r>
                    <w:rPr>
                      <w:color w:val="auto"/>
                      <w:highlight w:val="none"/>
                    </w:rPr>
                    <w:t>民用建筑物保护类别</w:t>
                  </w:r>
                </w:p>
              </w:tc>
              <w:tc>
                <w:tcPr>
                  <w:tcW w:w="574" w:type="pct"/>
                  <w:shd w:val="clear" w:color="auto" w:fill="auto"/>
                  <w:vAlign w:val="center"/>
                </w:tcPr>
                <w:p w14:paraId="3AD432F5">
                  <w:pPr>
                    <w:pStyle w:val="30"/>
                    <w:rPr>
                      <w:color w:val="auto"/>
                      <w:highlight w:val="none"/>
                    </w:rPr>
                  </w:pPr>
                  <w:r>
                    <w:rPr>
                      <w:color w:val="auto"/>
                      <w:highlight w:val="none"/>
                    </w:rPr>
                    <w:t>一类保护物</w:t>
                  </w:r>
                </w:p>
              </w:tc>
              <w:tc>
                <w:tcPr>
                  <w:tcW w:w="628" w:type="pct"/>
                  <w:shd w:val="clear" w:color="auto" w:fill="auto"/>
                  <w:vAlign w:val="center"/>
                </w:tcPr>
                <w:p w14:paraId="5241AF62">
                  <w:pPr>
                    <w:pStyle w:val="30"/>
                    <w:rPr>
                      <w:color w:val="auto"/>
                      <w:highlight w:val="none"/>
                    </w:rPr>
                  </w:pPr>
                  <w:r>
                    <w:rPr>
                      <w:rFonts w:hint="eastAsia"/>
                      <w:color w:val="auto"/>
                      <w:highlight w:val="none"/>
                    </w:rPr>
                    <w:t>/</w:t>
                  </w:r>
                </w:p>
              </w:tc>
              <w:tc>
                <w:tcPr>
                  <w:tcW w:w="936" w:type="pct"/>
                  <w:shd w:val="clear" w:color="auto" w:fill="auto"/>
                  <w:vAlign w:val="center"/>
                </w:tcPr>
                <w:p w14:paraId="33C80388">
                  <w:pPr>
                    <w:pStyle w:val="30"/>
                    <w:rPr>
                      <w:rFonts w:hint="default" w:eastAsia="宋体"/>
                      <w:color w:val="auto"/>
                      <w:highlight w:val="none"/>
                      <w:lang w:val="en-US" w:eastAsia="zh-CN"/>
                    </w:rPr>
                  </w:pPr>
                  <w:r>
                    <w:rPr>
                      <w:rFonts w:hint="eastAsia"/>
                      <w:color w:val="auto"/>
                      <w:highlight w:val="none"/>
                    </w:rPr>
                    <w:t>14</w:t>
                  </w:r>
                  <w:r>
                    <w:rPr>
                      <w:rFonts w:hint="eastAsia"/>
                      <w:color w:val="auto"/>
                      <w:highlight w:val="none"/>
                      <w:lang w:val="en-US" w:eastAsia="zh-CN"/>
                    </w:rPr>
                    <w:t>/6</w:t>
                  </w:r>
                </w:p>
              </w:tc>
              <w:tc>
                <w:tcPr>
                  <w:tcW w:w="470" w:type="pct"/>
                  <w:shd w:val="clear" w:color="auto" w:fill="auto"/>
                  <w:vAlign w:val="center"/>
                </w:tcPr>
                <w:p w14:paraId="11D474D9">
                  <w:pPr>
                    <w:pStyle w:val="30"/>
                    <w:rPr>
                      <w:color w:val="auto"/>
                      <w:highlight w:val="none"/>
                    </w:rPr>
                  </w:pPr>
                  <w:r>
                    <w:rPr>
                      <w:rFonts w:hint="eastAsia"/>
                      <w:color w:val="auto"/>
                      <w:highlight w:val="none"/>
                    </w:rPr>
                    <w:t>/</w:t>
                  </w:r>
                </w:p>
              </w:tc>
              <w:tc>
                <w:tcPr>
                  <w:tcW w:w="511" w:type="pct"/>
                  <w:shd w:val="clear" w:color="auto" w:fill="auto"/>
                  <w:vAlign w:val="center"/>
                </w:tcPr>
                <w:p w14:paraId="057C8C95">
                  <w:pPr>
                    <w:pStyle w:val="30"/>
                    <w:rPr>
                      <w:rFonts w:hint="default" w:eastAsia="宋体"/>
                      <w:color w:val="auto"/>
                      <w:highlight w:val="none"/>
                      <w:lang w:val="en-US" w:eastAsia="zh-CN"/>
                    </w:rPr>
                  </w:pPr>
                  <w:r>
                    <w:rPr>
                      <w:color w:val="auto"/>
                      <w:highlight w:val="none"/>
                    </w:rPr>
                    <w:t>11</w:t>
                  </w:r>
                  <w:r>
                    <w:rPr>
                      <w:rFonts w:hint="eastAsia"/>
                      <w:color w:val="auto"/>
                      <w:highlight w:val="none"/>
                      <w:lang w:val="en-US" w:eastAsia="zh-CN"/>
                    </w:rPr>
                    <w:t>/6</w:t>
                  </w:r>
                </w:p>
              </w:tc>
              <w:tc>
                <w:tcPr>
                  <w:tcW w:w="469" w:type="pct"/>
                  <w:shd w:val="clear" w:color="auto" w:fill="auto"/>
                  <w:vAlign w:val="center"/>
                </w:tcPr>
                <w:p w14:paraId="07D01998">
                  <w:pPr>
                    <w:pStyle w:val="30"/>
                    <w:rPr>
                      <w:color w:val="auto"/>
                      <w:highlight w:val="none"/>
                    </w:rPr>
                  </w:pPr>
                  <w:r>
                    <w:rPr>
                      <w:rFonts w:hint="eastAsia"/>
                      <w:color w:val="auto"/>
                      <w:highlight w:val="none"/>
                    </w:rPr>
                    <w:t>/</w:t>
                  </w:r>
                </w:p>
              </w:tc>
              <w:tc>
                <w:tcPr>
                  <w:tcW w:w="470" w:type="pct"/>
                  <w:shd w:val="clear" w:color="auto" w:fill="auto"/>
                  <w:vAlign w:val="center"/>
                </w:tcPr>
                <w:p w14:paraId="608C9585">
                  <w:pPr>
                    <w:pStyle w:val="30"/>
                    <w:rPr>
                      <w:color w:val="auto"/>
                      <w:highlight w:val="none"/>
                    </w:rPr>
                  </w:pPr>
                  <w:r>
                    <w:rPr>
                      <w:rFonts w:hint="eastAsia"/>
                      <w:color w:val="auto"/>
                      <w:highlight w:val="none"/>
                    </w:rPr>
                    <w:t>/</w:t>
                  </w:r>
                </w:p>
              </w:tc>
              <w:tc>
                <w:tcPr>
                  <w:tcW w:w="469" w:type="pct"/>
                  <w:vMerge w:val="continue"/>
                  <w:shd w:val="clear" w:color="auto" w:fill="auto"/>
                  <w:vAlign w:val="center"/>
                </w:tcPr>
                <w:p w14:paraId="575C48E6">
                  <w:pPr>
                    <w:pStyle w:val="30"/>
                    <w:rPr>
                      <w:color w:val="auto"/>
                      <w:highlight w:val="none"/>
                    </w:rPr>
                  </w:pPr>
                </w:p>
              </w:tc>
            </w:tr>
            <w:tr w14:paraId="191A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continue"/>
                  <w:shd w:val="clear" w:color="auto" w:fill="auto"/>
                  <w:vAlign w:val="center"/>
                </w:tcPr>
                <w:p w14:paraId="1EF7A24B">
                  <w:pPr>
                    <w:pStyle w:val="30"/>
                    <w:rPr>
                      <w:color w:val="auto"/>
                      <w:highlight w:val="none"/>
                    </w:rPr>
                  </w:pPr>
                </w:p>
              </w:tc>
              <w:tc>
                <w:tcPr>
                  <w:tcW w:w="574" w:type="pct"/>
                  <w:shd w:val="clear" w:color="auto" w:fill="auto"/>
                  <w:vAlign w:val="center"/>
                </w:tcPr>
                <w:p w14:paraId="7580721E">
                  <w:pPr>
                    <w:pStyle w:val="30"/>
                    <w:rPr>
                      <w:color w:val="auto"/>
                      <w:highlight w:val="none"/>
                    </w:rPr>
                  </w:pPr>
                  <w:r>
                    <w:rPr>
                      <w:color w:val="auto"/>
                      <w:highlight w:val="none"/>
                    </w:rPr>
                    <w:t>二类保护物</w:t>
                  </w:r>
                </w:p>
              </w:tc>
              <w:tc>
                <w:tcPr>
                  <w:tcW w:w="628" w:type="pct"/>
                  <w:shd w:val="clear" w:color="auto" w:fill="auto"/>
                  <w:vAlign w:val="center"/>
                </w:tcPr>
                <w:p w14:paraId="0EC88A57">
                  <w:pPr>
                    <w:pStyle w:val="30"/>
                    <w:rPr>
                      <w:rFonts w:hint="eastAsia" w:eastAsia="宋体"/>
                      <w:color w:val="auto"/>
                      <w:highlight w:val="none"/>
                      <w:lang w:eastAsia="zh-CN"/>
                    </w:rPr>
                  </w:pPr>
                  <w:r>
                    <w:rPr>
                      <w:rFonts w:hint="eastAsia"/>
                      <w:color w:val="auto"/>
                      <w:highlight w:val="none"/>
                      <w:lang w:val="en-US" w:eastAsia="zh-CN"/>
                    </w:rPr>
                    <w:t>/</w:t>
                  </w:r>
                </w:p>
              </w:tc>
              <w:tc>
                <w:tcPr>
                  <w:tcW w:w="936" w:type="pct"/>
                  <w:shd w:val="clear" w:color="auto" w:fill="auto"/>
                  <w:vAlign w:val="center"/>
                </w:tcPr>
                <w:p w14:paraId="322F3397">
                  <w:pPr>
                    <w:pStyle w:val="30"/>
                    <w:rPr>
                      <w:rFonts w:hint="default" w:eastAsia="宋体"/>
                      <w:color w:val="auto"/>
                      <w:highlight w:val="none"/>
                      <w:lang w:val="en-US" w:eastAsia="zh-CN"/>
                    </w:rPr>
                  </w:pPr>
                  <w:r>
                    <w:rPr>
                      <w:rFonts w:hint="eastAsia"/>
                      <w:color w:val="auto"/>
                      <w:highlight w:val="none"/>
                    </w:rPr>
                    <w:t>11</w:t>
                  </w:r>
                  <w:r>
                    <w:rPr>
                      <w:rFonts w:hint="eastAsia"/>
                      <w:color w:val="auto"/>
                      <w:highlight w:val="none"/>
                      <w:lang w:val="en-US" w:eastAsia="zh-CN"/>
                    </w:rPr>
                    <w:t>/6</w:t>
                  </w:r>
                </w:p>
              </w:tc>
              <w:tc>
                <w:tcPr>
                  <w:tcW w:w="470" w:type="pct"/>
                  <w:shd w:val="clear" w:color="auto" w:fill="auto"/>
                  <w:vAlign w:val="center"/>
                </w:tcPr>
                <w:p w14:paraId="48F3E5E6">
                  <w:pPr>
                    <w:pStyle w:val="30"/>
                    <w:rPr>
                      <w:rFonts w:hint="eastAsia" w:eastAsia="宋体"/>
                      <w:color w:val="auto"/>
                      <w:highlight w:val="none"/>
                      <w:lang w:eastAsia="zh-CN"/>
                    </w:rPr>
                  </w:pPr>
                  <w:r>
                    <w:rPr>
                      <w:rFonts w:hint="eastAsia"/>
                      <w:color w:val="auto"/>
                      <w:highlight w:val="none"/>
                      <w:lang w:val="en-US" w:eastAsia="zh-CN"/>
                    </w:rPr>
                    <w:t>/</w:t>
                  </w:r>
                </w:p>
              </w:tc>
              <w:tc>
                <w:tcPr>
                  <w:tcW w:w="511" w:type="pct"/>
                  <w:shd w:val="clear" w:color="auto" w:fill="auto"/>
                  <w:vAlign w:val="center"/>
                </w:tcPr>
                <w:p w14:paraId="190D1F6E">
                  <w:pPr>
                    <w:pStyle w:val="30"/>
                    <w:rPr>
                      <w:rFonts w:hint="default" w:eastAsia="宋体"/>
                      <w:color w:val="auto"/>
                      <w:highlight w:val="none"/>
                      <w:lang w:val="en-US" w:eastAsia="zh-CN"/>
                    </w:rPr>
                  </w:pPr>
                  <w:r>
                    <w:rPr>
                      <w:color w:val="auto"/>
                      <w:highlight w:val="none"/>
                    </w:rPr>
                    <w:t>8.5</w:t>
                  </w:r>
                  <w:r>
                    <w:rPr>
                      <w:rFonts w:hint="eastAsia"/>
                      <w:color w:val="auto"/>
                      <w:highlight w:val="none"/>
                      <w:lang w:val="en-US" w:eastAsia="zh-CN"/>
                    </w:rPr>
                    <w:t>/6</w:t>
                  </w:r>
                </w:p>
              </w:tc>
              <w:tc>
                <w:tcPr>
                  <w:tcW w:w="469" w:type="pct"/>
                  <w:shd w:val="clear" w:color="auto" w:fill="auto"/>
                  <w:vAlign w:val="center"/>
                </w:tcPr>
                <w:p w14:paraId="4CBB5CCC">
                  <w:pPr>
                    <w:pStyle w:val="30"/>
                    <w:rPr>
                      <w:rFonts w:hint="eastAsia" w:eastAsia="宋体"/>
                      <w:color w:val="auto"/>
                      <w:highlight w:val="none"/>
                      <w:lang w:val="en-US" w:eastAsia="zh-CN"/>
                    </w:rPr>
                  </w:pPr>
                  <w:r>
                    <w:rPr>
                      <w:rFonts w:hint="eastAsia"/>
                      <w:color w:val="auto"/>
                      <w:highlight w:val="none"/>
                      <w:lang w:val="en-US" w:eastAsia="zh-CN"/>
                    </w:rPr>
                    <w:t>/</w:t>
                  </w:r>
                </w:p>
              </w:tc>
              <w:tc>
                <w:tcPr>
                  <w:tcW w:w="470" w:type="pct"/>
                  <w:shd w:val="clear" w:color="auto" w:fill="auto"/>
                  <w:vAlign w:val="center"/>
                </w:tcPr>
                <w:p w14:paraId="391AE19D">
                  <w:pPr>
                    <w:pStyle w:val="30"/>
                    <w:rPr>
                      <w:rFonts w:hint="eastAsia" w:eastAsia="宋体"/>
                      <w:color w:val="auto"/>
                      <w:highlight w:val="none"/>
                      <w:lang w:eastAsia="zh-CN"/>
                    </w:rPr>
                  </w:pPr>
                  <w:r>
                    <w:rPr>
                      <w:rFonts w:hint="eastAsia"/>
                      <w:color w:val="auto"/>
                      <w:highlight w:val="none"/>
                      <w:lang w:val="en-US" w:eastAsia="zh-CN"/>
                    </w:rPr>
                    <w:t>/</w:t>
                  </w:r>
                </w:p>
              </w:tc>
              <w:tc>
                <w:tcPr>
                  <w:tcW w:w="469" w:type="pct"/>
                  <w:vMerge w:val="continue"/>
                  <w:shd w:val="clear" w:color="auto" w:fill="auto"/>
                  <w:vAlign w:val="center"/>
                </w:tcPr>
                <w:p w14:paraId="5B8DDAEA">
                  <w:pPr>
                    <w:pStyle w:val="30"/>
                    <w:rPr>
                      <w:color w:val="auto"/>
                      <w:highlight w:val="none"/>
                    </w:rPr>
                  </w:pPr>
                </w:p>
              </w:tc>
            </w:tr>
            <w:tr w14:paraId="6C1E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continue"/>
                  <w:shd w:val="clear" w:color="auto" w:fill="auto"/>
                  <w:vAlign w:val="center"/>
                </w:tcPr>
                <w:p w14:paraId="488226D4">
                  <w:pPr>
                    <w:pStyle w:val="30"/>
                    <w:rPr>
                      <w:color w:val="auto"/>
                      <w:highlight w:val="none"/>
                    </w:rPr>
                  </w:pPr>
                </w:p>
              </w:tc>
              <w:tc>
                <w:tcPr>
                  <w:tcW w:w="574" w:type="pct"/>
                  <w:vMerge w:val="restart"/>
                  <w:shd w:val="clear" w:color="auto" w:fill="auto"/>
                  <w:vAlign w:val="center"/>
                </w:tcPr>
                <w:p w14:paraId="3FAB3B8D">
                  <w:pPr>
                    <w:pStyle w:val="30"/>
                    <w:rPr>
                      <w:color w:val="auto"/>
                      <w:highlight w:val="none"/>
                    </w:rPr>
                  </w:pPr>
                  <w:r>
                    <w:rPr>
                      <w:color w:val="auto"/>
                      <w:highlight w:val="none"/>
                    </w:rPr>
                    <w:t>三类保护物</w:t>
                  </w:r>
                </w:p>
              </w:tc>
              <w:tc>
                <w:tcPr>
                  <w:tcW w:w="628" w:type="pct"/>
                  <w:shd w:val="clear" w:color="auto" w:fill="auto"/>
                  <w:vAlign w:val="center"/>
                </w:tcPr>
                <w:p w14:paraId="60753125">
                  <w:pPr>
                    <w:pStyle w:val="30"/>
                    <w:rPr>
                      <w:rFonts w:hint="eastAsia" w:eastAsia="宋体"/>
                      <w:color w:val="auto"/>
                      <w:highlight w:val="none"/>
                      <w:lang w:eastAsia="zh-CN"/>
                    </w:rPr>
                  </w:pPr>
                  <w:r>
                    <w:rPr>
                      <w:rFonts w:hint="eastAsia"/>
                      <w:color w:val="auto"/>
                      <w:highlight w:val="none"/>
                      <w:lang w:eastAsia="zh-CN"/>
                    </w:rPr>
                    <w:t>南侧机动车停车位</w:t>
                  </w:r>
                </w:p>
              </w:tc>
              <w:tc>
                <w:tcPr>
                  <w:tcW w:w="936" w:type="pct"/>
                  <w:shd w:val="clear" w:color="auto" w:fill="auto"/>
                  <w:vAlign w:val="center"/>
                </w:tcPr>
                <w:p w14:paraId="595480DD">
                  <w:pPr>
                    <w:pStyle w:val="30"/>
                    <w:rPr>
                      <w:rFonts w:hint="default" w:eastAsia="宋体"/>
                      <w:color w:val="auto"/>
                      <w:highlight w:val="none"/>
                      <w:lang w:val="en-US" w:eastAsia="zh-CN"/>
                    </w:rPr>
                  </w:pPr>
                  <w:r>
                    <w:rPr>
                      <w:rFonts w:hint="eastAsia"/>
                      <w:color w:val="auto"/>
                      <w:highlight w:val="none"/>
                    </w:rPr>
                    <w:t>8.5</w:t>
                  </w:r>
                  <w:r>
                    <w:rPr>
                      <w:rFonts w:hint="eastAsia"/>
                      <w:color w:val="auto"/>
                      <w:highlight w:val="none"/>
                      <w:lang w:val="en-US" w:eastAsia="zh-CN"/>
                    </w:rPr>
                    <w:t>/6</w:t>
                  </w:r>
                </w:p>
              </w:tc>
              <w:tc>
                <w:tcPr>
                  <w:tcW w:w="470" w:type="pct"/>
                  <w:shd w:val="clear" w:color="auto" w:fill="auto"/>
                  <w:vAlign w:val="center"/>
                </w:tcPr>
                <w:p w14:paraId="7CFC7651">
                  <w:pPr>
                    <w:pStyle w:val="30"/>
                    <w:rPr>
                      <w:rFonts w:hint="default" w:eastAsia="宋体"/>
                      <w:color w:val="auto"/>
                      <w:highlight w:val="none"/>
                      <w:lang w:val="en-US" w:eastAsia="zh-CN"/>
                    </w:rPr>
                  </w:pPr>
                  <w:r>
                    <w:rPr>
                      <w:rFonts w:hint="eastAsia"/>
                      <w:color w:val="auto"/>
                      <w:highlight w:val="none"/>
                      <w:lang w:val="en-US" w:eastAsia="zh-CN"/>
                    </w:rPr>
                    <w:t>42.2/36.9</w:t>
                  </w:r>
                </w:p>
              </w:tc>
              <w:tc>
                <w:tcPr>
                  <w:tcW w:w="511" w:type="pct"/>
                  <w:shd w:val="clear" w:color="auto" w:fill="auto"/>
                  <w:vAlign w:val="center"/>
                </w:tcPr>
                <w:p w14:paraId="104A5404">
                  <w:pPr>
                    <w:pStyle w:val="30"/>
                    <w:rPr>
                      <w:rFonts w:hint="default" w:eastAsia="宋体"/>
                      <w:color w:val="auto"/>
                      <w:highlight w:val="none"/>
                      <w:lang w:val="en-US" w:eastAsia="zh-CN"/>
                    </w:rPr>
                  </w:pPr>
                  <w:r>
                    <w:rPr>
                      <w:color w:val="auto"/>
                      <w:highlight w:val="none"/>
                    </w:rPr>
                    <w:t>7</w:t>
                  </w:r>
                  <w:r>
                    <w:rPr>
                      <w:rFonts w:hint="eastAsia"/>
                      <w:color w:val="auto"/>
                      <w:highlight w:val="none"/>
                      <w:lang w:val="en-US" w:eastAsia="zh-CN"/>
                    </w:rPr>
                    <w:t>/6</w:t>
                  </w:r>
                </w:p>
              </w:tc>
              <w:tc>
                <w:tcPr>
                  <w:tcW w:w="469" w:type="pct"/>
                  <w:shd w:val="clear" w:color="auto" w:fill="auto"/>
                  <w:vAlign w:val="center"/>
                </w:tcPr>
                <w:p w14:paraId="407206DD">
                  <w:pPr>
                    <w:pStyle w:val="30"/>
                    <w:rPr>
                      <w:rFonts w:hint="default" w:eastAsia="宋体"/>
                      <w:color w:val="auto"/>
                      <w:highlight w:val="none"/>
                      <w:lang w:val="en-US" w:eastAsia="zh-CN"/>
                    </w:rPr>
                  </w:pPr>
                  <w:r>
                    <w:rPr>
                      <w:rFonts w:hint="eastAsia"/>
                      <w:color w:val="auto"/>
                      <w:highlight w:val="none"/>
                      <w:lang w:val="en-US" w:eastAsia="zh-CN"/>
                    </w:rPr>
                    <w:t>33.9</w:t>
                  </w:r>
                </w:p>
              </w:tc>
              <w:tc>
                <w:tcPr>
                  <w:tcW w:w="470" w:type="pct"/>
                  <w:shd w:val="clear" w:color="auto" w:fill="auto"/>
                  <w:vAlign w:val="center"/>
                </w:tcPr>
                <w:p w14:paraId="26242E6D">
                  <w:pPr>
                    <w:pStyle w:val="30"/>
                    <w:rPr>
                      <w:rFonts w:hint="default" w:eastAsia="宋体"/>
                      <w:color w:val="auto"/>
                      <w:highlight w:val="none"/>
                      <w:lang w:val="en-US" w:eastAsia="zh-CN"/>
                    </w:rPr>
                  </w:pPr>
                  <w:r>
                    <w:rPr>
                      <w:rFonts w:hint="eastAsia"/>
                      <w:color w:val="auto"/>
                      <w:highlight w:val="none"/>
                      <w:lang w:val="en-US" w:eastAsia="zh-CN"/>
                    </w:rPr>
                    <w:t>39.6/34.0</w:t>
                  </w:r>
                </w:p>
              </w:tc>
              <w:tc>
                <w:tcPr>
                  <w:tcW w:w="469" w:type="pct"/>
                  <w:vMerge w:val="continue"/>
                  <w:shd w:val="clear" w:color="auto" w:fill="auto"/>
                  <w:vAlign w:val="center"/>
                </w:tcPr>
                <w:p w14:paraId="448F9F32">
                  <w:pPr>
                    <w:pStyle w:val="30"/>
                    <w:rPr>
                      <w:color w:val="auto"/>
                      <w:highlight w:val="none"/>
                    </w:rPr>
                  </w:pPr>
                </w:p>
              </w:tc>
            </w:tr>
            <w:tr w14:paraId="298A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continue"/>
                  <w:shd w:val="clear" w:color="auto" w:fill="auto"/>
                  <w:vAlign w:val="center"/>
                </w:tcPr>
                <w:p w14:paraId="343D3745">
                  <w:pPr>
                    <w:pStyle w:val="30"/>
                    <w:rPr>
                      <w:color w:val="auto"/>
                      <w:highlight w:val="none"/>
                    </w:rPr>
                  </w:pPr>
                </w:p>
              </w:tc>
              <w:tc>
                <w:tcPr>
                  <w:tcW w:w="574" w:type="pct"/>
                  <w:vMerge w:val="continue"/>
                  <w:shd w:val="clear" w:color="auto" w:fill="auto"/>
                  <w:vAlign w:val="center"/>
                </w:tcPr>
                <w:p w14:paraId="61155693">
                  <w:pPr>
                    <w:pStyle w:val="30"/>
                    <w:rPr>
                      <w:color w:val="auto"/>
                      <w:highlight w:val="none"/>
                    </w:rPr>
                  </w:pPr>
                </w:p>
              </w:tc>
              <w:tc>
                <w:tcPr>
                  <w:tcW w:w="628" w:type="pct"/>
                  <w:shd w:val="clear" w:color="auto" w:fill="auto"/>
                  <w:vAlign w:val="center"/>
                </w:tcPr>
                <w:p w14:paraId="0379DA19">
                  <w:pPr>
                    <w:pStyle w:val="30"/>
                    <w:rPr>
                      <w:rFonts w:hint="eastAsia" w:eastAsia="宋体"/>
                      <w:color w:val="auto"/>
                      <w:highlight w:val="none"/>
                      <w:lang w:eastAsia="zh-CN"/>
                    </w:rPr>
                  </w:pPr>
                  <w:r>
                    <w:rPr>
                      <w:rFonts w:hint="eastAsia"/>
                      <w:color w:val="auto"/>
                      <w:highlight w:val="none"/>
                      <w:lang w:eastAsia="zh-CN"/>
                    </w:rPr>
                    <w:t>西侧智慧货运服务中心</w:t>
                  </w:r>
                </w:p>
              </w:tc>
              <w:tc>
                <w:tcPr>
                  <w:tcW w:w="936" w:type="pct"/>
                  <w:shd w:val="clear" w:color="auto" w:fill="auto"/>
                  <w:vAlign w:val="center"/>
                </w:tcPr>
                <w:p w14:paraId="7997BB9E">
                  <w:pPr>
                    <w:pStyle w:val="30"/>
                    <w:rPr>
                      <w:rFonts w:hint="default" w:eastAsia="宋体"/>
                      <w:color w:val="auto"/>
                      <w:highlight w:val="none"/>
                      <w:lang w:val="en-US" w:eastAsia="zh-CN"/>
                    </w:rPr>
                  </w:pPr>
                  <w:r>
                    <w:rPr>
                      <w:rFonts w:hint="eastAsia"/>
                      <w:color w:val="auto"/>
                      <w:highlight w:val="none"/>
                      <w:lang w:val="en-US" w:eastAsia="zh-CN"/>
                    </w:rPr>
                    <w:t>8.5/6</w:t>
                  </w:r>
                </w:p>
              </w:tc>
              <w:tc>
                <w:tcPr>
                  <w:tcW w:w="470" w:type="pct"/>
                  <w:shd w:val="clear" w:color="auto" w:fill="auto"/>
                  <w:vAlign w:val="center"/>
                </w:tcPr>
                <w:p w14:paraId="248D47D9">
                  <w:pPr>
                    <w:pStyle w:val="30"/>
                    <w:rPr>
                      <w:rFonts w:hint="default" w:eastAsia="宋体"/>
                      <w:color w:val="auto"/>
                      <w:highlight w:val="none"/>
                      <w:lang w:val="en-US" w:eastAsia="zh-CN"/>
                    </w:rPr>
                  </w:pPr>
                  <w:r>
                    <w:rPr>
                      <w:rFonts w:hint="eastAsia"/>
                      <w:color w:val="auto"/>
                      <w:highlight w:val="none"/>
                      <w:lang w:val="en-US" w:eastAsia="zh-CN"/>
                    </w:rPr>
                    <w:t>107.4/114.7</w:t>
                  </w:r>
                </w:p>
              </w:tc>
              <w:tc>
                <w:tcPr>
                  <w:tcW w:w="511" w:type="pct"/>
                  <w:shd w:val="clear" w:color="auto" w:fill="auto"/>
                  <w:vAlign w:val="center"/>
                </w:tcPr>
                <w:p w14:paraId="7651A586">
                  <w:pPr>
                    <w:pStyle w:val="30"/>
                    <w:rPr>
                      <w:rFonts w:hint="default" w:eastAsia="宋体"/>
                      <w:color w:val="auto"/>
                      <w:highlight w:val="none"/>
                      <w:lang w:val="en-US" w:eastAsia="zh-CN"/>
                    </w:rPr>
                  </w:pPr>
                  <w:r>
                    <w:rPr>
                      <w:rFonts w:hint="eastAsia"/>
                      <w:color w:val="auto"/>
                      <w:highlight w:val="none"/>
                      <w:lang w:val="en-US" w:eastAsia="zh-CN"/>
                    </w:rPr>
                    <w:t>7/6</w:t>
                  </w:r>
                </w:p>
              </w:tc>
              <w:tc>
                <w:tcPr>
                  <w:tcW w:w="469" w:type="pct"/>
                  <w:shd w:val="clear" w:color="auto" w:fill="auto"/>
                  <w:vAlign w:val="center"/>
                </w:tcPr>
                <w:p w14:paraId="031DDA6A">
                  <w:pPr>
                    <w:pStyle w:val="30"/>
                    <w:rPr>
                      <w:rFonts w:hint="default" w:eastAsia="宋体"/>
                      <w:color w:val="auto"/>
                      <w:highlight w:val="none"/>
                      <w:lang w:val="en-US" w:eastAsia="zh-CN"/>
                    </w:rPr>
                  </w:pPr>
                  <w:r>
                    <w:rPr>
                      <w:rFonts w:hint="eastAsia"/>
                      <w:color w:val="auto"/>
                      <w:highlight w:val="none"/>
                      <w:lang w:val="en-US" w:eastAsia="zh-CN"/>
                    </w:rPr>
                    <w:t>111.7</w:t>
                  </w:r>
                </w:p>
              </w:tc>
              <w:tc>
                <w:tcPr>
                  <w:tcW w:w="470" w:type="pct"/>
                  <w:shd w:val="clear" w:color="auto" w:fill="auto"/>
                  <w:vAlign w:val="center"/>
                </w:tcPr>
                <w:p w14:paraId="30A19E32">
                  <w:pPr>
                    <w:pStyle w:val="30"/>
                    <w:rPr>
                      <w:rFonts w:hint="default" w:eastAsia="宋体"/>
                      <w:color w:val="auto"/>
                      <w:highlight w:val="none"/>
                      <w:lang w:val="en-US" w:eastAsia="zh-CN"/>
                    </w:rPr>
                  </w:pPr>
                  <w:r>
                    <w:rPr>
                      <w:rFonts w:hint="eastAsia"/>
                      <w:color w:val="auto"/>
                      <w:highlight w:val="none"/>
                      <w:lang w:val="en-US" w:eastAsia="zh-CN"/>
                    </w:rPr>
                    <w:t>110.1/122.1</w:t>
                  </w:r>
                </w:p>
              </w:tc>
              <w:tc>
                <w:tcPr>
                  <w:tcW w:w="469" w:type="pct"/>
                  <w:vMerge w:val="continue"/>
                  <w:shd w:val="clear" w:color="auto" w:fill="auto"/>
                  <w:vAlign w:val="center"/>
                </w:tcPr>
                <w:p w14:paraId="5773E387">
                  <w:pPr>
                    <w:pStyle w:val="30"/>
                    <w:rPr>
                      <w:color w:val="auto"/>
                      <w:highlight w:val="none"/>
                    </w:rPr>
                  </w:pPr>
                </w:p>
              </w:tc>
            </w:tr>
            <w:tr w14:paraId="276D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shd w:val="clear" w:color="auto" w:fill="auto"/>
                  <w:vAlign w:val="center"/>
                </w:tcPr>
                <w:p w14:paraId="34250BD7">
                  <w:pPr>
                    <w:pStyle w:val="30"/>
                    <w:rPr>
                      <w:color w:val="auto"/>
                      <w:highlight w:val="none"/>
                    </w:rPr>
                  </w:pPr>
                  <w:r>
                    <w:rPr>
                      <w:color w:val="auto"/>
                      <w:highlight w:val="none"/>
                    </w:rPr>
                    <w:t>甲、乙类物品生产厂房、库房和甲、乙类液体储罐</w:t>
                  </w:r>
                </w:p>
              </w:tc>
              <w:tc>
                <w:tcPr>
                  <w:tcW w:w="936" w:type="pct"/>
                  <w:shd w:val="clear" w:color="auto" w:fill="auto"/>
                  <w:vAlign w:val="center"/>
                </w:tcPr>
                <w:p w14:paraId="0982E2D8">
                  <w:pPr>
                    <w:pStyle w:val="30"/>
                    <w:rPr>
                      <w:rFonts w:hint="default" w:eastAsia="宋体"/>
                      <w:color w:val="auto"/>
                      <w:highlight w:val="none"/>
                      <w:lang w:val="en-US" w:eastAsia="zh-CN"/>
                    </w:rPr>
                  </w:pPr>
                  <w:r>
                    <w:rPr>
                      <w:rFonts w:hint="eastAsia"/>
                      <w:color w:val="auto"/>
                      <w:highlight w:val="none"/>
                    </w:rPr>
                    <w:t>15.5</w:t>
                  </w:r>
                  <w:r>
                    <w:rPr>
                      <w:rFonts w:hint="eastAsia"/>
                      <w:color w:val="auto"/>
                      <w:highlight w:val="none"/>
                      <w:lang w:val="en-US" w:eastAsia="zh-CN"/>
                    </w:rPr>
                    <w:t>/11</w:t>
                  </w:r>
                </w:p>
              </w:tc>
              <w:tc>
                <w:tcPr>
                  <w:tcW w:w="470" w:type="pct"/>
                  <w:shd w:val="clear" w:color="auto" w:fill="auto"/>
                  <w:vAlign w:val="center"/>
                </w:tcPr>
                <w:p w14:paraId="259FBB05">
                  <w:pPr>
                    <w:pStyle w:val="30"/>
                    <w:rPr>
                      <w:rFonts w:hint="default" w:eastAsia="宋体"/>
                      <w:color w:val="auto"/>
                      <w:highlight w:val="none"/>
                      <w:lang w:val="en-US" w:eastAsia="zh-CN"/>
                    </w:rPr>
                  </w:pPr>
                  <w:r>
                    <w:rPr>
                      <w:rFonts w:hint="eastAsia"/>
                      <w:color w:val="auto"/>
                      <w:highlight w:val="none"/>
                      <w:lang w:val="en-US" w:eastAsia="zh-CN"/>
                    </w:rPr>
                    <w:t>63.6/68.1</w:t>
                  </w:r>
                </w:p>
              </w:tc>
              <w:tc>
                <w:tcPr>
                  <w:tcW w:w="511" w:type="pct"/>
                  <w:shd w:val="clear" w:color="auto" w:fill="auto"/>
                  <w:vAlign w:val="center"/>
                </w:tcPr>
                <w:p w14:paraId="3CA351D4">
                  <w:pPr>
                    <w:pStyle w:val="30"/>
                    <w:rPr>
                      <w:rFonts w:hint="default" w:eastAsia="宋体"/>
                      <w:color w:val="auto"/>
                      <w:highlight w:val="none"/>
                      <w:lang w:val="en-US" w:eastAsia="zh-CN"/>
                    </w:rPr>
                  </w:pPr>
                  <w:r>
                    <w:rPr>
                      <w:color w:val="auto"/>
                      <w:highlight w:val="none"/>
                    </w:rPr>
                    <w:t>12.5</w:t>
                  </w:r>
                  <w:r>
                    <w:rPr>
                      <w:rFonts w:hint="eastAsia"/>
                      <w:color w:val="auto"/>
                      <w:highlight w:val="none"/>
                      <w:lang w:val="en-US" w:eastAsia="zh-CN"/>
                    </w:rPr>
                    <w:t>/9</w:t>
                  </w:r>
                </w:p>
              </w:tc>
              <w:tc>
                <w:tcPr>
                  <w:tcW w:w="469" w:type="pct"/>
                  <w:shd w:val="clear" w:color="auto" w:fill="auto"/>
                  <w:vAlign w:val="center"/>
                </w:tcPr>
                <w:p w14:paraId="565B4B56">
                  <w:pPr>
                    <w:pStyle w:val="30"/>
                    <w:rPr>
                      <w:rFonts w:hint="default" w:eastAsia="宋体"/>
                      <w:color w:val="auto"/>
                      <w:highlight w:val="none"/>
                      <w:lang w:val="en-US" w:eastAsia="zh-CN"/>
                    </w:rPr>
                  </w:pPr>
                  <w:r>
                    <w:rPr>
                      <w:rFonts w:hint="eastAsia"/>
                      <w:color w:val="auto"/>
                      <w:highlight w:val="none"/>
                      <w:lang w:val="en-US" w:eastAsia="zh-CN"/>
                    </w:rPr>
                    <w:t>63.4</w:t>
                  </w:r>
                </w:p>
              </w:tc>
              <w:tc>
                <w:tcPr>
                  <w:tcW w:w="470" w:type="pct"/>
                  <w:shd w:val="clear" w:color="auto" w:fill="auto"/>
                  <w:vAlign w:val="center"/>
                </w:tcPr>
                <w:p w14:paraId="25F8A1A8">
                  <w:pPr>
                    <w:pStyle w:val="30"/>
                    <w:rPr>
                      <w:rFonts w:hint="default" w:eastAsia="宋体"/>
                      <w:color w:val="auto"/>
                      <w:highlight w:val="none"/>
                      <w:lang w:val="en-US" w:eastAsia="zh-CN"/>
                    </w:rPr>
                  </w:pPr>
                  <w:r>
                    <w:rPr>
                      <w:rFonts w:hint="eastAsia"/>
                      <w:color w:val="auto"/>
                      <w:highlight w:val="none"/>
                      <w:lang w:val="en-US" w:eastAsia="zh-CN"/>
                    </w:rPr>
                    <w:t>62/70.8</w:t>
                  </w:r>
                </w:p>
              </w:tc>
              <w:tc>
                <w:tcPr>
                  <w:tcW w:w="469" w:type="pct"/>
                  <w:vMerge w:val="continue"/>
                  <w:shd w:val="clear" w:color="auto" w:fill="auto"/>
                  <w:vAlign w:val="center"/>
                </w:tcPr>
                <w:p w14:paraId="22281760">
                  <w:pPr>
                    <w:pStyle w:val="30"/>
                    <w:rPr>
                      <w:color w:val="auto"/>
                      <w:highlight w:val="none"/>
                    </w:rPr>
                  </w:pPr>
                </w:p>
              </w:tc>
            </w:tr>
            <w:tr w14:paraId="1197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shd w:val="clear" w:color="auto" w:fill="auto"/>
                  <w:vAlign w:val="center"/>
                </w:tcPr>
                <w:p w14:paraId="63D215AE">
                  <w:pPr>
                    <w:pStyle w:val="30"/>
                    <w:rPr>
                      <w:color w:val="auto"/>
                      <w:highlight w:val="none"/>
                    </w:rPr>
                  </w:pPr>
                  <w:r>
                    <w:rPr>
                      <w:color w:val="auto"/>
                      <w:highlight w:val="none"/>
                    </w:rPr>
                    <w:t>丙、丁、戊类物品生产厂房、库房和丙类液体储罐以及容积不大于50m</w:t>
                  </w:r>
                  <w:r>
                    <w:rPr>
                      <w:color w:val="auto"/>
                      <w:highlight w:val="none"/>
                      <w:vertAlign w:val="superscript"/>
                    </w:rPr>
                    <w:t>3</w:t>
                  </w:r>
                  <w:r>
                    <w:rPr>
                      <w:color w:val="auto"/>
                      <w:highlight w:val="none"/>
                    </w:rPr>
                    <w:t>的埋地甲、乙类液体储罐</w:t>
                  </w:r>
                </w:p>
              </w:tc>
              <w:tc>
                <w:tcPr>
                  <w:tcW w:w="936" w:type="pct"/>
                  <w:shd w:val="clear" w:color="auto" w:fill="auto"/>
                  <w:vAlign w:val="center"/>
                </w:tcPr>
                <w:p w14:paraId="33E3754A">
                  <w:pPr>
                    <w:pStyle w:val="30"/>
                    <w:rPr>
                      <w:rFonts w:hint="default" w:eastAsia="宋体"/>
                      <w:color w:val="auto"/>
                      <w:highlight w:val="none"/>
                      <w:lang w:val="en-US" w:eastAsia="zh-CN"/>
                    </w:rPr>
                  </w:pPr>
                  <w:r>
                    <w:rPr>
                      <w:rFonts w:hint="eastAsia"/>
                      <w:color w:val="auto"/>
                      <w:highlight w:val="none"/>
                    </w:rPr>
                    <w:t>11</w:t>
                  </w:r>
                  <w:r>
                    <w:rPr>
                      <w:rFonts w:hint="eastAsia"/>
                      <w:color w:val="auto"/>
                      <w:highlight w:val="none"/>
                      <w:lang w:val="en-US" w:eastAsia="zh-CN"/>
                    </w:rPr>
                    <w:t>/9</w:t>
                  </w:r>
                </w:p>
              </w:tc>
              <w:tc>
                <w:tcPr>
                  <w:tcW w:w="470" w:type="pct"/>
                  <w:shd w:val="clear" w:color="auto" w:fill="auto"/>
                  <w:vAlign w:val="center"/>
                </w:tcPr>
                <w:p w14:paraId="54E38F92">
                  <w:pPr>
                    <w:pStyle w:val="30"/>
                    <w:rPr>
                      <w:color w:val="auto"/>
                      <w:highlight w:val="none"/>
                    </w:rPr>
                  </w:pPr>
                  <w:r>
                    <w:rPr>
                      <w:rFonts w:hint="eastAsia"/>
                      <w:color w:val="auto"/>
                      <w:highlight w:val="none"/>
                    </w:rPr>
                    <w:t>/</w:t>
                  </w:r>
                </w:p>
              </w:tc>
              <w:tc>
                <w:tcPr>
                  <w:tcW w:w="511" w:type="pct"/>
                  <w:shd w:val="clear" w:color="auto" w:fill="auto"/>
                  <w:vAlign w:val="center"/>
                </w:tcPr>
                <w:p w14:paraId="5445DE6E">
                  <w:pPr>
                    <w:pStyle w:val="30"/>
                    <w:rPr>
                      <w:rFonts w:hint="default" w:eastAsia="宋体"/>
                      <w:color w:val="auto"/>
                      <w:highlight w:val="none"/>
                      <w:lang w:val="en-US" w:eastAsia="zh-CN"/>
                    </w:rPr>
                  </w:pPr>
                  <w:r>
                    <w:rPr>
                      <w:color w:val="auto"/>
                      <w:highlight w:val="none"/>
                    </w:rPr>
                    <w:t>10.5</w:t>
                  </w:r>
                  <w:r>
                    <w:rPr>
                      <w:rFonts w:hint="eastAsia"/>
                      <w:color w:val="auto"/>
                      <w:highlight w:val="none"/>
                      <w:lang w:val="en-US" w:eastAsia="zh-CN"/>
                    </w:rPr>
                    <w:t>/9</w:t>
                  </w:r>
                </w:p>
              </w:tc>
              <w:tc>
                <w:tcPr>
                  <w:tcW w:w="469" w:type="pct"/>
                  <w:shd w:val="clear" w:color="auto" w:fill="auto"/>
                  <w:vAlign w:val="center"/>
                </w:tcPr>
                <w:p w14:paraId="0FCDA7D9">
                  <w:pPr>
                    <w:pStyle w:val="30"/>
                    <w:rPr>
                      <w:color w:val="auto"/>
                      <w:highlight w:val="none"/>
                    </w:rPr>
                  </w:pPr>
                  <w:r>
                    <w:rPr>
                      <w:rFonts w:hint="eastAsia"/>
                      <w:color w:val="auto"/>
                      <w:highlight w:val="none"/>
                    </w:rPr>
                    <w:t>/</w:t>
                  </w:r>
                </w:p>
              </w:tc>
              <w:tc>
                <w:tcPr>
                  <w:tcW w:w="470" w:type="pct"/>
                  <w:shd w:val="clear" w:color="auto" w:fill="auto"/>
                  <w:vAlign w:val="center"/>
                </w:tcPr>
                <w:p w14:paraId="376DFEE5">
                  <w:pPr>
                    <w:pStyle w:val="30"/>
                    <w:rPr>
                      <w:color w:val="auto"/>
                      <w:highlight w:val="none"/>
                    </w:rPr>
                  </w:pPr>
                  <w:r>
                    <w:rPr>
                      <w:rFonts w:hint="eastAsia"/>
                      <w:color w:val="auto"/>
                      <w:highlight w:val="none"/>
                    </w:rPr>
                    <w:t>/</w:t>
                  </w:r>
                </w:p>
              </w:tc>
              <w:tc>
                <w:tcPr>
                  <w:tcW w:w="469" w:type="pct"/>
                  <w:vMerge w:val="continue"/>
                  <w:shd w:val="clear" w:color="auto" w:fill="auto"/>
                  <w:vAlign w:val="center"/>
                </w:tcPr>
                <w:p w14:paraId="1CF36F9E">
                  <w:pPr>
                    <w:pStyle w:val="30"/>
                    <w:rPr>
                      <w:color w:val="auto"/>
                      <w:highlight w:val="none"/>
                    </w:rPr>
                  </w:pPr>
                </w:p>
              </w:tc>
            </w:tr>
            <w:tr w14:paraId="68B5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shd w:val="clear" w:color="auto" w:fill="auto"/>
                  <w:vAlign w:val="center"/>
                </w:tcPr>
                <w:p w14:paraId="5E7EF133">
                  <w:pPr>
                    <w:pStyle w:val="30"/>
                    <w:rPr>
                      <w:color w:val="auto"/>
                      <w:highlight w:val="none"/>
                    </w:rPr>
                  </w:pPr>
                  <w:r>
                    <w:rPr>
                      <w:color w:val="auto"/>
                      <w:highlight w:val="none"/>
                    </w:rPr>
                    <w:t>室外变配电站</w:t>
                  </w:r>
                </w:p>
              </w:tc>
              <w:tc>
                <w:tcPr>
                  <w:tcW w:w="936" w:type="pct"/>
                  <w:shd w:val="clear" w:color="auto" w:fill="auto"/>
                  <w:vAlign w:val="center"/>
                </w:tcPr>
                <w:p w14:paraId="1AD107C3">
                  <w:pPr>
                    <w:pStyle w:val="30"/>
                    <w:rPr>
                      <w:rFonts w:hint="default" w:eastAsia="宋体"/>
                      <w:color w:val="auto"/>
                      <w:highlight w:val="none"/>
                      <w:lang w:val="en-US" w:eastAsia="zh-CN"/>
                    </w:rPr>
                  </w:pPr>
                  <w:r>
                    <w:rPr>
                      <w:rFonts w:hint="eastAsia"/>
                      <w:color w:val="auto"/>
                      <w:highlight w:val="none"/>
                    </w:rPr>
                    <w:t>15.5</w:t>
                  </w:r>
                  <w:r>
                    <w:rPr>
                      <w:rFonts w:hint="eastAsia"/>
                      <w:color w:val="auto"/>
                      <w:highlight w:val="none"/>
                      <w:lang w:val="en-US" w:eastAsia="zh-CN"/>
                    </w:rPr>
                    <w:t>/12.5</w:t>
                  </w:r>
                </w:p>
              </w:tc>
              <w:tc>
                <w:tcPr>
                  <w:tcW w:w="470" w:type="pct"/>
                  <w:shd w:val="clear" w:color="auto" w:fill="auto"/>
                  <w:vAlign w:val="center"/>
                </w:tcPr>
                <w:p w14:paraId="063FE966">
                  <w:pPr>
                    <w:pStyle w:val="30"/>
                    <w:rPr>
                      <w:color w:val="auto"/>
                      <w:highlight w:val="none"/>
                    </w:rPr>
                  </w:pPr>
                  <w:r>
                    <w:rPr>
                      <w:rFonts w:hint="eastAsia"/>
                      <w:color w:val="auto"/>
                      <w:highlight w:val="none"/>
                    </w:rPr>
                    <w:t>/</w:t>
                  </w:r>
                </w:p>
              </w:tc>
              <w:tc>
                <w:tcPr>
                  <w:tcW w:w="511" w:type="pct"/>
                  <w:shd w:val="clear" w:color="auto" w:fill="auto"/>
                  <w:vAlign w:val="center"/>
                </w:tcPr>
                <w:p w14:paraId="0B989B5B">
                  <w:pPr>
                    <w:pStyle w:val="30"/>
                    <w:rPr>
                      <w:rFonts w:hint="default" w:eastAsia="宋体"/>
                      <w:color w:val="auto"/>
                      <w:highlight w:val="none"/>
                      <w:lang w:val="en-US" w:eastAsia="zh-CN"/>
                    </w:rPr>
                  </w:pPr>
                  <w:r>
                    <w:rPr>
                      <w:color w:val="auto"/>
                      <w:highlight w:val="none"/>
                    </w:rPr>
                    <w:t>12.5</w:t>
                  </w:r>
                  <w:r>
                    <w:rPr>
                      <w:rFonts w:hint="eastAsia"/>
                      <w:color w:val="auto"/>
                      <w:highlight w:val="none"/>
                      <w:lang w:val="en-US" w:eastAsia="zh-CN"/>
                    </w:rPr>
                    <w:t>/12.5</w:t>
                  </w:r>
                </w:p>
              </w:tc>
              <w:tc>
                <w:tcPr>
                  <w:tcW w:w="469" w:type="pct"/>
                  <w:shd w:val="clear" w:color="auto" w:fill="auto"/>
                  <w:vAlign w:val="center"/>
                </w:tcPr>
                <w:p w14:paraId="6B253494">
                  <w:pPr>
                    <w:pStyle w:val="30"/>
                    <w:rPr>
                      <w:color w:val="auto"/>
                      <w:highlight w:val="none"/>
                    </w:rPr>
                  </w:pPr>
                  <w:r>
                    <w:rPr>
                      <w:rFonts w:hint="eastAsia"/>
                      <w:color w:val="auto"/>
                      <w:highlight w:val="none"/>
                    </w:rPr>
                    <w:t>/</w:t>
                  </w:r>
                </w:p>
              </w:tc>
              <w:tc>
                <w:tcPr>
                  <w:tcW w:w="470" w:type="pct"/>
                  <w:shd w:val="clear" w:color="auto" w:fill="auto"/>
                  <w:vAlign w:val="center"/>
                </w:tcPr>
                <w:p w14:paraId="7FC3CDB0">
                  <w:pPr>
                    <w:pStyle w:val="30"/>
                    <w:rPr>
                      <w:color w:val="auto"/>
                      <w:highlight w:val="none"/>
                    </w:rPr>
                  </w:pPr>
                  <w:r>
                    <w:rPr>
                      <w:rFonts w:hint="eastAsia"/>
                      <w:color w:val="auto"/>
                      <w:highlight w:val="none"/>
                    </w:rPr>
                    <w:t>/</w:t>
                  </w:r>
                </w:p>
              </w:tc>
              <w:tc>
                <w:tcPr>
                  <w:tcW w:w="469" w:type="pct"/>
                  <w:vMerge w:val="continue"/>
                  <w:shd w:val="clear" w:color="auto" w:fill="auto"/>
                  <w:vAlign w:val="center"/>
                </w:tcPr>
                <w:p w14:paraId="43C9E538">
                  <w:pPr>
                    <w:pStyle w:val="30"/>
                    <w:rPr>
                      <w:color w:val="auto"/>
                      <w:highlight w:val="none"/>
                    </w:rPr>
                  </w:pPr>
                </w:p>
              </w:tc>
            </w:tr>
            <w:tr w14:paraId="0B24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shd w:val="clear" w:color="auto" w:fill="auto"/>
                  <w:vAlign w:val="center"/>
                </w:tcPr>
                <w:p w14:paraId="59741A2B">
                  <w:pPr>
                    <w:pStyle w:val="30"/>
                    <w:rPr>
                      <w:color w:val="auto"/>
                      <w:highlight w:val="none"/>
                    </w:rPr>
                  </w:pPr>
                  <w:r>
                    <w:rPr>
                      <w:color w:val="auto"/>
                      <w:highlight w:val="none"/>
                    </w:rPr>
                    <w:t>铁路、地上城市轨道线路</w:t>
                  </w:r>
                </w:p>
              </w:tc>
              <w:tc>
                <w:tcPr>
                  <w:tcW w:w="936" w:type="pct"/>
                  <w:shd w:val="clear" w:color="auto" w:fill="auto"/>
                  <w:vAlign w:val="center"/>
                </w:tcPr>
                <w:p w14:paraId="64BA065C">
                  <w:pPr>
                    <w:pStyle w:val="30"/>
                    <w:rPr>
                      <w:rFonts w:hint="default" w:eastAsia="宋体"/>
                      <w:color w:val="auto"/>
                      <w:highlight w:val="none"/>
                      <w:lang w:val="en-US" w:eastAsia="zh-CN"/>
                    </w:rPr>
                  </w:pPr>
                  <w:r>
                    <w:rPr>
                      <w:color w:val="auto"/>
                      <w:highlight w:val="none"/>
                    </w:rPr>
                    <w:t>15.5</w:t>
                  </w:r>
                  <w:r>
                    <w:rPr>
                      <w:rFonts w:hint="eastAsia"/>
                      <w:color w:val="auto"/>
                      <w:highlight w:val="none"/>
                      <w:lang w:val="en-US" w:eastAsia="zh-CN"/>
                    </w:rPr>
                    <w:t>/15</w:t>
                  </w:r>
                </w:p>
              </w:tc>
              <w:tc>
                <w:tcPr>
                  <w:tcW w:w="470" w:type="pct"/>
                  <w:shd w:val="clear" w:color="auto" w:fill="auto"/>
                  <w:vAlign w:val="center"/>
                </w:tcPr>
                <w:p w14:paraId="70825AEA">
                  <w:pPr>
                    <w:pStyle w:val="30"/>
                    <w:rPr>
                      <w:color w:val="auto"/>
                      <w:highlight w:val="none"/>
                    </w:rPr>
                  </w:pPr>
                  <w:r>
                    <w:rPr>
                      <w:rFonts w:hint="eastAsia"/>
                      <w:color w:val="auto"/>
                      <w:highlight w:val="none"/>
                    </w:rPr>
                    <w:t>/</w:t>
                  </w:r>
                </w:p>
              </w:tc>
              <w:tc>
                <w:tcPr>
                  <w:tcW w:w="511" w:type="pct"/>
                  <w:shd w:val="clear" w:color="auto" w:fill="auto"/>
                  <w:vAlign w:val="center"/>
                </w:tcPr>
                <w:p w14:paraId="1E85442F">
                  <w:pPr>
                    <w:pStyle w:val="30"/>
                    <w:rPr>
                      <w:rFonts w:hint="default" w:eastAsia="宋体"/>
                      <w:color w:val="auto"/>
                      <w:highlight w:val="none"/>
                      <w:lang w:val="en-US" w:eastAsia="zh-CN"/>
                    </w:rPr>
                  </w:pPr>
                  <w:r>
                    <w:rPr>
                      <w:color w:val="auto"/>
                      <w:highlight w:val="none"/>
                    </w:rPr>
                    <w:t>15.5</w:t>
                  </w:r>
                  <w:r>
                    <w:rPr>
                      <w:rFonts w:hint="eastAsia"/>
                      <w:color w:val="auto"/>
                      <w:highlight w:val="none"/>
                      <w:lang w:val="en-US" w:eastAsia="zh-CN"/>
                    </w:rPr>
                    <w:t>/15</w:t>
                  </w:r>
                </w:p>
              </w:tc>
              <w:tc>
                <w:tcPr>
                  <w:tcW w:w="469" w:type="pct"/>
                  <w:shd w:val="clear" w:color="auto" w:fill="auto"/>
                  <w:vAlign w:val="center"/>
                </w:tcPr>
                <w:p w14:paraId="69E92D45">
                  <w:pPr>
                    <w:pStyle w:val="30"/>
                    <w:rPr>
                      <w:color w:val="auto"/>
                      <w:highlight w:val="none"/>
                    </w:rPr>
                  </w:pPr>
                  <w:r>
                    <w:rPr>
                      <w:rFonts w:hint="eastAsia"/>
                      <w:color w:val="auto"/>
                      <w:highlight w:val="none"/>
                    </w:rPr>
                    <w:t>/</w:t>
                  </w:r>
                </w:p>
              </w:tc>
              <w:tc>
                <w:tcPr>
                  <w:tcW w:w="470" w:type="pct"/>
                  <w:shd w:val="clear" w:color="auto" w:fill="auto"/>
                  <w:vAlign w:val="center"/>
                </w:tcPr>
                <w:p w14:paraId="2232CA0C">
                  <w:pPr>
                    <w:pStyle w:val="30"/>
                    <w:rPr>
                      <w:color w:val="auto"/>
                      <w:highlight w:val="none"/>
                    </w:rPr>
                  </w:pPr>
                  <w:r>
                    <w:rPr>
                      <w:rFonts w:hint="eastAsia"/>
                      <w:color w:val="auto"/>
                      <w:highlight w:val="none"/>
                    </w:rPr>
                    <w:t>/</w:t>
                  </w:r>
                </w:p>
              </w:tc>
              <w:tc>
                <w:tcPr>
                  <w:tcW w:w="469" w:type="pct"/>
                  <w:vMerge w:val="continue"/>
                  <w:shd w:val="clear" w:color="auto" w:fill="auto"/>
                  <w:vAlign w:val="center"/>
                </w:tcPr>
                <w:p w14:paraId="45732708">
                  <w:pPr>
                    <w:pStyle w:val="30"/>
                    <w:rPr>
                      <w:color w:val="auto"/>
                      <w:highlight w:val="none"/>
                    </w:rPr>
                  </w:pPr>
                </w:p>
              </w:tc>
            </w:tr>
            <w:tr w14:paraId="0762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restart"/>
                  <w:shd w:val="clear" w:color="auto" w:fill="auto"/>
                  <w:vAlign w:val="center"/>
                </w:tcPr>
                <w:p w14:paraId="6E74BD5C">
                  <w:pPr>
                    <w:pStyle w:val="30"/>
                    <w:rPr>
                      <w:color w:val="auto"/>
                      <w:highlight w:val="none"/>
                    </w:rPr>
                  </w:pPr>
                  <w:r>
                    <w:rPr>
                      <w:color w:val="auto"/>
                      <w:highlight w:val="none"/>
                    </w:rPr>
                    <w:t>城市道路</w:t>
                  </w:r>
                </w:p>
              </w:tc>
              <w:tc>
                <w:tcPr>
                  <w:tcW w:w="574" w:type="pct"/>
                  <w:shd w:val="clear" w:color="auto" w:fill="auto"/>
                  <w:vAlign w:val="center"/>
                </w:tcPr>
                <w:p w14:paraId="33438DA2">
                  <w:pPr>
                    <w:pStyle w:val="30"/>
                    <w:rPr>
                      <w:color w:val="auto"/>
                      <w:highlight w:val="none"/>
                    </w:rPr>
                  </w:pPr>
                  <w:r>
                    <w:rPr>
                      <w:color w:val="auto"/>
                      <w:highlight w:val="none"/>
                    </w:rPr>
                    <w:t>快速路、主干路</w:t>
                  </w:r>
                  <w:r>
                    <w:rPr>
                      <w:rFonts w:hint="eastAsia"/>
                      <w:color w:val="auto"/>
                      <w:highlight w:val="none"/>
                    </w:rPr>
                    <w:t>、高速公路</w:t>
                  </w:r>
                </w:p>
              </w:tc>
              <w:tc>
                <w:tcPr>
                  <w:tcW w:w="628" w:type="pct"/>
                  <w:shd w:val="clear" w:color="auto" w:fill="auto"/>
                  <w:vAlign w:val="center"/>
                </w:tcPr>
                <w:p w14:paraId="752D6619">
                  <w:pPr>
                    <w:pStyle w:val="30"/>
                    <w:rPr>
                      <w:rFonts w:hint="default" w:eastAsia="宋体"/>
                      <w:color w:val="auto"/>
                      <w:highlight w:val="none"/>
                      <w:lang w:val="en-US" w:eastAsia="zh-CN"/>
                    </w:rPr>
                  </w:pPr>
                  <w:r>
                    <w:rPr>
                      <w:rFonts w:hint="eastAsia"/>
                      <w:color w:val="auto"/>
                      <w:highlight w:val="none"/>
                      <w:lang w:eastAsia="zh-CN"/>
                    </w:rPr>
                    <w:t>北侧</w:t>
                  </w:r>
                  <w:r>
                    <w:rPr>
                      <w:rFonts w:hint="eastAsia"/>
                      <w:color w:val="auto"/>
                      <w:highlight w:val="none"/>
                      <w:lang w:val="en-US" w:eastAsia="zh-CN"/>
                    </w:rPr>
                    <w:t>S225</w:t>
                  </w:r>
                </w:p>
              </w:tc>
              <w:tc>
                <w:tcPr>
                  <w:tcW w:w="936" w:type="pct"/>
                  <w:shd w:val="clear" w:color="auto" w:fill="auto"/>
                  <w:vAlign w:val="center"/>
                </w:tcPr>
                <w:p w14:paraId="59EB5FD9">
                  <w:pPr>
                    <w:pStyle w:val="30"/>
                    <w:rPr>
                      <w:rFonts w:hint="default" w:eastAsia="宋体"/>
                      <w:color w:val="auto"/>
                      <w:highlight w:val="none"/>
                      <w:lang w:val="en-US" w:eastAsia="zh-CN"/>
                    </w:rPr>
                  </w:pPr>
                  <w:r>
                    <w:rPr>
                      <w:rFonts w:hint="eastAsia"/>
                      <w:color w:val="auto"/>
                      <w:highlight w:val="none"/>
                    </w:rPr>
                    <w:t>5.5</w:t>
                  </w:r>
                  <w:r>
                    <w:rPr>
                      <w:rFonts w:hint="eastAsia"/>
                      <w:color w:val="auto"/>
                      <w:highlight w:val="none"/>
                      <w:lang w:val="en-US" w:eastAsia="zh-CN"/>
                    </w:rPr>
                    <w:t>/3</w:t>
                  </w:r>
                </w:p>
              </w:tc>
              <w:tc>
                <w:tcPr>
                  <w:tcW w:w="470" w:type="pct"/>
                  <w:shd w:val="clear" w:color="auto" w:fill="auto"/>
                  <w:vAlign w:val="center"/>
                </w:tcPr>
                <w:p w14:paraId="52063CA0">
                  <w:pPr>
                    <w:pStyle w:val="30"/>
                    <w:rPr>
                      <w:rFonts w:hint="default" w:eastAsia="宋体"/>
                      <w:color w:val="auto"/>
                      <w:highlight w:val="none"/>
                      <w:lang w:val="en-US" w:eastAsia="zh-CN"/>
                    </w:rPr>
                  </w:pPr>
                  <w:r>
                    <w:rPr>
                      <w:rFonts w:hint="eastAsia"/>
                      <w:color w:val="auto"/>
                      <w:highlight w:val="none"/>
                      <w:lang w:val="en-US" w:eastAsia="zh-CN"/>
                    </w:rPr>
                    <w:t>51.6/50.4</w:t>
                  </w:r>
                </w:p>
              </w:tc>
              <w:tc>
                <w:tcPr>
                  <w:tcW w:w="511" w:type="pct"/>
                  <w:shd w:val="clear" w:color="auto" w:fill="auto"/>
                  <w:vAlign w:val="center"/>
                </w:tcPr>
                <w:p w14:paraId="2F2C7319">
                  <w:pPr>
                    <w:pStyle w:val="30"/>
                    <w:rPr>
                      <w:rFonts w:hint="default" w:eastAsia="宋体"/>
                      <w:color w:val="auto"/>
                      <w:highlight w:val="none"/>
                      <w:lang w:val="en-US" w:eastAsia="zh-CN"/>
                    </w:rPr>
                  </w:pPr>
                  <w:r>
                    <w:rPr>
                      <w:color w:val="auto"/>
                      <w:highlight w:val="none"/>
                    </w:rPr>
                    <w:t>5</w:t>
                  </w:r>
                  <w:r>
                    <w:rPr>
                      <w:rFonts w:hint="eastAsia"/>
                      <w:color w:val="auto"/>
                      <w:highlight w:val="none"/>
                      <w:lang w:val="en-US" w:eastAsia="zh-CN"/>
                    </w:rPr>
                    <w:t>/3</w:t>
                  </w:r>
                </w:p>
              </w:tc>
              <w:tc>
                <w:tcPr>
                  <w:tcW w:w="469" w:type="pct"/>
                  <w:shd w:val="clear" w:color="auto" w:fill="auto"/>
                  <w:vAlign w:val="center"/>
                </w:tcPr>
                <w:p w14:paraId="2EB90A93">
                  <w:pPr>
                    <w:pStyle w:val="30"/>
                    <w:rPr>
                      <w:rFonts w:hint="default" w:eastAsia="宋体"/>
                      <w:color w:val="auto"/>
                      <w:highlight w:val="none"/>
                      <w:lang w:val="en-US" w:eastAsia="zh-CN"/>
                    </w:rPr>
                  </w:pPr>
                  <w:r>
                    <w:rPr>
                      <w:rFonts w:hint="eastAsia"/>
                      <w:color w:val="auto"/>
                      <w:highlight w:val="none"/>
                      <w:lang w:val="en-US" w:eastAsia="zh-CN"/>
                    </w:rPr>
                    <w:t>47.2</w:t>
                  </w:r>
                </w:p>
              </w:tc>
              <w:tc>
                <w:tcPr>
                  <w:tcW w:w="470" w:type="pct"/>
                  <w:shd w:val="clear" w:color="auto" w:fill="auto"/>
                  <w:vAlign w:val="center"/>
                </w:tcPr>
                <w:p w14:paraId="0DBE11DA">
                  <w:pPr>
                    <w:pStyle w:val="30"/>
                    <w:rPr>
                      <w:rFonts w:hint="default" w:eastAsia="宋体"/>
                      <w:color w:val="auto"/>
                      <w:highlight w:val="none"/>
                      <w:lang w:val="en-US" w:eastAsia="zh-CN"/>
                    </w:rPr>
                  </w:pPr>
                  <w:r>
                    <w:rPr>
                      <w:rFonts w:hint="eastAsia"/>
                      <w:color w:val="auto"/>
                      <w:highlight w:val="none"/>
                      <w:lang w:val="en-US" w:eastAsia="zh-CN"/>
                    </w:rPr>
                    <w:t>62.5/62.5</w:t>
                  </w:r>
                </w:p>
              </w:tc>
              <w:tc>
                <w:tcPr>
                  <w:tcW w:w="469" w:type="pct"/>
                  <w:shd w:val="clear" w:color="auto" w:fill="auto"/>
                  <w:vAlign w:val="center"/>
                </w:tcPr>
                <w:p w14:paraId="2473C284">
                  <w:pPr>
                    <w:pStyle w:val="30"/>
                    <w:rPr>
                      <w:color w:val="auto"/>
                      <w:highlight w:val="none"/>
                    </w:rPr>
                  </w:pPr>
                  <w:r>
                    <w:rPr>
                      <w:color w:val="auto"/>
                      <w:highlight w:val="none"/>
                    </w:rPr>
                    <w:t>满足</w:t>
                  </w:r>
                </w:p>
              </w:tc>
            </w:tr>
            <w:tr w14:paraId="6884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continue"/>
                  <w:shd w:val="clear" w:color="auto" w:fill="auto"/>
                  <w:vAlign w:val="center"/>
                </w:tcPr>
                <w:p w14:paraId="21F7011C">
                  <w:pPr>
                    <w:pStyle w:val="30"/>
                    <w:rPr>
                      <w:color w:val="auto"/>
                      <w:highlight w:val="none"/>
                    </w:rPr>
                  </w:pPr>
                </w:p>
              </w:tc>
              <w:tc>
                <w:tcPr>
                  <w:tcW w:w="574" w:type="pct"/>
                  <w:shd w:val="clear" w:color="auto" w:fill="auto"/>
                  <w:vAlign w:val="center"/>
                </w:tcPr>
                <w:p w14:paraId="3DD861A8">
                  <w:pPr>
                    <w:pStyle w:val="30"/>
                    <w:rPr>
                      <w:color w:val="auto"/>
                      <w:highlight w:val="none"/>
                    </w:rPr>
                  </w:pPr>
                  <w:r>
                    <w:rPr>
                      <w:color w:val="auto"/>
                      <w:highlight w:val="none"/>
                    </w:rPr>
                    <w:t>次干路、支路</w:t>
                  </w:r>
                </w:p>
              </w:tc>
              <w:tc>
                <w:tcPr>
                  <w:tcW w:w="628" w:type="pct"/>
                  <w:shd w:val="clear" w:color="auto" w:fill="auto"/>
                  <w:vAlign w:val="center"/>
                </w:tcPr>
                <w:p w14:paraId="7F85113A">
                  <w:pPr>
                    <w:pStyle w:val="30"/>
                    <w:rPr>
                      <w:color w:val="auto"/>
                      <w:highlight w:val="none"/>
                    </w:rPr>
                  </w:pPr>
                  <w:r>
                    <w:rPr>
                      <w:rFonts w:hint="eastAsia"/>
                      <w:color w:val="auto"/>
                      <w:highlight w:val="none"/>
                      <w:lang w:val="en-US" w:eastAsia="zh-CN"/>
                    </w:rPr>
                    <w:t>/</w:t>
                  </w:r>
                  <w:r>
                    <w:rPr>
                      <w:rFonts w:hint="eastAsia"/>
                      <w:color w:val="auto"/>
                      <w:highlight w:val="none"/>
                    </w:rPr>
                    <w:t xml:space="preserve"> </w:t>
                  </w:r>
                </w:p>
              </w:tc>
              <w:tc>
                <w:tcPr>
                  <w:tcW w:w="936" w:type="pct"/>
                  <w:shd w:val="clear" w:color="auto" w:fill="auto"/>
                  <w:vAlign w:val="center"/>
                </w:tcPr>
                <w:p w14:paraId="7047D1B3">
                  <w:pPr>
                    <w:pStyle w:val="30"/>
                    <w:rPr>
                      <w:rFonts w:hint="default" w:eastAsia="宋体"/>
                      <w:color w:val="auto"/>
                      <w:highlight w:val="none"/>
                      <w:lang w:val="en-US" w:eastAsia="zh-CN"/>
                    </w:rPr>
                  </w:pPr>
                  <w:r>
                    <w:rPr>
                      <w:rFonts w:hint="eastAsia"/>
                      <w:color w:val="auto"/>
                      <w:highlight w:val="none"/>
                    </w:rPr>
                    <w:t>5</w:t>
                  </w:r>
                  <w:r>
                    <w:rPr>
                      <w:rFonts w:hint="eastAsia"/>
                      <w:color w:val="auto"/>
                      <w:highlight w:val="none"/>
                      <w:lang w:val="en-US" w:eastAsia="zh-CN"/>
                    </w:rPr>
                    <w:t>/3</w:t>
                  </w:r>
                </w:p>
              </w:tc>
              <w:tc>
                <w:tcPr>
                  <w:tcW w:w="470" w:type="pct"/>
                  <w:shd w:val="clear" w:color="auto" w:fill="auto"/>
                  <w:vAlign w:val="center"/>
                </w:tcPr>
                <w:p w14:paraId="78B7267A">
                  <w:pPr>
                    <w:pStyle w:val="30"/>
                    <w:rPr>
                      <w:rFonts w:hint="eastAsia" w:eastAsia="宋体"/>
                      <w:color w:val="auto"/>
                      <w:highlight w:val="none"/>
                      <w:lang w:eastAsia="zh-CN"/>
                    </w:rPr>
                  </w:pPr>
                  <w:r>
                    <w:rPr>
                      <w:rFonts w:hint="eastAsia"/>
                      <w:color w:val="auto"/>
                      <w:highlight w:val="none"/>
                      <w:lang w:val="en-US" w:eastAsia="zh-CN"/>
                    </w:rPr>
                    <w:t>/</w:t>
                  </w:r>
                </w:p>
              </w:tc>
              <w:tc>
                <w:tcPr>
                  <w:tcW w:w="511" w:type="pct"/>
                  <w:shd w:val="clear" w:color="auto" w:fill="auto"/>
                  <w:vAlign w:val="center"/>
                </w:tcPr>
                <w:p w14:paraId="4F2B7EC8">
                  <w:pPr>
                    <w:pStyle w:val="30"/>
                    <w:rPr>
                      <w:rFonts w:hint="default" w:eastAsia="宋体"/>
                      <w:color w:val="auto"/>
                      <w:highlight w:val="none"/>
                      <w:lang w:val="en-US" w:eastAsia="zh-CN"/>
                    </w:rPr>
                  </w:pPr>
                  <w:r>
                    <w:rPr>
                      <w:color w:val="auto"/>
                      <w:highlight w:val="none"/>
                    </w:rPr>
                    <w:t>5</w:t>
                  </w:r>
                  <w:r>
                    <w:rPr>
                      <w:rFonts w:hint="eastAsia"/>
                      <w:color w:val="auto"/>
                      <w:highlight w:val="none"/>
                      <w:lang w:val="en-US" w:eastAsia="zh-CN"/>
                    </w:rPr>
                    <w:t>/3</w:t>
                  </w:r>
                </w:p>
              </w:tc>
              <w:tc>
                <w:tcPr>
                  <w:tcW w:w="469" w:type="pct"/>
                  <w:shd w:val="clear" w:color="auto" w:fill="auto"/>
                  <w:vAlign w:val="center"/>
                </w:tcPr>
                <w:p w14:paraId="6629F258">
                  <w:pPr>
                    <w:pStyle w:val="30"/>
                    <w:rPr>
                      <w:rFonts w:hint="eastAsia" w:eastAsia="宋体"/>
                      <w:color w:val="auto"/>
                      <w:highlight w:val="none"/>
                      <w:lang w:eastAsia="zh-CN"/>
                    </w:rPr>
                  </w:pPr>
                  <w:r>
                    <w:rPr>
                      <w:rFonts w:hint="eastAsia"/>
                      <w:color w:val="auto"/>
                      <w:highlight w:val="none"/>
                      <w:lang w:val="en-US" w:eastAsia="zh-CN"/>
                    </w:rPr>
                    <w:t>/</w:t>
                  </w:r>
                </w:p>
              </w:tc>
              <w:tc>
                <w:tcPr>
                  <w:tcW w:w="470" w:type="pct"/>
                  <w:shd w:val="clear" w:color="auto" w:fill="auto"/>
                  <w:vAlign w:val="center"/>
                </w:tcPr>
                <w:p w14:paraId="3CCDFB2F">
                  <w:pPr>
                    <w:pStyle w:val="30"/>
                    <w:rPr>
                      <w:rFonts w:hint="eastAsia" w:eastAsia="宋体"/>
                      <w:color w:val="auto"/>
                      <w:highlight w:val="none"/>
                      <w:lang w:eastAsia="zh-CN"/>
                    </w:rPr>
                  </w:pPr>
                  <w:r>
                    <w:rPr>
                      <w:rFonts w:hint="eastAsia"/>
                      <w:color w:val="auto"/>
                      <w:highlight w:val="none"/>
                      <w:lang w:val="en-US" w:eastAsia="zh-CN"/>
                    </w:rPr>
                    <w:t>/</w:t>
                  </w:r>
                </w:p>
              </w:tc>
              <w:tc>
                <w:tcPr>
                  <w:tcW w:w="469" w:type="pct"/>
                  <w:shd w:val="clear" w:color="auto" w:fill="auto"/>
                  <w:vAlign w:val="center"/>
                </w:tcPr>
                <w:p w14:paraId="56D2608B">
                  <w:pPr>
                    <w:pStyle w:val="30"/>
                    <w:rPr>
                      <w:rFonts w:hint="eastAsia" w:eastAsia="宋体"/>
                      <w:color w:val="auto"/>
                      <w:highlight w:val="none"/>
                      <w:lang w:eastAsia="zh-CN"/>
                    </w:rPr>
                  </w:pPr>
                  <w:r>
                    <w:rPr>
                      <w:rFonts w:hint="eastAsia"/>
                      <w:color w:val="auto"/>
                      <w:highlight w:val="none"/>
                      <w:lang w:eastAsia="zh-CN"/>
                    </w:rPr>
                    <w:t>不涉及</w:t>
                  </w:r>
                </w:p>
              </w:tc>
            </w:tr>
            <w:tr w14:paraId="36B6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72" w:type="pct"/>
                  <w:gridSpan w:val="3"/>
                  <w:shd w:val="clear" w:color="auto" w:fill="auto"/>
                  <w:vAlign w:val="center"/>
                </w:tcPr>
                <w:p w14:paraId="72D797D7">
                  <w:pPr>
                    <w:pStyle w:val="30"/>
                    <w:rPr>
                      <w:color w:val="auto"/>
                      <w:highlight w:val="none"/>
                    </w:rPr>
                  </w:pPr>
                  <w:r>
                    <w:rPr>
                      <w:color w:val="auto"/>
                      <w:highlight w:val="none"/>
                    </w:rPr>
                    <w:t>架空通信线和通信发射塔</w:t>
                  </w:r>
                </w:p>
              </w:tc>
              <w:tc>
                <w:tcPr>
                  <w:tcW w:w="936" w:type="pct"/>
                  <w:shd w:val="clear" w:color="auto" w:fill="auto"/>
                  <w:vAlign w:val="center"/>
                </w:tcPr>
                <w:p w14:paraId="0997BDE8">
                  <w:pPr>
                    <w:pStyle w:val="30"/>
                    <w:rPr>
                      <w:rFonts w:hint="default" w:eastAsia="宋体"/>
                      <w:color w:val="auto"/>
                      <w:highlight w:val="none"/>
                      <w:lang w:val="en-US" w:eastAsia="zh-CN"/>
                    </w:rPr>
                  </w:pPr>
                  <w:r>
                    <w:rPr>
                      <w:rFonts w:hint="eastAsia"/>
                      <w:color w:val="auto"/>
                      <w:highlight w:val="none"/>
                    </w:rPr>
                    <w:t>5</w:t>
                  </w:r>
                  <w:r>
                    <w:rPr>
                      <w:rFonts w:hint="eastAsia"/>
                      <w:color w:val="auto"/>
                      <w:highlight w:val="none"/>
                      <w:lang w:val="en-US" w:eastAsia="zh-CN"/>
                    </w:rPr>
                    <w:t>/5</w:t>
                  </w:r>
                </w:p>
              </w:tc>
              <w:tc>
                <w:tcPr>
                  <w:tcW w:w="470" w:type="pct"/>
                  <w:shd w:val="clear" w:color="auto" w:fill="auto"/>
                  <w:vAlign w:val="center"/>
                </w:tcPr>
                <w:p w14:paraId="4011FD35">
                  <w:pPr>
                    <w:pStyle w:val="30"/>
                    <w:rPr>
                      <w:color w:val="auto"/>
                      <w:highlight w:val="none"/>
                    </w:rPr>
                  </w:pPr>
                  <w:r>
                    <w:rPr>
                      <w:rFonts w:hint="eastAsia"/>
                      <w:color w:val="auto"/>
                      <w:highlight w:val="none"/>
                    </w:rPr>
                    <w:t>/</w:t>
                  </w:r>
                </w:p>
              </w:tc>
              <w:tc>
                <w:tcPr>
                  <w:tcW w:w="511" w:type="pct"/>
                  <w:shd w:val="clear" w:color="auto" w:fill="auto"/>
                  <w:vAlign w:val="center"/>
                </w:tcPr>
                <w:p w14:paraId="2BC93BAB">
                  <w:pPr>
                    <w:pStyle w:val="30"/>
                    <w:rPr>
                      <w:rFonts w:hint="default" w:eastAsia="宋体"/>
                      <w:color w:val="auto"/>
                      <w:highlight w:val="none"/>
                      <w:lang w:val="en-US" w:eastAsia="zh-CN"/>
                    </w:rPr>
                  </w:pPr>
                  <w:r>
                    <w:rPr>
                      <w:color w:val="auto"/>
                      <w:highlight w:val="none"/>
                    </w:rPr>
                    <w:t>5</w:t>
                  </w:r>
                  <w:r>
                    <w:rPr>
                      <w:rFonts w:hint="eastAsia"/>
                      <w:color w:val="auto"/>
                      <w:highlight w:val="none"/>
                      <w:lang w:val="en-US" w:eastAsia="zh-CN"/>
                    </w:rPr>
                    <w:t>/5</w:t>
                  </w:r>
                </w:p>
              </w:tc>
              <w:tc>
                <w:tcPr>
                  <w:tcW w:w="469" w:type="pct"/>
                  <w:shd w:val="clear" w:color="auto" w:fill="auto"/>
                  <w:vAlign w:val="center"/>
                </w:tcPr>
                <w:p w14:paraId="044E6CDC">
                  <w:pPr>
                    <w:pStyle w:val="30"/>
                    <w:rPr>
                      <w:color w:val="auto"/>
                      <w:highlight w:val="none"/>
                    </w:rPr>
                  </w:pPr>
                  <w:r>
                    <w:rPr>
                      <w:rFonts w:hint="eastAsia"/>
                      <w:color w:val="auto"/>
                      <w:highlight w:val="none"/>
                    </w:rPr>
                    <w:t>/</w:t>
                  </w:r>
                </w:p>
              </w:tc>
              <w:tc>
                <w:tcPr>
                  <w:tcW w:w="470" w:type="pct"/>
                  <w:shd w:val="clear" w:color="auto" w:fill="auto"/>
                  <w:vAlign w:val="center"/>
                </w:tcPr>
                <w:p w14:paraId="489FDC7D">
                  <w:pPr>
                    <w:pStyle w:val="30"/>
                    <w:rPr>
                      <w:color w:val="auto"/>
                      <w:highlight w:val="none"/>
                    </w:rPr>
                  </w:pPr>
                  <w:r>
                    <w:rPr>
                      <w:rFonts w:hint="eastAsia"/>
                      <w:color w:val="auto"/>
                      <w:highlight w:val="none"/>
                    </w:rPr>
                    <w:t>/</w:t>
                  </w:r>
                </w:p>
              </w:tc>
              <w:tc>
                <w:tcPr>
                  <w:tcW w:w="469" w:type="pct"/>
                  <w:vMerge w:val="restart"/>
                  <w:shd w:val="clear" w:color="auto" w:fill="auto"/>
                  <w:vAlign w:val="center"/>
                </w:tcPr>
                <w:p w14:paraId="6C7A9451">
                  <w:pPr>
                    <w:pStyle w:val="30"/>
                    <w:rPr>
                      <w:color w:val="auto"/>
                      <w:highlight w:val="none"/>
                    </w:rPr>
                  </w:pPr>
                  <w:r>
                    <w:rPr>
                      <w:rFonts w:hint="eastAsia"/>
                      <w:color w:val="auto"/>
                      <w:highlight w:val="none"/>
                    </w:rPr>
                    <w:t>不涉及</w:t>
                  </w:r>
                </w:p>
              </w:tc>
            </w:tr>
            <w:tr w14:paraId="6892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restart"/>
                  <w:shd w:val="clear" w:color="auto" w:fill="auto"/>
                  <w:vAlign w:val="center"/>
                </w:tcPr>
                <w:p w14:paraId="595D762F">
                  <w:pPr>
                    <w:pStyle w:val="30"/>
                    <w:rPr>
                      <w:color w:val="auto"/>
                      <w:highlight w:val="none"/>
                    </w:rPr>
                  </w:pPr>
                  <w:r>
                    <w:rPr>
                      <w:color w:val="auto"/>
                      <w:highlight w:val="none"/>
                    </w:rPr>
                    <w:t>架空电力线路</w:t>
                  </w:r>
                </w:p>
              </w:tc>
              <w:tc>
                <w:tcPr>
                  <w:tcW w:w="1202" w:type="pct"/>
                  <w:gridSpan w:val="2"/>
                  <w:shd w:val="clear" w:color="auto" w:fill="auto"/>
                  <w:vAlign w:val="center"/>
                </w:tcPr>
                <w:p w14:paraId="1BC9E0D7">
                  <w:pPr>
                    <w:pStyle w:val="30"/>
                    <w:rPr>
                      <w:color w:val="auto"/>
                      <w:highlight w:val="none"/>
                    </w:rPr>
                  </w:pPr>
                  <w:r>
                    <w:rPr>
                      <w:color w:val="auto"/>
                      <w:highlight w:val="none"/>
                    </w:rPr>
                    <w:t>无绝缘层</w:t>
                  </w:r>
                </w:p>
              </w:tc>
              <w:tc>
                <w:tcPr>
                  <w:tcW w:w="936" w:type="pct"/>
                  <w:shd w:val="clear" w:color="auto" w:fill="auto"/>
                  <w:vAlign w:val="center"/>
                </w:tcPr>
                <w:p w14:paraId="6211D3B6">
                  <w:pPr>
                    <w:pStyle w:val="30"/>
                    <w:rPr>
                      <w:color w:val="auto"/>
                      <w:highlight w:val="none"/>
                    </w:rPr>
                  </w:pPr>
                  <w:r>
                    <w:rPr>
                      <w:rFonts w:hint="eastAsia"/>
                      <w:color w:val="auto"/>
                      <w:highlight w:val="none"/>
                    </w:rPr>
                    <w:t>1.0</w:t>
                  </w:r>
                  <w:r>
                    <w:rPr>
                      <w:rFonts w:hint="eastAsia"/>
                      <w:color w:val="auto"/>
                      <w:highlight w:val="none"/>
                      <w:lang w:val="en-US" w:eastAsia="zh-CN"/>
                    </w:rPr>
                    <w:t>/0.75</w:t>
                  </w:r>
                  <w:r>
                    <w:rPr>
                      <w:rFonts w:hint="eastAsia"/>
                      <w:color w:val="auto"/>
                      <w:highlight w:val="none"/>
                    </w:rPr>
                    <w:t>H，且</w:t>
                  </w:r>
                  <w:r>
                    <w:rPr>
                      <w:color w:val="auto"/>
                      <w:highlight w:val="none"/>
                    </w:rPr>
                    <w:t>≥6.5</w:t>
                  </w:r>
                  <w:r>
                    <w:rPr>
                      <w:rFonts w:hint="eastAsia"/>
                      <w:color w:val="auto"/>
                      <w:highlight w:val="none"/>
                    </w:rPr>
                    <w:t>m</w:t>
                  </w:r>
                </w:p>
              </w:tc>
              <w:tc>
                <w:tcPr>
                  <w:tcW w:w="470" w:type="pct"/>
                  <w:shd w:val="clear" w:color="auto" w:fill="auto"/>
                  <w:vAlign w:val="center"/>
                </w:tcPr>
                <w:p w14:paraId="075DC047">
                  <w:pPr>
                    <w:pStyle w:val="30"/>
                    <w:rPr>
                      <w:color w:val="auto"/>
                      <w:highlight w:val="none"/>
                    </w:rPr>
                  </w:pPr>
                  <w:r>
                    <w:rPr>
                      <w:rFonts w:hint="eastAsia"/>
                      <w:color w:val="auto"/>
                      <w:highlight w:val="none"/>
                    </w:rPr>
                    <w:t>/</w:t>
                  </w:r>
                </w:p>
              </w:tc>
              <w:tc>
                <w:tcPr>
                  <w:tcW w:w="511" w:type="pct"/>
                  <w:shd w:val="clear" w:color="auto" w:fill="auto"/>
                  <w:vAlign w:val="center"/>
                </w:tcPr>
                <w:p w14:paraId="2040E080">
                  <w:pPr>
                    <w:pStyle w:val="30"/>
                    <w:rPr>
                      <w:rFonts w:hint="default" w:eastAsia="宋体"/>
                      <w:color w:val="auto"/>
                      <w:highlight w:val="none"/>
                      <w:lang w:val="en-US" w:eastAsia="zh-CN"/>
                    </w:rPr>
                  </w:pPr>
                  <w:r>
                    <w:rPr>
                      <w:color w:val="auto"/>
                      <w:highlight w:val="none"/>
                    </w:rPr>
                    <w:t>6.5</w:t>
                  </w:r>
                  <w:r>
                    <w:rPr>
                      <w:rFonts w:hint="eastAsia"/>
                      <w:color w:val="auto"/>
                      <w:highlight w:val="none"/>
                      <w:lang w:val="en-US" w:eastAsia="zh-CN"/>
                    </w:rPr>
                    <w:t>/6.5</w:t>
                  </w:r>
                </w:p>
              </w:tc>
              <w:tc>
                <w:tcPr>
                  <w:tcW w:w="469" w:type="pct"/>
                  <w:shd w:val="clear" w:color="auto" w:fill="auto"/>
                  <w:vAlign w:val="center"/>
                </w:tcPr>
                <w:p w14:paraId="6847A307">
                  <w:pPr>
                    <w:pStyle w:val="30"/>
                    <w:rPr>
                      <w:color w:val="auto"/>
                      <w:highlight w:val="none"/>
                    </w:rPr>
                  </w:pPr>
                  <w:r>
                    <w:rPr>
                      <w:rFonts w:hint="eastAsia"/>
                      <w:color w:val="auto"/>
                      <w:highlight w:val="none"/>
                    </w:rPr>
                    <w:t>/</w:t>
                  </w:r>
                </w:p>
              </w:tc>
              <w:tc>
                <w:tcPr>
                  <w:tcW w:w="470" w:type="pct"/>
                  <w:shd w:val="clear" w:color="auto" w:fill="auto"/>
                  <w:vAlign w:val="center"/>
                </w:tcPr>
                <w:p w14:paraId="6B41E999">
                  <w:pPr>
                    <w:pStyle w:val="30"/>
                    <w:rPr>
                      <w:color w:val="auto"/>
                      <w:highlight w:val="none"/>
                    </w:rPr>
                  </w:pPr>
                  <w:r>
                    <w:rPr>
                      <w:rFonts w:hint="eastAsia"/>
                      <w:color w:val="auto"/>
                      <w:highlight w:val="none"/>
                    </w:rPr>
                    <w:t>/</w:t>
                  </w:r>
                </w:p>
              </w:tc>
              <w:tc>
                <w:tcPr>
                  <w:tcW w:w="469" w:type="pct"/>
                  <w:vMerge w:val="continue"/>
                  <w:shd w:val="clear" w:color="auto" w:fill="auto"/>
                  <w:vAlign w:val="center"/>
                </w:tcPr>
                <w:p w14:paraId="7A2F369E">
                  <w:pPr>
                    <w:pStyle w:val="30"/>
                    <w:rPr>
                      <w:color w:val="auto"/>
                      <w:highlight w:val="none"/>
                    </w:rPr>
                  </w:pPr>
                </w:p>
              </w:tc>
            </w:tr>
            <w:tr w14:paraId="049F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69" w:type="pct"/>
                  <w:vMerge w:val="continue"/>
                  <w:shd w:val="clear" w:color="auto" w:fill="auto"/>
                  <w:vAlign w:val="center"/>
                </w:tcPr>
                <w:p w14:paraId="420229DD">
                  <w:pPr>
                    <w:pStyle w:val="30"/>
                    <w:rPr>
                      <w:color w:val="auto"/>
                      <w:highlight w:val="none"/>
                    </w:rPr>
                  </w:pPr>
                </w:p>
              </w:tc>
              <w:tc>
                <w:tcPr>
                  <w:tcW w:w="1202" w:type="pct"/>
                  <w:gridSpan w:val="2"/>
                  <w:shd w:val="clear" w:color="auto" w:fill="auto"/>
                  <w:vAlign w:val="center"/>
                </w:tcPr>
                <w:p w14:paraId="64401D29">
                  <w:pPr>
                    <w:pStyle w:val="30"/>
                    <w:rPr>
                      <w:color w:val="auto"/>
                      <w:highlight w:val="none"/>
                    </w:rPr>
                  </w:pPr>
                  <w:r>
                    <w:rPr>
                      <w:color w:val="auto"/>
                      <w:highlight w:val="none"/>
                    </w:rPr>
                    <w:t>有绝缘层</w:t>
                  </w:r>
                </w:p>
              </w:tc>
              <w:tc>
                <w:tcPr>
                  <w:tcW w:w="936" w:type="pct"/>
                  <w:shd w:val="clear" w:color="auto" w:fill="auto"/>
                  <w:vAlign w:val="center"/>
                </w:tcPr>
                <w:p w14:paraId="27B77C32">
                  <w:pPr>
                    <w:pStyle w:val="30"/>
                    <w:rPr>
                      <w:color w:val="auto"/>
                      <w:highlight w:val="none"/>
                    </w:rPr>
                  </w:pPr>
                  <w:r>
                    <w:rPr>
                      <w:rFonts w:hint="eastAsia"/>
                      <w:color w:val="auto"/>
                      <w:highlight w:val="none"/>
                    </w:rPr>
                    <w:t>0.75</w:t>
                  </w:r>
                  <w:r>
                    <w:rPr>
                      <w:rFonts w:hint="eastAsia"/>
                      <w:color w:val="auto"/>
                      <w:highlight w:val="none"/>
                      <w:lang w:val="en-US" w:eastAsia="zh-CN"/>
                    </w:rPr>
                    <w:t>/0.5</w:t>
                  </w:r>
                  <w:r>
                    <w:rPr>
                      <w:rFonts w:hint="eastAsia"/>
                      <w:color w:val="auto"/>
                      <w:highlight w:val="none"/>
                    </w:rPr>
                    <w:t>H，且</w:t>
                  </w:r>
                  <w:r>
                    <w:rPr>
                      <w:color w:val="auto"/>
                      <w:highlight w:val="none"/>
                    </w:rPr>
                    <w:t>≥5</w:t>
                  </w:r>
                  <w:r>
                    <w:rPr>
                      <w:rFonts w:hint="eastAsia"/>
                      <w:color w:val="auto"/>
                      <w:highlight w:val="none"/>
                    </w:rPr>
                    <w:t>m</w:t>
                  </w:r>
                </w:p>
              </w:tc>
              <w:tc>
                <w:tcPr>
                  <w:tcW w:w="470" w:type="pct"/>
                  <w:shd w:val="clear" w:color="auto" w:fill="auto"/>
                  <w:vAlign w:val="center"/>
                </w:tcPr>
                <w:p w14:paraId="0E2E0249">
                  <w:pPr>
                    <w:pStyle w:val="30"/>
                    <w:rPr>
                      <w:color w:val="auto"/>
                      <w:highlight w:val="none"/>
                    </w:rPr>
                  </w:pPr>
                  <w:r>
                    <w:rPr>
                      <w:rFonts w:hint="eastAsia"/>
                      <w:color w:val="auto"/>
                      <w:highlight w:val="none"/>
                    </w:rPr>
                    <w:t>/</w:t>
                  </w:r>
                </w:p>
              </w:tc>
              <w:tc>
                <w:tcPr>
                  <w:tcW w:w="511" w:type="pct"/>
                  <w:shd w:val="clear" w:color="auto" w:fill="auto"/>
                  <w:vAlign w:val="center"/>
                </w:tcPr>
                <w:p w14:paraId="1CF2EC54">
                  <w:pPr>
                    <w:pStyle w:val="30"/>
                    <w:rPr>
                      <w:rFonts w:hint="default" w:eastAsia="宋体"/>
                      <w:color w:val="auto"/>
                      <w:highlight w:val="none"/>
                      <w:lang w:val="en-US" w:eastAsia="zh-CN"/>
                    </w:rPr>
                  </w:pPr>
                  <w:r>
                    <w:rPr>
                      <w:color w:val="auto"/>
                      <w:highlight w:val="none"/>
                    </w:rPr>
                    <w:t>5</w:t>
                  </w:r>
                  <w:r>
                    <w:rPr>
                      <w:rFonts w:hint="eastAsia"/>
                      <w:color w:val="auto"/>
                      <w:highlight w:val="none"/>
                      <w:lang w:val="en-US" w:eastAsia="zh-CN"/>
                    </w:rPr>
                    <w:t>/5</w:t>
                  </w:r>
                </w:p>
              </w:tc>
              <w:tc>
                <w:tcPr>
                  <w:tcW w:w="469" w:type="pct"/>
                  <w:shd w:val="clear" w:color="auto" w:fill="auto"/>
                  <w:vAlign w:val="center"/>
                </w:tcPr>
                <w:p w14:paraId="6BA39BD6">
                  <w:pPr>
                    <w:pStyle w:val="30"/>
                    <w:rPr>
                      <w:color w:val="auto"/>
                      <w:highlight w:val="none"/>
                    </w:rPr>
                  </w:pPr>
                  <w:r>
                    <w:rPr>
                      <w:rFonts w:hint="eastAsia"/>
                      <w:color w:val="auto"/>
                      <w:highlight w:val="none"/>
                    </w:rPr>
                    <w:t>/</w:t>
                  </w:r>
                </w:p>
              </w:tc>
              <w:tc>
                <w:tcPr>
                  <w:tcW w:w="470" w:type="pct"/>
                  <w:shd w:val="clear" w:color="auto" w:fill="auto"/>
                  <w:vAlign w:val="center"/>
                </w:tcPr>
                <w:p w14:paraId="0EBA377B">
                  <w:pPr>
                    <w:pStyle w:val="30"/>
                    <w:rPr>
                      <w:color w:val="auto"/>
                      <w:highlight w:val="none"/>
                    </w:rPr>
                  </w:pPr>
                  <w:r>
                    <w:rPr>
                      <w:rFonts w:hint="eastAsia"/>
                      <w:color w:val="auto"/>
                      <w:highlight w:val="none"/>
                    </w:rPr>
                    <w:t>/</w:t>
                  </w:r>
                </w:p>
              </w:tc>
              <w:tc>
                <w:tcPr>
                  <w:tcW w:w="469" w:type="pct"/>
                  <w:vMerge w:val="continue"/>
                  <w:shd w:val="clear" w:color="auto" w:fill="auto"/>
                  <w:vAlign w:val="center"/>
                </w:tcPr>
                <w:p w14:paraId="6C53C3A4">
                  <w:pPr>
                    <w:pStyle w:val="30"/>
                    <w:rPr>
                      <w:color w:val="auto"/>
                      <w:highlight w:val="none"/>
                    </w:rPr>
                  </w:pPr>
                </w:p>
              </w:tc>
            </w:tr>
          </w:tbl>
          <w:p w14:paraId="2F43E088">
            <w:pPr>
              <w:ind w:firstLine="480" w:firstLineChars="200"/>
              <w:rPr>
                <w:b/>
                <w:bCs/>
                <w:color w:val="auto"/>
                <w:highlight w:val="none"/>
              </w:rPr>
            </w:pPr>
            <w:r>
              <w:rPr>
                <w:rFonts w:hint="eastAsia"/>
                <w:color w:val="auto"/>
                <w:highlight w:val="none"/>
              </w:rPr>
              <w:t>综上分析，</w:t>
            </w:r>
            <w:r>
              <w:rPr>
                <w:color w:val="auto"/>
                <w:highlight w:val="none"/>
              </w:rPr>
              <w:t>项目选址距相关站外建、构筑物的</w:t>
            </w:r>
            <w:r>
              <w:rPr>
                <w:rFonts w:hint="eastAsia"/>
                <w:color w:val="auto"/>
                <w:highlight w:val="none"/>
              </w:rPr>
              <w:t>安全间距</w:t>
            </w:r>
            <w:r>
              <w:rPr>
                <w:color w:val="auto"/>
                <w:highlight w:val="none"/>
              </w:rPr>
              <w:t>指标均满足《汽车加油加气加氢站技术标准》（GB50156-2021）要求</w:t>
            </w:r>
            <w:r>
              <w:rPr>
                <w:rFonts w:hint="eastAsia"/>
                <w:color w:val="auto"/>
                <w:highlight w:val="none"/>
              </w:rPr>
              <w:t>。</w:t>
            </w:r>
          </w:p>
          <w:p w14:paraId="18F5B286">
            <w:pPr>
              <w:numPr>
                <w:ilvl w:val="0"/>
                <w:numId w:val="0"/>
              </w:numPr>
              <w:ind w:firstLine="482" w:firstLineChars="200"/>
              <w:rPr>
                <w:b/>
                <w:bCs/>
                <w:color w:val="auto"/>
                <w:highlight w:val="none"/>
              </w:rPr>
            </w:pPr>
            <w:r>
              <w:rPr>
                <w:rFonts w:hint="eastAsia" w:cs="Times New Roman"/>
                <w:b/>
                <w:bCs/>
                <w:color w:val="auto"/>
                <w:kern w:val="2"/>
                <w:sz w:val="24"/>
                <w:szCs w:val="24"/>
                <w:highlight w:val="none"/>
                <w:lang w:val="en-US" w:eastAsia="zh-CN" w:bidi="ar-SA"/>
              </w:rPr>
              <w:t>7</w:t>
            </w:r>
            <w:r>
              <w:rPr>
                <w:rFonts w:ascii="Times New Roman" w:hAnsi="Times New Roman" w:eastAsia="宋体" w:cs="Times New Roman"/>
                <w:b/>
                <w:bCs/>
                <w:color w:val="auto"/>
                <w:kern w:val="2"/>
                <w:sz w:val="24"/>
                <w:szCs w:val="24"/>
                <w:highlight w:val="none"/>
                <w:lang w:val="en-US" w:eastAsia="zh-CN" w:bidi="ar-SA"/>
              </w:rPr>
              <w:t>、</w:t>
            </w:r>
            <w:r>
              <w:rPr>
                <w:rFonts w:hint="eastAsia"/>
                <w:b/>
                <w:bCs/>
                <w:color w:val="auto"/>
                <w:highlight w:val="none"/>
              </w:rPr>
              <w:t>选址符合性分析</w:t>
            </w:r>
          </w:p>
          <w:p w14:paraId="3D147DBE">
            <w:pPr>
              <w:ind w:firstLine="480" w:firstLineChars="200"/>
              <w:rPr>
                <w:rFonts w:hint="eastAsia"/>
                <w:color w:val="auto"/>
                <w:highlight w:val="none"/>
                <w:lang w:val="zh-CN"/>
              </w:rPr>
            </w:pPr>
            <w:r>
              <w:rPr>
                <w:rFonts w:hint="eastAsia"/>
                <w:color w:val="auto"/>
                <w:highlight w:val="none"/>
                <w:lang w:val="zh-CN"/>
              </w:rPr>
              <w:t>本项目</w:t>
            </w:r>
            <w:r>
              <w:rPr>
                <w:color w:val="auto"/>
                <w:highlight w:val="none"/>
                <w:lang w:val="zh-CN"/>
              </w:rPr>
              <w:t>位于</w:t>
            </w:r>
            <w:r>
              <w:rPr>
                <w:rFonts w:hint="eastAsia"/>
                <w:color w:val="auto"/>
                <w:highlight w:val="none"/>
                <w:lang w:val="zh-CN"/>
              </w:rPr>
              <w:t>淮南市田家庵区安成镇王巷村和下陈社区境内淮潘公路南侧</w:t>
            </w:r>
            <w:r>
              <w:rPr>
                <w:color w:val="auto"/>
                <w:highlight w:val="none"/>
                <w:lang w:val="zh-CN"/>
              </w:rPr>
              <w:t>，</w:t>
            </w:r>
            <w:r>
              <w:rPr>
                <w:rFonts w:hint="eastAsia"/>
                <w:color w:val="auto"/>
                <w:highlight w:val="none"/>
                <w:lang w:val="zh-CN"/>
              </w:rPr>
              <w:t>规划用地用途为交通场枢纽用地。</w:t>
            </w:r>
          </w:p>
          <w:p w14:paraId="38638FCA">
            <w:pPr>
              <w:ind w:firstLine="480" w:firstLineChars="200"/>
              <w:rPr>
                <w:color w:val="auto"/>
                <w:highlight w:val="none"/>
                <w:lang w:val="zh-CN"/>
              </w:rPr>
            </w:pPr>
            <w:r>
              <w:rPr>
                <w:color w:val="auto"/>
                <w:highlight w:val="none"/>
                <w:lang w:val="zh-CN"/>
              </w:rPr>
              <w:t>项目区域既不涉及饮用水源保护区、自然保护区等依法设立的自然、文化保护地，也不是基本农田、基本森林、重要湿地等生态敏感与脆弱区，同时也不是具历史、文化、科学、民族意义的保护区及社会关注区。通过本次环评对污染物采取一定的防治措施，污染物均达标排放，对周围环境影响较小。</w:t>
            </w:r>
          </w:p>
          <w:p w14:paraId="487478C0">
            <w:pPr>
              <w:bidi w:val="0"/>
              <w:ind w:firstLine="480" w:firstLineChars="200"/>
              <w:rPr>
                <w:color w:val="auto"/>
                <w:highlight w:val="none"/>
              </w:rPr>
            </w:pPr>
            <w:r>
              <w:rPr>
                <w:color w:val="auto"/>
                <w:highlight w:val="none"/>
              </w:rPr>
              <w:t>本项目位于</w:t>
            </w:r>
            <w:r>
              <w:rPr>
                <w:rFonts w:hint="eastAsia"/>
                <w:color w:val="auto"/>
                <w:highlight w:val="none"/>
                <w:lang w:val="zh-CN"/>
              </w:rPr>
              <w:t>淮南市田家庵区安成镇王巷村和下陈社区境内淮潘公路南侧</w:t>
            </w:r>
            <w:r>
              <w:rPr>
                <w:color w:val="auto"/>
                <w:highlight w:val="none"/>
              </w:rPr>
              <w:t>，项目区域范围内供水、排水、电力、蒸汽、电讯等基础设施完善，同时本项目</w:t>
            </w:r>
            <w:r>
              <w:rPr>
                <w:rFonts w:hint="eastAsia"/>
                <w:color w:val="auto"/>
                <w:highlight w:val="none"/>
                <w:lang w:eastAsia="zh-CN"/>
              </w:rPr>
              <w:t>北侧</w:t>
            </w:r>
            <w:r>
              <w:rPr>
                <w:color w:val="auto"/>
                <w:highlight w:val="none"/>
              </w:rPr>
              <w:t>进出口紧邻交通道路，交通较为便利。</w:t>
            </w:r>
          </w:p>
          <w:p w14:paraId="4CDF07CE">
            <w:pPr>
              <w:bidi w:val="0"/>
              <w:ind w:firstLine="480" w:firstLineChars="200"/>
              <w:rPr>
                <w:color w:val="auto"/>
                <w:highlight w:val="none"/>
                <w:lang w:val="zh-CN"/>
              </w:rPr>
            </w:pPr>
            <w:r>
              <w:rPr>
                <w:color w:val="auto"/>
                <w:highlight w:val="none"/>
              </w:rPr>
              <w:t>综上，从</w:t>
            </w:r>
            <w:r>
              <w:rPr>
                <w:rFonts w:hint="eastAsia"/>
                <w:color w:val="auto"/>
                <w:highlight w:val="none"/>
              </w:rPr>
              <w:t>规划用地可行性、</w:t>
            </w:r>
            <w:r>
              <w:rPr>
                <w:color w:val="auto"/>
                <w:highlight w:val="none"/>
              </w:rPr>
              <w:t>环境相容性、区域配套等方面考量，本项目选址符合</w:t>
            </w:r>
            <w:r>
              <w:rPr>
                <w:rFonts w:hint="eastAsia"/>
                <w:color w:val="auto"/>
                <w:highlight w:val="none"/>
              </w:rPr>
              <w:t>国家及地方的政策、规划要求，选址</w:t>
            </w:r>
            <w:r>
              <w:rPr>
                <w:color w:val="auto"/>
                <w:highlight w:val="none"/>
              </w:rPr>
              <w:t>较为合理。</w:t>
            </w:r>
          </w:p>
          <w:p w14:paraId="552A009B">
            <w:pPr>
              <w:pStyle w:val="9"/>
              <w:rPr>
                <w:color w:val="auto"/>
                <w:highlight w:val="none"/>
              </w:rPr>
            </w:pPr>
          </w:p>
        </w:tc>
      </w:tr>
    </w:tbl>
    <w:p w14:paraId="52DBD510">
      <w:pPr>
        <w:rPr>
          <w:color w:val="auto"/>
          <w:highlight w:val="none"/>
        </w:rPr>
      </w:pPr>
      <w:r>
        <w:rPr>
          <w:color w:val="auto"/>
          <w:highlight w:val="none"/>
        </w:rPr>
        <w:br w:type="page"/>
      </w:r>
    </w:p>
    <w:p w14:paraId="4AB24197">
      <w:pPr>
        <w:pStyle w:val="2"/>
        <w:numPr>
          <w:ilvl w:val="0"/>
          <w:numId w:val="3"/>
        </w:numPr>
        <w:spacing w:before="0" w:after="0"/>
        <w:ind w:left="0" w:leftChars="0" w:right="0" w:rightChars="0" w:firstLine="0" w:firstLineChars="0"/>
        <w:jc w:val="center"/>
        <w:rPr>
          <w:color w:val="auto"/>
          <w:highlight w:val="none"/>
        </w:rPr>
      </w:pPr>
      <w:bookmarkStart w:id="12" w:name="_Toc11736"/>
      <w:r>
        <w:rPr>
          <w:rFonts w:hint="eastAsia"/>
          <w:color w:val="auto"/>
          <w:highlight w:val="none"/>
        </w:rPr>
        <w:t>建设项目工程分析</w:t>
      </w:r>
      <w:bookmarkEnd w:id="12"/>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082"/>
      </w:tblGrid>
      <w:tr w14:paraId="03B6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6" w:hRule="atLeast"/>
          <w:jc w:val="center"/>
        </w:trPr>
        <w:tc>
          <w:tcPr>
            <w:tcW w:w="580" w:type="dxa"/>
            <w:vAlign w:val="center"/>
          </w:tcPr>
          <w:p w14:paraId="34BA39F5">
            <w:pPr>
              <w:overflowPunct w:val="0"/>
              <w:autoSpaceDE w:val="0"/>
              <w:autoSpaceDN w:val="0"/>
              <w:jc w:val="center"/>
              <w:rPr>
                <w:color w:val="auto"/>
                <w:highlight w:val="none"/>
              </w:rPr>
            </w:pPr>
            <w:r>
              <w:rPr>
                <w:rFonts w:hint="eastAsia"/>
                <w:color w:val="auto"/>
                <w:highlight w:val="none"/>
              </w:rPr>
              <w:t>建设内容</w:t>
            </w:r>
          </w:p>
        </w:tc>
        <w:tc>
          <w:tcPr>
            <w:tcW w:w="7942" w:type="dxa"/>
          </w:tcPr>
          <w:p w14:paraId="72E7FD5F">
            <w:pPr>
              <w:overflowPunct w:val="0"/>
              <w:autoSpaceDE w:val="0"/>
              <w:autoSpaceDN w:val="0"/>
              <w:ind w:firstLine="482" w:firstLineChars="200"/>
              <w:rPr>
                <w:b/>
                <w:bCs/>
                <w:color w:val="auto"/>
                <w:highlight w:val="none"/>
              </w:rPr>
            </w:pPr>
            <w:r>
              <w:rPr>
                <w:rFonts w:hint="eastAsia"/>
                <w:b/>
                <w:bCs/>
                <w:color w:val="auto"/>
                <w:highlight w:val="none"/>
              </w:rPr>
              <w:t>1、项目由来</w:t>
            </w:r>
          </w:p>
          <w:p w14:paraId="1C50481E">
            <w:pPr>
              <w:ind w:firstLine="480" w:firstLineChars="200"/>
              <w:rPr>
                <w:color w:val="auto"/>
                <w:highlight w:val="none"/>
              </w:rPr>
            </w:pPr>
            <w:r>
              <w:rPr>
                <w:rFonts w:hint="eastAsia"/>
                <w:color w:val="auto"/>
                <w:highlight w:val="none"/>
              </w:rPr>
              <w:t>为营造良好道路交通运输环境，促进运输市场活力恢复，优化基础设施供给，带动产业高质量发展，切实解决淮南市货运车辆停车难问题，淮南交控物流服务有限公司拟在</w:t>
            </w:r>
            <w:r>
              <w:rPr>
                <w:rFonts w:hint="eastAsia"/>
                <w:color w:val="auto"/>
                <w:highlight w:val="none"/>
                <w:lang w:eastAsia="zh-CN"/>
              </w:rPr>
              <w:t>淮南市田家庵区安成镇</w:t>
            </w:r>
            <w:r>
              <w:rPr>
                <w:rFonts w:hint="eastAsia"/>
                <w:color w:val="auto"/>
                <w:highlight w:val="none"/>
              </w:rPr>
              <w:t>规划建设</w:t>
            </w:r>
            <w:r>
              <w:rPr>
                <w:rFonts w:hint="eastAsia"/>
                <w:color w:val="auto"/>
                <w:highlight w:val="none"/>
                <w:lang w:eastAsia="zh-CN"/>
              </w:rPr>
              <w:t>淮南市安成城市综合交通驿站项目</w:t>
            </w:r>
            <w:r>
              <w:rPr>
                <w:rFonts w:hint="eastAsia"/>
                <w:color w:val="auto"/>
                <w:highlight w:val="none"/>
              </w:rPr>
              <w:t>，项目分为东西两个地块，西侧地块总用地面积约为</w:t>
            </w:r>
            <w:r>
              <w:rPr>
                <w:rFonts w:hint="eastAsia"/>
                <w:color w:val="auto"/>
                <w:highlight w:val="none"/>
                <w:lang w:val="en-US" w:eastAsia="zh-CN"/>
              </w:rPr>
              <w:t>30234</w:t>
            </w:r>
            <w:r>
              <w:rPr>
                <w:rFonts w:hint="eastAsia"/>
                <w:color w:val="auto"/>
                <w:highlight w:val="none"/>
              </w:rPr>
              <w:t>平方米，总建筑面积约</w:t>
            </w:r>
            <w:r>
              <w:rPr>
                <w:rFonts w:hint="eastAsia"/>
                <w:color w:val="auto"/>
                <w:highlight w:val="none"/>
                <w:lang w:val="en-US" w:eastAsia="zh-CN"/>
              </w:rPr>
              <w:t>4854.27</w:t>
            </w:r>
            <w:r>
              <w:rPr>
                <w:rFonts w:hint="eastAsia"/>
                <w:color w:val="auto"/>
                <w:highlight w:val="none"/>
              </w:rPr>
              <w:t>平方米，</w:t>
            </w:r>
            <w:r>
              <w:rPr>
                <w:rFonts w:hint="eastAsia"/>
                <w:color w:val="auto"/>
                <w:highlight w:val="none"/>
                <w:lang w:eastAsia="zh-CN"/>
              </w:rPr>
              <w:t>主要建设1座智慧货运维修中心、1座智慧货运服务中心</w:t>
            </w:r>
            <w:r>
              <w:rPr>
                <w:rFonts w:hint="eastAsia"/>
                <w:color w:val="auto"/>
                <w:highlight w:val="none"/>
              </w:rPr>
              <w:t>；东侧地块总用地面积约为</w:t>
            </w:r>
            <w:r>
              <w:rPr>
                <w:rFonts w:hint="eastAsia"/>
                <w:color w:val="auto"/>
                <w:highlight w:val="none"/>
                <w:lang w:val="en-US" w:eastAsia="zh-CN"/>
              </w:rPr>
              <w:t>24615</w:t>
            </w:r>
            <w:r>
              <w:rPr>
                <w:rFonts w:hint="eastAsia"/>
                <w:color w:val="auto"/>
                <w:highlight w:val="none"/>
              </w:rPr>
              <w:t>平方米，总建筑面积约</w:t>
            </w:r>
            <w:r>
              <w:rPr>
                <w:rFonts w:hint="eastAsia"/>
                <w:color w:val="auto"/>
                <w:highlight w:val="none"/>
                <w:lang w:val="en-US" w:eastAsia="zh-CN"/>
              </w:rPr>
              <w:t>819.5</w:t>
            </w:r>
            <w:r>
              <w:rPr>
                <w:rFonts w:hint="eastAsia"/>
                <w:color w:val="auto"/>
                <w:highlight w:val="none"/>
              </w:rPr>
              <w:t>平方米，</w:t>
            </w:r>
            <w:r>
              <w:rPr>
                <w:rFonts w:hint="eastAsia"/>
                <w:color w:val="auto"/>
                <w:highlight w:val="none"/>
                <w:lang w:eastAsia="zh-CN"/>
              </w:rPr>
              <w:t>主要建设1座内部综合能源站</w:t>
            </w:r>
            <w:r>
              <w:rPr>
                <w:rFonts w:hint="eastAsia"/>
                <w:color w:val="auto"/>
                <w:highlight w:val="none"/>
              </w:rPr>
              <w:t>。</w:t>
            </w:r>
            <w:r>
              <w:rPr>
                <w:rFonts w:hint="eastAsia"/>
                <w:color w:val="auto"/>
                <w:highlight w:val="none"/>
                <w:lang w:eastAsia="zh-CN"/>
              </w:rPr>
              <w:t>其余区域建设货运停车场，共设置货车停车位约245个（大货车停车位约124个、中货车停车位约73个、小货车停车位约48个）、小汽车停车位约26个，以及配套建设公用工程及附属设施。</w:t>
            </w:r>
            <w:r>
              <w:rPr>
                <w:rFonts w:hint="eastAsia"/>
                <w:color w:val="auto"/>
                <w:highlight w:val="none"/>
              </w:rPr>
              <w:t>该项目于</w:t>
            </w:r>
            <w:r>
              <w:rPr>
                <w:rFonts w:hint="eastAsia"/>
                <w:color w:val="auto"/>
                <w:highlight w:val="none"/>
                <w:lang w:val="en-US" w:eastAsia="zh-CN"/>
              </w:rPr>
              <w:t>2025</w:t>
            </w:r>
            <w:r>
              <w:rPr>
                <w:rFonts w:hint="eastAsia"/>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17</w:t>
            </w:r>
            <w:r>
              <w:rPr>
                <w:rFonts w:hint="eastAsia"/>
                <w:color w:val="auto"/>
                <w:kern w:val="0"/>
                <w:highlight w:val="none"/>
                <w:lang w:bidi="ar"/>
              </w:rPr>
              <w:t>日经</w:t>
            </w:r>
            <w:r>
              <w:rPr>
                <w:rFonts w:hint="eastAsia" w:ascii="宋体" w:hAnsi="宋体" w:cs="宋体"/>
                <w:color w:val="auto"/>
                <w:kern w:val="0"/>
                <w:highlight w:val="none"/>
                <w:lang w:eastAsia="zh-CN" w:bidi="ar"/>
              </w:rPr>
              <w:t>淮南市发展和改革委员会</w:t>
            </w:r>
            <w:r>
              <w:rPr>
                <w:rFonts w:hint="eastAsia" w:ascii="宋体" w:hAnsi="宋体" w:cs="宋体"/>
                <w:color w:val="auto"/>
                <w:kern w:val="0"/>
                <w:highlight w:val="none"/>
                <w:lang w:bidi="ar"/>
              </w:rPr>
              <w:t>备案，项目代码为</w:t>
            </w:r>
            <w:r>
              <w:rPr>
                <w:rFonts w:hint="eastAsia"/>
                <w:color w:val="auto"/>
                <w:highlight w:val="none"/>
                <w:lang w:eastAsia="zh-CN"/>
              </w:rPr>
              <w:t>2504-340400-04-01-677087</w:t>
            </w:r>
            <w:r>
              <w:rPr>
                <w:rFonts w:hint="eastAsia" w:ascii="宋体" w:hAnsi="宋体" w:cs="宋体"/>
                <w:color w:val="auto"/>
                <w:kern w:val="0"/>
                <w:highlight w:val="none"/>
                <w:lang w:bidi="ar"/>
              </w:rPr>
              <w:t>。</w:t>
            </w:r>
          </w:p>
          <w:p w14:paraId="3B0966E0">
            <w:pPr>
              <w:bidi w:val="0"/>
              <w:ind w:firstLine="480" w:firstLineChars="200"/>
              <w:rPr>
                <w:color w:val="auto"/>
                <w:highlight w:val="none"/>
              </w:rPr>
            </w:pPr>
            <w:r>
              <w:rPr>
                <w:rFonts w:hint="eastAsia"/>
                <w:color w:val="auto"/>
                <w:highlight w:val="none"/>
              </w:rPr>
              <w:t>根据《中华人民共和国环境保护法</w:t>
            </w:r>
            <w:r>
              <w:rPr>
                <w:rFonts w:hint="eastAsia"/>
                <w:color w:val="auto"/>
                <w:highlight w:val="none"/>
                <w:lang w:eastAsia="zh-CN"/>
              </w:rPr>
              <w:t>》《</w:t>
            </w:r>
            <w:r>
              <w:rPr>
                <w:rFonts w:hint="eastAsia"/>
                <w:color w:val="auto"/>
                <w:highlight w:val="none"/>
              </w:rPr>
              <w:t>中华人民共和国环境影响评价法</w:t>
            </w:r>
            <w:r>
              <w:rPr>
                <w:rFonts w:hint="eastAsia"/>
                <w:color w:val="auto"/>
                <w:highlight w:val="none"/>
                <w:lang w:eastAsia="zh-CN"/>
              </w:rPr>
              <w:t>》《</w:t>
            </w:r>
            <w:r>
              <w:rPr>
                <w:rFonts w:hint="eastAsia"/>
                <w:color w:val="auto"/>
                <w:highlight w:val="none"/>
              </w:rPr>
              <w:t>建设项目环境保护管理条例》（国令第682号）、《建设项目环境影响评价分类管理名录》（2021年版）等法规文件。</w:t>
            </w:r>
            <w:r>
              <w:rPr>
                <w:rFonts w:hint="eastAsia"/>
                <w:color w:val="auto"/>
                <w:highlight w:val="none"/>
                <w:lang w:eastAsia="zh-CN"/>
              </w:rPr>
              <w:t>本项目</w:t>
            </w:r>
            <w:r>
              <w:rPr>
                <w:rFonts w:hint="eastAsia"/>
                <w:color w:val="auto"/>
                <w:highlight w:val="none"/>
              </w:rPr>
              <w:t>涉及行业类别有：“五十、社会事业与服务业”中的“</w:t>
            </w:r>
            <w:r>
              <w:rPr>
                <w:rFonts w:hint="eastAsia"/>
                <w:color w:val="auto"/>
                <w:highlight w:val="none"/>
                <w:lang w:val="en-US" w:eastAsia="zh-CN"/>
              </w:rPr>
              <w:t>118</w:t>
            </w:r>
            <w:r>
              <w:rPr>
                <w:rFonts w:hint="eastAsia"/>
                <w:color w:val="auto"/>
                <w:highlight w:val="none"/>
              </w:rPr>
              <w:t>、驾驶员训练基地、公交枢纽、长途客运站、大型停车场、机动车检测场”和“五十、社会事业与服务业”中的“</w:t>
            </w:r>
            <w:r>
              <w:rPr>
                <w:rFonts w:hint="eastAsia"/>
                <w:color w:val="auto"/>
                <w:highlight w:val="none"/>
                <w:lang w:val="en-US" w:eastAsia="zh-CN"/>
              </w:rPr>
              <w:t>119、</w:t>
            </w:r>
            <w:r>
              <w:rPr>
                <w:rFonts w:hint="eastAsia"/>
                <w:color w:val="auto"/>
                <w:highlight w:val="none"/>
              </w:rPr>
              <w:t>加油、加气站”中“城市建成区新建、扩建加油站”，建设内容涉及本名录中两个及以上项目类别的建设项目，其环境影响评价类别按照其中单项等级最高的确定，</w:t>
            </w:r>
            <w:r>
              <w:rPr>
                <w:color w:val="auto"/>
                <w:highlight w:val="none"/>
              </w:rPr>
              <w:t>因此应编制环境影响报告表。</w:t>
            </w:r>
          </w:p>
          <w:p w14:paraId="09DF563D">
            <w:pPr>
              <w:bidi w:val="0"/>
              <w:ind w:firstLine="480" w:firstLineChars="200"/>
              <w:rPr>
                <w:color w:val="auto"/>
                <w:highlight w:val="none"/>
              </w:rPr>
            </w:pPr>
            <w:r>
              <w:rPr>
                <w:rFonts w:hint="eastAsia"/>
                <w:color w:val="auto"/>
                <w:highlight w:val="none"/>
              </w:rPr>
              <w:t>受淮南交控物流服务有限公司的委托，我公司承担本项目的环境影响评价工作。接受委托后，我公司组织技术人员收集相关资料并进行现场踏勘调查，在了解项目所在地及周围环境概况后，本着客观、公正、科学、规范的原则，编制了本环境影响评价报告表。</w:t>
            </w:r>
          </w:p>
          <w:p w14:paraId="3A2A1FC1">
            <w:pPr>
              <w:pStyle w:val="6"/>
              <w:overflowPunct w:val="0"/>
              <w:autoSpaceDE w:val="0"/>
              <w:autoSpaceDN w:val="0"/>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 xml:space="preserve"> 《建设项目环境影响评价分类管理名录》（</w:t>
            </w:r>
            <w:r>
              <w:rPr>
                <w:color w:val="auto"/>
                <w:highlight w:val="none"/>
              </w:rPr>
              <w:t>2021</w:t>
            </w:r>
            <w:r>
              <w:rPr>
                <w:rFonts w:hint="eastAsia"/>
                <w:color w:val="auto"/>
                <w:highlight w:val="none"/>
              </w:rPr>
              <w:t>年版）摘录</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290"/>
              <w:gridCol w:w="1669"/>
              <w:gridCol w:w="1862"/>
              <w:gridCol w:w="1280"/>
            </w:tblGrid>
            <w:tr w14:paraId="0CF8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005" w:type="dxa"/>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14F6EAE">
                  <w:pPr>
                    <w:pStyle w:val="30"/>
                    <w:overflowPunct w:val="0"/>
                    <w:autoSpaceDE w:val="0"/>
                    <w:autoSpaceDN w:val="0"/>
                    <w:snapToGrid w:val="0"/>
                    <w:spacing w:line="240" w:lineRule="auto"/>
                    <w:ind w:left="0" w:leftChars="0" w:right="0" w:rightChars="0" w:firstLine="0" w:firstLineChars="0"/>
                    <w:jc w:val="center"/>
                    <w:rPr>
                      <w:rFonts w:hint="eastAsia"/>
                      <w:b/>
                      <w:bCs/>
                      <w:color w:val="auto"/>
                      <w:highlight w:val="none"/>
                    </w:rPr>
                  </w:pPr>
                </w:p>
                <w:p w14:paraId="2A60AE2C">
                  <w:pPr>
                    <w:pStyle w:val="30"/>
                    <w:overflowPunct w:val="0"/>
                    <w:autoSpaceDE w:val="0"/>
                    <w:autoSpaceDN w:val="0"/>
                    <w:snapToGrid w:val="0"/>
                    <w:spacing w:line="240" w:lineRule="auto"/>
                    <w:ind w:left="0" w:leftChars="0" w:right="0" w:rightChars="0" w:firstLine="0" w:firstLineChars="0"/>
                    <w:jc w:val="center"/>
                    <mc:AlternateContent>
                      <mc:Choice Requires="wpsCustomData">
                        <wpsCustomData:diagonalParaType/>
                      </mc:Choice>
                    </mc:AlternateContent>
                    <w:rPr>
                      <w:b/>
                      <w:bCs/>
                      <w:color w:val="auto"/>
                      <w:highlight w:val="none"/>
                    </w:rPr>
                  </w:pPr>
                  <w:r>
                    <w:rPr>
                      <w:rFonts w:hint="eastAsia"/>
                      <w:b/>
                      <w:bCs/>
                      <w:color w:val="auto"/>
                      <w:highlight w:val="none"/>
                    </w:rPr>
                    <w:t>环评类别</w:t>
                  </w:r>
                </w:p>
                <w:p w14:paraId="5D2DE2CC">
                  <w:pPr>
                    <w:pStyle w:val="30"/>
                    <w:overflowPunct w:val="0"/>
                    <w:autoSpaceDE w:val="0"/>
                    <w:autoSpaceDN w:val="0"/>
                    <w:ind w:left="0" w:leftChars="0" w:right="0" w:rightChars="0" w:firstLine="0" w:firstLineChars="0"/>
                    <w:jc w:val="center"/>
                    <w:rPr>
                      <w:b/>
                      <w:bCs/>
                      <w:color w:val="auto"/>
                      <w:highlight w:val="none"/>
                    </w:rPr>
                  </w:pPr>
                  <w:r>
                    <w:rPr>
                      <w:rFonts w:hint="eastAsia"/>
                      <w:b/>
                      <w:bCs/>
                      <w:color w:val="auto"/>
                      <w:highlight w:val="none"/>
                    </w:rPr>
                    <w:t>项目类别</w:t>
                  </w:r>
                </w:p>
              </w:tc>
              <w:tc>
                <w:tcPr>
                  <w:tcW w:w="1649" w:type="dxa"/>
                  <w:vAlign w:val="center"/>
                </w:tcPr>
                <w:p w14:paraId="3BCBCA13">
                  <w:pPr>
                    <w:pStyle w:val="30"/>
                    <w:overflowPunct w:val="0"/>
                    <w:autoSpaceDE w:val="0"/>
                    <w:autoSpaceDN w:val="0"/>
                    <w:ind w:left="0" w:leftChars="0" w:right="0" w:rightChars="0" w:firstLine="0" w:firstLineChars="0"/>
                    <w:jc w:val="center"/>
                    <w:rPr>
                      <w:b/>
                      <w:bCs/>
                      <w:color w:val="auto"/>
                      <w:highlight w:val="none"/>
                    </w:rPr>
                  </w:pPr>
                  <w:r>
                    <w:rPr>
                      <w:rFonts w:hint="eastAsia"/>
                      <w:b/>
                      <w:bCs/>
                      <w:color w:val="auto"/>
                      <w:highlight w:val="none"/>
                    </w:rPr>
                    <w:t>报告书</w:t>
                  </w:r>
                </w:p>
              </w:tc>
              <w:tc>
                <w:tcPr>
                  <w:tcW w:w="1839" w:type="dxa"/>
                  <w:vAlign w:val="center"/>
                </w:tcPr>
                <w:p w14:paraId="6ED1AEC1">
                  <w:pPr>
                    <w:pStyle w:val="30"/>
                    <w:overflowPunct w:val="0"/>
                    <w:autoSpaceDE w:val="0"/>
                    <w:autoSpaceDN w:val="0"/>
                    <w:ind w:left="0" w:leftChars="0" w:right="0" w:rightChars="0" w:firstLine="0" w:firstLineChars="0"/>
                    <w:jc w:val="center"/>
                    <w:rPr>
                      <w:b/>
                      <w:bCs/>
                      <w:color w:val="auto"/>
                      <w:highlight w:val="none"/>
                    </w:rPr>
                  </w:pPr>
                  <w:r>
                    <w:rPr>
                      <w:rFonts w:hint="eastAsia"/>
                      <w:b/>
                      <w:bCs/>
                      <w:color w:val="auto"/>
                      <w:highlight w:val="none"/>
                    </w:rPr>
                    <w:t>报告表</w:t>
                  </w:r>
                </w:p>
              </w:tc>
              <w:tc>
                <w:tcPr>
                  <w:tcW w:w="1264" w:type="dxa"/>
                  <w:vAlign w:val="center"/>
                </w:tcPr>
                <w:p w14:paraId="313225DB">
                  <w:pPr>
                    <w:pStyle w:val="30"/>
                    <w:overflowPunct w:val="0"/>
                    <w:autoSpaceDE w:val="0"/>
                    <w:autoSpaceDN w:val="0"/>
                    <w:ind w:left="0" w:leftChars="0" w:right="0" w:rightChars="0" w:firstLine="0" w:firstLineChars="0"/>
                    <w:jc w:val="center"/>
                    <w:rPr>
                      <w:b/>
                      <w:bCs/>
                      <w:color w:val="auto"/>
                      <w:highlight w:val="none"/>
                    </w:rPr>
                  </w:pPr>
                  <w:r>
                    <w:rPr>
                      <w:rFonts w:hint="eastAsia"/>
                      <w:b/>
                      <w:bCs/>
                      <w:color w:val="auto"/>
                      <w:highlight w:val="none"/>
                    </w:rPr>
                    <w:t>登记表</w:t>
                  </w:r>
                </w:p>
              </w:tc>
            </w:tr>
            <w:tr w14:paraId="0A44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7" w:type="dxa"/>
                  <w:gridSpan w:val="5"/>
                  <w:vAlign w:val="center"/>
                </w:tcPr>
                <w:p w14:paraId="3F93C9EB">
                  <w:pPr>
                    <w:pStyle w:val="30"/>
                    <w:overflowPunct w:val="0"/>
                    <w:autoSpaceDE w:val="0"/>
                    <w:autoSpaceDN w:val="0"/>
                    <w:ind w:left="0" w:leftChars="0" w:right="0" w:rightChars="0" w:firstLine="0" w:firstLineChars="0"/>
                    <w:jc w:val="both"/>
                    <w:rPr>
                      <w:color w:val="auto"/>
                      <w:highlight w:val="none"/>
                    </w:rPr>
                  </w:pPr>
                  <w:r>
                    <w:rPr>
                      <w:rFonts w:hint="eastAsia"/>
                      <w:color w:val="auto"/>
                      <w:highlight w:val="none"/>
                    </w:rPr>
                    <w:t>五十、社会事业与服务业</w:t>
                  </w:r>
                </w:p>
              </w:tc>
            </w:tr>
            <w:tr w14:paraId="3E5F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1BC6696C">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118</w:t>
                  </w:r>
                </w:p>
              </w:tc>
              <w:tc>
                <w:tcPr>
                  <w:tcW w:w="2262" w:type="dxa"/>
                  <w:vAlign w:val="center"/>
                </w:tcPr>
                <w:p w14:paraId="28686EF7">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驾驶员训练基地、公交枢纽、长途客运站、大型停车场、机动车检测场</w:t>
                  </w:r>
                </w:p>
              </w:tc>
              <w:tc>
                <w:tcPr>
                  <w:tcW w:w="1649" w:type="dxa"/>
                  <w:vAlign w:val="center"/>
                </w:tcPr>
                <w:p w14:paraId="74498999">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w:t>
                  </w:r>
                </w:p>
              </w:tc>
              <w:tc>
                <w:tcPr>
                  <w:tcW w:w="1839" w:type="dxa"/>
                  <w:vAlign w:val="center"/>
                </w:tcPr>
                <w:p w14:paraId="4EDC82BD">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涉及环境敏感区的</w:t>
                  </w:r>
                </w:p>
              </w:tc>
              <w:tc>
                <w:tcPr>
                  <w:tcW w:w="1264" w:type="dxa"/>
                  <w:vAlign w:val="center"/>
                </w:tcPr>
                <w:p w14:paraId="6E4130A1">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w:t>
                  </w:r>
                </w:p>
              </w:tc>
            </w:tr>
            <w:tr w14:paraId="30F1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3C6E2006">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119</w:t>
                  </w:r>
                </w:p>
              </w:tc>
              <w:tc>
                <w:tcPr>
                  <w:tcW w:w="2262" w:type="dxa"/>
                  <w:vAlign w:val="center"/>
                </w:tcPr>
                <w:p w14:paraId="6A01FF69">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加油、加气站</w:t>
                  </w:r>
                </w:p>
              </w:tc>
              <w:tc>
                <w:tcPr>
                  <w:tcW w:w="1649" w:type="dxa"/>
                  <w:vAlign w:val="center"/>
                </w:tcPr>
                <w:p w14:paraId="59417F76">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w:t>
                  </w:r>
                </w:p>
              </w:tc>
              <w:tc>
                <w:tcPr>
                  <w:tcW w:w="1839" w:type="dxa"/>
                  <w:vAlign w:val="center"/>
                </w:tcPr>
                <w:p w14:paraId="09239EDF">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城市</w:t>
                  </w:r>
                  <w:bookmarkStart w:id="13" w:name="OLE_LINK16"/>
                  <w:r>
                    <w:rPr>
                      <w:rFonts w:hint="eastAsia"/>
                      <w:color w:val="auto"/>
                      <w:highlight w:val="none"/>
                    </w:rPr>
                    <w:t>建成区新建、扩建加油站</w:t>
                  </w:r>
                  <w:bookmarkEnd w:id="13"/>
                  <w:r>
                    <w:rPr>
                      <w:rFonts w:hint="eastAsia"/>
                      <w:color w:val="auto"/>
                      <w:highlight w:val="none"/>
                    </w:rPr>
                    <w:t>；涉及环境敏感区的</w:t>
                  </w:r>
                </w:p>
              </w:tc>
              <w:tc>
                <w:tcPr>
                  <w:tcW w:w="1264" w:type="dxa"/>
                  <w:vAlign w:val="center"/>
                </w:tcPr>
                <w:p w14:paraId="139FFAF2">
                  <w:pPr>
                    <w:pStyle w:val="30"/>
                    <w:overflowPunct w:val="0"/>
                    <w:autoSpaceDE w:val="0"/>
                    <w:autoSpaceDN w:val="0"/>
                    <w:ind w:left="0" w:leftChars="0" w:right="0" w:rightChars="0" w:firstLine="0" w:firstLineChars="0"/>
                    <w:jc w:val="center"/>
                    <w:rPr>
                      <w:color w:val="auto"/>
                      <w:highlight w:val="none"/>
                    </w:rPr>
                  </w:pPr>
                  <w:r>
                    <w:rPr>
                      <w:rFonts w:hint="eastAsia"/>
                      <w:color w:val="auto"/>
                      <w:highlight w:val="none"/>
                    </w:rPr>
                    <w:t>/</w:t>
                  </w:r>
                </w:p>
              </w:tc>
            </w:tr>
          </w:tbl>
          <w:p w14:paraId="5B819201">
            <w:pPr>
              <w:overflowPunct w:val="0"/>
              <w:autoSpaceDE w:val="0"/>
              <w:autoSpaceDN w:val="0"/>
              <w:ind w:firstLine="480" w:firstLineChars="200"/>
              <w:rPr>
                <w:color w:val="auto"/>
                <w:highlight w:val="none"/>
              </w:rPr>
            </w:pPr>
            <w:r>
              <w:rPr>
                <w:rFonts w:hint="eastAsia"/>
                <w:color w:val="auto"/>
                <w:highlight w:val="none"/>
              </w:rPr>
              <w:t>2、项目组成</w:t>
            </w:r>
          </w:p>
          <w:p w14:paraId="1AF0588C">
            <w:pPr>
              <w:overflowPunct w:val="0"/>
              <w:autoSpaceDE w:val="0"/>
              <w:autoSpaceDN w:val="0"/>
              <w:ind w:firstLine="480" w:firstLineChars="200"/>
              <w:rPr>
                <w:color w:val="auto"/>
                <w:highlight w:val="none"/>
              </w:rPr>
            </w:pPr>
            <w:r>
              <w:rPr>
                <w:rFonts w:hint="eastAsia"/>
                <w:color w:val="auto"/>
                <w:highlight w:val="none"/>
              </w:rPr>
              <w:t>2.1基本概况</w:t>
            </w:r>
          </w:p>
          <w:p w14:paraId="74E46476">
            <w:pPr>
              <w:overflowPunct w:val="0"/>
              <w:autoSpaceDE w:val="0"/>
              <w:autoSpaceDN w:val="0"/>
              <w:ind w:firstLine="480" w:firstLineChars="200"/>
              <w:rPr>
                <w:rFonts w:hint="eastAsia" w:eastAsia="宋体"/>
                <w:color w:val="auto"/>
                <w:highlight w:val="none"/>
                <w:lang w:eastAsia="zh-CN"/>
              </w:rPr>
            </w:pPr>
            <w:r>
              <w:rPr>
                <w:rFonts w:hint="eastAsia"/>
                <w:color w:val="auto"/>
                <w:highlight w:val="none"/>
              </w:rPr>
              <w:t>（1）项目名称：</w:t>
            </w:r>
            <w:r>
              <w:rPr>
                <w:rFonts w:hint="eastAsia"/>
                <w:color w:val="auto"/>
                <w:highlight w:val="none"/>
                <w:lang w:eastAsia="zh-CN"/>
              </w:rPr>
              <w:t>淮南市安成城市综合交通驿站项目</w:t>
            </w:r>
          </w:p>
          <w:p w14:paraId="0BC86766">
            <w:pPr>
              <w:overflowPunct w:val="0"/>
              <w:autoSpaceDE w:val="0"/>
              <w:autoSpaceDN w:val="0"/>
              <w:ind w:firstLine="480" w:firstLineChars="200"/>
              <w:rPr>
                <w:color w:val="auto"/>
                <w:highlight w:val="none"/>
              </w:rPr>
            </w:pPr>
            <w:r>
              <w:rPr>
                <w:rFonts w:hint="eastAsia"/>
                <w:color w:val="auto"/>
                <w:highlight w:val="none"/>
              </w:rPr>
              <w:t>（2）建设单位：淮南交控物流服务有限公司</w:t>
            </w:r>
          </w:p>
          <w:p w14:paraId="0D600652">
            <w:pPr>
              <w:overflowPunct w:val="0"/>
              <w:autoSpaceDE w:val="0"/>
              <w:autoSpaceDN w:val="0"/>
              <w:ind w:firstLine="480" w:firstLineChars="200"/>
              <w:rPr>
                <w:color w:val="auto"/>
                <w:highlight w:val="none"/>
              </w:rPr>
            </w:pPr>
            <w:r>
              <w:rPr>
                <w:rFonts w:hint="eastAsia"/>
                <w:color w:val="auto"/>
                <w:highlight w:val="none"/>
              </w:rPr>
              <w:t>（3）建设性质：新建</w:t>
            </w:r>
          </w:p>
          <w:p w14:paraId="1FD0DE2C">
            <w:pPr>
              <w:overflowPunct w:val="0"/>
              <w:autoSpaceDE w:val="0"/>
              <w:autoSpaceDN w:val="0"/>
              <w:ind w:firstLine="480" w:firstLineChars="200"/>
              <w:rPr>
                <w:color w:val="auto"/>
                <w:highlight w:val="none"/>
              </w:rPr>
            </w:pPr>
            <w:r>
              <w:rPr>
                <w:rFonts w:hint="eastAsia"/>
                <w:color w:val="auto"/>
                <w:highlight w:val="none"/>
              </w:rPr>
              <w:t>（4）建设规模：项目规划建设</w:t>
            </w:r>
            <w:r>
              <w:rPr>
                <w:rFonts w:hint="eastAsia"/>
                <w:color w:val="auto"/>
                <w:highlight w:val="none"/>
                <w:lang w:eastAsia="zh-CN"/>
              </w:rPr>
              <w:t>淮南市安成城市综合交通驿站项目</w:t>
            </w:r>
            <w:r>
              <w:rPr>
                <w:rFonts w:hint="eastAsia"/>
                <w:color w:val="auto"/>
                <w:highlight w:val="none"/>
              </w:rPr>
              <w:t>，主要建设</w:t>
            </w:r>
            <w:r>
              <w:rPr>
                <w:rFonts w:hint="eastAsia"/>
                <w:color w:val="auto"/>
                <w:highlight w:val="none"/>
                <w:lang w:eastAsia="zh-CN"/>
              </w:rPr>
              <w:t>智慧货运服务中心</w:t>
            </w:r>
            <w:r>
              <w:rPr>
                <w:rFonts w:hint="eastAsia"/>
                <w:color w:val="auto"/>
                <w:highlight w:val="none"/>
              </w:rPr>
              <w:t>、</w:t>
            </w:r>
            <w:r>
              <w:rPr>
                <w:rFonts w:hint="eastAsia"/>
                <w:color w:val="auto"/>
                <w:highlight w:val="none"/>
                <w:lang w:eastAsia="zh-CN"/>
              </w:rPr>
              <w:t>智慧货运维修中心</w:t>
            </w:r>
            <w:r>
              <w:rPr>
                <w:rFonts w:hint="eastAsia"/>
                <w:color w:val="auto"/>
                <w:highlight w:val="none"/>
              </w:rPr>
              <w:t>、内部综合能源站和货车停车场。</w:t>
            </w:r>
          </w:p>
          <w:p w14:paraId="227CD4DD">
            <w:pPr>
              <w:overflowPunct w:val="0"/>
              <w:autoSpaceDE w:val="0"/>
              <w:autoSpaceDN w:val="0"/>
              <w:ind w:firstLine="480" w:firstLineChars="200"/>
              <w:rPr>
                <w:color w:val="auto"/>
                <w:highlight w:val="none"/>
              </w:rPr>
            </w:pPr>
            <w:r>
              <w:rPr>
                <w:rFonts w:hint="eastAsia"/>
                <w:color w:val="auto"/>
                <w:highlight w:val="none"/>
              </w:rPr>
              <w:t>2.2建设地点</w:t>
            </w:r>
          </w:p>
          <w:p w14:paraId="1B01D41C">
            <w:pPr>
              <w:overflowPunct w:val="0"/>
              <w:autoSpaceDE w:val="0"/>
              <w:autoSpaceDN w:val="0"/>
              <w:ind w:firstLine="480" w:firstLineChars="200"/>
              <w:rPr>
                <w:color w:val="auto"/>
                <w:highlight w:val="none"/>
              </w:rPr>
            </w:pPr>
            <w:r>
              <w:rPr>
                <w:rFonts w:hint="eastAsia"/>
                <w:color w:val="auto"/>
                <w:highlight w:val="none"/>
              </w:rPr>
              <w:t>本项目位于</w:t>
            </w:r>
            <w:r>
              <w:rPr>
                <w:rFonts w:hint="eastAsia"/>
                <w:color w:val="auto"/>
                <w:highlight w:val="none"/>
                <w:lang w:eastAsia="zh-CN"/>
              </w:rPr>
              <w:t>淮南市田家庵区安成镇王巷村和下陈社区境内淮潘公路南侧</w:t>
            </w:r>
            <w:r>
              <w:rPr>
                <w:rFonts w:hint="eastAsia"/>
                <w:color w:val="auto"/>
                <w:highlight w:val="none"/>
              </w:rPr>
              <w:t>，</w:t>
            </w:r>
            <w:r>
              <w:rPr>
                <w:rFonts w:hint="eastAsia"/>
                <w:color w:val="auto"/>
                <w:highlight w:val="none"/>
                <w:lang w:eastAsia="zh-CN"/>
              </w:rPr>
              <w:t>规划</w:t>
            </w:r>
            <w:r>
              <w:rPr>
                <w:rFonts w:hint="eastAsia"/>
                <w:color w:val="auto"/>
                <w:highlight w:val="none"/>
              </w:rPr>
              <w:t>用地性质为</w:t>
            </w:r>
            <w:r>
              <w:rPr>
                <w:rFonts w:hint="eastAsia"/>
                <w:color w:val="auto"/>
                <w:highlight w:val="none"/>
                <w:lang w:eastAsia="zh-CN"/>
              </w:rPr>
              <w:t>交通场枢纽用地</w:t>
            </w:r>
            <w:r>
              <w:rPr>
                <w:rFonts w:hint="eastAsia"/>
                <w:color w:val="auto"/>
                <w:highlight w:val="none"/>
              </w:rPr>
              <w:t>。项</w:t>
            </w:r>
            <w:r>
              <w:rPr>
                <w:rFonts w:hint="eastAsia"/>
                <w:bCs/>
                <w:color w:val="auto"/>
                <w:highlight w:val="none"/>
              </w:rPr>
              <w:t>目</w:t>
            </w:r>
            <w:r>
              <w:rPr>
                <w:rFonts w:hint="eastAsia"/>
                <w:bCs/>
                <w:color w:val="auto"/>
                <w:highlight w:val="none"/>
                <w:lang w:eastAsia="zh-CN"/>
              </w:rPr>
              <w:t>周边环境概况如下所示</w:t>
            </w:r>
            <w:r>
              <w:rPr>
                <w:rFonts w:hint="eastAsia"/>
                <w:bCs/>
                <w:color w:val="auto"/>
                <w:highlight w:val="none"/>
              </w:rPr>
              <w:t>。</w:t>
            </w:r>
          </w:p>
          <w:p w14:paraId="62A81E65">
            <w:pPr>
              <w:pStyle w:val="6"/>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 xml:space="preserve"> 项目周边环境概况</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2495"/>
              <w:gridCol w:w="3514"/>
            </w:tblGrid>
            <w:tr w14:paraId="4339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vAlign w:val="center"/>
                </w:tcPr>
                <w:p w14:paraId="5F52B627">
                  <w:pPr>
                    <w:pStyle w:val="30"/>
                    <w:rPr>
                      <w:b/>
                      <w:bCs/>
                      <w:color w:val="auto"/>
                      <w:highlight w:val="none"/>
                    </w:rPr>
                  </w:pPr>
                  <w:r>
                    <w:rPr>
                      <w:b/>
                      <w:bCs/>
                      <w:color w:val="auto"/>
                      <w:highlight w:val="none"/>
                    </w:rPr>
                    <w:t>方位</w:t>
                  </w:r>
                </w:p>
              </w:tc>
              <w:tc>
                <w:tcPr>
                  <w:tcW w:w="2495" w:type="dxa"/>
                  <w:vAlign w:val="center"/>
                </w:tcPr>
                <w:p w14:paraId="53B46743">
                  <w:pPr>
                    <w:pStyle w:val="30"/>
                    <w:rPr>
                      <w:b/>
                      <w:bCs/>
                      <w:color w:val="auto"/>
                      <w:highlight w:val="none"/>
                    </w:rPr>
                  </w:pPr>
                  <w:r>
                    <w:rPr>
                      <w:b/>
                      <w:bCs/>
                      <w:color w:val="auto"/>
                      <w:highlight w:val="none"/>
                    </w:rPr>
                    <w:t>最近距离</w:t>
                  </w:r>
                </w:p>
              </w:tc>
              <w:tc>
                <w:tcPr>
                  <w:tcW w:w="3514" w:type="dxa"/>
                  <w:vAlign w:val="center"/>
                </w:tcPr>
                <w:p w14:paraId="7E8D10D2">
                  <w:pPr>
                    <w:pStyle w:val="30"/>
                    <w:rPr>
                      <w:b/>
                      <w:bCs/>
                      <w:color w:val="auto"/>
                      <w:highlight w:val="none"/>
                    </w:rPr>
                  </w:pPr>
                  <w:r>
                    <w:rPr>
                      <w:b/>
                      <w:bCs/>
                      <w:color w:val="auto"/>
                      <w:highlight w:val="none"/>
                    </w:rPr>
                    <w:t>环境现状</w:t>
                  </w:r>
                </w:p>
              </w:tc>
            </w:tr>
            <w:tr w14:paraId="756B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3" w:type="dxa"/>
                  <w:gridSpan w:val="3"/>
                  <w:vAlign w:val="center"/>
                </w:tcPr>
                <w:p w14:paraId="44462702">
                  <w:pPr>
                    <w:pStyle w:val="30"/>
                    <w:jc w:val="both"/>
                    <w:rPr>
                      <w:rFonts w:hint="eastAsia" w:eastAsia="宋体"/>
                      <w:b/>
                      <w:bCs/>
                      <w:color w:val="auto"/>
                      <w:highlight w:val="none"/>
                      <w:lang w:eastAsia="zh-CN"/>
                    </w:rPr>
                  </w:pPr>
                  <w:r>
                    <w:rPr>
                      <w:rFonts w:hint="eastAsia"/>
                      <w:b/>
                      <w:bCs/>
                      <w:color w:val="auto"/>
                      <w:highlight w:val="none"/>
                      <w:lang w:eastAsia="zh-CN"/>
                    </w:rPr>
                    <w:t>东侧地块</w:t>
                  </w:r>
                </w:p>
              </w:tc>
            </w:tr>
            <w:tr w14:paraId="3759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vAlign w:val="center"/>
                </w:tcPr>
                <w:p w14:paraId="3CCCE5D7">
                  <w:pPr>
                    <w:pStyle w:val="30"/>
                    <w:rPr>
                      <w:rFonts w:hint="eastAsia" w:eastAsia="宋体"/>
                      <w:color w:val="auto"/>
                      <w:highlight w:val="none"/>
                      <w:lang w:eastAsia="zh-CN"/>
                    </w:rPr>
                  </w:pPr>
                  <w:r>
                    <w:rPr>
                      <w:rFonts w:hint="eastAsia"/>
                      <w:color w:val="auto"/>
                      <w:highlight w:val="none"/>
                      <w:lang w:eastAsia="zh-CN"/>
                    </w:rPr>
                    <w:t>东侧</w:t>
                  </w:r>
                </w:p>
              </w:tc>
              <w:tc>
                <w:tcPr>
                  <w:tcW w:w="2495" w:type="dxa"/>
                  <w:vAlign w:val="center"/>
                </w:tcPr>
                <w:p w14:paraId="704F6D7A">
                  <w:pPr>
                    <w:pStyle w:val="30"/>
                    <w:rPr>
                      <w:rFonts w:hint="default" w:eastAsia="宋体"/>
                      <w:color w:val="auto"/>
                      <w:highlight w:val="none"/>
                      <w:lang w:val="en-US" w:eastAsia="zh-CN"/>
                    </w:rPr>
                  </w:pPr>
                  <w:r>
                    <w:rPr>
                      <w:color w:val="auto"/>
                      <w:highlight w:val="none"/>
                    </w:rPr>
                    <w:t>紧邻</w:t>
                  </w:r>
                </w:p>
              </w:tc>
              <w:tc>
                <w:tcPr>
                  <w:tcW w:w="3514" w:type="dxa"/>
                  <w:vAlign w:val="center"/>
                </w:tcPr>
                <w:p w14:paraId="631134B9">
                  <w:pPr>
                    <w:pStyle w:val="30"/>
                    <w:rPr>
                      <w:rFonts w:hint="eastAsia" w:eastAsia="宋体"/>
                      <w:color w:val="auto"/>
                      <w:highlight w:val="none"/>
                      <w:lang w:eastAsia="zh-CN"/>
                    </w:rPr>
                  </w:pPr>
                  <w:r>
                    <w:rPr>
                      <w:rFonts w:hint="eastAsia"/>
                      <w:color w:val="auto"/>
                      <w:highlight w:val="none"/>
                      <w:lang w:eastAsia="zh-CN"/>
                    </w:rPr>
                    <w:t>乡村道路</w:t>
                  </w:r>
                </w:p>
              </w:tc>
            </w:tr>
            <w:tr w14:paraId="2E46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44" w:type="dxa"/>
                  <w:vAlign w:val="center"/>
                </w:tcPr>
                <w:p w14:paraId="702970AF">
                  <w:pPr>
                    <w:pStyle w:val="30"/>
                    <w:rPr>
                      <w:color w:val="auto"/>
                      <w:highlight w:val="none"/>
                    </w:rPr>
                  </w:pPr>
                  <w:r>
                    <w:rPr>
                      <w:color w:val="auto"/>
                      <w:highlight w:val="none"/>
                    </w:rPr>
                    <w:t>南侧</w:t>
                  </w:r>
                </w:p>
              </w:tc>
              <w:tc>
                <w:tcPr>
                  <w:tcW w:w="2495" w:type="dxa"/>
                  <w:vAlign w:val="center"/>
                </w:tcPr>
                <w:p w14:paraId="3B0484F8">
                  <w:pPr>
                    <w:pStyle w:val="30"/>
                    <w:rPr>
                      <w:color w:val="auto"/>
                      <w:highlight w:val="none"/>
                    </w:rPr>
                  </w:pPr>
                  <w:r>
                    <w:rPr>
                      <w:color w:val="auto"/>
                      <w:highlight w:val="none"/>
                    </w:rPr>
                    <w:t>紧邻</w:t>
                  </w:r>
                </w:p>
              </w:tc>
              <w:tc>
                <w:tcPr>
                  <w:tcW w:w="3514" w:type="dxa"/>
                  <w:vAlign w:val="center"/>
                </w:tcPr>
                <w:p w14:paraId="6B9F3F9B">
                  <w:pPr>
                    <w:pStyle w:val="30"/>
                    <w:rPr>
                      <w:color w:val="auto"/>
                      <w:highlight w:val="none"/>
                    </w:rPr>
                  </w:pPr>
                  <w:r>
                    <w:rPr>
                      <w:rFonts w:hint="eastAsia"/>
                      <w:color w:val="auto"/>
                      <w:highlight w:val="none"/>
                    </w:rPr>
                    <w:t>淮南冰鹏食品有限公司</w:t>
                  </w:r>
                </w:p>
              </w:tc>
            </w:tr>
            <w:tr w14:paraId="64DC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vAlign w:val="center"/>
                </w:tcPr>
                <w:p w14:paraId="105A7CCC">
                  <w:pPr>
                    <w:pStyle w:val="30"/>
                    <w:rPr>
                      <w:color w:val="auto"/>
                      <w:highlight w:val="none"/>
                    </w:rPr>
                  </w:pPr>
                  <w:r>
                    <w:rPr>
                      <w:color w:val="auto"/>
                      <w:highlight w:val="none"/>
                    </w:rPr>
                    <w:t>西侧</w:t>
                  </w:r>
                </w:p>
              </w:tc>
              <w:tc>
                <w:tcPr>
                  <w:tcW w:w="2495" w:type="dxa"/>
                  <w:vAlign w:val="center"/>
                </w:tcPr>
                <w:p w14:paraId="5BDB3D06">
                  <w:pPr>
                    <w:pStyle w:val="30"/>
                    <w:rPr>
                      <w:color w:val="auto"/>
                      <w:highlight w:val="none"/>
                    </w:rPr>
                  </w:pPr>
                  <w:r>
                    <w:rPr>
                      <w:color w:val="auto"/>
                      <w:highlight w:val="none"/>
                    </w:rPr>
                    <w:t>紧邻</w:t>
                  </w:r>
                </w:p>
              </w:tc>
              <w:tc>
                <w:tcPr>
                  <w:tcW w:w="3514" w:type="dxa"/>
                  <w:vAlign w:val="center"/>
                </w:tcPr>
                <w:p w14:paraId="73F102C1">
                  <w:pPr>
                    <w:pStyle w:val="30"/>
                    <w:rPr>
                      <w:color w:val="auto"/>
                      <w:highlight w:val="none"/>
                    </w:rPr>
                  </w:pPr>
                  <w:r>
                    <w:rPr>
                      <w:rFonts w:hint="eastAsia"/>
                      <w:color w:val="auto"/>
                      <w:highlight w:val="none"/>
                      <w:lang w:eastAsia="zh-CN"/>
                    </w:rPr>
                    <w:t>空地，停放工程车辆</w:t>
                  </w:r>
                </w:p>
              </w:tc>
            </w:tr>
            <w:tr w14:paraId="765A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vMerge w:val="restart"/>
                  <w:vAlign w:val="center"/>
                </w:tcPr>
                <w:p w14:paraId="20EDD7F8">
                  <w:pPr>
                    <w:pStyle w:val="30"/>
                    <w:rPr>
                      <w:color w:val="auto"/>
                      <w:highlight w:val="none"/>
                    </w:rPr>
                  </w:pPr>
                  <w:r>
                    <w:rPr>
                      <w:color w:val="auto"/>
                      <w:highlight w:val="none"/>
                    </w:rPr>
                    <w:t>北侧</w:t>
                  </w:r>
                </w:p>
              </w:tc>
              <w:tc>
                <w:tcPr>
                  <w:tcW w:w="2495" w:type="dxa"/>
                  <w:vAlign w:val="center"/>
                </w:tcPr>
                <w:p w14:paraId="3ABBBB3A">
                  <w:pPr>
                    <w:pStyle w:val="30"/>
                    <w:rPr>
                      <w:color w:val="auto"/>
                      <w:highlight w:val="none"/>
                    </w:rPr>
                  </w:pPr>
                  <w:r>
                    <w:rPr>
                      <w:rFonts w:hint="eastAsia"/>
                      <w:color w:val="auto"/>
                      <w:highlight w:val="none"/>
                    </w:rPr>
                    <w:t>紧邻</w:t>
                  </w:r>
                </w:p>
              </w:tc>
              <w:tc>
                <w:tcPr>
                  <w:tcW w:w="3514" w:type="dxa"/>
                  <w:vAlign w:val="center"/>
                </w:tcPr>
                <w:p w14:paraId="39D75D9B">
                  <w:pPr>
                    <w:pStyle w:val="30"/>
                    <w:rPr>
                      <w:rFonts w:hint="eastAsia" w:eastAsia="宋体"/>
                      <w:color w:val="auto"/>
                      <w:highlight w:val="none"/>
                      <w:lang w:eastAsia="zh-CN"/>
                    </w:rPr>
                  </w:pPr>
                  <w:r>
                    <w:rPr>
                      <w:rFonts w:hint="eastAsia"/>
                      <w:color w:val="auto"/>
                      <w:highlight w:val="none"/>
                      <w:lang w:val="en-US" w:eastAsia="zh-CN"/>
                    </w:rPr>
                    <w:t>S225</w:t>
                  </w:r>
                  <w:r>
                    <w:rPr>
                      <w:rFonts w:hint="eastAsia"/>
                      <w:color w:val="auto"/>
                      <w:highlight w:val="none"/>
                      <w:lang w:eastAsia="zh-CN"/>
                    </w:rPr>
                    <w:t>淮潘公路</w:t>
                  </w:r>
                </w:p>
              </w:tc>
            </w:tr>
            <w:tr w14:paraId="2AA9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vMerge w:val="continue"/>
                  <w:vAlign w:val="center"/>
                </w:tcPr>
                <w:p w14:paraId="4DEAB188">
                  <w:pPr>
                    <w:pStyle w:val="30"/>
                    <w:rPr>
                      <w:color w:val="auto"/>
                      <w:highlight w:val="none"/>
                    </w:rPr>
                  </w:pPr>
                </w:p>
              </w:tc>
              <w:tc>
                <w:tcPr>
                  <w:tcW w:w="2495" w:type="dxa"/>
                  <w:vAlign w:val="center"/>
                </w:tcPr>
                <w:p w14:paraId="139933A6">
                  <w:pPr>
                    <w:pStyle w:val="30"/>
                    <w:rPr>
                      <w:color w:val="auto"/>
                      <w:highlight w:val="none"/>
                    </w:rPr>
                  </w:pPr>
                  <w:r>
                    <w:rPr>
                      <w:rFonts w:hint="eastAsia"/>
                      <w:color w:val="auto"/>
                      <w:highlight w:val="none"/>
                    </w:rPr>
                    <w:t>7</w:t>
                  </w:r>
                  <w:r>
                    <w:rPr>
                      <w:rFonts w:hint="eastAsia"/>
                      <w:color w:val="auto"/>
                      <w:highlight w:val="none"/>
                      <w:lang w:val="en-US" w:eastAsia="zh-CN"/>
                    </w:rPr>
                    <w:t>9</w:t>
                  </w:r>
                  <w:r>
                    <w:rPr>
                      <w:rFonts w:hint="eastAsia"/>
                      <w:color w:val="auto"/>
                      <w:highlight w:val="none"/>
                    </w:rPr>
                    <w:t>m</w:t>
                  </w:r>
                </w:p>
              </w:tc>
              <w:tc>
                <w:tcPr>
                  <w:tcW w:w="3514" w:type="dxa"/>
                  <w:vAlign w:val="center"/>
                </w:tcPr>
                <w:p w14:paraId="4BA4EC53">
                  <w:pPr>
                    <w:pStyle w:val="30"/>
                    <w:rPr>
                      <w:rFonts w:hint="eastAsia" w:eastAsia="宋体"/>
                      <w:color w:val="auto"/>
                      <w:highlight w:val="none"/>
                      <w:lang w:eastAsia="zh-CN"/>
                    </w:rPr>
                  </w:pPr>
                  <w:r>
                    <w:rPr>
                      <w:rFonts w:hint="eastAsia"/>
                      <w:color w:val="auto"/>
                      <w:highlight w:val="none"/>
                      <w:lang w:eastAsia="zh-CN"/>
                    </w:rPr>
                    <w:t>王巷村</w:t>
                  </w:r>
                </w:p>
              </w:tc>
            </w:tr>
            <w:tr w14:paraId="6A48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3" w:type="dxa"/>
                  <w:gridSpan w:val="3"/>
                  <w:vAlign w:val="center"/>
                </w:tcPr>
                <w:p w14:paraId="1761AA2D">
                  <w:pPr>
                    <w:pStyle w:val="30"/>
                    <w:jc w:val="both"/>
                    <w:rPr>
                      <w:rFonts w:hint="eastAsia"/>
                      <w:color w:val="auto"/>
                      <w:highlight w:val="none"/>
                      <w:lang w:eastAsia="zh-CN"/>
                    </w:rPr>
                  </w:pPr>
                  <w:r>
                    <w:rPr>
                      <w:rFonts w:hint="eastAsia"/>
                      <w:b/>
                      <w:bCs/>
                      <w:color w:val="auto"/>
                      <w:highlight w:val="none"/>
                      <w:lang w:eastAsia="zh-CN"/>
                    </w:rPr>
                    <w:t>西侧地块</w:t>
                  </w:r>
                </w:p>
              </w:tc>
            </w:tr>
            <w:tr w14:paraId="0B73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shd w:val="clear" w:color="auto" w:fill="auto"/>
                  <w:vAlign w:val="center"/>
                </w:tcPr>
                <w:p w14:paraId="4537C18F">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东</w:t>
                  </w:r>
                  <w:r>
                    <w:rPr>
                      <w:rFonts w:hint="eastAsia"/>
                      <w:color w:val="auto"/>
                      <w:highlight w:val="none"/>
                      <w:lang w:eastAsia="zh-CN"/>
                    </w:rPr>
                    <w:t>南</w:t>
                  </w:r>
                  <w:r>
                    <w:rPr>
                      <w:color w:val="auto"/>
                      <w:highlight w:val="none"/>
                    </w:rPr>
                    <w:t>侧</w:t>
                  </w:r>
                </w:p>
              </w:tc>
              <w:tc>
                <w:tcPr>
                  <w:tcW w:w="2495" w:type="dxa"/>
                  <w:shd w:val="clear" w:color="auto" w:fill="auto"/>
                  <w:vAlign w:val="center"/>
                </w:tcPr>
                <w:p w14:paraId="54FEBB7A">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5m</w:t>
                  </w:r>
                </w:p>
              </w:tc>
              <w:tc>
                <w:tcPr>
                  <w:tcW w:w="3514" w:type="dxa"/>
                  <w:shd w:val="clear" w:color="auto" w:fill="auto"/>
                  <w:vAlign w:val="center"/>
                </w:tcPr>
                <w:p w14:paraId="06E98209">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下陈村</w:t>
                  </w:r>
                </w:p>
              </w:tc>
            </w:tr>
            <w:tr w14:paraId="61B8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shd w:val="clear" w:color="auto" w:fill="auto"/>
                  <w:vAlign w:val="center"/>
                </w:tcPr>
                <w:p w14:paraId="5C5F84DB">
                  <w:pPr>
                    <w:pStyle w:val="30"/>
                    <w:rPr>
                      <w:rFonts w:hint="eastAsia" w:eastAsia="宋体"/>
                      <w:color w:val="auto"/>
                      <w:highlight w:val="none"/>
                      <w:lang w:eastAsia="zh-CN"/>
                    </w:rPr>
                  </w:pPr>
                  <w:r>
                    <w:rPr>
                      <w:rFonts w:hint="eastAsia"/>
                      <w:color w:val="auto"/>
                      <w:highlight w:val="none"/>
                      <w:lang w:eastAsia="zh-CN"/>
                    </w:rPr>
                    <w:t>西侧</w:t>
                  </w:r>
                </w:p>
              </w:tc>
              <w:tc>
                <w:tcPr>
                  <w:tcW w:w="2495" w:type="dxa"/>
                  <w:shd w:val="clear" w:color="auto" w:fill="auto"/>
                  <w:vAlign w:val="center"/>
                </w:tcPr>
                <w:p w14:paraId="789FF65C">
                  <w:pPr>
                    <w:pStyle w:val="30"/>
                    <w:rPr>
                      <w:rFonts w:hint="eastAsia"/>
                      <w:color w:val="auto"/>
                      <w:highlight w:val="none"/>
                      <w:lang w:val="en-US" w:eastAsia="zh-CN"/>
                    </w:rPr>
                  </w:pPr>
                  <w:r>
                    <w:rPr>
                      <w:color w:val="auto"/>
                      <w:highlight w:val="none"/>
                    </w:rPr>
                    <w:t>紧邻</w:t>
                  </w:r>
                </w:p>
              </w:tc>
              <w:tc>
                <w:tcPr>
                  <w:tcW w:w="3514" w:type="dxa"/>
                  <w:shd w:val="clear" w:color="auto" w:fill="auto"/>
                  <w:vAlign w:val="center"/>
                </w:tcPr>
                <w:p w14:paraId="790B2A60">
                  <w:pPr>
                    <w:pStyle w:val="30"/>
                    <w:rPr>
                      <w:rFonts w:hint="eastAsia"/>
                      <w:color w:val="auto"/>
                      <w:highlight w:val="none"/>
                      <w:lang w:eastAsia="zh-CN"/>
                    </w:rPr>
                  </w:pPr>
                  <w:r>
                    <w:rPr>
                      <w:rFonts w:hint="eastAsia"/>
                      <w:color w:val="auto"/>
                      <w:highlight w:val="none"/>
                      <w:lang w:eastAsia="zh-CN"/>
                    </w:rPr>
                    <w:t>乡村道路</w:t>
                  </w:r>
                </w:p>
              </w:tc>
            </w:tr>
            <w:tr w14:paraId="5909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shd w:val="clear" w:color="auto" w:fill="auto"/>
                  <w:vAlign w:val="center"/>
                </w:tcPr>
                <w:p w14:paraId="5A0BD397">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西</w:t>
                  </w:r>
                  <w:r>
                    <w:rPr>
                      <w:rFonts w:hint="eastAsia"/>
                      <w:color w:val="auto"/>
                      <w:highlight w:val="none"/>
                      <w:lang w:eastAsia="zh-CN"/>
                    </w:rPr>
                    <w:t>南</w:t>
                  </w:r>
                  <w:r>
                    <w:rPr>
                      <w:color w:val="auto"/>
                      <w:highlight w:val="none"/>
                    </w:rPr>
                    <w:t>侧</w:t>
                  </w:r>
                </w:p>
              </w:tc>
              <w:tc>
                <w:tcPr>
                  <w:tcW w:w="2495" w:type="dxa"/>
                  <w:shd w:val="clear" w:color="auto" w:fill="auto"/>
                  <w:vAlign w:val="center"/>
                </w:tcPr>
                <w:p w14:paraId="6BFBBFB8">
                  <w:pPr>
                    <w:pStyle w:val="30"/>
                    <w:rPr>
                      <w:rFonts w:hint="eastAsia" w:ascii="Times New Roman" w:hAnsi="Times New Roman" w:eastAsia="宋体" w:cs="Times New Roman"/>
                      <w:color w:val="auto"/>
                      <w:kern w:val="0"/>
                      <w:sz w:val="18"/>
                      <w:szCs w:val="18"/>
                      <w:highlight w:val="none"/>
                      <w:lang w:val="en-US" w:eastAsia="zh-CN" w:bidi="ar-SA"/>
                    </w:rPr>
                  </w:pPr>
                  <w:r>
                    <w:rPr>
                      <w:color w:val="auto"/>
                      <w:highlight w:val="none"/>
                    </w:rPr>
                    <w:t>紧邻</w:t>
                  </w:r>
                </w:p>
              </w:tc>
              <w:tc>
                <w:tcPr>
                  <w:tcW w:w="3514" w:type="dxa"/>
                  <w:vAlign w:val="center"/>
                </w:tcPr>
                <w:p w14:paraId="6B0D08F9">
                  <w:pPr>
                    <w:pStyle w:val="30"/>
                    <w:rPr>
                      <w:rFonts w:hint="eastAsia"/>
                      <w:color w:val="auto"/>
                      <w:highlight w:val="none"/>
                      <w:lang w:eastAsia="zh-CN"/>
                    </w:rPr>
                  </w:pPr>
                  <w:r>
                    <w:rPr>
                      <w:rFonts w:hint="eastAsia"/>
                      <w:color w:val="auto"/>
                      <w:highlight w:val="none"/>
                    </w:rPr>
                    <w:t>淮南冰鹏食品有限公司</w:t>
                  </w:r>
                </w:p>
              </w:tc>
            </w:tr>
            <w:tr w14:paraId="26DC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vMerge w:val="restart"/>
                  <w:vAlign w:val="center"/>
                </w:tcPr>
                <w:p w14:paraId="53C586EA">
                  <w:pPr>
                    <w:pStyle w:val="30"/>
                    <w:rPr>
                      <w:color w:val="auto"/>
                      <w:highlight w:val="none"/>
                    </w:rPr>
                  </w:pPr>
                  <w:r>
                    <w:rPr>
                      <w:color w:val="auto"/>
                      <w:highlight w:val="none"/>
                    </w:rPr>
                    <w:t>北侧</w:t>
                  </w:r>
                </w:p>
              </w:tc>
              <w:tc>
                <w:tcPr>
                  <w:tcW w:w="2495" w:type="dxa"/>
                  <w:vAlign w:val="center"/>
                </w:tcPr>
                <w:p w14:paraId="50D6FD2C">
                  <w:pPr>
                    <w:pStyle w:val="30"/>
                    <w:rPr>
                      <w:rFonts w:hint="eastAsia"/>
                      <w:color w:val="auto"/>
                      <w:highlight w:val="none"/>
                      <w:lang w:val="en-US" w:eastAsia="zh-CN"/>
                    </w:rPr>
                  </w:pPr>
                  <w:r>
                    <w:rPr>
                      <w:rFonts w:hint="eastAsia"/>
                      <w:color w:val="auto"/>
                      <w:highlight w:val="none"/>
                    </w:rPr>
                    <w:t>紧邻</w:t>
                  </w:r>
                </w:p>
              </w:tc>
              <w:tc>
                <w:tcPr>
                  <w:tcW w:w="3514" w:type="dxa"/>
                  <w:vAlign w:val="center"/>
                </w:tcPr>
                <w:p w14:paraId="4B98446F">
                  <w:pPr>
                    <w:pStyle w:val="30"/>
                    <w:rPr>
                      <w:rFonts w:hint="eastAsia"/>
                      <w:color w:val="auto"/>
                      <w:highlight w:val="none"/>
                      <w:lang w:eastAsia="zh-CN"/>
                    </w:rPr>
                  </w:pPr>
                  <w:r>
                    <w:rPr>
                      <w:rFonts w:hint="eastAsia"/>
                      <w:color w:val="auto"/>
                      <w:highlight w:val="none"/>
                      <w:lang w:val="en-US" w:eastAsia="zh-CN"/>
                    </w:rPr>
                    <w:t>S225</w:t>
                  </w:r>
                  <w:r>
                    <w:rPr>
                      <w:rFonts w:hint="eastAsia"/>
                      <w:color w:val="auto"/>
                      <w:highlight w:val="none"/>
                      <w:lang w:eastAsia="zh-CN"/>
                    </w:rPr>
                    <w:t>淮潘公路</w:t>
                  </w:r>
                </w:p>
              </w:tc>
            </w:tr>
            <w:tr w14:paraId="610B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4" w:type="dxa"/>
                  <w:vMerge w:val="continue"/>
                  <w:vAlign w:val="center"/>
                </w:tcPr>
                <w:p w14:paraId="2257CE58">
                  <w:pPr>
                    <w:pStyle w:val="30"/>
                    <w:rPr>
                      <w:color w:val="auto"/>
                      <w:highlight w:val="none"/>
                    </w:rPr>
                  </w:pPr>
                </w:p>
              </w:tc>
              <w:tc>
                <w:tcPr>
                  <w:tcW w:w="2495" w:type="dxa"/>
                  <w:shd w:val="clear" w:color="auto" w:fill="auto"/>
                  <w:vAlign w:val="center"/>
                </w:tcPr>
                <w:p w14:paraId="7A5D508A">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75m</w:t>
                  </w:r>
                </w:p>
              </w:tc>
              <w:tc>
                <w:tcPr>
                  <w:tcW w:w="3514" w:type="dxa"/>
                  <w:shd w:val="clear" w:color="auto" w:fill="auto"/>
                  <w:vAlign w:val="center"/>
                </w:tcPr>
                <w:p w14:paraId="34A82711">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高巷村</w:t>
                  </w:r>
                </w:p>
              </w:tc>
            </w:tr>
          </w:tbl>
          <w:p w14:paraId="4D1D12D4">
            <w:pPr>
              <w:pStyle w:val="6"/>
              <w:rPr>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3962400</wp:posOffset>
                  </wp:positionH>
                  <wp:positionV relativeFrom="paragraph">
                    <wp:posOffset>41275</wp:posOffset>
                  </wp:positionV>
                  <wp:extent cx="384810" cy="391795"/>
                  <wp:effectExtent l="0" t="0" r="15240" b="8255"/>
                  <wp:wrapNone/>
                  <wp:docPr id="17" name="图片 5" descr="C:\Users\李青青\AppData\Roaming\Tencent\Users\403002229\QQ\WinTemp\RichOle\030%UR9BYU3GM772(UBE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C:\Users\李青青\AppData\Roaming\Tencent\Users\403002229\QQ\WinTemp\RichOle\030%UR9BYU3GM772(UBEC80.png"/>
                          <pic:cNvPicPr>
                            <a:picLocks noChangeAspect="1" noChangeArrowheads="1"/>
                          </pic:cNvPicPr>
                        </pic:nvPicPr>
                        <pic:blipFill>
                          <a:blip r:embed="rId18" r:link="rId19" cstate="print"/>
                          <a:srcRect/>
                          <a:stretch>
                            <a:fillRect/>
                          </a:stretch>
                        </pic:blipFill>
                        <pic:spPr>
                          <a:xfrm>
                            <a:off x="0" y="0"/>
                            <a:ext cx="384810" cy="391795"/>
                          </a:xfrm>
                          <a:prstGeom prst="rect">
                            <a:avLst/>
                          </a:prstGeom>
                          <a:noFill/>
                          <a:ln w="19050">
                            <a:noFill/>
                          </a:ln>
                        </pic:spPr>
                      </pic:pic>
                    </a:graphicData>
                  </a:graphic>
                </wp:anchor>
              </w:drawing>
            </w:r>
            <w:r>
              <w:rPr>
                <w:color w:val="auto"/>
                <w:highlight w:val="none"/>
              </w:rPr>
              <w:drawing>
                <wp:inline distT="0" distB="0" distL="114300" distR="114300">
                  <wp:extent cx="4702175" cy="4116705"/>
                  <wp:effectExtent l="9525" t="9525" r="12700" b="266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4702175" cy="4116705"/>
                          </a:xfrm>
                          <a:prstGeom prst="rect">
                            <a:avLst/>
                          </a:prstGeom>
                          <a:noFill/>
                          <a:ln>
                            <a:solidFill>
                              <a:schemeClr val="tx1"/>
                            </a:solidFill>
                          </a:ln>
                        </pic:spPr>
                      </pic:pic>
                    </a:graphicData>
                  </a:graphic>
                </wp:inline>
              </w:drawing>
            </w:r>
          </w:p>
          <w:p w14:paraId="547F128F">
            <w:pPr>
              <w:pStyle w:val="6"/>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 xml:space="preserve"> 项目</w:t>
            </w:r>
            <w:bookmarkStart w:id="14" w:name="OLE_LINK11"/>
            <w:r>
              <w:rPr>
                <w:rFonts w:hint="eastAsia"/>
                <w:color w:val="auto"/>
                <w:highlight w:val="none"/>
              </w:rPr>
              <w:t>四周概况图</w:t>
            </w:r>
            <w:bookmarkEnd w:id="14"/>
          </w:p>
          <w:p w14:paraId="305AE4B5">
            <w:pPr>
              <w:overflowPunct w:val="0"/>
              <w:autoSpaceDE w:val="0"/>
              <w:autoSpaceDN w:val="0"/>
              <w:ind w:firstLine="480" w:firstLineChars="200"/>
              <w:rPr>
                <w:color w:val="auto"/>
                <w:highlight w:val="none"/>
              </w:rPr>
            </w:pPr>
            <w:r>
              <w:rPr>
                <w:rFonts w:hint="eastAsia"/>
                <w:color w:val="auto"/>
                <w:highlight w:val="none"/>
              </w:rPr>
              <w:t>2.3项目主要建设内容</w:t>
            </w:r>
          </w:p>
          <w:p w14:paraId="4EB529DA">
            <w:pPr>
              <w:overflowPunct w:val="0"/>
              <w:autoSpaceDE w:val="0"/>
              <w:autoSpaceDN w:val="0"/>
              <w:ind w:firstLine="480" w:firstLineChars="200"/>
              <w:rPr>
                <w:color w:val="auto"/>
                <w:highlight w:val="none"/>
              </w:rPr>
            </w:pPr>
            <w:r>
              <w:rPr>
                <w:rFonts w:hint="eastAsia"/>
                <w:color w:val="auto"/>
                <w:highlight w:val="none"/>
              </w:rPr>
              <w:t>本项目位于</w:t>
            </w:r>
            <w:r>
              <w:rPr>
                <w:rFonts w:hint="eastAsia"/>
                <w:color w:val="auto"/>
                <w:highlight w:val="none"/>
                <w:lang w:eastAsia="zh-CN"/>
              </w:rPr>
              <w:t>淮南市田家庵区安成镇王巷村和下陈社区境内淮潘公路南侧</w:t>
            </w:r>
            <w:r>
              <w:rPr>
                <w:rFonts w:hint="eastAsia"/>
                <w:color w:val="auto"/>
                <w:highlight w:val="none"/>
              </w:rPr>
              <w:t>，</w:t>
            </w:r>
            <w:r>
              <w:rPr>
                <w:rFonts w:hint="eastAsia"/>
                <w:color w:val="auto"/>
                <w:highlight w:val="none"/>
                <w:lang w:eastAsia="zh-CN"/>
              </w:rPr>
              <w:t>分为东西两个地块，</w:t>
            </w:r>
            <w:r>
              <w:rPr>
                <w:rFonts w:hint="eastAsia"/>
                <w:color w:val="auto"/>
                <w:highlight w:val="none"/>
              </w:rPr>
              <w:t>西侧地块</w:t>
            </w:r>
            <w:r>
              <w:rPr>
                <w:rFonts w:hint="eastAsia"/>
                <w:color w:val="auto"/>
                <w:highlight w:val="none"/>
                <w:lang w:eastAsia="zh-CN"/>
              </w:rPr>
              <w:t>主要建设1座智慧货运维修中心、1座智慧货运服务中心</w:t>
            </w:r>
            <w:r>
              <w:rPr>
                <w:rFonts w:hint="eastAsia"/>
                <w:color w:val="auto"/>
                <w:highlight w:val="none"/>
              </w:rPr>
              <w:t>；东侧地块</w:t>
            </w:r>
            <w:r>
              <w:rPr>
                <w:rFonts w:hint="eastAsia"/>
                <w:color w:val="auto"/>
                <w:highlight w:val="none"/>
                <w:lang w:eastAsia="zh-CN"/>
              </w:rPr>
              <w:t>主要建设1座综合能源站（内部使用）；其余区域建设货运停车场。</w:t>
            </w:r>
            <w:r>
              <w:rPr>
                <w:rFonts w:hint="eastAsia"/>
                <w:color w:val="auto"/>
                <w:highlight w:val="none"/>
              </w:rPr>
              <w:t>主要工程内容及规模见下表。</w:t>
            </w:r>
          </w:p>
          <w:p w14:paraId="68A6DF82">
            <w:pPr>
              <w:pStyle w:val="6"/>
              <w:overflowPunct w:val="0"/>
              <w:autoSpaceDE w:val="0"/>
              <w:autoSpaceDN w:val="0"/>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 xml:space="preserve"> 项目主要建设内容一览表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630"/>
              <w:gridCol w:w="218"/>
              <w:gridCol w:w="929"/>
              <w:gridCol w:w="3990"/>
              <w:gridCol w:w="1076"/>
            </w:tblGrid>
            <w:tr w14:paraId="12E9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10" w:type="dxa"/>
                  <w:vAlign w:val="center"/>
                </w:tcPr>
                <w:p w14:paraId="2A645942">
                  <w:pPr>
                    <w:pStyle w:val="30"/>
                    <w:overflowPunct w:val="0"/>
                    <w:autoSpaceDE w:val="0"/>
                    <w:autoSpaceDN w:val="0"/>
                    <w:rPr>
                      <w:color w:val="auto"/>
                      <w:highlight w:val="none"/>
                    </w:rPr>
                  </w:pPr>
                  <w:r>
                    <w:rPr>
                      <w:color w:val="auto"/>
                      <w:highlight w:val="none"/>
                    </w:rPr>
                    <w:t>工程类别</w:t>
                  </w:r>
                </w:p>
              </w:tc>
              <w:tc>
                <w:tcPr>
                  <w:tcW w:w="1777" w:type="dxa"/>
                  <w:gridSpan w:val="3"/>
                  <w:vAlign w:val="center"/>
                </w:tcPr>
                <w:p w14:paraId="52F18DF3">
                  <w:pPr>
                    <w:pStyle w:val="30"/>
                    <w:overflowPunct w:val="0"/>
                    <w:autoSpaceDE w:val="0"/>
                    <w:autoSpaceDN w:val="0"/>
                    <w:rPr>
                      <w:color w:val="auto"/>
                      <w:highlight w:val="none"/>
                    </w:rPr>
                  </w:pPr>
                  <w:r>
                    <w:rPr>
                      <w:color w:val="auto"/>
                      <w:highlight w:val="none"/>
                    </w:rPr>
                    <w:t>工程名称</w:t>
                  </w:r>
                </w:p>
              </w:tc>
              <w:tc>
                <w:tcPr>
                  <w:tcW w:w="3990" w:type="dxa"/>
                  <w:vAlign w:val="center"/>
                </w:tcPr>
                <w:p w14:paraId="188969A5">
                  <w:pPr>
                    <w:pStyle w:val="30"/>
                    <w:overflowPunct w:val="0"/>
                    <w:autoSpaceDE w:val="0"/>
                    <w:autoSpaceDN w:val="0"/>
                    <w:rPr>
                      <w:color w:val="auto"/>
                      <w:highlight w:val="none"/>
                    </w:rPr>
                  </w:pPr>
                  <w:r>
                    <w:rPr>
                      <w:color w:val="auto"/>
                      <w:highlight w:val="none"/>
                    </w:rPr>
                    <w:t>工程内容及规模</w:t>
                  </w:r>
                </w:p>
              </w:tc>
              <w:tc>
                <w:tcPr>
                  <w:tcW w:w="1076" w:type="dxa"/>
                  <w:vAlign w:val="center"/>
                </w:tcPr>
                <w:p w14:paraId="7A065EA1">
                  <w:pPr>
                    <w:pStyle w:val="30"/>
                    <w:overflowPunct w:val="0"/>
                    <w:autoSpaceDE w:val="0"/>
                    <w:autoSpaceDN w:val="0"/>
                    <w:rPr>
                      <w:color w:val="auto"/>
                      <w:highlight w:val="none"/>
                    </w:rPr>
                  </w:pPr>
                  <w:r>
                    <w:rPr>
                      <w:rFonts w:hint="eastAsia"/>
                      <w:color w:val="auto"/>
                      <w:highlight w:val="none"/>
                    </w:rPr>
                    <w:t>备注</w:t>
                  </w:r>
                </w:p>
              </w:tc>
            </w:tr>
            <w:tr w14:paraId="5D66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restart"/>
                  <w:vAlign w:val="center"/>
                </w:tcPr>
                <w:p w14:paraId="3B870486">
                  <w:pPr>
                    <w:pStyle w:val="30"/>
                    <w:overflowPunct w:val="0"/>
                    <w:autoSpaceDE w:val="0"/>
                    <w:autoSpaceDN w:val="0"/>
                    <w:rPr>
                      <w:color w:val="auto"/>
                      <w:highlight w:val="none"/>
                    </w:rPr>
                  </w:pPr>
                  <w:r>
                    <w:rPr>
                      <w:rFonts w:hint="eastAsia"/>
                      <w:color w:val="auto"/>
                      <w:highlight w:val="none"/>
                    </w:rPr>
                    <w:t>主体工程</w:t>
                  </w:r>
                </w:p>
              </w:tc>
              <w:tc>
                <w:tcPr>
                  <w:tcW w:w="6843" w:type="dxa"/>
                  <w:gridSpan w:val="5"/>
                  <w:vAlign w:val="center"/>
                </w:tcPr>
                <w:p w14:paraId="320B92BE">
                  <w:pPr>
                    <w:pStyle w:val="30"/>
                    <w:overflowPunct w:val="0"/>
                    <w:autoSpaceDE w:val="0"/>
                    <w:autoSpaceDN w:val="0"/>
                    <w:jc w:val="both"/>
                    <w:rPr>
                      <w:rFonts w:hint="eastAsia" w:eastAsia="宋体"/>
                      <w:color w:val="auto"/>
                      <w:highlight w:val="none"/>
                      <w:lang w:eastAsia="zh-CN"/>
                    </w:rPr>
                  </w:pPr>
                  <w:r>
                    <w:rPr>
                      <w:rFonts w:hint="eastAsia"/>
                      <w:color w:val="auto"/>
                      <w:highlight w:val="none"/>
                      <w:lang w:eastAsia="zh-CN"/>
                    </w:rPr>
                    <w:t>西地块</w:t>
                  </w:r>
                </w:p>
              </w:tc>
            </w:tr>
            <w:tr w14:paraId="7E91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45A4A464">
                  <w:pPr>
                    <w:pStyle w:val="30"/>
                    <w:overflowPunct w:val="0"/>
                    <w:autoSpaceDE w:val="0"/>
                    <w:autoSpaceDN w:val="0"/>
                    <w:rPr>
                      <w:color w:val="auto"/>
                      <w:highlight w:val="none"/>
                    </w:rPr>
                  </w:pPr>
                </w:p>
              </w:tc>
              <w:tc>
                <w:tcPr>
                  <w:tcW w:w="630" w:type="dxa"/>
                  <w:vMerge w:val="restart"/>
                  <w:shd w:val="clear" w:color="auto" w:fill="auto"/>
                  <w:vAlign w:val="center"/>
                </w:tcPr>
                <w:p w14:paraId="5CBDE191">
                  <w:pPr>
                    <w:pStyle w:val="30"/>
                    <w:overflowPunct w:val="0"/>
                    <w:autoSpaceDE w:val="0"/>
                    <w:autoSpaceDN w:val="0"/>
                    <w:rPr>
                      <w:color w:val="auto"/>
                      <w:highlight w:val="none"/>
                    </w:rPr>
                  </w:pPr>
                  <w:r>
                    <w:rPr>
                      <w:rFonts w:hint="eastAsia"/>
                      <w:color w:val="auto"/>
                      <w:highlight w:val="none"/>
                    </w:rPr>
                    <w:t>交通驿站</w:t>
                  </w:r>
                </w:p>
              </w:tc>
              <w:tc>
                <w:tcPr>
                  <w:tcW w:w="1147" w:type="dxa"/>
                  <w:gridSpan w:val="2"/>
                  <w:shd w:val="clear" w:color="auto" w:fill="auto"/>
                  <w:vAlign w:val="center"/>
                </w:tcPr>
                <w:p w14:paraId="386CDB01">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智慧货运维修中心</w:t>
                  </w:r>
                </w:p>
              </w:tc>
              <w:tc>
                <w:tcPr>
                  <w:tcW w:w="3990" w:type="dxa"/>
                  <w:shd w:val="clear" w:color="auto" w:fill="auto"/>
                  <w:vAlign w:val="center"/>
                </w:tcPr>
                <w:p w14:paraId="0FB0FB96">
                  <w:pPr>
                    <w:pStyle w:val="30"/>
                    <w:overflowPunct w:val="0"/>
                    <w:autoSpaceDE w:val="0"/>
                    <w:autoSpaceDN w:val="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rPr>
                    <w:t>位于</w:t>
                  </w:r>
                  <w:r>
                    <w:rPr>
                      <w:rFonts w:hint="eastAsia"/>
                      <w:color w:val="auto"/>
                      <w:highlight w:val="none"/>
                      <w:lang w:eastAsia="zh-CN"/>
                    </w:rPr>
                    <w:t>西地块东侧</w:t>
                  </w:r>
                  <w:r>
                    <w:rPr>
                      <w:rFonts w:hint="eastAsia"/>
                      <w:color w:val="auto"/>
                      <w:highlight w:val="none"/>
                    </w:rPr>
                    <w:t>，地上</w:t>
                  </w:r>
                  <w:r>
                    <w:rPr>
                      <w:color w:val="auto"/>
                      <w:highlight w:val="none"/>
                    </w:rPr>
                    <w:t>1</w:t>
                  </w:r>
                  <w:r>
                    <w:rPr>
                      <w:rFonts w:hint="eastAsia"/>
                      <w:color w:val="auto"/>
                      <w:highlight w:val="none"/>
                    </w:rPr>
                    <w:t>层</w:t>
                  </w:r>
                  <w:r>
                    <w:rPr>
                      <w:rFonts w:hint="eastAsia"/>
                      <w:color w:val="auto"/>
                      <w:highlight w:val="none"/>
                      <w:lang w:eastAsia="zh-CN"/>
                    </w:rPr>
                    <w:t>，</w:t>
                  </w:r>
                  <w:r>
                    <w:rPr>
                      <w:rFonts w:hint="eastAsia"/>
                      <w:color w:val="auto"/>
                      <w:highlight w:val="none"/>
                    </w:rPr>
                    <w:t>建筑高度</w:t>
                  </w:r>
                  <w:r>
                    <w:rPr>
                      <w:rFonts w:hint="eastAsia"/>
                      <w:color w:val="auto"/>
                      <w:highlight w:val="none"/>
                      <w:lang w:val="en-US" w:eastAsia="zh-CN"/>
                    </w:rPr>
                    <w:t>10.6m。</w:t>
                  </w:r>
                  <w:r>
                    <w:rPr>
                      <w:rFonts w:hint="eastAsia"/>
                      <w:color w:val="auto"/>
                      <w:highlight w:val="none"/>
                    </w:rPr>
                    <w:t>建筑面</w:t>
                  </w:r>
                  <w:r>
                    <w:rPr>
                      <w:rFonts w:hint="eastAsia"/>
                      <w:color w:val="auto"/>
                      <w:highlight w:val="none"/>
                      <w:lang w:eastAsia="zh-CN"/>
                    </w:rPr>
                    <w:t>积</w:t>
                  </w:r>
                  <w:r>
                    <w:rPr>
                      <w:rFonts w:hint="eastAsia"/>
                      <w:color w:val="auto"/>
                      <w:highlight w:val="none"/>
                      <w:lang w:val="en-US" w:eastAsia="zh-CN"/>
                    </w:rPr>
                    <w:t>3420.33</w:t>
                  </w:r>
                  <w:r>
                    <w:rPr>
                      <w:rFonts w:hint="eastAsia"/>
                      <w:color w:val="auto"/>
                      <w:highlight w:val="none"/>
                    </w:rPr>
                    <w:t>m</w:t>
                  </w:r>
                  <w:r>
                    <w:rPr>
                      <w:rFonts w:hint="eastAsia"/>
                      <w:color w:val="auto"/>
                      <w:highlight w:val="none"/>
                      <w:vertAlign w:val="superscript"/>
                    </w:rPr>
                    <w:t>2</w:t>
                  </w:r>
                  <w:r>
                    <w:rPr>
                      <w:rFonts w:hint="eastAsia"/>
                      <w:color w:val="auto"/>
                      <w:highlight w:val="none"/>
                    </w:rPr>
                    <w:t>，主要进行汽车车辆</w:t>
                  </w:r>
                  <w:r>
                    <w:rPr>
                      <w:rFonts w:hint="eastAsia"/>
                      <w:color w:val="auto"/>
                      <w:highlight w:val="none"/>
                      <w:lang w:eastAsia="zh-CN"/>
                    </w:rPr>
                    <w:t>简单维修保养</w:t>
                  </w:r>
                  <w:r>
                    <w:rPr>
                      <w:rFonts w:hint="eastAsia"/>
                      <w:color w:val="auto"/>
                      <w:highlight w:val="none"/>
                    </w:rPr>
                    <w:t>的活动</w:t>
                  </w:r>
                  <w:r>
                    <w:rPr>
                      <w:rFonts w:hint="eastAsia"/>
                      <w:color w:val="auto"/>
                      <w:highlight w:val="none"/>
                      <w:lang w:eastAsia="zh-CN"/>
                    </w:rPr>
                    <w:t>，不涉及喷漆工序</w:t>
                  </w:r>
                  <w:r>
                    <w:rPr>
                      <w:rFonts w:hint="eastAsia"/>
                      <w:color w:val="auto"/>
                      <w:highlight w:val="none"/>
                    </w:rPr>
                    <w:t>。</w:t>
                  </w:r>
                </w:p>
              </w:tc>
              <w:tc>
                <w:tcPr>
                  <w:tcW w:w="1076" w:type="dxa"/>
                  <w:vAlign w:val="center"/>
                </w:tcPr>
                <w:p w14:paraId="738CC16A">
                  <w:pPr>
                    <w:pStyle w:val="30"/>
                    <w:overflowPunct w:val="0"/>
                    <w:autoSpaceDE w:val="0"/>
                    <w:autoSpaceDN w:val="0"/>
                    <w:rPr>
                      <w:color w:val="auto"/>
                      <w:highlight w:val="none"/>
                    </w:rPr>
                  </w:pPr>
                  <w:r>
                    <w:rPr>
                      <w:rFonts w:hint="eastAsia"/>
                      <w:color w:val="auto"/>
                      <w:highlight w:val="none"/>
                    </w:rPr>
                    <w:t>新建</w:t>
                  </w:r>
                </w:p>
              </w:tc>
            </w:tr>
            <w:tr w14:paraId="77DE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010" w:type="dxa"/>
                  <w:vMerge w:val="continue"/>
                  <w:vAlign w:val="center"/>
                </w:tcPr>
                <w:p w14:paraId="7CBDAE48">
                  <w:pPr>
                    <w:pStyle w:val="30"/>
                    <w:overflowPunct w:val="0"/>
                    <w:autoSpaceDE w:val="0"/>
                    <w:autoSpaceDN w:val="0"/>
                    <w:rPr>
                      <w:color w:val="auto"/>
                      <w:highlight w:val="none"/>
                    </w:rPr>
                  </w:pPr>
                </w:p>
              </w:tc>
              <w:tc>
                <w:tcPr>
                  <w:tcW w:w="630" w:type="dxa"/>
                  <w:vMerge w:val="continue"/>
                  <w:vAlign w:val="center"/>
                </w:tcPr>
                <w:p w14:paraId="0CF53038">
                  <w:pPr>
                    <w:pStyle w:val="30"/>
                    <w:overflowPunct w:val="0"/>
                    <w:autoSpaceDE w:val="0"/>
                    <w:autoSpaceDN w:val="0"/>
                    <w:rPr>
                      <w:color w:val="auto"/>
                      <w:highlight w:val="none"/>
                    </w:rPr>
                  </w:pPr>
                </w:p>
              </w:tc>
              <w:tc>
                <w:tcPr>
                  <w:tcW w:w="1147" w:type="dxa"/>
                  <w:gridSpan w:val="2"/>
                  <w:shd w:val="clear" w:color="auto" w:fill="auto"/>
                  <w:vAlign w:val="center"/>
                </w:tcPr>
                <w:p w14:paraId="2EC7E018">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智慧货运服务中心</w:t>
                  </w:r>
                </w:p>
              </w:tc>
              <w:tc>
                <w:tcPr>
                  <w:tcW w:w="3990" w:type="dxa"/>
                  <w:shd w:val="clear" w:color="auto" w:fill="auto"/>
                  <w:vAlign w:val="center"/>
                </w:tcPr>
                <w:p w14:paraId="0C16A0E2">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位于</w:t>
                  </w:r>
                  <w:r>
                    <w:rPr>
                      <w:rFonts w:hint="eastAsia"/>
                      <w:color w:val="auto"/>
                      <w:highlight w:val="none"/>
                      <w:lang w:eastAsia="zh-CN"/>
                    </w:rPr>
                    <w:t>地块西</w:t>
                  </w:r>
                  <w:r>
                    <w:rPr>
                      <w:rFonts w:hint="eastAsia"/>
                      <w:color w:val="auto"/>
                      <w:highlight w:val="none"/>
                    </w:rPr>
                    <w:t>侧，共2层，建筑高度</w:t>
                  </w:r>
                  <w:r>
                    <w:rPr>
                      <w:rFonts w:hint="eastAsia"/>
                      <w:color w:val="auto"/>
                      <w:highlight w:val="none"/>
                      <w:lang w:val="en-US" w:eastAsia="zh-CN"/>
                    </w:rPr>
                    <w:t>8.6m。总</w:t>
                  </w:r>
                  <w:r>
                    <w:rPr>
                      <w:rFonts w:hint="eastAsia"/>
                      <w:color w:val="auto"/>
                      <w:highlight w:val="none"/>
                    </w:rPr>
                    <w:t>建筑面积共</w:t>
                  </w:r>
                  <w:r>
                    <w:rPr>
                      <w:rFonts w:hint="eastAsia"/>
                      <w:color w:val="auto"/>
                      <w:highlight w:val="none"/>
                      <w:lang w:val="en-US" w:eastAsia="zh-CN"/>
                    </w:rPr>
                    <w:t>1433.94</w:t>
                  </w:r>
                  <w:r>
                    <w:rPr>
                      <w:rFonts w:hint="eastAsia"/>
                      <w:color w:val="auto"/>
                      <w:highlight w:val="none"/>
                    </w:rPr>
                    <w:t>m</w:t>
                  </w:r>
                  <w:r>
                    <w:rPr>
                      <w:rFonts w:hint="eastAsia"/>
                      <w:color w:val="auto"/>
                      <w:highlight w:val="none"/>
                      <w:vertAlign w:val="superscript"/>
                    </w:rPr>
                    <w:t>2</w:t>
                  </w:r>
                  <w:r>
                    <w:rPr>
                      <w:rFonts w:hint="eastAsia"/>
                      <w:color w:val="auto"/>
                      <w:highlight w:val="none"/>
                      <w:lang w:eastAsia="zh-CN"/>
                    </w:rPr>
                    <w:t>，</w:t>
                  </w:r>
                  <w:r>
                    <w:rPr>
                      <w:rFonts w:hint="eastAsia"/>
                      <w:color w:val="auto"/>
                      <w:highlight w:val="none"/>
                      <w:lang w:val="en-US" w:eastAsia="zh-CN"/>
                    </w:rPr>
                    <w:t>占地面积1083.54</w:t>
                  </w:r>
                  <w:r>
                    <w:rPr>
                      <w:rFonts w:hint="eastAsia"/>
                      <w:color w:val="auto"/>
                      <w:highlight w:val="none"/>
                    </w:rPr>
                    <w:t>m</w:t>
                  </w:r>
                  <w:r>
                    <w:rPr>
                      <w:rFonts w:hint="eastAsia"/>
                      <w:color w:val="auto"/>
                      <w:highlight w:val="none"/>
                      <w:vertAlign w:val="superscript"/>
                    </w:rPr>
                    <w:t>2</w:t>
                  </w:r>
                  <w:r>
                    <w:rPr>
                      <w:rFonts w:hint="eastAsia"/>
                      <w:color w:val="auto"/>
                      <w:highlight w:val="none"/>
                      <w:vertAlign w:val="baseline"/>
                      <w:lang w:eastAsia="zh-CN"/>
                    </w:rPr>
                    <w:t>。</w:t>
                  </w:r>
                  <w:r>
                    <w:rPr>
                      <w:rFonts w:hint="eastAsia"/>
                      <w:color w:val="auto"/>
                      <w:highlight w:val="none"/>
                    </w:rPr>
                    <w:t>主要建设厨房、</w:t>
                  </w:r>
                  <w:r>
                    <w:rPr>
                      <w:rFonts w:hint="eastAsia"/>
                      <w:color w:val="auto"/>
                      <w:highlight w:val="none"/>
                      <w:lang w:eastAsia="zh-CN"/>
                    </w:rPr>
                    <w:t>餐厅</w:t>
                  </w:r>
                  <w:r>
                    <w:rPr>
                      <w:rFonts w:hint="eastAsia"/>
                      <w:color w:val="auto"/>
                      <w:highlight w:val="none"/>
                    </w:rPr>
                    <w:t>、</w:t>
                  </w:r>
                  <w:r>
                    <w:rPr>
                      <w:rFonts w:hint="eastAsia"/>
                      <w:color w:val="auto"/>
                      <w:highlight w:val="none"/>
                      <w:lang w:eastAsia="zh-CN"/>
                    </w:rPr>
                    <w:t>卫生间</w:t>
                  </w:r>
                  <w:r>
                    <w:rPr>
                      <w:rFonts w:hint="eastAsia"/>
                      <w:color w:val="auto"/>
                      <w:highlight w:val="none"/>
                    </w:rPr>
                    <w:t>、商业服务大厅</w:t>
                  </w:r>
                  <w:r>
                    <w:rPr>
                      <w:rFonts w:hint="eastAsia"/>
                      <w:color w:val="auto"/>
                      <w:highlight w:val="none"/>
                      <w:lang w:eastAsia="zh-CN"/>
                    </w:rPr>
                    <w:t>、</w:t>
                  </w:r>
                  <w:r>
                    <w:rPr>
                      <w:rFonts w:hint="eastAsia"/>
                      <w:color w:val="auto"/>
                      <w:highlight w:val="none"/>
                    </w:rPr>
                    <w:t>监控室、办公室、</w:t>
                  </w:r>
                  <w:r>
                    <w:rPr>
                      <w:rFonts w:hint="eastAsia"/>
                      <w:color w:val="auto"/>
                      <w:highlight w:val="none"/>
                      <w:lang w:eastAsia="zh-CN"/>
                    </w:rPr>
                    <w:t>货运服务</w:t>
                  </w:r>
                  <w:r>
                    <w:rPr>
                      <w:rFonts w:hint="eastAsia"/>
                      <w:color w:val="auto"/>
                      <w:highlight w:val="none"/>
                    </w:rPr>
                    <w:t>、</w:t>
                  </w:r>
                  <w:r>
                    <w:rPr>
                      <w:color w:val="auto"/>
                      <w:highlight w:val="none"/>
                    </w:rPr>
                    <w:t>货运</w:t>
                  </w:r>
                  <w:r>
                    <w:rPr>
                      <w:rFonts w:hint="eastAsia"/>
                      <w:color w:val="auto"/>
                      <w:highlight w:val="none"/>
                    </w:rPr>
                    <w:t>信息服务中心等内容。</w:t>
                  </w:r>
                </w:p>
              </w:tc>
              <w:tc>
                <w:tcPr>
                  <w:tcW w:w="1076" w:type="dxa"/>
                  <w:vAlign w:val="center"/>
                </w:tcPr>
                <w:p w14:paraId="3ADAC42C">
                  <w:pPr>
                    <w:pStyle w:val="30"/>
                    <w:overflowPunct w:val="0"/>
                    <w:autoSpaceDE w:val="0"/>
                    <w:autoSpaceDN w:val="0"/>
                    <w:rPr>
                      <w:color w:val="auto"/>
                      <w:highlight w:val="none"/>
                    </w:rPr>
                  </w:pPr>
                  <w:r>
                    <w:rPr>
                      <w:rFonts w:hint="eastAsia"/>
                      <w:color w:val="auto"/>
                      <w:highlight w:val="none"/>
                    </w:rPr>
                    <w:t>新建</w:t>
                  </w:r>
                </w:p>
              </w:tc>
            </w:tr>
            <w:tr w14:paraId="19E3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34C6E89D">
                  <w:pPr>
                    <w:pStyle w:val="30"/>
                    <w:overflowPunct w:val="0"/>
                    <w:autoSpaceDE w:val="0"/>
                    <w:autoSpaceDN w:val="0"/>
                    <w:rPr>
                      <w:color w:val="auto"/>
                      <w:highlight w:val="none"/>
                    </w:rPr>
                  </w:pPr>
                </w:p>
              </w:tc>
              <w:tc>
                <w:tcPr>
                  <w:tcW w:w="6843" w:type="dxa"/>
                  <w:gridSpan w:val="5"/>
                  <w:vAlign w:val="center"/>
                </w:tcPr>
                <w:p w14:paraId="5B3A10E3">
                  <w:pPr>
                    <w:pStyle w:val="30"/>
                    <w:overflowPunct w:val="0"/>
                    <w:autoSpaceDE w:val="0"/>
                    <w:autoSpaceDN w:val="0"/>
                    <w:jc w:val="both"/>
                    <w:rPr>
                      <w:rFonts w:hint="eastAsia" w:eastAsia="宋体"/>
                      <w:color w:val="auto"/>
                      <w:highlight w:val="none"/>
                      <w:lang w:eastAsia="zh-CN"/>
                    </w:rPr>
                  </w:pPr>
                  <w:r>
                    <w:rPr>
                      <w:rFonts w:hint="eastAsia"/>
                      <w:color w:val="auto"/>
                      <w:highlight w:val="none"/>
                      <w:lang w:eastAsia="zh-CN"/>
                    </w:rPr>
                    <w:t>东地块</w:t>
                  </w:r>
                </w:p>
              </w:tc>
            </w:tr>
            <w:tr w14:paraId="0994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615652EC">
                  <w:pPr>
                    <w:pStyle w:val="30"/>
                    <w:overflowPunct w:val="0"/>
                    <w:autoSpaceDE w:val="0"/>
                    <w:autoSpaceDN w:val="0"/>
                    <w:rPr>
                      <w:color w:val="auto"/>
                      <w:highlight w:val="none"/>
                    </w:rPr>
                  </w:pPr>
                </w:p>
              </w:tc>
              <w:tc>
                <w:tcPr>
                  <w:tcW w:w="630" w:type="dxa"/>
                  <w:vMerge w:val="restart"/>
                  <w:shd w:val="clear" w:color="auto" w:fill="auto"/>
                  <w:vAlign w:val="center"/>
                </w:tcPr>
                <w:p w14:paraId="787C2467">
                  <w:pPr>
                    <w:pStyle w:val="30"/>
                    <w:overflowPunct w:val="0"/>
                    <w:autoSpaceDE w:val="0"/>
                    <w:autoSpaceDN w:val="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内部</w:t>
                  </w:r>
                  <w:r>
                    <w:rPr>
                      <w:rFonts w:hint="eastAsia"/>
                      <w:color w:val="auto"/>
                      <w:highlight w:val="none"/>
                    </w:rPr>
                    <w:t>综合能源站</w:t>
                  </w:r>
                </w:p>
              </w:tc>
              <w:tc>
                <w:tcPr>
                  <w:tcW w:w="1147" w:type="dxa"/>
                  <w:gridSpan w:val="2"/>
                  <w:shd w:val="clear" w:color="auto" w:fill="auto"/>
                  <w:vAlign w:val="center"/>
                </w:tcPr>
                <w:p w14:paraId="780BDAF5">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罩棚</w:t>
                  </w:r>
                </w:p>
              </w:tc>
              <w:tc>
                <w:tcPr>
                  <w:tcW w:w="3990" w:type="dxa"/>
                  <w:shd w:val="clear" w:color="auto" w:fill="auto"/>
                  <w:vAlign w:val="center"/>
                </w:tcPr>
                <w:p w14:paraId="4CBA5BA5">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位于东地块北侧，</w:t>
                  </w:r>
                  <w:r>
                    <w:rPr>
                      <w:rFonts w:hint="eastAsia"/>
                      <w:color w:val="auto"/>
                      <w:highlight w:val="none"/>
                    </w:rPr>
                    <w:t>新建钢网架结构罩棚1座，水平投影面积为</w:t>
                  </w:r>
                  <w:r>
                    <w:rPr>
                      <w:rFonts w:hint="eastAsia"/>
                      <w:color w:val="auto"/>
                      <w:highlight w:val="none"/>
                      <w:lang w:val="en-US" w:eastAsia="zh-CN"/>
                    </w:rPr>
                    <w:t>935</w:t>
                  </w:r>
                  <w:r>
                    <w:rPr>
                      <w:rFonts w:hint="eastAsia"/>
                      <w:color w:val="auto"/>
                      <w:highlight w:val="none"/>
                    </w:rPr>
                    <w:t>m</w:t>
                  </w:r>
                  <w:r>
                    <w:rPr>
                      <w:rFonts w:hint="eastAsia"/>
                      <w:color w:val="auto"/>
                      <w:highlight w:val="none"/>
                      <w:vertAlign w:val="superscript"/>
                    </w:rPr>
                    <w:t>2</w:t>
                  </w:r>
                  <w:r>
                    <w:rPr>
                      <w:rFonts w:hint="eastAsia"/>
                      <w:color w:val="auto"/>
                      <w:highlight w:val="none"/>
                    </w:rPr>
                    <w:t>，净空高度</w:t>
                  </w:r>
                  <w:r>
                    <w:rPr>
                      <w:rFonts w:hint="eastAsia"/>
                      <w:color w:val="auto"/>
                      <w:highlight w:val="none"/>
                      <w:lang w:val="en-US" w:eastAsia="zh-CN"/>
                    </w:rPr>
                    <w:t>8.4</w:t>
                  </w:r>
                  <w:r>
                    <w:rPr>
                      <w:rFonts w:hint="eastAsia"/>
                      <w:color w:val="auto"/>
                      <w:highlight w:val="none"/>
                    </w:rPr>
                    <w:t>m，建筑面积为</w:t>
                  </w:r>
                  <w:r>
                    <w:rPr>
                      <w:rFonts w:hint="eastAsia"/>
                      <w:color w:val="auto"/>
                      <w:highlight w:val="none"/>
                      <w:lang w:val="en-US" w:eastAsia="zh-CN"/>
                    </w:rPr>
                    <w:t>467.5</w:t>
                  </w:r>
                  <w:r>
                    <w:rPr>
                      <w:rFonts w:hint="eastAsia"/>
                      <w:color w:val="auto"/>
                      <w:highlight w:val="none"/>
                    </w:rPr>
                    <w:t>m</w:t>
                  </w:r>
                  <w:r>
                    <w:rPr>
                      <w:rFonts w:hint="eastAsia"/>
                      <w:color w:val="auto"/>
                      <w:highlight w:val="none"/>
                      <w:vertAlign w:val="superscript"/>
                    </w:rPr>
                    <w:t>2</w:t>
                  </w:r>
                  <w:r>
                    <w:rPr>
                      <w:rFonts w:hint="eastAsia"/>
                      <w:color w:val="auto"/>
                      <w:highlight w:val="none"/>
                    </w:rPr>
                    <w:t>。罩棚下共设置4台四枪</w:t>
                  </w:r>
                  <w:r>
                    <w:rPr>
                      <w:rFonts w:hint="eastAsia"/>
                      <w:color w:val="auto"/>
                      <w:highlight w:val="none"/>
                      <w:lang w:eastAsia="zh-CN"/>
                    </w:rPr>
                    <w:t>双</w:t>
                  </w:r>
                  <w:r>
                    <w:rPr>
                      <w:rFonts w:hint="eastAsia"/>
                      <w:color w:val="auto"/>
                      <w:highlight w:val="none"/>
                    </w:rPr>
                    <w:t>油品潜油泵加油机</w:t>
                  </w:r>
                  <w:r>
                    <w:rPr>
                      <w:rFonts w:hint="eastAsia"/>
                      <w:color w:val="auto"/>
                      <w:highlight w:val="none"/>
                      <w:lang w:eastAsia="zh-CN"/>
                    </w:rPr>
                    <w:t>，</w:t>
                  </w:r>
                  <w:r>
                    <w:rPr>
                      <w:rFonts w:hint="eastAsia"/>
                      <w:color w:val="auto"/>
                      <w:highlight w:val="none"/>
                      <w:lang w:val="en-US" w:eastAsia="zh-CN"/>
                    </w:rPr>
                    <w:t>2台尿素加注机</w:t>
                  </w:r>
                  <w:r>
                    <w:rPr>
                      <w:rFonts w:hint="eastAsia"/>
                      <w:color w:val="auto"/>
                      <w:highlight w:val="none"/>
                    </w:rPr>
                    <w:t>；站区设置卸油及加油油气回收系统，配套建设电气系统、消防给排水系统、监控系统及其他辅助设施。</w:t>
                  </w:r>
                </w:p>
              </w:tc>
              <w:tc>
                <w:tcPr>
                  <w:tcW w:w="1076" w:type="dxa"/>
                  <w:shd w:val="clear" w:color="auto" w:fill="auto"/>
                  <w:vAlign w:val="center"/>
                </w:tcPr>
                <w:p w14:paraId="1DECDAF5">
                  <w:pPr>
                    <w:pStyle w:val="30"/>
                    <w:overflowPunct w:val="0"/>
                    <w:autoSpaceDE w:val="0"/>
                    <w:autoSpaceDN w:val="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新建</w:t>
                  </w:r>
                </w:p>
              </w:tc>
            </w:tr>
            <w:tr w14:paraId="5340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1A8FBCBB">
                  <w:pPr>
                    <w:pStyle w:val="30"/>
                    <w:overflowPunct w:val="0"/>
                    <w:autoSpaceDE w:val="0"/>
                    <w:autoSpaceDN w:val="0"/>
                    <w:rPr>
                      <w:color w:val="auto"/>
                      <w:highlight w:val="none"/>
                    </w:rPr>
                  </w:pPr>
                </w:p>
              </w:tc>
              <w:tc>
                <w:tcPr>
                  <w:tcW w:w="630" w:type="dxa"/>
                  <w:vMerge w:val="continue"/>
                  <w:vAlign w:val="center"/>
                </w:tcPr>
                <w:p w14:paraId="204B8E1F">
                  <w:pPr>
                    <w:pStyle w:val="30"/>
                    <w:overflowPunct w:val="0"/>
                    <w:autoSpaceDE w:val="0"/>
                    <w:autoSpaceDN w:val="0"/>
                    <w:rPr>
                      <w:color w:val="auto"/>
                      <w:highlight w:val="none"/>
                    </w:rPr>
                  </w:pPr>
                </w:p>
              </w:tc>
              <w:tc>
                <w:tcPr>
                  <w:tcW w:w="1147" w:type="dxa"/>
                  <w:gridSpan w:val="2"/>
                  <w:shd w:val="clear" w:color="auto" w:fill="auto"/>
                  <w:vAlign w:val="center"/>
                </w:tcPr>
                <w:p w14:paraId="50F6326E">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储罐</w:t>
                  </w:r>
                  <w:r>
                    <w:rPr>
                      <w:rFonts w:hint="eastAsia"/>
                      <w:color w:val="auto"/>
                      <w:highlight w:val="none"/>
                    </w:rPr>
                    <w:t>区</w:t>
                  </w:r>
                </w:p>
              </w:tc>
              <w:tc>
                <w:tcPr>
                  <w:tcW w:w="3990" w:type="dxa"/>
                  <w:shd w:val="clear" w:color="auto" w:fill="auto"/>
                  <w:vAlign w:val="center"/>
                </w:tcPr>
                <w:p w14:paraId="712CE355">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位于</w:t>
                  </w:r>
                  <w:r>
                    <w:rPr>
                      <w:rFonts w:hint="eastAsia"/>
                      <w:color w:val="auto"/>
                      <w:highlight w:val="none"/>
                      <w:lang w:eastAsia="zh-CN"/>
                    </w:rPr>
                    <w:t>罩棚下方</w:t>
                  </w:r>
                  <w:r>
                    <w:rPr>
                      <w:rFonts w:hint="eastAsia"/>
                      <w:color w:val="auto"/>
                      <w:highlight w:val="none"/>
                    </w:rPr>
                    <w:t>，埋设</w:t>
                  </w:r>
                  <w:r>
                    <w:rPr>
                      <w:rFonts w:hint="eastAsia"/>
                      <w:color w:val="auto"/>
                      <w:highlight w:val="none"/>
                      <w:lang w:val="en-US" w:eastAsia="zh-CN"/>
                    </w:rPr>
                    <w:t>2</w:t>
                  </w:r>
                  <w:r>
                    <w:rPr>
                      <w:rFonts w:hint="eastAsia"/>
                      <w:color w:val="auto"/>
                      <w:highlight w:val="none"/>
                    </w:rPr>
                    <w:t>台30</w:t>
                  </w:r>
                  <w:r>
                    <w:rPr>
                      <w:color w:val="auto"/>
                      <w:highlight w:val="none"/>
                    </w:rPr>
                    <w:t>m</w:t>
                  </w:r>
                  <w:r>
                    <w:rPr>
                      <w:color w:val="auto"/>
                      <w:highlight w:val="none"/>
                      <w:vertAlign w:val="superscript"/>
                    </w:rPr>
                    <w:t>3</w:t>
                  </w:r>
                  <w:r>
                    <w:rPr>
                      <w:rFonts w:hint="eastAsia"/>
                      <w:color w:val="auto"/>
                      <w:highlight w:val="none"/>
                    </w:rPr>
                    <w:t>汽油储罐，</w:t>
                  </w:r>
                  <w:r>
                    <w:rPr>
                      <w:rFonts w:hint="eastAsia"/>
                      <w:color w:val="auto"/>
                      <w:highlight w:val="none"/>
                      <w:lang w:val="en-US" w:eastAsia="zh-CN"/>
                    </w:rPr>
                    <w:t>3</w:t>
                  </w:r>
                  <w:r>
                    <w:rPr>
                      <w:rFonts w:hint="eastAsia"/>
                      <w:color w:val="auto"/>
                      <w:highlight w:val="none"/>
                    </w:rPr>
                    <w:t>台50</w:t>
                  </w:r>
                  <w:r>
                    <w:rPr>
                      <w:color w:val="auto"/>
                      <w:highlight w:val="none"/>
                    </w:rPr>
                    <w:t>m</w:t>
                  </w:r>
                  <w:r>
                    <w:rPr>
                      <w:color w:val="auto"/>
                      <w:highlight w:val="none"/>
                      <w:vertAlign w:val="superscript"/>
                    </w:rPr>
                    <w:t>3</w:t>
                  </w:r>
                  <w:r>
                    <w:rPr>
                      <w:rFonts w:hint="eastAsia"/>
                      <w:color w:val="auto"/>
                      <w:highlight w:val="none"/>
                    </w:rPr>
                    <w:t>柴油储罐。占地面积约200m</w:t>
                  </w:r>
                  <w:r>
                    <w:rPr>
                      <w:rFonts w:hint="eastAsia"/>
                      <w:color w:val="auto"/>
                      <w:highlight w:val="none"/>
                      <w:vertAlign w:val="superscript"/>
                    </w:rPr>
                    <w:t>2</w:t>
                  </w:r>
                  <w:r>
                    <w:rPr>
                      <w:rFonts w:hint="eastAsia"/>
                      <w:color w:val="auto"/>
                      <w:highlight w:val="none"/>
                    </w:rPr>
                    <w:t>。</w:t>
                  </w:r>
                  <w:r>
                    <w:rPr>
                      <w:rFonts w:hint="eastAsia"/>
                      <w:color w:val="auto"/>
                      <w:highlight w:val="none"/>
                      <w:lang w:eastAsia="zh-CN"/>
                    </w:rPr>
                    <w:t>采用埋地卧式双层储罐。</w:t>
                  </w:r>
                </w:p>
              </w:tc>
              <w:tc>
                <w:tcPr>
                  <w:tcW w:w="1076" w:type="dxa"/>
                  <w:shd w:val="clear" w:color="auto" w:fill="auto"/>
                  <w:vAlign w:val="center"/>
                </w:tcPr>
                <w:p w14:paraId="1E6D2559">
                  <w:pPr>
                    <w:pStyle w:val="30"/>
                    <w:overflowPunct w:val="0"/>
                    <w:autoSpaceDE w:val="0"/>
                    <w:autoSpaceDN w:val="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新建</w:t>
                  </w:r>
                </w:p>
              </w:tc>
            </w:tr>
            <w:tr w14:paraId="2177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0B80A5CE">
                  <w:pPr>
                    <w:pStyle w:val="30"/>
                    <w:overflowPunct w:val="0"/>
                    <w:autoSpaceDE w:val="0"/>
                    <w:autoSpaceDN w:val="0"/>
                    <w:rPr>
                      <w:color w:val="auto"/>
                      <w:highlight w:val="none"/>
                    </w:rPr>
                  </w:pPr>
                </w:p>
              </w:tc>
              <w:tc>
                <w:tcPr>
                  <w:tcW w:w="630" w:type="dxa"/>
                  <w:vMerge w:val="continue"/>
                  <w:vAlign w:val="center"/>
                </w:tcPr>
                <w:p w14:paraId="3BB6E997">
                  <w:pPr>
                    <w:pStyle w:val="30"/>
                    <w:overflowPunct w:val="0"/>
                    <w:autoSpaceDE w:val="0"/>
                    <w:autoSpaceDN w:val="0"/>
                    <w:rPr>
                      <w:color w:val="auto"/>
                      <w:highlight w:val="none"/>
                    </w:rPr>
                  </w:pPr>
                </w:p>
              </w:tc>
              <w:tc>
                <w:tcPr>
                  <w:tcW w:w="1147" w:type="dxa"/>
                  <w:gridSpan w:val="2"/>
                  <w:shd w:val="clear" w:color="auto" w:fill="auto"/>
                  <w:vAlign w:val="center"/>
                </w:tcPr>
                <w:p w14:paraId="02734863">
                  <w:pPr>
                    <w:pStyle w:val="30"/>
                    <w:overflowPunct w:val="0"/>
                    <w:autoSpaceDE w:val="0"/>
                    <w:autoSpaceDN w:val="0"/>
                    <w:rPr>
                      <w:rFonts w:hint="eastAsia"/>
                      <w:color w:val="auto"/>
                      <w:highlight w:val="none"/>
                      <w:lang w:eastAsia="zh-CN"/>
                    </w:rPr>
                  </w:pPr>
                  <w:r>
                    <w:rPr>
                      <w:rFonts w:hint="eastAsia"/>
                      <w:color w:val="auto"/>
                      <w:highlight w:val="none"/>
                      <w:lang w:eastAsia="zh-CN"/>
                    </w:rPr>
                    <w:t>加氢区</w:t>
                  </w:r>
                </w:p>
                <w:p w14:paraId="4B40C60A">
                  <w:pPr>
                    <w:pStyle w:val="30"/>
                    <w:overflowPunct w:val="0"/>
                    <w:autoSpaceDE w:val="0"/>
                    <w:autoSpaceDN w:val="0"/>
                    <w:rPr>
                      <w:rFonts w:hint="eastAsia"/>
                      <w:color w:val="auto"/>
                      <w:highlight w:val="none"/>
                      <w:lang w:eastAsia="zh-CN"/>
                    </w:rPr>
                  </w:pPr>
                  <w:r>
                    <w:rPr>
                      <w:rFonts w:hint="eastAsia"/>
                      <w:color w:val="auto"/>
                      <w:highlight w:val="none"/>
                      <w:lang w:eastAsia="zh-CN"/>
                    </w:rPr>
                    <w:t>（预留）</w:t>
                  </w:r>
                </w:p>
              </w:tc>
              <w:tc>
                <w:tcPr>
                  <w:tcW w:w="3990" w:type="dxa"/>
                  <w:shd w:val="clear" w:color="auto" w:fill="auto"/>
                  <w:vAlign w:val="center"/>
                </w:tcPr>
                <w:p w14:paraId="0A02DC91">
                  <w:pPr>
                    <w:pStyle w:val="30"/>
                    <w:rPr>
                      <w:rFonts w:hint="eastAsia" w:eastAsia="宋体"/>
                      <w:color w:val="auto"/>
                      <w:highlight w:val="none"/>
                      <w:lang w:eastAsia="zh-CN"/>
                    </w:rPr>
                  </w:pPr>
                  <w:r>
                    <w:rPr>
                      <w:rFonts w:hint="eastAsia"/>
                      <w:color w:val="auto"/>
                      <w:highlight w:val="none"/>
                      <w:lang w:eastAsia="zh-CN"/>
                    </w:rPr>
                    <w:t>在内部综合能源站东侧预留加氢场地，不在本次评价范围内，需另行环评</w:t>
                  </w:r>
                </w:p>
              </w:tc>
              <w:tc>
                <w:tcPr>
                  <w:tcW w:w="1076" w:type="dxa"/>
                  <w:shd w:val="clear" w:color="auto" w:fill="auto"/>
                  <w:vAlign w:val="center"/>
                </w:tcPr>
                <w:p w14:paraId="34C3D90C">
                  <w:pPr>
                    <w:pStyle w:val="30"/>
                    <w:overflowPunct w:val="0"/>
                    <w:autoSpaceDE w:val="0"/>
                    <w:autoSpaceDN w:val="0"/>
                    <w:rPr>
                      <w:rFonts w:hint="eastAsia" w:eastAsia="宋体"/>
                      <w:color w:val="auto"/>
                      <w:highlight w:val="none"/>
                      <w:lang w:val="en-US" w:eastAsia="zh-CN"/>
                    </w:rPr>
                  </w:pPr>
                  <w:r>
                    <w:rPr>
                      <w:rFonts w:hint="eastAsia"/>
                      <w:color w:val="auto"/>
                      <w:highlight w:val="none"/>
                      <w:lang w:val="en-US" w:eastAsia="zh-CN"/>
                    </w:rPr>
                    <w:t>/</w:t>
                  </w:r>
                </w:p>
              </w:tc>
            </w:tr>
            <w:tr w14:paraId="0090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3D941183">
                  <w:pPr>
                    <w:pStyle w:val="30"/>
                    <w:overflowPunct w:val="0"/>
                    <w:autoSpaceDE w:val="0"/>
                    <w:autoSpaceDN w:val="0"/>
                    <w:rPr>
                      <w:color w:val="auto"/>
                      <w:highlight w:val="none"/>
                    </w:rPr>
                  </w:pPr>
                </w:p>
              </w:tc>
              <w:tc>
                <w:tcPr>
                  <w:tcW w:w="1777" w:type="dxa"/>
                  <w:gridSpan w:val="3"/>
                  <w:vAlign w:val="center"/>
                </w:tcPr>
                <w:p w14:paraId="177EB5F6">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货运</w:t>
                  </w:r>
                  <w:r>
                    <w:rPr>
                      <w:rFonts w:hint="eastAsia"/>
                      <w:color w:val="auto"/>
                      <w:highlight w:val="none"/>
                    </w:rPr>
                    <w:t>停车场</w:t>
                  </w:r>
                </w:p>
              </w:tc>
              <w:tc>
                <w:tcPr>
                  <w:tcW w:w="3990" w:type="dxa"/>
                  <w:shd w:val="clear" w:color="auto" w:fill="auto"/>
                  <w:vAlign w:val="center"/>
                </w:tcPr>
                <w:p w14:paraId="5180ED01">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在项目地块内规划</w:t>
                  </w:r>
                  <w:r>
                    <w:rPr>
                      <w:rFonts w:hint="eastAsia"/>
                      <w:color w:val="auto"/>
                      <w:highlight w:val="none"/>
                    </w:rPr>
                    <w:t>建设约</w:t>
                  </w:r>
                  <w:r>
                    <w:rPr>
                      <w:rFonts w:hint="eastAsia"/>
                      <w:color w:val="auto"/>
                      <w:highlight w:val="none"/>
                      <w:lang w:val="en-US" w:eastAsia="zh-CN"/>
                    </w:rPr>
                    <w:t>245个货车停车位、26个小汽车停车位。</w:t>
                  </w:r>
                </w:p>
              </w:tc>
              <w:tc>
                <w:tcPr>
                  <w:tcW w:w="1076" w:type="dxa"/>
                  <w:shd w:val="clear" w:color="auto" w:fill="auto"/>
                  <w:vAlign w:val="center"/>
                </w:tcPr>
                <w:p w14:paraId="7FCF3C95">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新建</w:t>
                  </w:r>
                </w:p>
              </w:tc>
            </w:tr>
            <w:tr w14:paraId="1F47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Align w:val="center"/>
                </w:tcPr>
                <w:p w14:paraId="25C697D1">
                  <w:pPr>
                    <w:pStyle w:val="30"/>
                    <w:overflowPunct w:val="0"/>
                    <w:autoSpaceDE w:val="0"/>
                    <w:autoSpaceDN w:val="0"/>
                    <w:rPr>
                      <w:color w:val="auto"/>
                      <w:highlight w:val="none"/>
                    </w:rPr>
                  </w:pPr>
                  <w:r>
                    <w:rPr>
                      <w:rFonts w:hint="eastAsia"/>
                      <w:color w:val="auto"/>
                      <w:highlight w:val="none"/>
                    </w:rPr>
                    <w:t>辅助工程</w:t>
                  </w:r>
                </w:p>
              </w:tc>
              <w:tc>
                <w:tcPr>
                  <w:tcW w:w="1777" w:type="dxa"/>
                  <w:gridSpan w:val="3"/>
                  <w:vAlign w:val="center"/>
                </w:tcPr>
                <w:p w14:paraId="67A20243">
                  <w:pPr>
                    <w:pStyle w:val="30"/>
                    <w:overflowPunct w:val="0"/>
                    <w:autoSpaceDE w:val="0"/>
                    <w:autoSpaceDN w:val="0"/>
                    <w:rPr>
                      <w:color w:val="auto"/>
                      <w:highlight w:val="none"/>
                    </w:rPr>
                  </w:pPr>
                  <w:r>
                    <w:rPr>
                      <w:rFonts w:hint="eastAsia"/>
                      <w:color w:val="auto"/>
                      <w:highlight w:val="none"/>
                    </w:rPr>
                    <w:t>站房</w:t>
                  </w:r>
                </w:p>
              </w:tc>
              <w:tc>
                <w:tcPr>
                  <w:tcW w:w="3990" w:type="dxa"/>
                  <w:vAlign w:val="center"/>
                </w:tcPr>
                <w:p w14:paraId="1F00EC2C">
                  <w:pPr>
                    <w:pStyle w:val="30"/>
                    <w:overflowPunct w:val="0"/>
                    <w:autoSpaceDE w:val="0"/>
                    <w:autoSpaceDN w:val="0"/>
                    <w:rPr>
                      <w:color w:val="auto"/>
                      <w:highlight w:val="none"/>
                    </w:rPr>
                  </w:pPr>
                  <w:r>
                    <w:rPr>
                      <w:color w:val="auto"/>
                      <w:highlight w:val="none"/>
                    </w:rPr>
                    <w:t>位于</w:t>
                  </w:r>
                  <w:r>
                    <w:rPr>
                      <w:rFonts w:hint="eastAsia"/>
                      <w:color w:val="auto"/>
                      <w:highlight w:val="none"/>
                      <w:lang w:eastAsia="zh-CN"/>
                    </w:rPr>
                    <w:t>罩棚南侧</w:t>
                  </w:r>
                  <w:r>
                    <w:rPr>
                      <w:color w:val="auto"/>
                      <w:highlight w:val="none"/>
                    </w:rPr>
                    <w:t>，建筑面积为</w:t>
                  </w:r>
                  <w:r>
                    <w:rPr>
                      <w:rFonts w:hint="eastAsia"/>
                      <w:color w:val="auto"/>
                      <w:highlight w:val="none"/>
                      <w:lang w:val="en-US" w:eastAsia="zh-CN"/>
                    </w:rPr>
                    <w:t>352</w:t>
                  </w:r>
                  <w:r>
                    <w:rPr>
                      <w:color w:val="auto"/>
                      <w:highlight w:val="none"/>
                    </w:rPr>
                    <w:t>m</w:t>
                  </w:r>
                  <w:r>
                    <w:rPr>
                      <w:color w:val="auto"/>
                      <w:highlight w:val="none"/>
                      <w:vertAlign w:val="superscript"/>
                    </w:rPr>
                    <w:t>2</w:t>
                  </w:r>
                  <w:r>
                    <w:rPr>
                      <w:color w:val="auto"/>
                      <w:highlight w:val="none"/>
                    </w:rPr>
                    <w:t>，为</w:t>
                  </w:r>
                  <w:r>
                    <w:rPr>
                      <w:rFonts w:hint="eastAsia"/>
                      <w:color w:val="auto"/>
                      <w:highlight w:val="none"/>
                      <w:lang w:eastAsia="zh-CN"/>
                    </w:rPr>
                    <w:t>二层框架结构</w:t>
                  </w:r>
                  <w:r>
                    <w:rPr>
                      <w:color w:val="auto"/>
                      <w:highlight w:val="none"/>
                    </w:rPr>
                    <w:t>建筑</w:t>
                  </w:r>
                  <w:r>
                    <w:rPr>
                      <w:rFonts w:hint="eastAsia"/>
                      <w:color w:val="auto"/>
                      <w:highlight w:val="none"/>
                    </w:rPr>
                    <w:t>。</w:t>
                  </w:r>
                  <w:r>
                    <w:rPr>
                      <w:rFonts w:hint="eastAsia"/>
                      <w:color w:val="auto"/>
                      <w:highlight w:val="none"/>
                      <w:lang w:val="en-US" w:eastAsia="zh-CN"/>
                    </w:rPr>
                    <w:t>建设</w:t>
                  </w:r>
                  <w:r>
                    <w:rPr>
                      <w:rFonts w:hint="default"/>
                      <w:color w:val="auto"/>
                      <w:highlight w:val="none"/>
                      <w:lang w:val="en-US" w:eastAsia="zh-CN"/>
                    </w:rPr>
                    <w:t>有便利店、值班室、卫生间等</w:t>
                  </w:r>
                  <w:r>
                    <w:rPr>
                      <w:rFonts w:hint="eastAsia"/>
                      <w:color w:val="auto"/>
                      <w:highlight w:val="none"/>
                      <w:lang w:val="en-US" w:eastAsia="zh-CN"/>
                    </w:rPr>
                    <w:t>。</w:t>
                  </w:r>
                </w:p>
              </w:tc>
              <w:tc>
                <w:tcPr>
                  <w:tcW w:w="1076" w:type="dxa"/>
                  <w:vAlign w:val="center"/>
                </w:tcPr>
                <w:p w14:paraId="171204AC">
                  <w:pPr>
                    <w:pStyle w:val="30"/>
                    <w:overflowPunct w:val="0"/>
                    <w:autoSpaceDE w:val="0"/>
                    <w:autoSpaceDN w:val="0"/>
                    <w:rPr>
                      <w:color w:val="auto"/>
                      <w:highlight w:val="none"/>
                    </w:rPr>
                  </w:pPr>
                  <w:r>
                    <w:rPr>
                      <w:rFonts w:hint="eastAsia"/>
                      <w:color w:val="auto"/>
                      <w:highlight w:val="none"/>
                    </w:rPr>
                    <w:t>新建</w:t>
                  </w:r>
                </w:p>
              </w:tc>
            </w:tr>
            <w:tr w14:paraId="33EB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restart"/>
                  <w:vAlign w:val="center"/>
                </w:tcPr>
                <w:p w14:paraId="0C68032F">
                  <w:pPr>
                    <w:pStyle w:val="30"/>
                    <w:overflowPunct w:val="0"/>
                    <w:autoSpaceDE w:val="0"/>
                    <w:autoSpaceDN w:val="0"/>
                    <w:rPr>
                      <w:color w:val="auto"/>
                      <w:highlight w:val="none"/>
                    </w:rPr>
                  </w:pPr>
                  <w:r>
                    <w:rPr>
                      <w:rFonts w:hint="eastAsia"/>
                      <w:color w:val="auto"/>
                      <w:highlight w:val="none"/>
                    </w:rPr>
                    <w:t>公用工程</w:t>
                  </w:r>
                </w:p>
              </w:tc>
              <w:tc>
                <w:tcPr>
                  <w:tcW w:w="1777" w:type="dxa"/>
                  <w:gridSpan w:val="3"/>
                  <w:vAlign w:val="center"/>
                </w:tcPr>
                <w:p w14:paraId="2881C99D">
                  <w:pPr>
                    <w:pStyle w:val="30"/>
                    <w:overflowPunct w:val="0"/>
                    <w:autoSpaceDE w:val="0"/>
                    <w:autoSpaceDN w:val="0"/>
                    <w:rPr>
                      <w:color w:val="auto"/>
                      <w:highlight w:val="none"/>
                    </w:rPr>
                  </w:pPr>
                  <w:r>
                    <w:rPr>
                      <w:color w:val="auto"/>
                      <w:highlight w:val="none"/>
                    </w:rPr>
                    <w:t>供电</w:t>
                  </w:r>
                </w:p>
              </w:tc>
              <w:tc>
                <w:tcPr>
                  <w:tcW w:w="3990" w:type="dxa"/>
                  <w:vAlign w:val="center"/>
                </w:tcPr>
                <w:p w14:paraId="752FAD53">
                  <w:pPr>
                    <w:pStyle w:val="30"/>
                    <w:overflowPunct w:val="0"/>
                    <w:autoSpaceDE w:val="0"/>
                    <w:autoSpaceDN w:val="0"/>
                    <w:rPr>
                      <w:color w:val="auto"/>
                      <w:highlight w:val="none"/>
                    </w:rPr>
                  </w:pPr>
                  <w:r>
                    <w:rPr>
                      <w:color w:val="auto"/>
                      <w:highlight w:val="none"/>
                    </w:rPr>
                    <w:t>市政电网供应</w:t>
                  </w:r>
                  <w:r>
                    <w:rPr>
                      <w:color w:val="auto"/>
                      <w:highlight w:val="none"/>
                    </w:rPr>
                    <w:t>，年用电量</w:t>
                  </w:r>
                  <w:r>
                    <w:rPr>
                      <w:rFonts w:hint="eastAsia"/>
                      <w:color w:val="auto"/>
                      <w:highlight w:val="none"/>
                    </w:rPr>
                    <w:t>296</w:t>
                  </w:r>
                  <w:r>
                    <w:rPr>
                      <w:color w:val="auto"/>
                      <w:highlight w:val="none"/>
                    </w:rPr>
                    <w:t>万kW·h。</w:t>
                  </w:r>
                </w:p>
              </w:tc>
              <w:tc>
                <w:tcPr>
                  <w:tcW w:w="1076" w:type="dxa"/>
                  <w:vAlign w:val="center"/>
                </w:tcPr>
                <w:p w14:paraId="1445E3DC">
                  <w:pPr>
                    <w:pStyle w:val="30"/>
                    <w:overflowPunct w:val="0"/>
                    <w:autoSpaceDE w:val="0"/>
                    <w:autoSpaceDN w:val="0"/>
                    <w:rPr>
                      <w:color w:val="auto"/>
                      <w:highlight w:val="none"/>
                    </w:rPr>
                  </w:pPr>
                  <w:r>
                    <w:rPr>
                      <w:rFonts w:hint="eastAsia"/>
                      <w:color w:val="auto"/>
                      <w:highlight w:val="none"/>
                    </w:rPr>
                    <w:t>新建</w:t>
                  </w:r>
                </w:p>
              </w:tc>
            </w:tr>
            <w:tr w14:paraId="071A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1B0C6890">
                  <w:pPr>
                    <w:pStyle w:val="30"/>
                    <w:overflowPunct w:val="0"/>
                    <w:autoSpaceDE w:val="0"/>
                    <w:autoSpaceDN w:val="0"/>
                    <w:rPr>
                      <w:color w:val="auto"/>
                      <w:highlight w:val="none"/>
                    </w:rPr>
                  </w:pPr>
                </w:p>
              </w:tc>
              <w:tc>
                <w:tcPr>
                  <w:tcW w:w="1777" w:type="dxa"/>
                  <w:gridSpan w:val="3"/>
                  <w:vAlign w:val="center"/>
                </w:tcPr>
                <w:p w14:paraId="5C0BB529">
                  <w:pPr>
                    <w:pStyle w:val="30"/>
                    <w:overflowPunct w:val="0"/>
                    <w:autoSpaceDE w:val="0"/>
                    <w:autoSpaceDN w:val="0"/>
                    <w:rPr>
                      <w:color w:val="auto"/>
                      <w:highlight w:val="none"/>
                    </w:rPr>
                  </w:pPr>
                  <w:r>
                    <w:rPr>
                      <w:color w:val="auto"/>
                      <w:highlight w:val="none"/>
                    </w:rPr>
                    <w:t>消防</w:t>
                  </w:r>
                </w:p>
              </w:tc>
              <w:tc>
                <w:tcPr>
                  <w:tcW w:w="3990" w:type="dxa"/>
                  <w:vAlign w:val="center"/>
                </w:tcPr>
                <w:p w14:paraId="7B8F0F5B">
                  <w:pPr>
                    <w:pStyle w:val="30"/>
                    <w:overflowPunct w:val="0"/>
                    <w:autoSpaceDE w:val="0"/>
                    <w:autoSpaceDN w:val="0"/>
                    <w:rPr>
                      <w:color w:val="auto"/>
                      <w:highlight w:val="none"/>
                    </w:rPr>
                  </w:pPr>
                  <w:r>
                    <w:rPr>
                      <w:rFonts w:hint="eastAsia"/>
                      <w:color w:val="auto"/>
                      <w:highlight w:val="none"/>
                    </w:rPr>
                    <w:t>每2台加油机应设置不少于2只4kg手提式干粉灭火器；地下储罐应设35kg推车式干粉灭火器1个；二级加油加气站应配置灭火毯5块，沙子2m</w:t>
                  </w:r>
                  <w:r>
                    <w:rPr>
                      <w:rFonts w:hint="eastAsia"/>
                      <w:color w:val="auto"/>
                      <w:highlight w:val="none"/>
                      <w:vertAlign w:val="superscript"/>
                    </w:rPr>
                    <w:t>3</w:t>
                  </w:r>
                  <w:r>
                    <w:rPr>
                      <w:rFonts w:hint="eastAsia"/>
                      <w:color w:val="auto"/>
                      <w:highlight w:val="none"/>
                    </w:rPr>
                    <w:t>。</w:t>
                  </w:r>
                </w:p>
              </w:tc>
              <w:tc>
                <w:tcPr>
                  <w:tcW w:w="1076" w:type="dxa"/>
                  <w:vAlign w:val="center"/>
                </w:tcPr>
                <w:p w14:paraId="2E74CF8A">
                  <w:pPr>
                    <w:pStyle w:val="30"/>
                    <w:overflowPunct w:val="0"/>
                    <w:autoSpaceDE w:val="0"/>
                    <w:autoSpaceDN w:val="0"/>
                    <w:rPr>
                      <w:color w:val="auto"/>
                      <w:highlight w:val="none"/>
                    </w:rPr>
                  </w:pPr>
                  <w:r>
                    <w:rPr>
                      <w:rFonts w:hint="eastAsia"/>
                      <w:color w:val="auto"/>
                      <w:highlight w:val="none"/>
                    </w:rPr>
                    <w:t>新建</w:t>
                  </w:r>
                </w:p>
              </w:tc>
            </w:tr>
            <w:tr w14:paraId="627A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45829106">
                  <w:pPr>
                    <w:pStyle w:val="30"/>
                    <w:overflowPunct w:val="0"/>
                    <w:autoSpaceDE w:val="0"/>
                    <w:autoSpaceDN w:val="0"/>
                    <w:rPr>
                      <w:color w:val="auto"/>
                      <w:highlight w:val="none"/>
                    </w:rPr>
                  </w:pPr>
                </w:p>
              </w:tc>
              <w:tc>
                <w:tcPr>
                  <w:tcW w:w="1777" w:type="dxa"/>
                  <w:gridSpan w:val="3"/>
                  <w:vAlign w:val="center"/>
                </w:tcPr>
                <w:p w14:paraId="034BF616">
                  <w:pPr>
                    <w:pStyle w:val="30"/>
                    <w:overflowPunct w:val="0"/>
                    <w:autoSpaceDE w:val="0"/>
                    <w:autoSpaceDN w:val="0"/>
                    <w:rPr>
                      <w:color w:val="auto"/>
                      <w:highlight w:val="none"/>
                    </w:rPr>
                  </w:pPr>
                  <w:r>
                    <w:rPr>
                      <w:color w:val="auto"/>
                      <w:highlight w:val="none"/>
                    </w:rPr>
                    <w:t>给水</w:t>
                  </w:r>
                </w:p>
              </w:tc>
              <w:tc>
                <w:tcPr>
                  <w:tcW w:w="3990" w:type="dxa"/>
                  <w:vAlign w:val="center"/>
                </w:tcPr>
                <w:p w14:paraId="58B9AFD1">
                  <w:pPr>
                    <w:pStyle w:val="30"/>
                    <w:overflowPunct w:val="0"/>
                    <w:autoSpaceDE w:val="0"/>
                    <w:autoSpaceDN w:val="0"/>
                    <w:rPr>
                      <w:color w:val="auto"/>
                      <w:highlight w:val="none"/>
                    </w:rPr>
                  </w:pPr>
                  <w:r>
                    <w:rPr>
                      <w:color w:val="auto"/>
                      <w:highlight w:val="none"/>
                    </w:rPr>
                    <w:t>市政管网自来水供应，</w:t>
                  </w:r>
                  <w:r>
                    <w:rPr>
                      <w:color w:val="auto"/>
                      <w:highlight w:val="none"/>
                    </w:rPr>
                    <w:t>用水量</w:t>
                  </w:r>
                  <w:r>
                    <w:rPr>
                      <w:rFonts w:hint="eastAsia"/>
                      <w:color w:val="auto"/>
                      <w:highlight w:val="none"/>
                      <w:lang w:val="en-US" w:eastAsia="zh-CN"/>
                    </w:rPr>
                    <w:t>5795</w:t>
                  </w:r>
                  <w:r>
                    <w:rPr>
                      <w:color w:val="auto"/>
                      <w:highlight w:val="none"/>
                    </w:rPr>
                    <w:t>t/a。</w:t>
                  </w:r>
                </w:p>
              </w:tc>
              <w:tc>
                <w:tcPr>
                  <w:tcW w:w="1076" w:type="dxa"/>
                  <w:vAlign w:val="center"/>
                </w:tcPr>
                <w:p w14:paraId="4CFA5462">
                  <w:pPr>
                    <w:pStyle w:val="30"/>
                    <w:overflowPunct w:val="0"/>
                    <w:autoSpaceDE w:val="0"/>
                    <w:autoSpaceDN w:val="0"/>
                    <w:rPr>
                      <w:color w:val="auto"/>
                      <w:highlight w:val="none"/>
                    </w:rPr>
                  </w:pPr>
                  <w:r>
                    <w:rPr>
                      <w:rFonts w:hint="eastAsia"/>
                      <w:color w:val="auto"/>
                      <w:highlight w:val="none"/>
                    </w:rPr>
                    <w:t>新建</w:t>
                  </w:r>
                </w:p>
              </w:tc>
            </w:tr>
            <w:tr w14:paraId="1BF2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010" w:type="dxa"/>
                  <w:vMerge w:val="continue"/>
                  <w:vAlign w:val="center"/>
                </w:tcPr>
                <w:p w14:paraId="65EF5D0C">
                  <w:pPr>
                    <w:pStyle w:val="30"/>
                    <w:overflowPunct w:val="0"/>
                    <w:autoSpaceDE w:val="0"/>
                    <w:autoSpaceDN w:val="0"/>
                    <w:rPr>
                      <w:color w:val="auto"/>
                      <w:highlight w:val="none"/>
                    </w:rPr>
                  </w:pPr>
                </w:p>
              </w:tc>
              <w:tc>
                <w:tcPr>
                  <w:tcW w:w="848" w:type="dxa"/>
                  <w:gridSpan w:val="2"/>
                  <w:vMerge w:val="restart"/>
                  <w:vAlign w:val="center"/>
                </w:tcPr>
                <w:p w14:paraId="4E2DA906">
                  <w:pPr>
                    <w:pStyle w:val="30"/>
                    <w:overflowPunct w:val="0"/>
                    <w:autoSpaceDE w:val="0"/>
                    <w:autoSpaceDN w:val="0"/>
                    <w:rPr>
                      <w:color w:val="auto"/>
                      <w:highlight w:val="none"/>
                    </w:rPr>
                  </w:pPr>
                  <w:r>
                    <w:rPr>
                      <w:color w:val="auto"/>
                      <w:highlight w:val="none"/>
                    </w:rPr>
                    <w:t>排水</w:t>
                  </w:r>
                </w:p>
              </w:tc>
              <w:tc>
                <w:tcPr>
                  <w:tcW w:w="929" w:type="dxa"/>
                  <w:vAlign w:val="center"/>
                </w:tcPr>
                <w:p w14:paraId="360A06D7">
                  <w:pPr>
                    <w:pStyle w:val="30"/>
                    <w:overflowPunct w:val="0"/>
                    <w:autoSpaceDE w:val="0"/>
                    <w:autoSpaceDN w:val="0"/>
                    <w:rPr>
                      <w:rFonts w:hint="eastAsia" w:eastAsia="宋体"/>
                      <w:color w:val="auto"/>
                      <w:highlight w:val="none"/>
                      <w:lang w:eastAsia="zh-CN"/>
                    </w:rPr>
                  </w:pPr>
                  <w:r>
                    <w:rPr>
                      <w:rFonts w:hint="eastAsia"/>
                      <w:color w:val="auto"/>
                      <w:highlight w:val="none"/>
                      <w:lang w:eastAsia="zh-CN"/>
                    </w:rPr>
                    <w:t>西侧地块</w:t>
                  </w:r>
                </w:p>
              </w:tc>
              <w:tc>
                <w:tcPr>
                  <w:tcW w:w="3990" w:type="dxa"/>
                  <w:vAlign w:val="center"/>
                </w:tcPr>
                <w:p w14:paraId="35B27204">
                  <w:pPr>
                    <w:pStyle w:val="30"/>
                    <w:keepNext w:val="0"/>
                    <w:keepLines w:val="0"/>
                    <w:pageBreakBefore w:val="0"/>
                    <w:widowControl w:val="0"/>
                    <w:kinsoku/>
                    <w:wordWrap/>
                    <w:overflowPunct w:val="0"/>
                    <w:topLinePunct w:val="0"/>
                    <w:autoSpaceDE w:val="0"/>
                    <w:autoSpaceDN w:val="0"/>
                    <w:bidi w:val="0"/>
                    <w:jc w:val="left"/>
                    <w:textAlignment w:val="auto"/>
                    <w:rPr>
                      <w:color w:val="auto"/>
                      <w:highlight w:val="none"/>
                    </w:rPr>
                  </w:pPr>
                  <w:r>
                    <w:rPr>
                      <w:rFonts w:hint="eastAsia"/>
                      <w:color w:val="auto"/>
                      <w:highlight w:val="none"/>
                      <w:lang w:eastAsia="zh-CN"/>
                    </w:rPr>
                    <w:t>设置隔油池</w:t>
                  </w:r>
                  <w:r>
                    <w:rPr>
                      <w:rFonts w:hint="eastAsia"/>
                      <w:color w:val="auto"/>
                      <w:highlight w:val="none"/>
                      <w:lang w:val="en-US" w:eastAsia="zh-CN"/>
                    </w:rPr>
                    <w:t>1座</w:t>
                  </w:r>
                  <w:r>
                    <w:rPr>
                      <w:rFonts w:hint="eastAsia"/>
                      <w:color w:val="auto"/>
                      <w:highlight w:val="none"/>
                    </w:rPr>
                    <w:t>（10m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，位于网络信息服务中心东侧；</w:t>
                  </w:r>
                  <w:r>
                    <w:rPr>
                      <w:rFonts w:hint="eastAsia"/>
                      <w:color w:val="auto"/>
                      <w:highlight w:val="none"/>
                    </w:rPr>
                    <w:t>化粪池</w:t>
                  </w:r>
                  <w:r>
                    <w:rPr>
                      <w:rFonts w:hint="eastAsia"/>
                      <w:color w:val="auto"/>
                      <w:highlight w:val="none"/>
                      <w:lang w:val="en-US" w:eastAsia="zh-CN"/>
                    </w:rPr>
                    <w:t>1座</w:t>
                  </w:r>
                  <w:r>
                    <w:rPr>
                      <w:rFonts w:hint="eastAsia"/>
                      <w:color w:val="auto"/>
                      <w:highlight w:val="none"/>
                    </w:rPr>
                    <w:t>（20m</w:t>
                  </w:r>
                  <w:r>
                    <w:rPr>
                      <w:rFonts w:hint="eastAsia"/>
                      <w:color w:val="auto"/>
                      <w:highlight w:val="none"/>
                      <w:vertAlign w:val="superscript"/>
                    </w:rPr>
                    <w:t>3</w:t>
                  </w:r>
                  <w:r>
                    <w:rPr>
                      <w:rFonts w:hint="eastAsia"/>
                      <w:color w:val="auto"/>
                      <w:highlight w:val="none"/>
                    </w:rPr>
                    <w:t>）</w:t>
                  </w:r>
                  <w:r>
                    <w:rPr>
                      <w:rFonts w:hint="eastAsia"/>
                      <w:color w:val="auto"/>
                      <w:highlight w:val="none"/>
                      <w:lang w:eastAsia="zh-CN"/>
                    </w:rPr>
                    <w:t>位于项目西地块东北角；</w:t>
                  </w:r>
                  <w:r>
                    <w:rPr>
                      <w:rFonts w:hint="eastAsia"/>
                      <w:color w:val="auto"/>
                      <w:highlight w:val="none"/>
                      <w:lang w:val="en-US" w:eastAsia="zh-CN"/>
                    </w:rPr>
                    <w:t>1座</w:t>
                  </w:r>
                  <w:r>
                    <w:rPr>
                      <w:color w:val="auto"/>
                      <w:highlight w:val="none"/>
                    </w:rPr>
                    <w:t>隔油</w:t>
                  </w:r>
                  <w:r>
                    <w:rPr>
                      <w:rFonts w:hint="eastAsia"/>
                      <w:color w:val="auto"/>
                      <w:highlight w:val="none"/>
                      <w:lang w:val="en-US" w:eastAsia="zh-CN"/>
                    </w:rPr>
                    <w:t>+</w:t>
                  </w:r>
                  <w:r>
                    <w:rPr>
                      <w:color w:val="auto"/>
                      <w:highlight w:val="none"/>
                    </w:rPr>
                    <w:t>沉淀池</w:t>
                  </w:r>
                  <w:r>
                    <w:rPr>
                      <w:rFonts w:hint="eastAsia"/>
                      <w:color w:val="auto"/>
                      <w:highlight w:val="none"/>
                      <w:lang w:eastAsia="zh-CN"/>
                    </w:rPr>
                    <w:t>（</w:t>
                  </w:r>
                  <w:r>
                    <w:rPr>
                      <w:rFonts w:hint="eastAsia"/>
                      <w:color w:val="auto"/>
                      <w:highlight w:val="none"/>
                      <w:lang w:val="en-US" w:eastAsia="zh-CN"/>
                    </w:rPr>
                    <w:t>6m</w:t>
                  </w:r>
                  <w:r>
                    <w:rPr>
                      <w:rFonts w:hint="eastAsia"/>
                      <w:color w:val="auto"/>
                      <w:highlight w:val="none"/>
                      <w:vertAlign w:val="superscript"/>
                      <w:lang w:val="en-US" w:eastAsia="zh-CN"/>
                    </w:rPr>
                    <w:t>3</w:t>
                  </w:r>
                  <w:r>
                    <w:rPr>
                      <w:rFonts w:hint="eastAsia"/>
                      <w:color w:val="auto"/>
                      <w:highlight w:val="none"/>
                      <w:lang w:eastAsia="zh-CN"/>
                    </w:rPr>
                    <w:t>）位于维修中心北侧；西侧地块北侧设置</w:t>
                  </w:r>
                  <w:r>
                    <w:rPr>
                      <w:rFonts w:hint="eastAsia"/>
                      <w:color w:val="auto"/>
                      <w:highlight w:val="none"/>
                      <w:lang w:val="en-US" w:eastAsia="zh-CN"/>
                    </w:rPr>
                    <w:t>1座事故应急池（280m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highlight w:val="none"/>
                      <w:lang w:eastAsia="zh-CN"/>
                    </w:rPr>
                    <w:t>。</w:t>
                  </w:r>
                  <w:r>
                    <w:rPr>
                      <w:rFonts w:hint="eastAsia"/>
                      <w:color w:val="auto"/>
                      <w:highlight w:val="none"/>
                    </w:rPr>
                    <w:t>采用雨污分流，雨水排入市政雨水管网；餐饮废水经隔油池处理后与生活污水一同汇入</w:t>
                  </w:r>
                  <w:r>
                    <w:rPr>
                      <w:color w:val="auto"/>
                      <w:highlight w:val="none"/>
                    </w:rPr>
                    <w:t>化粪池预处理</w:t>
                  </w:r>
                  <w:r>
                    <w:rPr>
                      <w:rFonts w:hint="eastAsia"/>
                      <w:color w:val="auto"/>
                      <w:highlight w:val="none"/>
                      <w:lang w:eastAsia="zh-CN"/>
                    </w:rPr>
                    <w:t>，智慧货运维修中心</w:t>
                  </w:r>
                  <w:r>
                    <w:rPr>
                      <w:rFonts w:hint="eastAsia"/>
                      <w:color w:val="auto"/>
                      <w:highlight w:val="none"/>
                    </w:rPr>
                    <w:t>地面冲洗废水和维修过程中产生的洗车废水经</w:t>
                  </w:r>
                  <w:r>
                    <w:rPr>
                      <w:rFonts w:hint="eastAsia"/>
                      <w:color w:val="auto"/>
                      <w:highlight w:val="none"/>
                      <w:lang w:eastAsia="zh-CN"/>
                    </w:rPr>
                    <w:t>隔油池和沉淀池</w:t>
                  </w:r>
                  <w:r>
                    <w:rPr>
                      <w:rFonts w:hint="eastAsia"/>
                      <w:color w:val="auto"/>
                      <w:highlight w:val="none"/>
                    </w:rPr>
                    <w:t>处理达标后汇同</w:t>
                  </w:r>
                  <w:r>
                    <w:rPr>
                      <w:rFonts w:hint="eastAsia"/>
                      <w:color w:val="auto"/>
                      <w:highlight w:val="none"/>
                      <w:lang w:eastAsia="zh-CN"/>
                    </w:rPr>
                    <w:t>西侧地块生活污水（含餐饮废水）经由废水排口</w:t>
                  </w:r>
                  <w:r>
                    <w:rPr>
                      <w:rFonts w:hint="eastAsia"/>
                      <w:color w:val="auto"/>
                      <w:highlight w:val="none"/>
                      <w:lang w:val="en-US" w:eastAsia="zh-CN"/>
                    </w:rPr>
                    <w:t>DW001</w:t>
                  </w:r>
                  <w:r>
                    <w:rPr>
                      <w:rFonts w:hint="eastAsia"/>
                      <w:color w:val="auto"/>
                      <w:highlight w:val="none"/>
                    </w:rPr>
                    <w:t>进入市政污水管网</w:t>
                  </w:r>
                  <w:r>
                    <w:rPr>
                      <w:rFonts w:hint="eastAsia"/>
                      <w:color w:val="auto"/>
                      <w:highlight w:val="none"/>
                      <w:lang w:eastAsia="zh-CN"/>
                    </w:rPr>
                    <w:t>，排入石姚湾净水厂</w:t>
                  </w:r>
                  <w:r>
                    <w:rPr>
                      <w:color w:val="auto"/>
                      <w:highlight w:val="none"/>
                    </w:rPr>
                    <w:t>处理，处理达标后尾水排入淮河</w:t>
                  </w:r>
                  <w:r>
                    <w:rPr>
                      <w:rFonts w:hint="eastAsia"/>
                      <w:color w:val="auto"/>
                      <w:highlight w:val="none"/>
                    </w:rPr>
                    <w:t>。</w:t>
                  </w:r>
                </w:p>
              </w:tc>
              <w:tc>
                <w:tcPr>
                  <w:tcW w:w="1076" w:type="dxa"/>
                  <w:vMerge w:val="restart"/>
                  <w:vAlign w:val="center"/>
                </w:tcPr>
                <w:p w14:paraId="39B1573A">
                  <w:pPr>
                    <w:pStyle w:val="30"/>
                    <w:overflowPunct w:val="0"/>
                    <w:autoSpaceDE w:val="0"/>
                    <w:autoSpaceDN w:val="0"/>
                    <w:rPr>
                      <w:color w:val="auto"/>
                      <w:highlight w:val="none"/>
                    </w:rPr>
                  </w:pPr>
                  <w:r>
                    <w:rPr>
                      <w:rFonts w:hint="eastAsia"/>
                      <w:color w:val="auto"/>
                      <w:highlight w:val="none"/>
                    </w:rPr>
                    <w:t>新建</w:t>
                  </w:r>
                </w:p>
              </w:tc>
            </w:tr>
            <w:tr w14:paraId="3399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010" w:type="dxa"/>
                  <w:vMerge w:val="continue"/>
                  <w:vAlign w:val="center"/>
                </w:tcPr>
                <w:p w14:paraId="1025FC52">
                  <w:pPr>
                    <w:pStyle w:val="30"/>
                    <w:overflowPunct w:val="0"/>
                    <w:autoSpaceDE w:val="0"/>
                    <w:autoSpaceDN w:val="0"/>
                    <w:rPr>
                      <w:color w:val="auto"/>
                      <w:highlight w:val="none"/>
                    </w:rPr>
                  </w:pPr>
                </w:p>
              </w:tc>
              <w:tc>
                <w:tcPr>
                  <w:tcW w:w="848" w:type="dxa"/>
                  <w:gridSpan w:val="2"/>
                  <w:vMerge w:val="continue"/>
                  <w:vAlign w:val="center"/>
                </w:tcPr>
                <w:p w14:paraId="6F478415">
                  <w:pPr>
                    <w:pStyle w:val="30"/>
                    <w:overflowPunct w:val="0"/>
                    <w:autoSpaceDE w:val="0"/>
                    <w:autoSpaceDN w:val="0"/>
                    <w:rPr>
                      <w:color w:val="auto"/>
                      <w:highlight w:val="none"/>
                    </w:rPr>
                  </w:pPr>
                </w:p>
              </w:tc>
              <w:tc>
                <w:tcPr>
                  <w:tcW w:w="929" w:type="dxa"/>
                  <w:vAlign w:val="center"/>
                </w:tcPr>
                <w:p w14:paraId="7AF4EA81">
                  <w:pPr>
                    <w:pStyle w:val="30"/>
                    <w:overflowPunct w:val="0"/>
                    <w:autoSpaceDE w:val="0"/>
                    <w:autoSpaceDN w:val="0"/>
                    <w:rPr>
                      <w:rFonts w:hint="eastAsia" w:eastAsia="宋体"/>
                      <w:color w:val="auto"/>
                      <w:highlight w:val="none"/>
                      <w:lang w:eastAsia="zh-CN"/>
                    </w:rPr>
                  </w:pPr>
                  <w:r>
                    <w:rPr>
                      <w:rFonts w:hint="eastAsia"/>
                      <w:color w:val="auto"/>
                      <w:highlight w:val="none"/>
                      <w:lang w:eastAsia="zh-CN"/>
                    </w:rPr>
                    <w:t>东侧地块</w:t>
                  </w:r>
                </w:p>
              </w:tc>
              <w:tc>
                <w:tcPr>
                  <w:tcW w:w="3990" w:type="dxa"/>
                  <w:vAlign w:val="center"/>
                </w:tcPr>
                <w:p w14:paraId="1D398D8E">
                  <w:pPr>
                    <w:pStyle w:val="30"/>
                    <w:keepNext w:val="0"/>
                    <w:keepLines w:val="0"/>
                    <w:pageBreakBefore w:val="0"/>
                    <w:widowControl w:val="0"/>
                    <w:kinsoku/>
                    <w:wordWrap/>
                    <w:overflowPunct w:val="0"/>
                    <w:topLinePunct w:val="0"/>
                    <w:autoSpaceDE w:val="0"/>
                    <w:autoSpaceDN w:val="0"/>
                    <w:bidi w:val="0"/>
                    <w:jc w:val="left"/>
                    <w:textAlignment w:val="auto"/>
                    <w:rPr>
                      <w:rFonts w:hint="eastAsia"/>
                      <w:color w:val="auto"/>
                      <w:highlight w:val="none"/>
                      <w:lang w:eastAsia="zh-CN"/>
                    </w:rPr>
                  </w:pPr>
                  <w:r>
                    <w:rPr>
                      <w:rFonts w:hint="eastAsia"/>
                      <w:color w:val="auto"/>
                      <w:highlight w:val="none"/>
                      <w:lang w:eastAsia="zh-CN"/>
                    </w:rPr>
                    <w:t>在站房东侧设置</w:t>
                  </w:r>
                  <w:r>
                    <w:rPr>
                      <w:rFonts w:hint="eastAsia"/>
                      <w:color w:val="auto"/>
                      <w:highlight w:val="none"/>
                      <w:lang w:val="en-US" w:eastAsia="zh-CN"/>
                    </w:rPr>
                    <w:t>1座化粪池（4m</w:t>
                  </w:r>
                  <w:r>
                    <w:rPr>
                      <w:rFonts w:hint="eastAsia"/>
                      <w:color w:val="auto"/>
                      <w:highlight w:val="none"/>
                      <w:vertAlign w:val="superscript"/>
                      <w:lang w:val="en-US" w:eastAsia="zh-CN"/>
                    </w:rPr>
                    <w:t>3</w:t>
                  </w:r>
                  <w:r>
                    <w:rPr>
                      <w:rFonts w:hint="eastAsia"/>
                      <w:color w:val="auto"/>
                      <w:highlight w:val="none"/>
                      <w:lang w:val="en-US" w:eastAsia="zh-CN"/>
                    </w:rPr>
                    <w:t>），罩棚北侧设置1座三级油水分离池（6m</w:t>
                  </w:r>
                  <w:r>
                    <w:rPr>
                      <w:rFonts w:hint="eastAsia"/>
                      <w:color w:val="auto"/>
                      <w:highlight w:val="none"/>
                      <w:vertAlign w:val="superscript"/>
                      <w:lang w:val="en-US" w:eastAsia="zh-CN"/>
                    </w:rPr>
                    <w:t>3</w:t>
                  </w:r>
                  <w:r>
                    <w:rPr>
                      <w:rFonts w:hint="eastAsia"/>
                      <w:color w:val="auto"/>
                      <w:highlight w:val="none"/>
                      <w:lang w:val="en-US" w:eastAsia="zh-CN"/>
                    </w:rPr>
                    <w:t>），东侧地块</w:t>
                  </w:r>
                  <w:r>
                    <w:rPr>
                      <w:color w:val="auto"/>
                      <w:highlight w:val="none"/>
                    </w:rPr>
                    <w:t>设置</w:t>
                  </w:r>
                  <w:r>
                    <w:rPr>
                      <w:rFonts w:hint="eastAsia"/>
                      <w:color w:val="auto"/>
                      <w:highlight w:val="none"/>
                      <w:lang w:val="en-US" w:eastAsia="zh-CN"/>
                    </w:rPr>
                    <w:t>1座</w:t>
                  </w:r>
                  <w:r>
                    <w:rPr>
                      <w:color w:val="auto"/>
                      <w:highlight w:val="none"/>
                    </w:rPr>
                    <w:t>初期雨水池</w:t>
                  </w:r>
                  <w:r>
                    <w:rPr>
                      <w:rFonts w:hint="eastAsia"/>
                      <w:color w:val="auto"/>
                      <w:highlight w:val="none"/>
                      <w:lang w:eastAsia="zh-CN"/>
                    </w:rPr>
                    <w:t>兼事故应急池（</w:t>
                  </w:r>
                  <w:r>
                    <w:rPr>
                      <w:rFonts w:hint="eastAsia"/>
                      <w:color w:val="auto"/>
                      <w:highlight w:val="none"/>
                      <w:lang w:val="en-US" w:eastAsia="zh-CN"/>
                    </w:rPr>
                    <w:t>150m</w:t>
                  </w:r>
                  <w:r>
                    <w:rPr>
                      <w:rFonts w:hint="eastAsia"/>
                      <w:color w:val="auto"/>
                      <w:highlight w:val="none"/>
                      <w:vertAlign w:val="superscript"/>
                      <w:lang w:val="en-US" w:eastAsia="zh-CN"/>
                    </w:rPr>
                    <w:t>3</w:t>
                  </w:r>
                  <w:r>
                    <w:rPr>
                      <w:rFonts w:hint="eastAsia"/>
                      <w:color w:val="auto"/>
                      <w:highlight w:val="none"/>
                      <w:lang w:eastAsia="zh-CN"/>
                    </w:rPr>
                    <w:t>），</w:t>
                  </w:r>
                  <w:r>
                    <w:rPr>
                      <w:rFonts w:hint="eastAsia"/>
                      <w:color w:val="auto"/>
                      <w:highlight w:val="none"/>
                      <w:lang w:val="en-US" w:eastAsia="zh-CN"/>
                    </w:rPr>
                    <w:t>位于加油站北侧</w:t>
                  </w:r>
                  <w:r>
                    <w:rPr>
                      <w:rFonts w:hint="eastAsia"/>
                      <w:color w:val="auto"/>
                      <w:highlight w:val="none"/>
                      <w:lang w:eastAsia="zh-CN"/>
                    </w:rPr>
                    <w:t>。</w:t>
                  </w:r>
                  <w:r>
                    <w:rPr>
                      <w:rFonts w:hint="eastAsia"/>
                      <w:color w:val="auto"/>
                      <w:highlight w:val="none"/>
                    </w:rPr>
                    <w:t>采用雨污分流，雨水排入市政雨水管网；</w:t>
                  </w:r>
                  <w:r>
                    <w:rPr>
                      <w:rFonts w:hint="eastAsia"/>
                      <w:color w:val="auto"/>
                      <w:highlight w:val="none"/>
                      <w:lang w:eastAsia="zh-CN"/>
                    </w:rPr>
                    <w:t>内部综合能源站</w:t>
                  </w:r>
                  <w:r>
                    <w:rPr>
                      <w:rFonts w:hint="eastAsia"/>
                      <w:color w:val="auto"/>
                      <w:highlight w:val="none"/>
                    </w:rPr>
                    <w:t>地面冲洗废水、初期雨水经三级油水分离池处理后</w:t>
                  </w:r>
                  <w:r>
                    <w:rPr>
                      <w:rFonts w:hint="eastAsia"/>
                      <w:color w:val="auto"/>
                      <w:highlight w:val="none"/>
                      <w:lang w:eastAsia="zh-CN"/>
                    </w:rPr>
                    <w:t>汇同经化粪池处理后的东侧地块生活污水经由废水排口</w:t>
                  </w:r>
                  <w:r>
                    <w:rPr>
                      <w:rFonts w:hint="eastAsia"/>
                      <w:color w:val="auto"/>
                      <w:highlight w:val="none"/>
                      <w:lang w:val="en-US" w:eastAsia="zh-CN"/>
                    </w:rPr>
                    <w:t>DW002</w:t>
                  </w:r>
                  <w:r>
                    <w:rPr>
                      <w:rFonts w:hint="eastAsia"/>
                      <w:color w:val="auto"/>
                      <w:highlight w:val="none"/>
                    </w:rPr>
                    <w:t>排入市政污水管网</w:t>
                  </w:r>
                  <w:r>
                    <w:rPr>
                      <w:rFonts w:hint="eastAsia"/>
                      <w:color w:val="auto"/>
                      <w:highlight w:val="none"/>
                      <w:lang w:eastAsia="zh-CN"/>
                    </w:rPr>
                    <w:t>，</w:t>
                  </w:r>
                  <w:r>
                    <w:rPr>
                      <w:color w:val="auto"/>
                      <w:highlight w:val="none"/>
                    </w:rPr>
                    <w:t>进入</w:t>
                  </w:r>
                  <w:r>
                    <w:rPr>
                      <w:rFonts w:hint="eastAsia"/>
                      <w:color w:val="auto"/>
                      <w:highlight w:val="none"/>
                      <w:lang w:eastAsia="zh-CN"/>
                    </w:rPr>
                    <w:t>石姚湾净水厂</w:t>
                  </w:r>
                  <w:r>
                    <w:rPr>
                      <w:color w:val="auto"/>
                      <w:highlight w:val="none"/>
                    </w:rPr>
                    <w:t>处理，处理达标后尾水排入淮河</w:t>
                  </w:r>
                  <w:r>
                    <w:rPr>
                      <w:rFonts w:hint="eastAsia"/>
                      <w:color w:val="auto"/>
                      <w:highlight w:val="none"/>
                    </w:rPr>
                    <w:t>。</w:t>
                  </w:r>
                </w:p>
              </w:tc>
              <w:tc>
                <w:tcPr>
                  <w:tcW w:w="1076" w:type="dxa"/>
                  <w:vMerge w:val="continue"/>
                  <w:vAlign w:val="center"/>
                </w:tcPr>
                <w:p w14:paraId="50E7C791">
                  <w:pPr>
                    <w:pStyle w:val="30"/>
                    <w:overflowPunct w:val="0"/>
                    <w:autoSpaceDE w:val="0"/>
                    <w:autoSpaceDN w:val="0"/>
                    <w:rPr>
                      <w:rFonts w:hint="eastAsia"/>
                      <w:color w:val="auto"/>
                      <w:highlight w:val="none"/>
                    </w:rPr>
                  </w:pPr>
                </w:p>
              </w:tc>
            </w:tr>
            <w:tr w14:paraId="6D86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restart"/>
                  <w:vAlign w:val="center"/>
                </w:tcPr>
                <w:p w14:paraId="3C8ACCFB">
                  <w:pPr>
                    <w:pStyle w:val="30"/>
                    <w:overflowPunct w:val="0"/>
                    <w:autoSpaceDE w:val="0"/>
                    <w:autoSpaceDN w:val="0"/>
                    <w:rPr>
                      <w:color w:val="auto"/>
                      <w:highlight w:val="none"/>
                    </w:rPr>
                  </w:pPr>
                  <w:r>
                    <w:rPr>
                      <w:rFonts w:hint="eastAsia"/>
                      <w:color w:val="auto"/>
                      <w:highlight w:val="none"/>
                    </w:rPr>
                    <w:t>环保工程</w:t>
                  </w:r>
                </w:p>
              </w:tc>
              <w:tc>
                <w:tcPr>
                  <w:tcW w:w="1777" w:type="dxa"/>
                  <w:gridSpan w:val="3"/>
                  <w:vAlign w:val="center"/>
                </w:tcPr>
                <w:p w14:paraId="4FDE4A01">
                  <w:pPr>
                    <w:pStyle w:val="30"/>
                    <w:overflowPunct w:val="0"/>
                    <w:autoSpaceDE w:val="0"/>
                    <w:autoSpaceDN w:val="0"/>
                    <w:rPr>
                      <w:color w:val="auto"/>
                      <w:highlight w:val="none"/>
                    </w:rPr>
                  </w:pPr>
                  <w:r>
                    <w:rPr>
                      <w:color w:val="auto"/>
                      <w:highlight w:val="none"/>
                    </w:rPr>
                    <w:t>废水治理</w:t>
                  </w:r>
                </w:p>
              </w:tc>
              <w:tc>
                <w:tcPr>
                  <w:tcW w:w="3990" w:type="dxa"/>
                  <w:vAlign w:val="center"/>
                </w:tcPr>
                <w:p w14:paraId="59F88D3C">
                  <w:pPr>
                    <w:pStyle w:val="30"/>
                    <w:overflowPunct w:val="0"/>
                    <w:autoSpaceDE w:val="0"/>
                    <w:autoSpaceDN w:val="0"/>
                    <w:jc w:val="left"/>
                    <w:rPr>
                      <w:color w:val="auto"/>
                      <w:highlight w:val="none"/>
                    </w:rPr>
                  </w:pPr>
                  <w:bookmarkStart w:id="15" w:name="OLE_LINK17"/>
                  <w:r>
                    <w:rPr>
                      <w:color w:val="auto"/>
                      <w:highlight w:val="none"/>
                    </w:rPr>
                    <w:t>采取雨污分流制</w:t>
                  </w:r>
                  <w:r>
                    <w:rPr>
                      <w:rFonts w:hint="eastAsia"/>
                      <w:color w:val="auto"/>
                      <w:highlight w:val="none"/>
                    </w:rPr>
                    <w:t>。</w:t>
                  </w:r>
                  <w:r>
                    <w:rPr>
                      <w:color w:val="auto"/>
                      <w:highlight w:val="none"/>
                    </w:rPr>
                    <w:t>雨水排入市政雨水管网</w:t>
                  </w:r>
                  <w:r>
                    <w:rPr>
                      <w:rFonts w:hint="eastAsia"/>
                      <w:color w:val="auto"/>
                      <w:highlight w:val="none"/>
                    </w:rPr>
                    <w:t>；</w:t>
                  </w:r>
                  <w:r>
                    <w:rPr>
                      <w:rFonts w:hint="eastAsia"/>
                      <w:color w:val="auto"/>
                      <w:highlight w:val="none"/>
                      <w:lang w:eastAsia="zh-CN"/>
                    </w:rPr>
                    <w:t>项目设置两个废水排口。</w:t>
                  </w:r>
                  <w:r>
                    <w:rPr>
                      <w:rFonts w:hint="eastAsia"/>
                      <w:color w:val="auto"/>
                      <w:highlight w:val="none"/>
                    </w:rPr>
                    <w:t>餐饮废水经隔油池处理后与生活污水一同汇入</w:t>
                  </w:r>
                  <w:r>
                    <w:rPr>
                      <w:color w:val="auto"/>
                      <w:highlight w:val="none"/>
                    </w:rPr>
                    <w:t>化粪池预处理</w:t>
                  </w:r>
                  <w:r>
                    <w:rPr>
                      <w:rFonts w:hint="eastAsia"/>
                      <w:color w:val="auto"/>
                      <w:highlight w:val="none"/>
                      <w:lang w:eastAsia="zh-CN"/>
                    </w:rPr>
                    <w:t>，智慧货运维修中心</w:t>
                  </w:r>
                  <w:r>
                    <w:rPr>
                      <w:rFonts w:hint="eastAsia"/>
                      <w:color w:val="auto"/>
                      <w:highlight w:val="none"/>
                    </w:rPr>
                    <w:t>地面冲洗废水和维修过程中产生的洗车废水经</w:t>
                  </w:r>
                  <w:r>
                    <w:rPr>
                      <w:rFonts w:hint="eastAsia"/>
                      <w:color w:val="auto"/>
                      <w:highlight w:val="none"/>
                      <w:lang w:eastAsia="zh-CN"/>
                    </w:rPr>
                    <w:t>隔油池和沉淀池</w:t>
                  </w:r>
                  <w:r>
                    <w:rPr>
                      <w:rFonts w:hint="eastAsia"/>
                      <w:color w:val="auto"/>
                      <w:highlight w:val="none"/>
                    </w:rPr>
                    <w:t>处理达标后汇同</w:t>
                  </w:r>
                  <w:r>
                    <w:rPr>
                      <w:rFonts w:hint="eastAsia"/>
                      <w:color w:val="auto"/>
                      <w:highlight w:val="none"/>
                      <w:lang w:eastAsia="zh-CN"/>
                    </w:rPr>
                    <w:t>生活污水（含餐饮废水）经由废水排口</w:t>
                  </w:r>
                  <w:r>
                    <w:rPr>
                      <w:rFonts w:hint="eastAsia"/>
                      <w:color w:val="auto"/>
                      <w:highlight w:val="none"/>
                      <w:lang w:val="en-US" w:eastAsia="zh-CN"/>
                    </w:rPr>
                    <w:t>DW001</w:t>
                  </w:r>
                  <w:r>
                    <w:rPr>
                      <w:rFonts w:hint="eastAsia"/>
                      <w:color w:val="auto"/>
                      <w:highlight w:val="none"/>
                    </w:rPr>
                    <w:t>进入市政污水管网</w:t>
                  </w:r>
                  <w:r>
                    <w:rPr>
                      <w:rFonts w:hint="eastAsia"/>
                      <w:color w:val="auto"/>
                      <w:highlight w:val="none"/>
                      <w:lang w:eastAsia="zh-CN"/>
                    </w:rPr>
                    <w:t>；综合能源站</w:t>
                  </w:r>
                  <w:r>
                    <w:rPr>
                      <w:rFonts w:hint="eastAsia"/>
                      <w:color w:val="auto"/>
                      <w:highlight w:val="none"/>
                    </w:rPr>
                    <w:t>地面冲洗废水、初期雨水经三级油水分离池处理后</w:t>
                  </w:r>
                  <w:r>
                    <w:rPr>
                      <w:rFonts w:hint="eastAsia"/>
                      <w:color w:val="auto"/>
                      <w:highlight w:val="none"/>
                      <w:lang w:eastAsia="zh-CN"/>
                    </w:rPr>
                    <w:t>经由废水排口</w:t>
                  </w:r>
                  <w:r>
                    <w:rPr>
                      <w:rFonts w:hint="eastAsia"/>
                      <w:color w:val="auto"/>
                      <w:highlight w:val="none"/>
                      <w:lang w:val="en-US" w:eastAsia="zh-CN"/>
                    </w:rPr>
                    <w:t>DW002</w:t>
                  </w:r>
                  <w:r>
                    <w:rPr>
                      <w:rFonts w:hint="eastAsia"/>
                      <w:color w:val="auto"/>
                      <w:highlight w:val="none"/>
                    </w:rPr>
                    <w:t>排入市政污水管网</w:t>
                  </w:r>
                  <w:r>
                    <w:rPr>
                      <w:rFonts w:hint="eastAsia"/>
                      <w:color w:val="auto"/>
                      <w:highlight w:val="none"/>
                      <w:lang w:eastAsia="zh-CN"/>
                    </w:rPr>
                    <w:t>，</w:t>
                  </w:r>
                  <w:r>
                    <w:rPr>
                      <w:color w:val="auto"/>
                      <w:highlight w:val="none"/>
                    </w:rPr>
                    <w:t>进入</w:t>
                  </w:r>
                  <w:r>
                    <w:rPr>
                      <w:rFonts w:hint="eastAsia"/>
                      <w:color w:val="auto"/>
                      <w:highlight w:val="none"/>
                      <w:lang w:eastAsia="zh-CN"/>
                    </w:rPr>
                    <w:t>石姚湾净水厂</w:t>
                  </w:r>
                  <w:r>
                    <w:rPr>
                      <w:color w:val="auto"/>
                      <w:highlight w:val="none"/>
                    </w:rPr>
                    <w:t>处理，处理达标后尾水排入淮河</w:t>
                  </w:r>
                  <w:r>
                    <w:rPr>
                      <w:rFonts w:hint="eastAsia"/>
                      <w:color w:val="auto"/>
                      <w:highlight w:val="none"/>
                    </w:rPr>
                    <w:t>。</w:t>
                  </w:r>
                  <w:bookmarkEnd w:id="15"/>
                </w:p>
              </w:tc>
              <w:tc>
                <w:tcPr>
                  <w:tcW w:w="1076" w:type="dxa"/>
                  <w:vAlign w:val="center"/>
                </w:tcPr>
                <w:p w14:paraId="27BEF39A">
                  <w:pPr>
                    <w:pStyle w:val="30"/>
                    <w:overflowPunct w:val="0"/>
                    <w:autoSpaceDE w:val="0"/>
                    <w:autoSpaceDN w:val="0"/>
                    <w:rPr>
                      <w:color w:val="auto"/>
                      <w:highlight w:val="none"/>
                    </w:rPr>
                  </w:pPr>
                  <w:r>
                    <w:rPr>
                      <w:rFonts w:hint="eastAsia"/>
                      <w:color w:val="auto"/>
                      <w:highlight w:val="none"/>
                    </w:rPr>
                    <w:t>新建</w:t>
                  </w:r>
                </w:p>
              </w:tc>
            </w:tr>
            <w:tr w14:paraId="3786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3E9FBCC8">
                  <w:pPr>
                    <w:pStyle w:val="30"/>
                    <w:overflowPunct w:val="0"/>
                    <w:autoSpaceDE w:val="0"/>
                    <w:autoSpaceDN w:val="0"/>
                    <w:rPr>
                      <w:color w:val="auto"/>
                      <w:highlight w:val="none"/>
                    </w:rPr>
                  </w:pPr>
                </w:p>
              </w:tc>
              <w:tc>
                <w:tcPr>
                  <w:tcW w:w="1777" w:type="dxa"/>
                  <w:gridSpan w:val="3"/>
                  <w:shd w:val="clear" w:color="auto" w:fill="auto"/>
                  <w:vAlign w:val="center"/>
                </w:tcPr>
                <w:p w14:paraId="78E8E40D">
                  <w:pPr>
                    <w:pStyle w:val="30"/>
                    <w:overflowPunct w:val="0"/>
                    <w:autoSpaceDE w:val="0"/>
                    <w:autoSpaceDN w:val="0"/>
                    <w:rPr>
                      <w:rFonts w:ascii="Times New Roman" w:hAnsi="Times New Roman" w:eastAsia="宋体" w:cs="Times New Roman"/>
                      <w:color w:val="auto"/>
                      <w:kern w:val="0"/>
                      <w:sz w:val="18"/>
                      <w:szCs w:val="18"/>
                      <w:highlight w:val="none"/>
                      <w:lang w:val="en-US" w:eastAsia="zh-CN" w:bidi="ar-SA"/>
                    </w:rPr>
                  </w:pPr>
                  <w:r>
                    <w:rPr>
                      <w:color w:val="auto"/>
                      <w:highlight w:val="none"/>
                    </w:rPr>
                    <w:t>废气治理</w:t>
                  </w:r>
                </w:p>
              </w:tc>
              <w:tc>
                <w:tcPr>
                  <w:tcW w:w="3990" w:type="dxa"/>
                  <w:vAlign w:val="center"/>
                </w:tcPr>
                <w:p w14:paraId="55923A84">
                  <w:pPr>
                    <w:pStyle w:val="30"/>
                    <w:overflowPunct w:val="0"/>
                    <w:autoSpaceDE w:val="0"/>
                    <w:autoSpaceDN w:val="0"/>
                    <w:rPr>
                      <w:color w:val="auto"/>
                      <w:highlight w:val="none"/>
                    </w:rPr>
                  </w:pPr>
                  <w:r>
                    <w:rPr>
                      <w:rFonts w:hint="eastAsia"/>
                      <w:color w:val="auto"/>
                      <w:highlight w:val="none"/>
                    </w:rPr>
                    <w:t>储油罐油气采用一套</w:t>
                  </w:r>
                  <w:r>
                    <w:rPr>
                      <w:rFonts w:hint="eastAsia"/>
                      <w:color w:val="auto"/>
                      <w:highlight w:val="none"/>
                      <w:lang w:eastAsia="zh-CN"/>
                    </w:rPr>
                    <w:t>三级</w:t>
                  </w:r>
                  <w:r>
                    <w:rPr>
                      <w:rFonts w:hint="eastAsia"/>
                      <w:color w:val="auto"/>
                      <w:highlight w:val="none"/>
                    </w:rPr>
                    <w:t>油气回收系统</w:t>
                  </w:r>
                  <w:r>
                    <w:rPr>
                      <w:rFonts w:hint="eastAsia"/>
                      <w:color w:val="auto"/>
                      <w:highlight w:val="none"/>
                      <w:lang w:eastAsia="zh-CN"/>
                    </w:rPr>
                    <w:t>收集后通过不低于</w:t>
                  </w:r>
                  <w:r>
                    <w:rPr>
                      <w:rFonts w:hint="eastAsia"/>
                      <w:color w:val="auto"/>
                      <w:highlight w:val="none"/>
                      <w:lang w:val="en-US" w:eastAsia="zh-CN"/>
                    </w:rPr>
                    <w:t>4m的排气口DA001排放</w:t>
                  </w:r>
                  <w:r>
                    <w:rPr>
                      <w:rFonts w:hint="eastAsia"/>
                      <w:color w:val="auto"/>
                      <w:highlight w:val="none"/>
                    </w:rPr>
                    <w:t>；</w:t>
                  </w:r>
                  <w:r>
                    <w:rPr>
                      <w:color w:val="auto"/>
                      <w:highlight w:val="none"/>
                    </w:rPr>
                    <w:t>餐饮油烟经油烟净化器处理后由烟道引至楼顶排放</w:t>
                  </w:r>
                  <w:r>
                    <w:rPr>
                      <w:rFonts w:hint="eastAsia"/>
                      <w:color w:val="auto"/>
                      <w:highlight w:val="none"/>
                      <w:lang w:eastAsia="zh-CN"/>
                    </w:rPr>
                    <w:t>；维修过程中产生的焊接烟尘通过移动式焊烟净化器处理后无组织排放</w:t>
                  </w:r>
                  <w:r>
                    <w:rPr>
                      <w:rFonts w:hint="eastAsia"/>
                      <w:color w:val="auto"/>
                      <w:highlight w:val="none"/>
                    </w:rPr>
                    <w:t>。</w:t>
                  </w:r>
                </w:p>
              </w:tc>
              <w:tc>
                <w:tcPr>
                  <w:tcW w:w="1076" w:type="dxa"/>
                  <w:vAlign w:val="center"/>
                </w:tcPr>
                <w:p w14:paraId="49E7E7BE">
                  <w:pPr>
                    <w:pStyle w:val="30"/>
                    <w:overflowPunct w:val="0"/>
                    <w:autoSpaceDE w:val="0"/>
                    <w:autoSpaceDN w:val="0"/>
                    <w:rPr>
                      <w:color w:val="auto"/>
                      <w:highlight w:val="none"/>
                    </w:rPr>
                  </w:pPr>
                  <w:r>
                    <w:rPr>
                      <w:rFonts w:hint="eastAsia"/>
                      <w:color w:val="auto"/>
                      <w:highlight w:val="none"/>
                    </w:rPr>
                    <w:t>新建</w:t>
                  </w:r>
                </w:p>
              </w:tc>
            </w:tr>
            <w:tr w14:paraId="312C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64B6C6CA">
                  <w:pPr>
                    <w:pStyle w:val="30"/>
                    <w:overflowPunct w:val="0"/>
                    <w:autoSpaceDE w:val="0"/>
                    <w:autoSpaceDN w:val="0"/>
                    <w:rPr>
                      <w:color w:val="auto"/>
                      <w:highlight w:val="none"/>
                    </w:rPr>
                  </w:pPr>
                </w:p>
              </w:tc>
              <w:tc>
                <w:tcPr>
                  <w:tcW w:w="1777" w:type="dxa"/>
                  <w:gridSpan w:val="3"/>
                  <w:vAlign w:val="center"/>
                </w:tcPr>
                <w:p w14:paraId="24E06D98">
                  <w:pPr>
                    <w:pStyle w:val="30"/>
                    <w:overflowPunct w:val="0"/>
                    <w:autoSpaceDE w:val="0"/>
                    <w:autoSpaceDN w:val="0"/>
                    <w:rPr>
                      <w:color w:val="auto"/>
                      <w:highlight w:val="none"/>
                    </w:rPr>
                  </w:pPr>
                  <w:r>
                    <w:rPr>
                      <w:color w:val="auto"/>
                      <w:highlight w:val="none"/>
                    </w:rPr>
                    <w:t>噪声治理</w:t>
                  </w:r>
                </w:p>
              </w:tc>
              <w:tc>
                <w:tcPr>
                  <w:tcW w:w="3990" w:type="dxa"/>
                  <w:vAlign w:val="center"/>
                </w:tcPr>
                <w:p w14:paraId="5070039A">
                  <w:pPr>
                    <w:pStyle w:val="30"/>
                    <w:overflowPunct w:val="0"/>
                    <w:autoSpaceDE w:val="0"/>
                    <w:autoSpaceDN w:val="0"/>
                    <w:rPr>
                      <w:color w:val="auto"/>
                      <w:highlight w:val="none"/>
                    </w:rPr>
                  </w:pPr>
                  <w:r>
                    <w:rPr>
                      <w:color w:val="auto"/>
                      <w:highlight w:val="none"/>
                      <w:lang w:val="en-GB"/>
                    </w:rPr>
                    <w:t>采取隔音措施并相应在室内安设吸音材料。加强员工管理，积极引导加油车辆，减少</w:t>
                  </w:r>
                  <w:r>
                    <w:rPr>
                      <w:rFonts w:hint="eastAsia"/>
                      <w:color w:val="auto"/>
                      <w:highlight w:val="none"/>
                      <w:lang w:val="en-GB"/>
                    </w:rPr>
                    <w:t>出行</w:t>
                  </w:r>
                  <w:r>
                    <w:rPr>
                      <w:color w:val="auto"/>
                      <w:highlight w:val="none"/>
                      <w:lang w:val="en-GB"/>
                    </w:rPr>
                    <w:t>高峰期的噪声污染等措施</w:t>
                  </w:r>
                  <w:r>
                    <w:rPr>
                      <w:rFonts w:hint="eastAsia"/>
                      <w:color w:val="auto"/>
                      <w:highlight w:val="none"/>
                      <w:lang w:val="en-GB"/>
                    </w:rPr>
                    <w:t>。</w:t>
                  </w:r>
                </w:p>
              </w:tc>
              <w:tc>
                <w:tcPr>
                  <w:tcW w:w="1076" w:type="dxa"/>
                  <w:vAlign w:val="center"/>
                </w:tcPr>
                <w:p w14:paraId="78D673B6">
                  <w:pPr>
                    <w:pStyle w:val="30"/>
                    <w:overflowPunct w:val="0"/>
                    <w:autoSpaceDE w:val="0"/>
                    <w:autoSpaceDN w:val="0"/>
                    <w:rPr>
                      <w:color w:val="auto"/>
                      <w:highlight w:val="none"/>
                    </w:rPr>
                  </w:pPr>
                  <w:r>
                    <w:rPr>
                      <w:rFonts w:hint="eastAsia"/>
                      <w:color w:val="auto"/>
                      <w:highlight w:val="none"/>
                    </w:rPr>
                    <w:t>新建</w:t>
                  </w:r>
                </w:p>
              </w:tc>
            </w:tr>
            <w:tr w14:paraId="7B5C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6A42A412">
                  <w:pPr>
                    <w:pStyle w:val="30"/>
                    <w:overflowPunct w:val="0"/>
                    <w:autoSpaceDE w:val="0"/>
                    <w:autoSpaceDN w:val="0"/>
                    <w:rPr>
                      <w:color w:val="auto"/>
                      <w:highlight w:val="none"/>
                    </w:rPr>
                  </w:pPr>
                </w:p>
              </w:tc>
              <w:tc>
                <w:tcPr>
                  <w:tcW w:w="1777" w:type="dxa"/>
                  <w:gridSpan w:val="3"/>
                  <w:vAlign w:val="center"/>
                </w:tcPr>
                <w:p w14:paraId="01CDE2D3">
                  <w:pPr>
                    <w:pStyle w:val="30"/>
                    <w:overflowPunct w:val="0"/>
                    <w:autoSpaceDE w:val="0"/>
                    <w:autoSpaceDN w:val="0"/>
                    <w:rPr>
                      <w:color w:val="auto"/>
                      <w:highlight w:val="none"/>
                    </w:rPr>
                  </w:pPr>
                  <w:r>
                    <w:rPr>
                      <w:color w:val="auto"/>
                      <w:highlight w:val="none"/>
                    </w:rPr>
                    <w:t>固废处理设施</w:t>
                  </w:r>
                </w:p>
              </w:tc>
              <w:tc>
                <w:tcPr>
                  <w:tcW w:w="3990" w:type="dxa"/>
                  <w:vAlign w:val="center"/>
                </w:tcPr>
                <w:p w14:paraId="2803B34E">
                  <w:pPr>
                    <w:pStyle w:val="30"/>
                    <w:overflowPunct w:val="0"/>
                    <w:autoSpaceDE w:val="0"/>
                    <w:autoSpaceDN w:val="0"/>
                    <w:rPr>
                      <w:color w:val="auto"/>
                      <w:highlight w:val="none"/>
                    </w:rPr>
                  </w:pPr>
                  <w:r>
                    <w:rPr>
                      <w:rFonts w:hint="eastAsia"/>
                      <w:color w:val="auto"/>
                      <w:highlight w:val="none"/>
                    </w:rPr>
                    <w:t>生活垃圾委托环卫</w:t>
                  </w:r>
                  <w:r>
                    <w:rPr>
                      <w:rFonts w:hint="eastAsia"/>
                      <w:color w:val="auto"/>
                      <w:highlight w:val="none"/>
                    </w:rPr>
                    <w:t>部门清运；一般固废暂存于一般固废间（1</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2</w:t>
                  </w:r>
                  <w:r>
                    <w:rPr>
                      <w:rFonts w:hint="eastAsia"/>
                      <w:color w:val="auto"/>
                      <w:highlight w:val="none"/>
                    </w:rPr>
                    <w:t>），定期外售；危险废物设置1</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2</w:t>
                  </w:r>
                  <w:r>
                    <w:rPr>
                      <w:rFonts w:hint="eastAsia"/>
                      <w:color w:val="auto"/>
                      <w:highlight w:val="none"/>
                    </w:rPr>
                    <w:t>危废暂存间暂存，并委托有危废处理资质的单位处置。</w:t>
                  </w:r>
                </w:p>
              </w:tc>
              <w:tc>
                <w:tcPr>
                  <w:tcW w:w="1076" w:type="dxa"/>
                  <w:vAlign w:val="center"/>
                </w:tcPr>
                <w:p w14:paraId="7CA0B094">
                  <w:pPr>
                    <w:pStyle w:val="30"/>
                    <w:overflowPunct w:val="0"/>
                    <w:autoSpaceDE w:val="0"/>
                    <w:autoSpaceDN w:val="0"/>
                    <w:rPr>
                      <w:color w:val="auto"/>
                      <w:highlight w:val="none"/>
                    </w:rPr>
                  </w:pPr>
                  <w:r>
                    <w:rPr>
                      <w:rFonts w:hint="eastAsia"/>
                      <w:color w:val="auto"/>
                      <w:highlight w:val="none"/>
                    </w:rPr>
                    <w:t>新建</w:t>
                  </w:r>
                </w:p>
              </w:tc>
            </w:tr>
            <w:tr w14:paraId="0547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vMerge w:val="continue"/>
                  <w:vAlign w:val="center"/>
                </w:tcPr>
                <w:p w14:paraId="15B9D0FE">
                  <w:pPr>
                    <w:pStyle w:val="30"/>
                    <w:overflowPunct w:val="0"/>
                    <w:autoSpaceDE w:val="0"/>
                    <w:autoSpaceDN w:val="0"/>
                    <w:rPr>
                      <w:color w:val="auto"/>
                      <w:highlight w:val="none"/>
                    </w:rPr>
                  </w:pPr>
                </w:p>
              </w:tc>
              <w:tc>
                <w:tcPr>
                  <w:tcW w:w="1777" w:type="dxa"/>
                  <w:gridSpan w:val="3"/>
                  <w:vAlign w:val="center"/>
                </w:tcPr>
                <w:p w14:paraId="08A166A3">
                  <w:pPr>
                    <w:pStyle w:val="30"/>
                    <w:overflowPunct w:val="0"/>
                    <w:autoSpaceDE w:val="0"/>
                    <w:autoSpaceDN w:val="0"/>
                    <w:rPr>
                      <w:color w:val="auto"/>
                      <w:highlight w:val="none"/>
                    </w:rPr>
                  </w:pPr>
                  <w:r>
                    <w:rPr>
                      <w:color w:val="auto"/>
                      <w:highlight w:val="none"/>
                    </w:rPr>
                    <w:t>地下水、</w:t>
                  </w:r>
                  <w:r>
                    <w:rPr>
                      <w:rFonts w:hint="eastAsia"/>
                      <w:color w:val="auto"/>
                      <w:highlight w:val="none"/>
                    </w:rPr>
                    <w:t>土</w:t>
                  </w:r>
                  <w:r>
                    <w:rPr>
                      <w:color w:val="auto"/>
                      <w:highlight w:val="none"/>
                    </w:rPr>
                    <w:t>壤防治措施</w:t>
                  </w:r>
                </w:p>
              </w:tc>
              <w:tc>
                <w:tcPr>
                  <w:tcW w:w="3990" w:type="dxa"/>
                  <w:vAlign w:val="center"/>
                </w:tcPr>
                <w:p w14:paraId="5D4A0514">
                  <w:pPr>
                    <w:pStyle w:val="30"/>
                    <w:overflowPunct w:val="0"/>
                    <w:autoSpaceDE w:val="0"/>
                    <w:autoSpaceDN w:val="0"/>
                    <w:rPr>
                      <w:color w:val="auto"/>
                      <w:highlight w:val="none"/>
                    </w:rPr>
                  </w:pPr>
                  <w:r>
                    <w:rPr>
                      <w:rFonts w:hint="eastAsia"/>
                      <w:color w:val="auto"/>
                      <w:highlight w:val="none"/>
                    </w:rPr>
                    <w:t>采用埋地式双层储油罐，输油管线采用导静电双层热塑性管道，采取分区防渗措施。</w:t>
                  </w:r>
                </w:p>
              </w:tc>
              <w:tc>
                <w:tcPr>
                  <w:tcW w:w="1076" w:type="dxa"/>
                  <w:vAlign w:val="center"/>
                </w:tcPr>
                <w:p w14:paraId="49F5ABEE">
                  <w:pPr>
                    <w:pStyle w:val="30"/>
                    <w:overflowPunct w:val="0"/>
                    <w:autoSpaceDE w:val="0"/>
                    <w:autoSpaceDN w:val="0"/>
                    <w:rPr>
                      <w:color w:val="auto"/>
                      <w:highlight w:val="none"/>
                    </w:rPr>
                  </w:pPr>
                  <w:r>
                    <w:rPr>
                      <w:rFonts w:hint="eastAsia"/>
                      <w:color w:val="auto"/>
                      <w:highlight w:val="none"/>
                    </w:rPr>
                    <w:t>新建</w:t>
                  </w:r>
                </w:p>
              </w:tc>
            </w:tr>
          </w:tbl>
          <w:p w14:paraId="16432456">
            <w:pPr>
              <w:overflowPunct w:val="0"/>
              <w:autoSpaceDE w:val="0"/>
              <w:autoSpaceDN w:val="0"/>
              <w:ind w:firstLine="480" w:firstLineChars="200"/>
              <w:rPr>
                <w:color w:val="auto"/>
                <w:highlight w:val="none"/>
              </w:rPr>
            </w:pPr>
            <w:r>
              <w:rPr>
                <w:rFonts w:hint="eastAsia"/>
                <w:color w:val="auto"/>
                <w:highlight w:val="none"/>
              </w:rPr>
              <w:t>2.3产品方案</w:t>
            </w:r>
          </w:p>
          <w:p w14:paraId="69CD2C7F">
            <w:pPr>
              <w:bidi w:val="0"/>
              <w:ind w:firstLine="480" w:firstLineChars="200"/>
              <w:rPr>
                <w:color w:val="auto"/>
                <w:highlight w:val="none"/>
              </w:rPr>
            </w:pPr>
            <w:r>
              <w:rPr>
                <w:rFonts w:hint="eastAsia"/>
                <w:color w:val="auto"/>
                <w:highlight w:val="none"/>
              </w:rPr>
              <w:t>项目建设内部综合能源站</w:t>
            </w:r>
            <w:r>
              <w:rPr>
                <w:rFonts w:hint="eastAsia"/>
                <w:color w:val="auto"/>
                <w:highlight w:val="none"/>
                <w:lang w:eastAsia="zh-CN"/>
              </w:rPr>
              <w:t>，主要服务于交通驿站内停留车辆</w:t>
            </w:r>
            <w:r>
              <w:rPr>
                <w:rFonts w:hint="eastAsia"/>
                <w:color w:val="auto"/>
                <w:highlight w:val="none"/>
              </w:rPr>
              <w:t>，建成</w:t>
            </w:r>
            <w:r>
              <w:rPr>
                <w:rFonts w:hint="eastAsia"/>
                <w:color w:val="auto"/>
                <w:highlight w:val="none"/>
              </w:rPr>
              <w:t>后年周转</w:t>
            </w:r>
            <w:r>
              <w:rPr>
                <w:rFonts w:hint="eastAsia"/>
                <w:color w:val="auto"/>
                <w:highlight w:val="none"/>
                <w:lang w:val="en-US" w:eastAsia="zh-CN"/>
              </w:rPr>
              <w:t>量</w:t>
            </w:r>
            <w:r>
              <w:rPr>
                <w:rFonts w:hint="eastAsia"/>
                <w:color w:val="auto"/>
                <w:highlight w:val="none"/>
              </w:rPr>
              <w:t>汽油</w:t>
            </w:r>
            <w:r>
              <w:rPr>
                <w:rFonts w:hint="eastAsia"/>
                <w:color w:val="auto"/>
                <w:highlight w:val="none"/>
                <w:lang w:val="en-US" w:eastAsia="zh-CN"/>
              </w:rPr>
              <w:t>1000</w:t>
            </w:r>
            <w:r>
              <w:rPr>
                <w:rFonts w:hint="eastAsia"/>
                <w:color w:val="auto"/>
                <w:highlight w:val="none"/>
              </w:rPr>
              <w:t>t</w:t>
            </w:r>
            <w:r>
              <w:rPr>
                <w:rFonts w:hint="eastAsia"/>
                <w:color w:val="auto"/>
                <w:highlight w:val="none"/>
                <w:lang w:val="en-US" w:eastAsia="zh-CN"/>
              </w:rPr>
              <w:t>/a</w:t>
            </w:r>
            <w:r>
              <w:rPr>
                <w:rFonts w:hint="eastAsia"/>
                <w:color w:val="auto"/>
                <w:highlight w:val="none"/>
              </w:rPr>
              <w:t>、柴油</w:t>
            </w:r>
            <w:r>
              <w:rPr>
                <w:rFonts w:hint="eastAsia"/>
                <w:color w:val="auto"/>
                <w:highlight w:val="none"/>
                <w:lang w:val="en-US" w:eastAsia="zh-CN"/>
              </w:rPr>
              <w:t>3000</w:t>
            </w:r>
            <w:r>
              <w:rPr>
                <w:rFonts w:hint="eastAsia"/>
                <w:color w:val="auto"/>
                <w:highlight w:val="none"/>
              </w:rPr>
              <w:t>t</w:t>
            </w:r>
            <w:r>
              <w:rPr>
                <w:rFonts w:hint="eastAsia"/>
                <w:color w:val="auto"/>
                <w:highlight w:val="none"/>
                <w:lang w:val="en-US" w:eastAsia="zh-CN"/>
              </w:rPr>
              <w:t>/a</w:t>
            </w:r>
            <w:r>
              <w:rPr>
                <w:rFonts w:hint="eastAsia"/>
                <w:color w:val="auto"/>
                <w:highlight w:val="none"/>
                <w:lang w:eastAsia="zh-CN"/>
              </w:rPr>
              <w:t>、车用尿素</w:t>
            </w:r>
            <w:r>
              <w:rPr>
                <w:rFonts w:hint="eastAsia"/>
                <w:color w:val="auto"/>
                <w:highlight w:val="none"/>
                <w:lang w:val="en-US" w:eastAsia="zh-CN"/>
              </w:rPr>
              <w:t>150t/a</w:t>
            </w:r>
            <w:r>
              <w:rPr>
                <w:rFonts w:hint="eastAsia"/>
                <w:color w:val="auto"/>
                <w:highlight w:val="none"/>
              </w:rPr>
              <w:t>。具体产品方案见下表：</w:t>
            </w:r>
          </w:p>
          <w:p w14:paraId="5C6D35BD">
            <w:pPr>
              <w:pStyle w:val="6"/>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 xml:space="preserve"> 主要产品方案一览表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899"/>
              <w:gridCol w:w="2419"/>
              <w:gridCol w:w="1269"/>
            </w:tblGrid>
            <w:tr w14:paraId="066A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dxa"/>
                  <w:vAlign w:val="center"/>
                </w:tcPr>
                <w:p w14:paraId="41FEE91F">
                  <w:pPr>
                    <w:pStyle w:val="30"/>
                    <w:rPr>
                      <w:color w:val="auto"/>
                      <w:highlight w:val="none"/>
                    </w:rPr>
                  </w:pPr>
                  <w:r>
                    <w:rPr>
                      <w:color w:val="auto"/>
                      <w:highlight w:val="none"/>
                    </w:rPr>
                    <w:t>序号</w:t>
                  </w:r>
                </w:p>
              </w:tc>
              <w:tc>
                <w:tcPr>
                  <w:tcW w:w="2899" w:type="dxa"/>
                  <w:vAlign w:val="center"/>
                </w:tcPr>
                <w:p w14:paraId="1069142B">
                  <w:pPr>
                    <w:pStyle w:val="30"/>
                    <w:rPr>
                      <w:color w:val="auto"/>
                      <w:highlight w:val="none"/>
                    </w:rPr>
                  </w:pPr>
                  <w:r>
                    <w:rPr>
                      <w:color w:val="auto"/>
                      <w:highlight w:val="none"/>
                    </w:rPr>
                    <w:t>名称</w:t>
                  </w:r>
                </w:p>
              </w:tc>
              <w:tc>
                <w:tcPr>
                  <w:tcW w:w="2419" w:type="dxa"/>
                  <w:vAlign w:val="center"/>
                </w:tcPr>
                <w:p w14:paraId="199C13B5">
                  <w:pPr>
                    <w:pStyle w:val="30"/>
                    <w:rPr>
                      <w:color w:val="auto"/>
                      <w:highlight w:val="none"/>
                    </w:rPr>
                  </w:pPr>
                  <w:r>
                    <w:rPr>
                      <w:rFonts w:hint="eastAsia"/>
                      <w:color w:val="auto"/>
                      <w:highlight w:val="none"/>
                    </w:rPr>
                    <w:t>周转量</w:t>
                  </w:r>
                </w:p>
              </w:tc>
              <w:tc>
                <w:tcPr>
                  <w:tcW w:w="1269" w:type="dxa"/>
                  <w:vAlign w:val="center"/>
                </w:tcPr>
                <w:p w14:paraId="4655F6E3">
                  <w:pPr>
                    <w:pStyle w:val="30"/>
                    <w:rPr>
                      <w:color w:val="auto"/>
                      <w:highlight w:val="none"/>
                    </w:rPr>
                  </w:pPr>
                  <w:r>
                    <w:rPr>
                      <w:rFonts w:hint="eastAsia"/>
                      <w:color w:val="auto"/>
                      <w:highlight w:val="none"/>
                    </w:rPr>
                    <w:t>备注</w:t>
                  </w:r>
                </w:p>
              </w:tc>
            </w:tr>
            <w:tr w14:paraId="0FF1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dxa"/>
                  <w:vAlign w:val="center"/>
                </w:tcPr>
                <w:p w14:paraId="0E95E5E7">
                  <w:pPr>
                    <w:pStyle w:val="30"/>
                    <w:rPr>
                      <w:color w:val="auto"/>
                      <w:highlight w:val="none"/>
                    </w:rPr>
                  </w:pPr>
                  <w:r>
                    <w:rPr>
                      <w:rFonts w:hint="eastAsia"/>
                      <w:color w:val="auto"/>
                      <w:highlight w:val="none"/>
                    </w:rPr>
                    <w:t>1</w:t>
                  </w:r>
                </w:p>
              </w:tc>
              <w:tc>
                <w:tcPr>
                  <w:tcW w:w="2899" w:type="dxa"/>
                  <w:vAlign w:val="center"/>
                </w:tcPr>
                <w:p w14:paraId="5835B7C9">
                  <w:pPr>
                    <w:pStyle w:val="30"/>
                    <w:rPr>
                      <w:color w:val="auto"/>
                      <w:highlight w:val="none"/>
                    </w:rPr>
                  </w:pPr>
                  <w:r>
                    <w:rPr>
                      <w:color w:val="auto"/>
                      <w:highlight w:val="none"/>
                    </w:rPr>
                    <w:t>汽油（92#）</w:t>
                  </w:r>
                </w:p>
              </w:tc>
              <w:tc>
                <w:tcPr>
                  <w:tcW w:w="2419" w:type="dxa"/>
                  <w:vMerge w:val="restart"/>
                  <w:vAlign w:val="center"/>
                </w:tcPr>
                <w:p w14:paraId="1985A86A">
                  <w:pPr>
                    <w:pStyle w:val="30"/>
                    <w:rPr>
                      <w:color w:val="auto"/>
                      <w:highlight w:val="none"/>
                    </w:rPr>
                  </w:pPr>
                  <w:r>
                    <w:rPr>
                      <w:rFonts w:hint="eastAsia"/>
                      <w:color w:val="auto"/>
                      <w:highlight w:val="none"/>
                      <w:lang w:val="en-US" w:eastAsia="zh-CN"/>
                    </w:rPr>
                    <w:t>1000</w:t>
                  </w:r>
                  <w:r>
                    <w:rPr>
                      <w:rFonts w:hint="eastAsia"/>
                      <w:color w:val="auto"/>
                      <w:highlight w:val="none"/>
                    </w:rPr>
                    <w:t>t/a</w:t>
                  </w:r>
                </w:p>
              </w:tc>
              <w:tc>
                <w:tcPr>
                  <w:tcW w:w="1269" w:type="dxa"/>
                  <w:vMerge w:val="restart"/>
                  <w:vAlign w:val="center"/>
                </w:tcPr>
                <w:p w14:paraId="57AFFA8E">
                  <w:pPr>
                    <w:pStyle w:val="30"/>
                    <w:rPr>
                      <w:color w:val="auto"/>
                      <w:highlight w:val="none"/>
                    </w:rPr>
                  </w:pPr>
                  <w:r>
                    <w:rPr>
                      <w:rFonts w:hint="eastAsia"/>
                      <w:color w:val="auto"/>
                      <w:highlight w:val="none"/>
                    </w:rPr>
                    <w:t>外购</w:t>
                  </w:r>
                </w:p>
              </w:tc>
            </w:tr>
            <w:tr w14:paraId="6355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dxa"/>
                  <w:vAlign w:val="center"/>
                </w:tcPr>
                <w:p w14:paraId="13CF7592">
                  <w:pPr>
                    <w:pStyle w:val="30"/>
                    <w:rPr>
                      <w:color w:val="auto"/>
                      <w:highlight w:val="none"/>
                    </w:rPr>
                  </w:pPr>
                  <w:r>
                    <w:rPr>
                      <w:rFonts w:hint="eastAsia"/>
                      <w:color w:val="auto"/>
                      <w:highlight w:val="none"/>
                    </w:rPr>
                    <w:t>2</w:t>
                  </w:r>
                </w:p>
              </w:tc>
              <w:tc>
                <w:tcPr>
                  <w:tcW w:w="2899" w:type="dxa"/>
                  <w:vAlign w:val="center"/>
                </w:tcPr>
                <w:p w14:paraId="1BAD3B7E">
                  <w:pPr>
                    <w:pStyle w:val="30"/>
                    <w:rPr>
                      <w:color w:val="auto"/>
                      <w:highlight w:val="none"/>
                    </w:rPr>
                  </w:pPr>
                  <w:r>
                    <w:rPr>
                      <w:color w:val="auto"/>
                      <w:highlight w:val="none"/>
                    </w:rPr>
                    <w:t>汽油（95#）</w:t>
                  </w:r>
                </w:p>
              </w:tc>
              <w:tc>
                <w:tcPr>
                  <w:tcW w:w="2419" w:type="dxa"/>
                  <w:vMerge w:val="continue"/>
                  <w:vAlign w:val="center"/>
                </w:tcPr>
                <w:p w14:paraId="05B5DEF2">
                  <w:pPr>
                    <w:pStyle w:val="30"/>
                    <w:rPr>
                      <w:color w:val="auto"/>
                      <w:highlight w:val="none"/>
                    </w:rPr>
                  </w:pPr>
                </w:p>
              </w:tc>
              <w:tc>
                <w:tcPr>
                  <w:tcW w:w="1269" w:type="dxa"/>
                  <w:vMerge w:val="continue"/>
                  <w:vAlign w:val="center"/>
                </w:tcPr>
                <w:p w14:paraId="25FB2D5A">
                  <w:pPr>
                    <w:pStyle w:val="30"/>
                    <w:rPr>
                      <w:color w:val="auto"/>
                      <w:highlight w:val="none"/>
                    </w:rPr>
                  </w:pPr>
                </w:p>
              </w:tc>
            </w:tr>
            <w:tr w14:paraId="1EE4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dxa"/>
                  <w:vAlign w:val="center"/>
                </w:tcPr>
                <w:p w14:paraId="59914390">
                  <w:pPr>
                    <w:pStyle w:val="30"/>
                    <w:rPr>
                      <w:rFonts w:hint="eastAsia" w:eastAsia="宋体"/>
                      <w:color w:val="auto"/>
                      <w:highlight w:val="none"/>
                      <w:lang w:eastAsia="zh-CN"/>
                    </w:rPr>
                  </w:pPr>
                  <w:r>
                    <w:rPr>
                      <w:rFonts w:hint="eastAsia"/>
                      <w:color w:val="auto"/>
                      <w:highlight w:val="none"/>
                      <w:lang w:val="en-US" w:eastAsia="zh-CN"/>
                    </w:rPr>
                    <w:t>3</w:t>
                  </w:r>
                </w:p>
              </w:tc>
              <w:tc>
                <w:tcPr>
                  <w:tcW w:w="2899" w:type="dxa"/>
                  <w:vAlign w:val="center"/>
                </w:tcPr>
                <w:p w14:paraId="2C4D9D60">
                  <w:pPr>
                    <w:pStyle w:val="30"/>
                    <w:rPr>
                      <w:color w:val="auto"/>
                      <w:highlight w:val="none"/>
                    </w:rPr>
                  </w:pPr>
                  <w:r>
                    <w:rPr>
                      <w:color w:val="auto"/>
                      <w:highlight w:val="none"/>
                    </w:rPr>
                    <w:t>柴油（0#）</w:t>
                  </w:r>
                </w:p>
              </w:tc>
              <w:tc>
                <w:tcPr>
                  <w:tcW w:w="2419" w:type="dxa"/>
                  <w:vAlign w:val="center"/>
                </w:tcPr>
                <w:p w14:paraId="09B3B4C3">
                  <w:pPr>
                    <w:pStyle w:val="30"/>
                    <w:rPr>
                      <w:color w:val="auto"/>
                      <w:highlight w:val="none"/>
                    </w:rPr>
                  </w:pPr>
                  <w:r>
                    <w:rPr>
                      <w:rFonts w:hint="eastAsia"/>
                      <w:color w:val="auto"/>
                      <w:highlight w:val="none"/>
                      <w:lang w:val="en-US" w:eastAsia="zh-CN"/>
                    </w:rPr>
                    <w:t>3000</w:t>
                  </w:r>
                  <w:r>
                    <w:rPr>
                      <w:rFonts w:hint="eastAsia"/>
                      <w:color w:val="auto"/>
                      <w:highlight w:val="none"/>
                    </w:rPr>
                    <w:t>t/a</w:t>
                  </w:r>
                </w:p>
              </w:tc>
              <w:tc>
                <w:tcPr>
                  <w:tcW w:w="1269" w:type="dxa"/>
                  <w:vAlign w:val="center"/>
                </w:tcPr>
                <w:p w14:paraId="7AC4DBDF">
                  <w:pPr>
                    <w:pStyle w:val="30"/>
                    <w:rPr>
                      <w:color w:val="auto"/>
                      <w:highlight w:val="none"/>
                    </w:rPr>
                  </w:pPr>
                  <w:r>
                    <w:rPr>
                      <w:rFonts w:hint="eastAsia"/>
                      <w:color w:val="auto"/>
                      <w:highlight w:val="none"/>
                    </w:rPr>
                    <w:t>外购</w:t>
                  </w:r>
                </w:p>
              </w:tc>
            </w:tr>
            <w:tr w14:paraId="4882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dxa"/>
                  <w:vAlign w:val="center"/>
                </w:tcPr>
                <w:p w14:paraId="1D681777">
                  <w:pPr>
                    <w:pStyle w:val="30"/>
                    <w:rPr>
                      <w:rFonts w:hint="eastAsia" w:eastAsia="宋体"/>
                      <w:color w:val="auto"/>
                      <w:highlight w:val="none"/>
                      <w:lang w:val="en-US" w:eastAsia="zh-CN"/>
                    </w:rPr>
                  </w:pPr>
                  <w:r>
                    <w:rPr>
                      <w:rFonts w:hint="eastAsia"/>
                      <w:color w:val="auto"/>
                      <w:highlight w:val="none"/>
                      <w:lang w:val="en-US" w:eastAsia="zh-CN"/>
                    </w:rPr>
                    <w:t>4</w:t>
                  </w:r>
                </w:p>
              </w:tc>
              <w:tc>
                <w:tcPr>
                  <w:tcW w:w="2899" w:type="dxa"/>
                  <w:shd w:val="clear" w:color="auto" w:fill="auto"/>
                  <w:vAlign w:val="center"/>
                </w:tcPr>
                <w:p w14:paraId="6FCBFD67">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车用尿素</w:t>
                  </w:r>
                </w:p>
              </w:tc>
              <w:tc>
                <w:tcPr>
                  <w:tcW w:w="2419" w:type="dxa"/>
                  <w:shd w:val="clear" w:color="auto" w:fill="auto"/>
                  <w:vAlign w:val="center"/>
                </w:tcPr>
                <w:p w14:paraId="2525BFEA">
                  <w:pPr>
                    <w:pStyle w:val="3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150t/a</w:t>
                  </w:r>
                </w:p>
              </w:tc>
              <w:tc>
                <w:tcPr>
                  <w:tcW w:w="1269" w:type="dxa"/>
                  <w:shd w:val="clear" w:color="auto" w:fill="auto"/>
                  <w:vAlign w:val="center"/>
                </w:tcPr>
                <w:p w14:paraId="7C1E0E26">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外购</w:t>
                  </w:r>
                </w:p>
              </w:tc>
            </w:tr>
          </w:tbl>
          <w:p w14:paraId="2CD6FBFB">
            <w:pPr>
              <w:ind w:firstLine="420"/>
              <w:rPr>
                <w:color w:val="auto"/>
                <w:highlight w:val="none"/>
              </w:rPr>
            </w:pPr>
            <w:r>
              <w:rPr>
                <w:rFonts w:hint="eastAsia"/>
                <w:color w:val="auto"/>
                <w:highlight w:val="none"/>
              </w:rPr>
              <w:t>项目</w:t>
            </w:r>
            <w:r>
              <w:rPr>
                <w:rFonts w:hint="eastAsia"/>
                <w:color w:val="auto"/>
                <w:highlight w:val="none"/>
                <w:lang w:eastAsia="zh-CN"/>
              </w:rPr>
              <w:t>智慧货运维修中心</w:t>
            </w:r>
            <w:r>
              <w:rPr>
                <w:color w:val="auto"/>
                <w:highlight w:val="none"/>
              </w:rPr>
              <w:t>主要从事</w:t>
            </w:r>
            <w:r>
              <w:rPr>
                <w:rFonts w:hint="eastAsia"/>
                <w:color w:val="auto"/>
                <w:highlight w:val="none"/>
              </w:rPr>
              <w:t>货车</w:t>
            </w:r>
            <w:r>
              <w:rPr>
                <w:color w:val="auto"/>
                <w:highlight w:val="none"/>
              </w:rPr>
              <w:t>维修服务，</w:t>
            </w:r>
            <w:r>
              <w:rPr>
                <w:rFonts w:hint="eastAsia"/>
                <w:color w:val="auto"/>
                <w:highlight w:val="none"/>
                <w:lang w:eastAsia="zh-CN"/>
              </w:rPr>
              <w:t>对车辆进行</w:t>
            </w:r>
            <w:r>
              <w:rPr>
                <w:color w:val="auto"/>
                <w:highlight w:val="none"/>
              </w:rPr>
              <w:t>更换零</w:t>
            </w:r>
            <w:r>
              <w:rPr>
                <w:rFonts w:hint="eastAsia"/>
                <w:color w:val="auto"/>
                <w:highlight w:val="none"/>
              </w:rPr>
              <w:t>部件</w:t>
            </w:r>
            <w:r>
              <w:rPr>
                <w:color w:val="auto"/>
                <w:highlight w:val="none"/>
              </w:rPr>
              <w:t>、轮胎平衡、更换轮胎</w:t>
            </w:r>
            <w:r>
              <w:rPr>
                <w:rFonts w:hint="eastAsia"/>
                <w:color w:val="auto"/>
                <w:highlight w:val="none"/>
              </w:rPr>
              <w:t>、钣金焊接修复</w:t>
            </w:r>
            <w:r>
              <w:rPr>
                <w:rFonts w:hint="eastAsia"/>
                <w:color w:val="auto"/>
                <w:highlight w:val="none"/>
                <w:lang w:eastAsia="zh-CN"/>
              </w:rPr>
              <w:t>等简单维修、保养，</w:t>
            </w:r>
            <w:r>
              <w:rPr>
                <w:rFonts w:hint="eastAsia"/>
                <w:color w:val="auto"/>
                <w:highlight w:val="none"/>
              </w:rPr>
              <w:t>不涉及</w:t>
            </w:r>
            <w:r>
              <w:rPr>
                <w:color w:val="auto"/>
                <w:highlight w:val="none"/>
              </w:rPr>
              <w:t>喷漆工序</w:t>
            </w:r>
            <w:r>
              <w:rPr>
                <w:rFonts w:hint="eastAsia"/>
                <w:color w:val="auto"/>
                <w:highlight w:val="none"/>
              </w:rPr>
              <w:t>，</w:t>
            </w:r>
            <w:r>
              <w:rPr>
                <w:color w:val="auto"/>
                <w:highlight w:val="none"/>
              </w:rPr>
              <w:t>维修</w:t>
            </w:r>
            <w:r>
              <w:rPr>
                <w:rFonts w:hint="eastAsia"/>
                <w:color w:val="auto"/>
                <w:highlight w:val="none"/>
              </w:rPr>
              <w:t>车辆约</w:t>
            </w:r>
            <w:r>
              <w:rPr>
                <w:rFonts w:hint="eastAsia"/>
                <w:color w:val="auto"/>
                <w:highlight w:val="none"/>
                <w:lang w:val="en-US" w:eastAsia="zh-CN"/>
              </w:rPr>
              <w:t>20</w:t>
            </w:r>
            <w:r>
              <w:rPr>
                <w:rFonts w:hint="eastAsia"/>
                <w:color w:val="auto"/>
                <w:highlight w:val="none"/>
              </w:rPr>
              <w:t>00</w:t>
            </w:r>
            <w:r>
              <w:rPr>
                <w:color w:val="auto"/>
                <w:highlight w:val="none"/>
              </w:rPr>
              <w:t>辆/年。</w:t>
            </w:r>
          </w:p>
          <w:p w14:paraId="3F2AB550">
            <w:pPr>
              <w:pStyle w:val="6"/>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t xml:space="preserve"> </w:t>
            </w:r>
            <w:r>
              <w:rPr>
                <w:rFonts w:hint="eastAsia"/>
                <w:color w:val="auto"/>
                <w:highlight w:val="none"/>
                <w:lang w:eastAsia="zh-CN"/>
              </w:rPr>
              <w:t>智慧货运维修中心</w:t>
            </w:r>
            <w:r>
              <w:rPr>
                <w:rFonts w:hint="eastAsia"/>
                <w:color w:val="auto"/>
                <w:highlight w:val="none"/>
              </w:rPr>
              <w:t>经营规模一览表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29"/>
              <w:gridCol w:w="1329"/>
              <w:gridCol w:w="1934"/>
              <w:gridCol w:w="1935"/>
            </w:tblGrid>
            <w:tr w14:paraId="1FEE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shd w:val="clear" w:color="auto" w:fill="auto"/>
                  <w:vAlign w:val="center"/>
                </w:tcPr>
                <w:p w14:paraId="2AB384EF">
                  <w:pPr>
                    <w:pStyle w:val="30"/>
                    <w:rPr>
                      <w:color w:val="auto"/>
                      <w:highlight w:val="none"/>
                    </w:rPr>
                  </w:pPr>
                  <w:r>
                    <w:rPr>
                      <w:color w:val="auto"/>
                      <w:highlight w:val="none"/>
                    </w:rPr>
                    <w:t>名称</w:t>
                  </w:r>
                </w:p>
              </w:tc>
              <w:tc>
                <w:tcPr>
                  <w:tcW w:w="340" w:type="dxa"/>
                  <w:shd w:val="clear" w:color="auto" w:fill="auto"/>
                  <w:vAlign w:val="center"/>
                </w:tcPr>
                <w:p w14:paraId="09071D34">
                  <w:pPr>
                    <w:pStyle w:val="30"/>
                    <w:rPr>
                      <w:color w:val="auto"/>
                      <w:highlight w:val="none"/>
                    </w:rPr>
                  </w:pPr>
                  <w:r>
                    <w:rPr>
                      <w:color w:val="auto"/>
                      <w:highlight w:val="none"/>
                    </w:rPr>
                    <w:t>单位</w:t>
                  </w:r>
                </w:p>
              </w:tc>
              <w:tc>
                <w:tcPr>
                  <w:tcW w:w="340" w:type="dxa"/>
                  <w:gridSpan w:val="2"/>
                  <w:shd w:val="clear" w:color="auto" w:fill="auto"/>
                  <w:vAlign w:val="center"/>
                </w:tcPr>
                <w:p w14:paraId="2EBB761D">
                  <w:pPr>
                    <w:pStyle w:val="30"/>
                    <w:rPr>
                      <w:color w:val="auto"/>
                      <w:highlight w:val="none"/>
                    </w:rPr>
                  </w:pPr>
                  <w:r>
                    <w:rPr>
                      <w:color w:val="auto"/>
                      <w:highlight w:val="none"/>
                    </w:rPr>
                    <w:t>规模</w:t>
                  </w:r>
                </w:p>
              </w:tc>
              <w:tc>
                <w:tcPr>
                  <w:tcW w:w="340" w:type="dxa"/>
                  <w:shd w:val="clear" w:color="auto" w:fill="auto"/>
                  <w:vAlign w:val="center"/>
                </w:tcPr>
                <w:p w14:paraId="78DBDE94">
                  <w:pPr>
                    <w:pStyle w:val="30"/>
                    <w:rPr>
                      <w:color w:val="auto"/>
                      <w:highlight w:val="none"/>
                    </w:rPr>
                  </w:pPr>
                  <w:r>
                    <w:rPr>
                      <w:rFonts w:hint="eastAsia"/>
                      <w:color w:val="auto"/>
                      <w:highlight w:val="none"/>
                    </w:rPr>
                    <w:t>总计</w:t>
                  </w:r>
                </w:p>
              </w:tc>
            </w:tr>
            <w:tr w14:paraId="7A6B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shd w:val="clear" w:color="auto" w:fill="auto"/>
                  <w:vAlign w:val="center"/>
                </w:tcPr>
                <w:p w14:paraId="77790EB5">
                  <w:pPr>
                    <w:pStyle w:val="30"/>
                    <w:rPr>
                      <w:color w:val="auto"/>
                      <w:highlight w:val="none"/>
                    </w:rPr>
                  </w:pPr>
                  <w:r>
                    <w:rPr>
                      <w:rFonts w:hint="eastAsia"/>
                      <w:color w:val="auto"/>
                      <w:highlight w:val="none"/>
                      <w:lang w:val="en-US" w:eastAsia="zh-CN"/>
                    </w:rPr>
                    <w:t>货运</w:t>
                  </w:r>
                  <w:r>
                    <w:rPr>
                      <w:color w:val="auto"/>
                      <w:highlight w:val="none"/>
                    </w:rPr>
                    <w:t>车辆维修</w:t>
                  </w:r>
                </w:p>
              </w:tc>
              <w:tc>
                <w:tcPr>
                  <w:tcW w:w="340" w:type="dxa"/>
                  <w:vMerge w:val="restart"/>
                  <w:shd w:val="clear" w:color="auto" w:fill="auto"/>
                  <w:vAlign w:val="center"/>
                </w:tcPr>
                <w:p w14:paraId="0F58F0C4">
                  <w:pPr>
                    <w:pStyle w:val="30"/>
                    <w:rPr>
                      <w:color w:val="auto"/>
                      <w:highlight w:val="none"/>
                    </w:rPr>
                  </w:pPr>
                  <w:r>
                    <w:rPr>
                      <w:color w:val="auto"/>
                      <w:highlight w:val="none"/>
                    </w:rPr>
                    <w:t>辆/年</w:t>
                  </w:r>
                </w:p>
              </w:tc>
              <w:tc>
                <w:tcPr>
                  <w:tcW w:w="340" w:type="dxa"/>
                  <w:shd w:val="clear" w:color="auto" w:fill="auto"/>
                  <w:vAlign w:val="center"/>
                </w:tcPr>
                <w:p w14:paraId="77AA354B">
                  <w:pPr>
                    <w:pStyle w:val="30"/>
                    <w:rPr>
                      <w:color w:val="auto"/>
                      <w:highlight w:val="none"/>
                    </w:rPr>
                  </w:pPr>
                  <w:r>
                    <w:rPr>
                      <w:rFonts w:hint="eastAsia"/>
                      <w:color w:val="auto"/>
                      <w:highlight w:val="none"/>
                    </w:rPr>
                    <w:t>大型</w:t>
                  </w:r>
                </w:p>
              </w:tc>
              <w:tc>
                <w:tcPr>
                  <w:tcW w:w="340" w:type="dxa"/>
                  <w:shd w:val="clear" w:color="auto" w:fill="auto"/>
                  <w:vAlign w:val="center"/>
                </w:tcPr>
                <w:p w14:paraId="25CBDDFC">
                  <w:pPr>
                    <w:pStyle w:val="30"/>
                    <w:rPr>
                      <w:color w:val="auto"/>
                      <w:highlight w:val="none"/>
                    </w:rPr>
                  </w:pPr>
                  <w:r>
                    <w:rPr>
                      <w:rFonts w:hint="eastAsia"/>
                      <w:color w:val="auto"/>
                      <w:highlight w:val="none"/>
                      <w:lang w:val="en-US" w:eastAsia="zh-CN"/>
                    </w:rPr>
                    <w:t>10</w:t>
                  </w:r>
                  <w:r>
                    <w:rPr>
                      <w:rFonts w:hint="eastAsia"/>
                      <w:color w:val="auto"/>
                      <w:highlight w:val="none"/>
                    </w:rPr>
                    <w:t>00</w:t>
                  </w:r>
                </w:p>
              </w:tc>
              <w:tc>
                <w:tcPr>
                  <w:tcW w:w="340" w:type="dxa"/>
                  <w:vMerge w:val="restart"/>
                  <w:shd w:val="clear" w:color="auto" w:fill="auto"/>
                  <w:vAlign w:val="center"/>
                </w:tcPr>
                <w:p w14:paraId="5AB84C1D">
                  <w:pPr>
                    <w:pStyle w:val="30"/>
                    <w:rPr>
                      <w:rFonts w:hint="default" w:eastAsia="宋体"/>
                      <w:color w:val="auto"/>
                      <w:highlight w:val="none"/>
                      <w:lang w:val="en-US" w:eastAsia="zh-CN"/>
                    </w:rPr>
                  </w:pPr>
                  <w:r>
                    <w:rPr>
                      <w:rFonts w:hint="eastAsia"/>
                      <w:color w:val="auto"/>
                      <w:highlight w:val="none"/>
                      <w:lang w:val="en-US" w:eastAsia="zh-CN"/>
                    </w:rPr>
                    <w:t>2000</w:t>
                  </w:r>
                </w:p>
              </w:tc>
            </w:tr>
            <w:tr w14:paraId="503E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shd w:val="clear" w:color="auto" w:fill="auto"/>
                  <w:vAlign w:val="center"/>
                </w:tcPr>
                <w:p w14:paraId="79C3B83C">
                  <w:pPr>
                    <w:pStyle w:val="30"/>
                    <w:rPr>
                      <w:color w:val="auto"/>
                      <w:highlight w:val="none"/>
                    </w:rPr>
                  </w:pPr>
                </w:p>
              </w:tc>
              <w:tc>
                <w:tcPr>
                  <w:tcW w:w="340" w:type="dxa"/>
                  <w:vMerge w:val="continue"/>
                  <w:shd w:val="clear" w:color="auto" w:fill="auto"/>
                  <w:vAlign w:val="center"/>
                </w:tcPr>
                <w:p w14:paraId="743CADD0">
                  <w:pPr>
                    <w:pStyle w:val="30"/>
                    <w:rPr>
                      <w:color w:val="auto"/>
                      <w:highlight w:val="none"/>
                    </w:rPr>
                  </w:pPr>
                </w:p>
              </w:tc>
              <w:tc>
                <w:tcPr>
                  <w:tcW w:w="340" w:type="dxa"/>
                  <w:shd w:val="clear" w:color="auto" w:fill="auto"/>
                  <w:vAlign w:val="center"/>
                </w:tcPr>
                <w:p w14:paraId="532149FD">
                  <w:pPr>
                    <w:pStyle w:val="30"/>
                    <w:rPr>
                      <w:color w:val="auto"/>
                      <w:highlight w:val="none"/>
                    </w:rPr>
                  </w:pPr>
                  <w:r>
                    <w:rPr>
                      <w:rFonts w:hint="eastAsia"/>
                      <w:color w:val="auto"/>
                      <w:highlight w:val="none"/>
                    </w:rPr>
                    <w:t>中型</w:t>
                  </w:r>
                </w:p>
              </w:tc>
              <w:tc>
                <w:tcPr>
                  <w:tcW w:w="340" w:type="dxa"/>
                  <w:shd w:val="clear" w:color="auto" w:fill="auto"/>
                  <w:vAlign w:val="center"/>
                </w:tcPr>
                <w:p w14:paraId="24DEA887">
                  <w:pPr>
                    <w:pStyle w:val="30"/>
                    <w:rPr>
                      <w:color w:val="auto"/>
                      <w:highlight w:val="none"/>
                    </w:rPr>
                  </w:pPr>
                  <w:r>
                    <w:rPr>
                      <w:rFonts w:hint="eastAsia"/>
                      <w:color w:val="auto"/>
                      <w:highlight w:val="none"/>
                      <w:lang w:val="en-US" w:eastAsia="zh-CN"/>
                    </w:rPr>
                    <w:t>5</w:t>
                  </w:r>
                  <w:r>
                    <w:rPr>
                      <w:rFonts w:hint="eastAsia"/>
                      <w:color w:val="auto"/>
                      <w:highlight w:val="none"/>
                    </w:rPr>
                    <w:t>00</w:t>
                  </w:r>
                </w:p>
              </w:tc>
              <w:tc>
                <w:tcPr>
                  <w:tcW w:w="340" w:type="dxa"/>
                  <w:vMerge w:val="continue"/>
                  <w:shd w:val="clear" w:color="auto" w:fill="auto"/>
                  <w:vAlign w:val="center"/>
                </w:tcPr>
                <w:p w14:paraId="3BA67B0E">
                  <w:pPr>
                    <w:pStyle w:val="30"/>
                    <w:rPr>
                      <w:color w:val="auto"/>
                      <w:highlight w:val="none"/>
                    </w:rPr>
                  </w:pPr>
                </w:p>
              </w:tc>
            </w:tr>
            <w:tr w14:paraId="639A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shd w:val="clear" w:color="auto" w:fill="auto"/>
                  <w:vAlign w:val="center"/>
                </w:tcPr>
                <w:p w14:paraId="0336CA07">
                  <w:pPr>
                    <w:pStyle w:val="30"/>
                    <w:rPr>
                      <w:color w:val="auto"/>
                      <w:highlight w:val="none"/>
                    </w:rPr>
                  </w:pPr>
                </w:p>
              </w:tc>
              <w:tc>
                <w:tcPr>
                  <w:tcW w:w="340" w:type="dxa"/>
                  <w:vMerge w:val="continue"/>
                  <w:shd w:val="clear" w:color="auto" w:fill="auto"/>
                  <w:vAlign w:val="center"/>
                </w:tcPr>
                <w:p w14:paraId="72AA6500">
                  <w:pPr>
                    <w:pStyle w:val="30"/>
                    <w:rPr>
                      <w:color w:val="auto"/>
                      <w:highlight w:val="none"/>
                    </w:rPr>
                  </w:pPr>
                </w:p>
              </w:tc>
              <w:tc>
                <w:tcPr>
                  <w:tcW w:w="340" w:type="dxa"/>
                  <w:shd w:val="clear" w:color="auto" w:fill="auto"/>
                  <w:vAlign w:val="center"/>
                </w:tcPr>
                <w:p w14:paraId="7B4AB609">
                  <w:pPr>
                    <w:pStyle w:val="30"/>
                    <w:rPr>
                      <w:color w:val="auto"/>
                      <w:highlight w:val="none"/>
                    </w:rPr>
                  </w:pPr>
                  <w:r>
                    <w:rPr>
                      <w:rFonts w:hint="eastAsia"/>
                      <w:color w:val="auto"/>
                      <w:highlight w:val="none"/>
                    </w:rPr>
                    <w:t>小型</w:t>
                  </w:r>
                </w:p>
              </w:tc>
              <w:tc>
                <w:tcPr>
                  <w:tcW w:w="340" w:type="dxa"/>
                  <w:shd w:val="clear" w:color="auto" w:fill="auto"/>
                  <w:vAlign w:val="center"/>
                </w:tcPr>
                <w:p w14:paraId="14BE13DB">
                  <w:pPr>
                    <w:pStyle w:val="30"/>
                    <w:rPr>
                      <w:color w:val="auto"/>
                      <w:highlight w:val="none"/>
                    </w:rPr>
                  </w:pPr>
                  <w:r>
                    <w:rPr>
                      <w:rFonts w:hint="eastAsia"/>
                      <w:color w:val="auto"/>
                      <w:highlight w:val="none"/>
                    </w:rPr>
                    <w:t>500</w:t>
                  </w:r>
                </w:p>
              </w:tc>
              <w:tc>
                <w:tcPr>
                  <w:tcW w:w="340" w:type="dxa"/>
                  <w:vMerge w:val="continue"/>
                  <w:shd w:val="clear" w:color="auto" w:fill="auto"/>
                  <w:vAlign w:val="center"/>
                </w:tcPr>
                <w:p w14:paraId="70A11665">
                  <w:pPr>
                    <w:pStyle w:val="30"/>
                    <w:rPr>
                      <w:color w:val="auto"/>
                      <w:highlight w:val="none"/>
                    </w:rPr>
                  </w:pPr>
                </w:p>
              </w:tc>
            </w:tr>
          </w:tbl>
          <w:p w14:paraId="3147D7F5">
            <w:pPr>
              <w:overflowPunct w:val="0"/>
              <w:autoSpaceDE w:val="0"/>
              <w:autoSpaceDN w:val="0"/>
              <w:ind w:firstLine="480" w:firstLineChars="200"/>
              <w:rPr>
                <w:color w:val="auto"/>
                <w:highlight w:val="none"/>
              </w:rPr>
            </w:pPr>
            <w:r>
              <w:rPr>
                <w:color w:val="auto"/>
                <w:highlight w:val="none"/>
              </w:rPr>
              <w:t>2.</w:t>
            </w:r>
            <w:r>
              <w:rPr>
                <w:rFonts w:hint="eastAsia"/>
                <w:color w:val="auto"/>
                <w:highlight w:val="none"/>
              </w:rPr>
              <w:t>4加油站等级</w:t>
            </w:r>
          </w:p>
          <w:p w14:paraId="34A6930F">
            <w:pPr>
              <w:overflowPunct w:val="0"/>
              <w:autoSpaceDE w:val="0"/>
              <w:autoSpaceDN w:val="0"/>
              <w:ind w:firstLine="480" w:firstLineChars="200"/>
              <w:rPr>
                <w:rFonts w:hint="default" w:eastAsia="宋体"/>
                <w:color w:val="auto"/>
                <w:highlight w:val="none"/>
                <w:lang w:val="en-US" w:eastAsia="zh-CN"/>
              </w:rPr>
            </w:pPr>
            <w:r>
              <w:rPr>
                <w:rFonts w:hint="eastAsia"/>
                <w:color w:val="auto"/>
                <w:highlight w:val="none"/>
                <w:lang w:eastAsia="zh-CN"/>
              </w:rPr>
              <w:t>项目综合能源站</w:t>
            </w:r>
            <w:r>
              <w:rPr>
                <w:rFonts w:hint="eastAsia"/>
                <w:color w:val="auto"/>
                <w:highlight w:val="none"/>
              </w:rPr>
              <w:t>埋地油罐区内设置2台30</w:t>
            </w:r>
            <w:r>
              <w:rPr>
                <w:color w:val="auto"/>
                <w:highlight w:val="none"/>
              </w:rPr>
              <w:t>m</w:t>
            </w:r>
            <w:r>
              <w:rPr>
                <w:color w:val="auto"/>
                <w:highlight w:val="none"/>
                <w:vertAlign w:val="superscript"/>
              </w:rPr>
              <w:t>3</w:t>
            </w:r>
            <w:r>
              <w:rPr>
                <w:rFonts w:hint="eastAsia"/>
                <w:color w:val="auto"/>
                <w:highlight w:val="none"/>
              </w:rPr>
              <w:t>汽油储罐，3台50</w:t>
            </w:r>
            <w:r>
              <w:rPr>
                <w:color w:val="auto"/>
                <w:highlight w:val="none"/>
              </w:rPr>
              <w:t>m</w:t>
            </w:r>
            <w:r>
              <w:rPr>
                <w:color w:val="auto"/>
                <w:highlight w:val="none"/>
                <w:vertAlign w:val="superscript"/>
              </w:rPr>
              <w:t>3</w:t>
            </w:r>
            <w:r>
              <w:rPr>
                <w:rFonts w:hint="eastAsia"/>
                <w:color w:val="auto"/>
                <w:highlight w:val="none"/>
              </w:rPr>
              <w:t>柴油储罐，</w:t>
            </w:r>
            <w:r>
              <w:rPr>
                <w:color w:val="auto"/>
                <w:highlight w:val="none"/>
              </w:rPr>
              <w:t>折合</w:t>
            </w:r>
            <w:r>
              <w:rPr>
                <w:rFonts w:hint="eastAsia"/>
                <w:color w:val="auto"/>
                <w:highlight w:val="none"/>
              </w:rPr>
              <w:t>汽油</w:t>
            </w:r>
            <w:r>
              <w:rPr>
                <w:color w:val="auto"/>
                <w:highlight w:val="none"/>
              </w:rPr>
              <w:t>后总容量为</w:t>
            </w:r>
            <w:r>
              <w:rPr>
                <w:rFonts w:hint="eastAsia"/>
                <w:color w:val="auto"/>
                <w:highlight w:val="none"/>
              </w:rPr>
              <w:t>135</w:t>
            </w:r>
            <w:r>
              <w:rPr>
                <w:color w:val="auto"/>
                <w:highlight w:val="none"/>
              </w:rPr>
              <w:t>m</w:t>
            </w:r>
            <w:r>
              <w:rPr>
                <w:color w:val="auto"/>
                <w:highlight w:val="none"/>
                <w:vertAlign w:val="superscript"/>
              </w:rPr>
              <w:t>3</w:t>
            </w:r>
            <w:r>
              <w:rPr>
                <w:rFonts w:hint="eastAsia"/>
                <w:color w:val="auto"/>
                <w:highlight w:val="none"/>
              </w:rPr>
              <w:t>（柴油折半计算）。</w:t>
            </w:r>
          </w:p>
          <w:p w14:paraId="68AF3376">
            <w:pPr>
              <w:overflowPunct w:val="0"/>
              <w:autoSpaceDE w:val="0"/>
              <w:autoSpaceDN w:val="0"/>
              <w:ind w:firstLine="480" w:firstLineChars="200"/>
              <w:rPr>
                <w:color w:val="auto"/>
                <w:highlight w:val="none"/>
              </w:rPr>
            </w:pPr>
            <w:r>
              <w:rPr>
                <w:rFonts w:hint="eastAsia"/>
                <w:color w:val="auto"/>
                <w:highlight w:val="none"/>
              </w:rPr>
              <w:t>依据《汽车加油加气加氢站技术标准》</w:t>
            </w:r>
            <w:r>
              <w:rPr>
                <w:rFonts w:hint="eastAsia"/>
                <w:color w:val="auto"/>
                <w:highlight w:val="none"/>
                <w:lang w:eastAsia="zh-CN"/>
              </w:rPr>
              <w:t>（</w:t>
            </w:r>
            <w:r>
              <w:rPr>
                <w:rFonts w:hint="eastAsia"/>
                <w:color w:val="auto"/>
                <w:highlight w:val="none"/>
              </w:rPr>
              <w:t>GB50156-2021</w:t>
            </w:r>
            <w:r>
              <w:rPr>
                <w:rFonts w:hint="eastAsia"/>
                <w:color w:val="auto"/>
                <w:highlight w:val="none"/>
                <w:lang w:eastAsia="zh-CN"/>
              </w:rPr>
              <w:t>）</w:t>
            </w:r>
            <w:r>
              <w:rPr>
                <w:rFonts w:hint="eastAsia"/>
                <w:color w:val="auto"/>
                <w:highlight w:val="none"/>
                <w:lang w:val="en-US" w:eastAsia="zh-CN"/>
              </w:rPr>
              <w:t>中加油站等级划分表可知</w:t>
            </w:r>
            <w:r>
              <w:rPr>
                <w:rFonts w:hint="eastAsia"/>
                <w:color w:val="auto"/>
                <w:highlight w:val="none"/>
              </w:rPr>
              <w:t>，本</w:t>
            </w:r>
            <w:r>
              <w:rPr>
                <w:rFonts w:hint="eastAsia"/>
                <w:color w:val="auto"/>
                <w:highlight w:val="none"/>
                <w:lang w:val="en-US" w:eastAsia="zh-CN"/>
              </w:rPr>
              <w:t>项目</w:t>
            </w:r>
            <w:r>
              <w:rPr>
                <w:rFonts w:hint="eastAsia"/>
                <w:color w:val="auto"/>
                <w:highlight w:val="none"/>
              </w:rPr>
              <w:t>加油站等级为二级加油站。</w:t>
            </w:r>
          </w:p>
          <w:p w14:paraId="7FA297FA">
            <w:pPr>
              <w:pStyle w:val="6"/>
              <w:overflowPunct w:val="0"/>
              <w:autoSpaceDE w:val="0"/>
              <w:autoSpaceDN w:val="0"/>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t xml:space="preserve"> 加油站等级划分表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2452"/>
              <w:gridCol w:w="3406"/>
            </w:tblGrid>
            <w:tr w14:paraId="31E3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296B3932">
                  <w:pPr>
                    <w:pStyle w:val="30"/>
                    <w:rPr>
                      <w:color w:val="auto"/>
                      <w:highlight w:val="none"/>
                    </w:rPr>
                  </w:pPr>
                  <w:r>
                    <w:rPr>
                      <w:rFonts w:hint="eastAsia"/>
                      <w:color w:val="auto"/>
                      <w:highlight w:val="none"/>
                    </w:rPr>
                    <w:t>加油站等级</w:t>
                  </w:r>
                </w:p>
              </w:tc>
              <w:tc>
                <w:tcPr>
                  <w:tcW w:w="340" w:type="dxa"/>
                  <w:gridSpan w:val="2"/>
                  <w:vAlign w:val="center"/>
                </w:tcPr>
                <w:p w14:paraId="107B48DB">
                  <w:pPr>
                    <w:pStyle w:val="30"/>
                    <w:rPr>
                      <w:color w:val="auto"/>
                      <w:highlight w:val="none"/>
                    </w:rPr>
                  </w:pPr>
                  <w:r>
                    <w:rPr>
                      <w:rFonts w:hint="eastAsia"/>
                      <w:color w:val="auto"/>
                      <w:highlight w:val="none"/>
                    </w:rPr>
                    <w:t>加油站油罐容积（m</w:t>
                  </w:r>
                  <w:r>
                    <w:rPr>
                      <w:rFonts w:hint="eastAsia"/>
                      <w:color w:val="auto"/>
                      <w:highlight w:val="none"/>
                      <w:vertAlign w:val="superscript"/>
                    </w:rPr>
                    <w:t>3</w:t>
                  </w:r>
                  <w:r>
                    <w:rPr>
                      <w:rFonts w:hint="eastAsia"/>
                      <w:color w:val="auto"/>
                      <w:highlight w:val="none"/>
                    </w:rPr>
                    <w:t>）</w:t>
                  </w:r>
                </w:p>
              </w:tc>
            </w:tr>
            <w:tr w14:paraId="3435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0CCE7DAA">
                  <w:pPr>
                    <w:pStyle w:val="30"/>
                    <w:rPr>
                      <w:color w:val="auto"/>
                      <w:highlight w:val="none"/>
                    </w:rPr>
                  </w:pPr>
                </w:p>
              </w:tc>
              <w:tc>
                <w:tcPr>
                  <w:tcW w:w="340" w:type="dxa"/>
                  <w:vAlign w:val="center"/>
                </w:tcPr>
                <w:p w14:paraId="61447C87">
                  <w:pPr>
                    <w:pStyle w:val="30"/>
                    <w:rPr>
                      <w:color w:val="auto"/>
                      <w:highlight w:val="none"/>
                    </w:rPr>
                  </w:pPr>
                  <w:r>
                    <w:rPr>
                      <w:rFonts w:hint="eastAsia"/>
                      <w:color w:val="auto"/>
                      <w:highlight w:val="none"/>
                    </w:rPr>
                    <w:t>总容积V</w:t>
                  </w:r>
                </w:p>
              </w:tc>
              <w:tc>
                <w:tcPr>
                  <w:tcW w:w="340" w:type="dxa"/>
                  <w:vAlign w:val="center"/>
                </w:tcPr>
                <w:p w14:paraId="174E3C41">
                  <w:pPr>
                    <w:pStyle w:val="30"/>
                    <w:rPr>
                      <w:color w:val="auto"/>
                      <w:highlight w:val="none"/>
                    </w:rPr>
                  </w:pPr>
                  <w:r>
                    <w:rPr>
                      <w:rFonts w:hint="eastAsia"/>
                      <w:color w:val="auto"/>
                      <w:highlight w:val="none"/>
                    </w:rPr>
                    <w:t>单罐容积</w:t>
                  </w:r>
                </w:p>
              </w:tc>
            </w:tr>
            <w:tr w14:paraId="0DF2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4F8CD1C">
                  <w:pPr>
                    <w:pStyle w:val="30"/>
                    <w:rPr>
                      <w:color w:val="auto"/>
                      <w:highlight w:val="none"/>
                    </w:rPr>
                  </w:pPr>
                  <w:r>
                    <w:rPr>
                      <w:rFonts w:hint="eastAsia"/>
                      <w:color w:val="auto"/>
                      <w:highlight w:val="none"/>
                    </w:rPr>
                    <w:t>一级</w:t>
                  </w:r>
                </w:p>
              </w:tc>
              <w:tc>
                <w:tcPr>
                  <w:tcW w:w="340" w:type="dxa"/>
                  <w:vAlign w:val="center"/>
                </w:tcPr>
                <w:p w14:paraId="11B80154">
                  <w:pPr>
                    <w:pStyle w:val="30"/>
                    <w:rPr>
                      <w:color w:val="auto"/>
                      <w:highlight w:val="none"/>
                    </w:rPr>
                  </w:pPr>
                  <w:r>
                    <w:rPr>
                      <w:rFonts w:hint="eastAsia"/>
                      <w:color w:val="auto"/>
                      <w:highlight w:val="none"/>
                    </w:rPr>
                    <w:t>150＜V≤210</w:t>
                  </w:r>
                </w:p>
              </w:tc>
              <w:tc>
                <w:tcPr>
                  <w:tcW w:w="340" w:type="dxa"/>
                  <w:vAlign w:val="center"/>
                </w:tcPr>
                <w:p w14:paraId="4F7042FD">
                  <w:pPr>
                    <w:pStyle w:val="30"/>
                    <w:rPr>
                      <w:color w:val="auto"/>
                      <w:highlight w:val="none"/>
                    </w:rPr>
                  </w:pPr>
                  <w:r>
                    <w:rPr>
                      <w:rFonts w:hint="eastAsia"/>
                      <w:color w:val="auto"/>
                      <w:highlight w:val="none"/>
                    </w:rPr>
                    <w:t>≤50</w:t>
                  </w:r>
                </w:p>
              </w:tc>
            </w:tr>
            <w:tr w14:paraId="4DDB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A744975">
                  <w:pPr>
                    <w:pStyle w:val="30"/>
                    <w:rPr>
                      <w:color w:val="auto"/>
                      <w:highlight w:val="none"/>
                    </w:rPr>
                  </w:pPr>
                  <w:r>
                    <w:rPr>
                      <w:rFonts w:hint="eastAsia"/>
                      <w:color w:val="auto"/>
                      <w:highlight w:val="none"/>
                    </w:rPr>
                    <w:t>二级</w:t>
                  </w:r>
                </w:p>
              </w:tc>
              <w:tc>
                <w:tcPr>
                  <w:tcW w:w="340" w:type="dxa"/>
                  <w:vAlign w:val="center"/>
                </w:tcPr>
                <w:p w14:paraId="4D77210E">
                  <w:pPr>
                    <w:pStyle w:val="30"/>
                    <w:rPr>
                      <w:color w:val="auto"/>
                      <w:highlight w:val="none"/>
                    </w:rPr>
                  </w:pPr>
                  <w:r>
                    <w:rPr>
                      <w:rFonts w:hint="eastAsia"/>
                      <w:color w:val="auto"/>
                      <w:highlight w:val="none"/>
                    </w:rPr>
                    <w:t>90＜V≤210</w:t>
                  </w:r>
                </w:p>
              </w:tc>
              <w:tc>
                <w:tcPr>
                  <w:tcW w:w="340" w:type="dxa"/>
                  <w:vAlign w:val="center"/>
                </w:tcPr>
                <w:p w14:paraId="7C41C023">
                  <w:pPr>
                    <w:pStyle w:val="30"/>
                    <w:rPr>
                      <w:color w:val="auto"/>
                      <w:highlight w:val="none"/>
                    </w:rPr>
                  </w:pPr>
                  <w:r>
                    <w:rPr>
                      <w:rFonts w:hint="eastAsia"/>
                      <w:color w:val="auto"/>
                      <w:highlight w:val="none"/>
                    </w:rPr>
                    <w:t>≤50</w:t>
                  </w:r>
                </w:p>
              </w:tc>
            </w:tr>
            <w:tr w14:paraId="65FD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BAA52FB">
                  <w:pPr>
                    <w:pStyle w:val="30"/>
                    <w:rPr>
                      <w:color w:val="auto"/>
                      <w:highlight w:val="none"/>
                    </w:rPr>
                  </w:pPr>
                  <w:r>
                    <w:rPr>
                      <w:rFonts w:hint="eastAsia"/>
                      <w:color w:val="auto"/>
                      <w:highlight w:val="none"/>
                    </w:rPr>
                    <w:t>三级</w:t>
                  </w:r>
                </w:p>
              </w:tc>
              <w:tc>
                <w:tcPr>
                  <w:tcW w:w="340" w:type="dxa"/>
                  <w:vAlign w:val="center"/>
                </w:tcPr>
                <w:p w14:paraId="31869E1E">
                  <w:pPr>
                    <w:pStyle w:val="30"/>
                    <w:rPr>
                      <w:color w:val="auto"/>
                      <w:highlight w:val="none"/>
                    </w:rPr>
                  </w:pPr>
                  <w:r>
                    <w:rPr>
                      <w:rFonts w:hint="eastAsia"/>
                      <w:color w:val="auto"/>
                      <w:highlight w:val="none"/>
                    </w:rPr>
                    <w:t>V≤90</w:t>
                  </w:r>
                </w:p>
              </w:tc>
              <w:tc>
                <w:tcPr>
                  <w:tcW w:w="340" w:type="dxa"/>
                  <w:vAlign w:val="center"/>
                </w:tcPr>
                <w:p w14:paraId="57C84866">
                  <w:pPr>
                    <w:pStyle w:val="30"/>
                    <w:rPr>
                      <w:color w:val="auto"/>
                      <w:highlight w:val="none"/>
                    </w:rPr>
                  </w:pPr>
                  <w:r>
                    <w:rPr>
                      <w:color w:val="auto"/>
                      <w:highlight w:val="none"/>
                    </w:rPr>
                    <w:t>汽油罐≤30，柴油罐≤50</w:t>
                  </w:r>
                </w:p>
              </w:tc>
            </w:tr>
          </w:tbl>
          <w:p w14:paraId="3DCF9495">
            <w:pPr>
              <w:overflowPunct w:val="0"/>
              <w:autoSpaceDE w:val="0"/>
              <w:autoSpaceDN w:val="0"/>
              <w:ind w:firstLine="480" w:firstLineChars="200"/>
              <w:rPr>
                <w:color w:val="auto"/>
                <w:highlight w:val="none"/>
              </w:rPr>
            </w:pPr>
            <w:r>
              <w:rPr>
                <w:color w:val="auto"/>
                <w:highlight w:val="none"/>
              </w:rPr>
              <w:t>2.</w:t>
            </w:r>
            <w:r>
              <w:rPr>
                <w:rFonts w:hint="eastAsia"/>
                <w:color w:val="auto"/>
                <w:highlight w:val="none"/>
              </w:rPr>
              <w:t>5主要设备参数</w:t>
            </w:r>
          </w:p>
          <w:p w14:paraId="2B7237A4">
            <w:pPr>
              <w:pStyle w:val="6"/>
              <w:overflowPunct w:val="0"/>
              <w:autoSpaceDE w:val="0"/>
              <w:autoSpaceDN w:val="0"/>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 xml:space="preserve"> </w:t>
            </w:r>
            <w:r>
              <w:rPr>
                <w:rFonts w:ascii="宋体" w:hAnsi="宋体" w:cs="宋体"/>
                <w:bCs/>
                <w:color w:val="auto"/>
                <w:highlight w:val="none"/>
              </w:rPr>
              <w:t>项目</w:t>
            </w:r>
            <w:r>
              <w:rPr>
                <w:rFonts w:hint="eastAsia" w:ascii="宋体" w:hAnsi="宋体" w:cs="宋体"/>
                <w:bCs/>
                <w:color w:val="auto"/>
                <w:highlight w:val="none"/>
              </w:rPr>
              <w:t>综合能源站主要设备</w:t>
            </w:r>
            <w:r>
              <w:rPr>
                <w:rFonts w:ascii="宋体" w:hAnsi="宋体" w:cs="宋体"/>
                <w:bCs/>
                <w:color w:val="auto"/>
                <w:highlight w:val="none"/>
              </w:rPr>
              <w:t>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291"/>
              <w:gridCol w:w="1530"/>
              <w:gridCol w:w="878"/>
              <w:gridCol w:w="856"/>
              <w:gridCol w:w="2426"/>
            </w:tblGrid>
            <w:tr w14:paraId="0937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vAlign w:val="center"/>
                </w:tcPr>
                <w:p w14:paraId="0FEDB4E0">
                  <w:pPr>
                    <w:pStyle w:val="30"/>
                    <w:overflowPunct w:val="0"/>
                    <w:autoSpaceDE w:val="0"/>
                    <w:autoSpaceDN w:val="0"/>
                    <w:rPr>
                      <w:color w:val="auto"/>
                      <w:highlight w:val="none"/>
                    </w:rPr>
                  </w:pPr>
                  <w:r>
                    <w:rPr>
                      <w:rFonts w:hint="eastAsia"/>
                      <w:color w:val="auto"/>
                      <w:highlight w:val="none"/>
                    </w:rPr>
                    <w:t>序号</w:t>
                  </w:r>
                </w:p>
              </w:tc>
              <w:tc>
                <w:tcPr>
                  <w:tcW w:w="1291" w:type="dxa"/>
                  <w:vAlign w:val="center"/>
                </w:tcPr>
                <w:p w14:paraId="19C4EBBC">
                  <w:pPr>
                    <w:pStyle w:val="30"/>
                    <w:overflowPunct w:val="0"/>
                    <w:autoSpaceDE w:val="0"/>
                    <w:autoSpaceDN w:val="0"/>
                    <w:rPr>
                      <w:color w:val="auto"/>
                      <w:highlight w:val="none"/>
                    </w:rPr>
                  </w:pPr>
                  <w:r>
                    <w:rPr>
                      <w:rFonts w:hint="eastAsia"/>
                      <w:color w:val="auto"/>
                      <w:highlight w:val="none"/>
                    </w:rPr>
                    <w:t>设备名称</w:t>
                  </w:r>
                </w:p>
              </w:tc>
              <w:tc>
                <w:tcPr>
                  <w:tcW w:w="1530" w:type="dxa"/>
                  <w:vAlign w:val="center"/>
                </w:tcPr>
                <w:p w14:paraId="6A377A62">
                  <w:pPr>
                    <w:pStyle w:val="30"/>
                    <w:overflowPunct w:val="0"/>
                    <w:autoSpaceDE w:val="0"/>
                    <w:autoSpaceDN w:val="0"/>
                    <w:rPr>
                      <w:color w:val="auto"/>
                      <w:highlight w:val="none"/>
                    </w:rPr>
                  </w:pPr>
                  <w:r>
                    <w:rPr>
                      <w:rFonts w:hint="eastAsia"/>
                      <w:color w:val="auto"/>
                      <w:highlight w:val="none"/>
                    </w:rPr>
                    <w:t>规格型号</w:t>
                  </w:r>
                </w:p>
              </w:tc>
              <w:tc>
                <w:tcPr>
                  <w:tcW w:w="878" w:type="dxa"/>
                  <w:vAlign w:val="center"/>
                </w:tcPr>
                <w:p w14:paraId="5858FE80">
                  <w:pPr>
                    <w:pStyle w:val="30"/>
                    <w:overflowPunct w:val="0"/>
                    <w:autoSpaceDE w:val="0"/>
                    <w:autoSpaceDN w:val="0"/>
                    <w:rPr>
                      <w:color w:val="auto"/>
                      <w:highlight w:val="none"/>
                    </w:rPr>
                  </w:pPr>
                  <w:r>
                    <w:rPr>
                      <w:rFonts w:hint="eastAsia"/>
                      <w:color w:val="auto"/>
                      <w:highlight w:val="none"/>
                    </w:rPr>
                    <w:t>单位</w:t>
                  </w:r>
                </w:p>
              </w:tc>
              <w:tc>
                <w:tcPr>
                  <w:tcW w:w="856" w:type="dxa"/>
                  <w:vAlign w:val="center"/>
                </w:tcPr>
                <w:p w14:paraId="05B94332">
                  <w:pPr>
                    <w:pStyle w:val="30"/>
                    <w:overflowPunct w:val="0"/>
                    <w:autoSpaceDE w:val="0"/>
                    <w:autoSpaceDN w:val="0"/>
                    <w:rPr>
                      <w:color w:val="auto"/>
                      <w:highlight w:val="none"/>
                    </w:rPr>
                  </w:pPr>
                  <w:r>
                    <w:rPr>
                      <w:rFonts w:hint="eastAsia"/>
                      <w:color w:val="auto"/>
                      <w:highlight w:val="none"/>
                    </w:rPr>
                    <w:t>数量</w:t>
                  </w:r>
                </w:p>
              </w:tc>
              <w:tc>
                <w:tcPr>
                  <w:tcW w:w="2426" w:type="dxa"/>
                  <w:vAlign w:val="center"/>
                </w:tcPr>
                <w:p w14:paraId="47DF0846">
                  <w:pPr>
                    <w:pStyle w:val="30"/>
                    <w:overflowPunct w:val="0"/>
                    <w:autoSpaceDE w:val="0"/>
                    <w:autoSpaceDN w:val="0"/>
                    <w:rPr>
                      <w:color w:val="auto"/>
                      <w:highlight w:val="none"/>
                    </w:rPr>
                  </w:pPr>
                  <w:r>
                    <w:rPr>
                      <w:rFonts w:hint="eastAsia"/>
                      <w:color w:val="auto"/>
                      <w:highlight w:val="none"/>
                    </w:rPr>
                    <w:t>备注</w:t>
                  </w:r>
                </w:p>
              </w:tc>
            </w:tr>
            <w:tr w14:paraId="2586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vAlign w:val="center"/>
                </w:tcPr>
                <w:p w14:paraId="270DAC88">
                  <w:pPr>
                    <w:pStyle w:val="30"/>
                    <w:overflowPunct w:val="0"/>
                    <w:autoSpaceDE w:val="0"/>
                    <w:autoSpaceDN w:val="0"/>
                    <w:rPr>
                      <w:color w:val="auto"/>
                      <w:highlight w:val="none"/>
                    </w:rPr>
                  </w:pPr>
                  <w:r>
                    <w:rPr>
                      <w:rFonts w:hint="eastAsia"/>
                      <w:color w:val="auto"/>
                      <w:highlight w:val="none"/>
                    </w:rPr>
                    <w:t>1</w:t>
                  </w:r>
                </w:p>
              </w:tc>
              <w:tc>
                <w:tcPr>
                  <w:tcW w:w="1291" w:type="dxa"/>
                  <w:vAlign w:val="center"/>
                </w:tcPr>
                <w:p w14:paraId="3E21B367">
                  <w:pPr>
                    <w:pStyle w:val="30"/>
                    <w:overflowPunct w:val="0"/>
                    <w:autoSpaceDE w:val="0"/>
                    <w:autoSpaceDN w:val="0"/>
                    <w:rPr>
                      <w:color w:val="auto"/>
                      <w:highlight w:val="none"/>
                    </w:rPr>
                  </w:pPr>
                  <w:r>
                    <w:rPr>
                      <w:rFonts w:hint="eastAsia"/>
                      <w:color w:val="auto"/>
                      <w:highlight w:val="none"/>
                    </w:rPr>
                    <w:t>汽油储罐</w:t>
                  </w:r>
                </w:p>
              </w:tc>
              <w:tc>
                <w:tcPr>
                  <w:tcW w:w="1530" w:type="dxa"/>
                  <w:vAlign w:val="center"/>
                </w:tcPr>
                <w:p w14:paraId="6C4D1B41">
                  <w:pPr>
                    <w:pStyle w:val="30"/>
                    <w:overflowPunct w:val="0"/>
                    <w:autoSpaceDE w:val="0"/>
                    <w:autoSpaceDN w:val="0"/>
                    <w:rPr>
                      <w:color w:val="auto"/>
                      <w:highlight w:val="none"/>
                    </w:rPr>
                  </w:pPr>
                  <w:r>
                    <w:rPr>
                      <w:rFonts w:hint="eastAsia"/>
                      <w:color w:val="auto"/>
                      <w:highlight w:val="none"/>
                    </w:rPr>
                    <w:t>30m</w:t>
                  </w:r>
                  <w:r>
                    <w:rPr>
                      <w:rFonts w:hint="eastAsia"/>
                      <w:color w:val="auto"/>
                      <w:highlight w:val="none"/>
                      <w:vertAlign w:val="superscript"/>
                    </w:rPr>
                    <w:t>3</w:t>
                  </w:r>
                </w:p>
              </w:tc>
              <w:tc>
                <w:tcPr>
                  <w:tcW w:w="878" w:type="dxa"/>
                  <w:vAlign w:val="center"/>
                </w:tcPr>
                <w:p w14:paraId="5C2E449B">
                  <w:pPr>
                    <w:pStyle w:val="30"/>
                    <w:overflowPunct w:val="0"/>
                    <w:autoSpaceDE w:val="0"/>
                    <w:autoSpaceDN w:val="0"/>
                    <w:rPr>
                      <w:color w:val="auto"/>
                      <w:highlight w:val="none"/>
                    </w:rPr>
                  </w:pPr>
                  <w:r>
                    <w:rPr>
                      <w:rFonts w:hint="eastAsia"/>
                      <w:color w:val="auto"/>
                      <w:highlight w:val="none"/>
                    </w:rPr>
                    <w:t>个</w:t>
                  </w:r>
                </w:p>
              </w:tc>
              <w:tc>
                <w:tcPr>
                  <w:tcW w:w="856" w:type="dxa"/>
                  <w:vAlign w:val="center"/>
                </w:tcPr>
                <w:p w14:paraId="58CCDD4B">
                  <w:pPr>
                    <w:pStyle w:val="30"/>
                    <w:overflowPunct w:val="0"/>
                    <w:autoSpaceDE w:val="0"/>
                    <w:autoSpaceDN w:val="0"/>
                    <w:rPr>
                      <w:rFonts w:hint="eastAsia" w:eastAsia="宋体"/>
                      <w:color w:val="auto"/>
                      <w:highlight w:val="none"/>
                      <w:lang w:eastAsia="zh-CN"/>
                    </w:rPr>
                  </w:pPr>
                  <w:r>
                    <w:rPr>
                      <w:rFonts w:hint="eastAsia"/>
                      <w:color w:val="auto"/>
                      <w:highlight w:val="none"/>
                      <w:lang w:val="en-US" w:eastAsia="zh-CN"/>
                    </w:rPr>
                    <w:t>2</w:t>
                  </w:r>
                </w:p>
              </w:tc>
              <w:tc>
                <w:tcPr>
                  <w:tcW w:w="2426" w:type="dxa"/>
                  <w:vAlign w:val="center"/>
                </w:tcPr>
                <w:p w14:paraId="322925CE">
                  <w:pPr>
                    <w:pStyle w:val="30"/>
                    <w:overflowPunct w:val="0"/>
                    <w:autoSpaceDE w:val="0"/>
                    <w:autoSpaceDN w:val="0"/>
                    <w:rPr>
                      <w:color w:val="auto"/>
                      <w:highlight w:val="none"/>
                    </w:rPr>
                  </w:pPr>
                  <w:r>
                    <w:rPr>
                      <w:rFonts w:hint="eastAsia"/>
                      <w:color w:val="auto"/>
                      <w:highlight w:val="none"/>
                    </w:rPr>
                    <w:t>卧式</w:t>
                  </w:r>
                  <w:r>
                    <w:rPr>
                      <w:color w:val="auto"/>
                      <w:highlight w:val="none"/>
                    </w:rPr>
                    <w:t>埋地罐（双层罐）</w:t>
                  </w:r>
                  <w:r>
                    <w:rPr>
                      <w:rFonts w:hint="eastAsia"/>
                      <w:color w:val="auto"/>
                      <w:highlight w:val="none"/>
                    </w:rPr>
                    <w:t>，采用电子液位仪进行密闭测量</w:t>
                  </w:r>
                </w:p>
              </w:tc>
            </w:tr>
            <w:tr w14:paraId="3408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vAlign w:val="center"/>
                </w:tcPr>
                <w:p w14:paraId="1E5E803D">
                  <w:pPr>
                    <w:pStyle w:val="30"/>
                    <w:overflowPunct w:val="0"/>
                    <w:autoSpaceDE w:val="0"/>
                    <w:autoSpaceDN w:val="0"/>
                    <w:rPr>
                      <w:color w:val="auto"/>
                      <w:highlight w:val="none"/>
                    </w:rPr>
                  </w:pPr>
                  <w:r>
                    <w:rPr>
                      <w:rFonts w:hint="eastAsia"/>
                      <w:color w:val="auto"/>
                      <w:highlight w:val="none"/>
                    </w:rPr>
                    <w:t>2</w:t>
                  </w:r>
                </w:p>
              </w:tc>
              <w:tc>
                <w:tcPr>
                  <w:tcW w:w="1291" w:type="dxa"/>
                  <w:vAlign w:val="center"/>
                </w:tcPr>
                <w:p w14:paraId="344743A0">
                  <w:pPr>
                    <w:pStyle w:val="30"/>
                    <w:overflowPunct w:val="0"/>
                    <w:autoSpaceDE w:val="0"/>
                    <w:autoSpaceDN w:val="0"/>
                    <w:rPr>
                      <w:color w:val="auto"/>
                      <w:highlight w:val="none"/>
                    </w:rPr>
                  </w:pPr>
                  <w:r>
                    <w:rPr>
                      <w:rFonts w:hint="eastAsia"/>
                      <w:color w:val="auto"/>
                      <w:highlight w:val="none"/>
                    </w:rPr>
                    <w:t>柴油储罐</w:t>
                  </w:r>
                </w:p>
              </w:tc>
              <w:tc>
                <w:tcPr>
                  <w:tcW w:w="1530" w:type="dxa"/>
                  <w:vAlign w:val="center"/>
                </w:tcPr>
                <w:p w14:paraId="39F632D4">
                  <w:pPr>
                    <w:pStyle w:val="30"/>
                    <w:overflowPunct w:val="0"/>
                    <w:autoSpaceDE w:val="0"/>
                    <w:autoSpaceDN w:val="0"/>
                    <w:rPr>
                      <w:color w:val="auto"/>
                      <w:highlight w:val="none"/>
                    </w:rPr>
                  </w:pPr>
                  <w:r>
                    <w:rPr>
                      <w:rFonts w:hint="eastAsia"/>
                      <w:color w:val="auto"/>
                      <w:highlight w:val="none"/>
                    </w:rPr>
                    <w:t>50m</w:t>
                  </w:r>
                  <w:r>
                    <w:rPr>
                      <w:rFonts w:hint="eastAsia"/>
                      <w:color w:val="auto"/>
                      <w:highlight w:val="none"/>
                      <w:vertAlign w:val="superscript"/>
                    </w:rPr>
                    <w:t>3</w:t>
                  </w:r>
                </w:p>
              </w:tc>
              <w:tc>
                <w:tcPr>
                  <w:tcW w:w="878" w:type="dxa"/>
                  <w:vAlign w:val="center"/>
                </w:tcPr>
                <w:p w14:paraId="1BF23598">
                  <w:pPr>
                    <w:pStyle w:val="30"/>
                    <w:overflowPunct w:val="0"/>
                    <w:autoSpaceDE w:val="0"/>
                    <w:autoSpaceDN w:val="0"/>
                    <w:rPr>
                      <w:color w:val="auto"/>
                      <w:highlight w:val="none"/>
                    </w:rPr>
                  </w:pPr>
                  <w:r>
                    <w:rPr>
                      <w:rFonts w:hint="eastAsia"/>
                      <w:color w:val="auto"/>
                      <w:highlight w:val="none"/>
                    </w:rPr>
                    <w:t>个</w:t>
                  </w:r>
                </w:p>
              </w:tc>
              <w:tc>
                <w:tcPr>
                  <w:tcW w:w="856" w:type="dxa"/>
                  <w:vAlign w:val="center"/>
                </w:tcPr>
                <w:p w14:paraId="08528CC5">
                  <w:pPr>
                    <w:pStyle w:val="30"/>
                    <w:overflowPunct w:val="0"/>
                    <w:autoSpaceDE w:val="0"/>
                    <w:autoSpaceDN w:val="0"/>
                    <w:rPr>
                      <w:rFonts w:hint="eastAsia" w:eastAsia="宋体"/>
                      <w:color w:val="auto"/>
                      <w:highlight w:val="none"/>
                      <w:lang w:eastAsia="zh-CN"/>
                    </w:rPr>
                  </w:pPr>
                  <w:r>
                    <w:rPr>
                      <w:rFonts w:hint="eastAsia"/>
                      <w:color w:val="auto"/>
                      <w:highlight w:val="none"/>
                      <w:lang w:val="en-US" w:eastAsia="zh-CN"/>
                    </w:rPr>
                    <w:t>3</w:t>
                  </w:r>
                </w:p>
              </w:tc>
              <w:tc>
                <w:tcPr>
                  <w:tcW w:w="2426" w:type="dxa"/>
                  <w:vAlign w:val="center"/>
                </w:tcPr>
                <w:p w14:paraId="290380B9">
                  <w:pPr>
                    <w:pStyle w:val="30"/>
                    <w:overflowPunct w:val="0"/>
                    <w:autoSpaceDE w:val="0"/>
                    <w:autoSpaceDN w:val="0"/>
                    <w:rPr>
                      <w:color w:val="auto"/>
                      <w:highlight w:val="none"/>
                    </w:rPr>
                  </w:pPr>
                  <w:r>
                    <w:rPr>
                      <w:rFonts w:hint="eastAsia"/>
                      <w:color w:val="auto"/>
                      <w:highlight w:val="none"/>
                    </w:rPr>
                    <w:t>卧式</w:t>
                  </w:r>
                  <w:r>
                    <w:rPr>
                      <w:color w:val="auto"/>
                      <w:highlight w:val="none"/>
                    </w:rPr>
                    <w:t>埋地罐（双层罐）</w:t>
                  </w:r>
                </w:p>
              </w:tc>
            </w:tr>
            <w:tr w14:paraId="4EEB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vAlign w:val="center"/>
                </w:tcPr>
                <w:p w14:paraId="1DAF73FD">
                  <w:pPr>
                    <w:pStyle w:val="30"/>
                    <w:overflowPunct w:val="0"/>
                    <w:autoSpaceDE w:val="0"/>
                    <w:autoSpaceDN w:val="0"/>
                    <w:rPr>
                      <w:color w:val="auto"/>
                      <w:highlight w:val="none"/>
                    </w:rPr>
                  </w:pPr>
                  <w:r>
                    <w:rPr>
                      <w:rFonts w:hint="eastAsia"/>
                      <w:color w:val="auto"/>
                      <w:highlight w:val="none"/>
                    </w:rPr>
                    <w:t>3</w:t>
                  </w:r>
                </w:p>
              </w:tc>
              <w:tc>
                <w:tcPr>
                  <w:tcW w:w="1291" w:type="dxa"/>
                  <w:vAlign w:val="center"/>
                </w:tcPr>
                <w:p w14:paraId="61B02B0F">
                  <w:pPr>
                    <w:pStyle w:val="30"/>
                    <w:overflowPunct w:val="0"/>
                    <w:autoSpaceDE w:val="0"/>
                    <w:autoSpaceDN w:val="0"/>
                    <w:rPr>
                      <w:color w:val="auto"/>
                      <w:highlight w:val="none"/>
                    </w:rPr>
                  </w:pPr>
                  <w:r>
                    <w:rPr>
                      <w:rFonts w:hint="eastAsia"/>
                      <w:color w:val="auto"/>
                      <w:highlight w:val="none"/>
                    </w:rPr>
                    <w:t>加油机</w:t>
                  </w:r>
                </w:p>
              </w:tc>
              <w:tc>
                <w:tcPr>
                  <w:tcW w:w="1530" w:type="dxa"/>
                  <w:vAlign w:val="center"/>
                </w:tcPr>
                <w:p w14:paraId="3EAFE840">
                  <w:pPr>
                    <w:pStyle w:val="30"/>
                    <w:overflowPunct w:val="0"/>
                    <w:autoSpaceDE w:val="0"/>
                    <w:autoSpaceDN w:val="0"/>
                    <w:rPr>
                      <w:color w:val="auto"/>
                      <w:highlight w:val="none"/>
                    </w:rPr>
                  </w:pPr>
                  <w:r>
                    <w:rPr>
                      <w:rFonts w:hint="eastAsia"/>
                      <w:color w:val="auto"/>
                      <w:highlight w:val="none"/>
                    </w:rPr>
                    <w:t>Q=</w:t>
                  </w:r>
                  <w:r>
                    <w:rPr>
                      <w:color w:val="auto"/>
                      <w:highlight w:val="none"/>
                    </w:rPr>
                    <w:t>5-50L/min</w:t>
                  </w:r>
                </w:p>
              </w:tc>
              <w:tc>
                <w:tcPr>
                  <w:tcW w:w="878" w:type="dxa"/>
                  <w:vAlign w:val="center"/>
                </w:tcPr>
                <w:p w14:paraId="5224D47E">
                  <w:pPr>
                    <w:pStyle w:val="30"/>
                    <w:overflowPunct w:val="0"/>
                    <w:autoSpaceDE w:val="0"/>
                    <w:autoSpaceDN w:val="0"/>
                    <w:rPr>
                      <w:color w:val="auto"/>
                      <w:highlight w:val="none"/>
                    </w:rPr>
                  </w:pPr>
                  <w:r>
                    <w:rPr>
                      <w:rFonts w:hint="eastAsia"/>
                      <w:color w:val="auto"/>
                      <w:highlight w:val="none"/>
                    </w:rPr>
                    <w:t>台</w:t>
                  </w:r>
                </w:p>
              </w:tc>
              <w:tc>
                <w:tcPr>
                  <w:tcW w:w="856" w:type="dxa"/>
                  <w:vAlign w:val="center"/>
                </w:tcPr>
                <w:p w14:paraId="3F250189">
                  <w:pPr>
                    <w:pStyle w:val="30"/>
                    <w:overflowPunct w:val="0"/>
                    <w:autoSpaceDE w:val="0"/>
                    <w:autoSpaceDN w:val="0"/>
                    <w:rPr>
                      <w:color w:val="auto"/>
                      <w:highlight w:val="none"/>
                    </w:rPr>
                  </w:pPr>
                  <w:r>
                    <w:rPr>
                      <w:rFonts w:hint="eastAsia"/>
                      <w:color w:val="auto"/>
                      <w:highlight w:val="none"/>
                    </w:rPr>
                    <w:t>4</w:t>
                  </w:r>
                </w:p>
              </w:tc>
              <w:tc>
                <w:tcPr>
                  <w:tcW w:w="2426" w:type="dxa"/>
                  <w:vAlign w:val="center"/>
                </w:tcPr>
                <w:p w14:paraId="7F76D720">
                  <w:pPr>
                    <w:pStyle w:val="30"/>
                    <w:overflowPunct w:val="0"/>
                    <w:autoSpaceDE w:val="0"/>
                    <w:autoSpaceDN w:val="0"/>
                    <w:rPr>
                      <w:color w:val="auto"/>
                      <w:highlight w:val="none"/>
                    </w:rPr>
                  </w:pPr>
                  <w:r>
                    <w:rPr>
                      <w:rFonts w:hint="eastAsia"/>
                      <w:color w:val="auto"/>
                      <w:highlight w:val="none"/>
                    </w:rPr>
                    <w:t>四枪</w:t>
                  </w:r>
                  <w:r>
                    <w:rPr>
                      <w:rFonts w:hint="eastAsia"/>
                      <w:color w:val="auto"/>
                      <w:highlight w:val="none"/>
                      <w:lang w:eastAsia="zh-CN"/>
                    </w:rPr>
                    <w:t>双</w:t>
                  </w:r>
                  <w:r>
                    <w:rPr>
                      <w:rFonts w:hint="eastAsia"/>
                      <w:color w:val="auto"/>
                      <w:highlight w:val="none"/>
                    </w:rPr>
                    <w:t>油品潜油泵式加油机</w:t>
                  </w:r>
                </w:p>
              </w:tc>
            </w:tr>
            <w:tr w14:paraId="0C53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vAlign w:val="center"/>
                </w:tcPr>
                <w:p w14:paraId="77A55C42">
                  <w:pPr>
                    <w:pStyle w:val="30"/>
                    <w:overflowPunct w:val="0"/>
                    <w:autoSpaceDE w:val="0"/>
                    <w:autoSpaceDN w:val="0"/>
                    <w:rPr>
                      <w:rFonts w:hint="eastAsia" w:eastAsia="宋体"/>
                      <w:color w:val="auto"/>
                      <w:highlight w:val="none"/>
                      <w:lang w:val="en-US" w:eastAsia="zh-CN"/>
                    </w:rPr>
                  </w:pPr>
                  <w:r>
                    <w:rPr>
                      <w:rFonts w:hint="eastAsia"/>
                      <w:color w:val="auto"/>
                      <w:highlight w:val="none"/>
                      <w:lang w:val="en-US" w:eastAsia="zh-CN"/>
                    </w:rPr>
                    <w:t>4</w:t>
                  </w:r>
                </w:p>
              </w:tc>
              <w:tc>
                <w:tcPr>
                  <w:tcW w:w="1291" w:type="dxa"/>
                  <w:vAlign w:val="center"/>
                </w:tcPr>
                <w:p w14:paraId="716B6EB7">
                  <w:pPr>
                    <w:pStyle w:val="30"/>
                    <w:overflowPunct w:val="0"/>
                    <w:autoSpaceDE w:val="0"/>
                    <w:autoSpaceDN w:val="0"/>
                    <w:rPr>
                      <w:rFonts w:hint="eastAsia"/>
                      <w:color w:val="auto"/>
                      <w:highlight w:val="none"/>
                      <w:lang w:eastAsia="zh-CN"/>
                    </w:rPr>
                  </w:pPr>
                  <w:r>
                    <w:rPr>
                      <w:rFonts w:hint="eastAsia"/>
                      <w:color w:val="auto"/>
                      <w:highlight w:val="none"/>
                      <w:lang w:eastAsia="zh-CN"/>
                    </w:rPr>
                    <w:t>汽油加油枪</w:t>
                  </w:r>
                </w:p>
              </w:tc>
              <w:tc>
                <w:tcPr>
                  <w:tcW w:w="1530" w:type="dxa"/>
                  <w:vAlign w:val="center"/>
                </w:tcPr>
                <w:p w14:paraId="4E0131CD">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w:t>
                  </w:r>
                </w:p>
              </w:tc>
              <w:tc>
                <w:tcPr>
                  <w:tcW w:w="878" w:type="dxa"/>
                  <w:vAlign w:val="center"/>
                </w:tcPr>
                <w:p w14:paraId="29EA1241">
                  <w:pPr>
                    <w:pStyle w:val="30"/>
                    <w:overflowPunct w:val="0"/>
                    <w:autoSpaceDE w:val="0"/>
                    <w:autoSpaceDN w:val="0"/>
                    <w:rPr>
                      <w:rFonts w:hint="eastAsia" w:eastAsia="宋体"/>
                      <w:color w:val="auto"/>
                      <w:highlight w:val="none"/>
                      <w:lang w:eastAsia="zh-CN"/>
                    </w:rPr>
                  </w:pPr>
                  <w:r>
                    <w:rPr>
                      <w:rFonts w:hint="eastAsia"/>
                      <w:color w:val="auto"/>
                      <w:highlight w:val="none"/>
                      <w:lang w:eastAsia="zh-CN"/>
                    </w:rPr>
                    <w:t>杆</w:t>
                  </w:r>
                </w:p>
              </w:tc>
              <w:tc>
                <w:tcPr>
                  <w:tcW w:w="856" w:type="dxa"/>
                  <w:vAlign w:val="center"/>
                </w:tcPr>
                <w:p w14:paraId="28FBB914">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10</w:t>
                  </w:r>
                </w:p>
              </w:tc>
              <w:tc>
                <w:tcPr>
                  <w:tcW w:w="2426" w:type="dxa"/>
                  <w:vAlign w:val="center"/>
                </w:tcPr>
                <w:p w14:paraId="7057D2F2">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w:t>
                  </w:r>
                </w:p>
              </w:tc>
            </w:tr>
            <w:tr w14:paraId="1E15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vAlign w:val="center"/>
                </w:tcPr>
                <w:p w14:paraId="1474C670">
                  <w:pPr>
                    <w:pStyle w:val="30"/>
                    <w:overflowPunct w:val="0"/>
                    <w:autoSpaceDE w:val="0"/>
                    <w:autoSpaceDN w:val="0"/>
                    <w:rPr>
                      <w:rFonts w:hint="default"/>
                      <w:color w:val="auto"/>
                      <w:highlight w:val="none"/>
                      <w:lang w:val="en-US" w:eastAsia="zh-CN"/>
                    </w:rPr>
                  </w:pPr>
                  <w:r>
                    <w:rPr>
                      <w:rFonts w:hint="eastAsia"/>
                      <w:color w:val="auto"/>
                      <w:highlight w:val="none"/>
                      <w:lang w:val="en-US" w:eastAsia="zh-CN"/>
                    </w:rPr>
                    <w:t>5</w:t>
                  </w:r>
                </w:p>
              </w:tc>
              <w:tc>
                <w:tcPr>
                  <w:tcW w:w="1291" w:type="dxa"/>
                  <w:vAlign w:val="center"/>
                </w:tcPr>
                <w:p w14:paraId="1B445461">
                  <w:pPr>
                    <w:pStyle w:val="30"/>
                    <w:overflowPunct w:val="0"/>
                    <w:autoSpaceDE w:val="0"/>
                    <w:autoSpaceDN w:val="0"/>
                    <w:rPr>
                      <w:rFonts w:hint="eastAsia"/>
                      <w:color w:val="auto"/>
                      <w:highlight w:val="none"/>
                      <w:lang w:eastAsia="zh-CN"/>
                    </w:rPr>
                  </w:pPr>
                  <w:r>
                    <w:rPr>
                      <w:rFonts w:hint="eastAsia"/>
                      <w:color w:val="auto"/>
                      <w:highlight w:val="none"/>
                      <w:lang w:eastAsia="zh-CN"/>
                    </w:rPr>
                    <w:t>柴油加油枪</w:t>
                  </w:r>
                </w:p>
              </w:tc>
              <w:tc>
                <w:tcPr>
                  <w:tcW w:w="1530" w:type="dxa"/>
                  <w:vAlign w:val="center"/>
                </w:tcPr>
                <w:p w14:paraId="15A1E025">
                  <w:pPr>
                    <w:pStyle w:val="30"/>
                    <w:overflowPunct w:val="0"/>
                    <w:autoSpaceDE w:val="0"/>
                    <w:autoSpaceDN w:val="0"/>
                    <w:rPr>
                      <w:rFonts w:hint="default"/>
                      <w:color w:val="auto"/>
                      <w:highlight w:val="none"/>
                      <w:lang w:val="en-US" w:eastAsia="zh-CN"/>
                    </w:rPr>
                  </w:pPr>
                  <w:r>
                    <w:rPr>
                      <w:rFonts w:hint="eastAsia"/>
                      <w:color w:val="auto"/>
                      <w:highlight w:val="none"/>
                      <w:lang w:val="en-US" w:eastAsia="zh-CN"/>
                    </w:rPr>
                    <w:t>--</w:t>
                  </w:r>
                </w:p>
              </w:tc>
              <w:tc>
                <w:tcPr>
                  <w:tcW w:w="878" w:type="dxa"/>
                  <w:vAlign w:val="center"/>
                </w:tcPr>
                <w:p w14:paraId="4CDABBD3">
                  <w:pPr>
                    <w:pStyle w:val="30"/>
                    <w:overflowPunct w:val="0"/>
                    <w:autoSpaceDE w:val="0"/>
                    <w:autoSpaceDN w:val="0"/>
                    <w:rPr>
                      <w:rFonts w:hint="eastAsia" w:eastAsia="宋体"/>
                      <w:color w:val="auto"/>
                      <w:highlight w:val="none"/>
                      <w:lang w:eastAsia="zh-CN"/>
                    </w:rPr>
                  </w:pPr>
                  <w:r>
                    <w:rPr>
                      <w:rFonts w:hint="eastAsia"/>
                      <w:color w:val="auto"/>
                      <w:highlight w:val="none"/>
                      <w:lang w:eastAsia="zh-CN"/>
                    </w:rPr>
                    <w:t>杆</w:t>
                  </w:r>
                </w:p>
              </w:tc>
              <w:tc>
                <w:tcPr>
                  <w:tcW w:w="856" w:type="dxa"/>
                  <w:vAlign w:val="center"/>
                </w:tcPr>
                <w:p w14:paraId="043EA769">
                  <w:pPr>
                    <w:pStyle w:val="30"/>
                    <w:overflowPunct w:val="0"/>
                    <w:autoSpaceDE w:val="0"/>
                    <w:autoSpaceDN w:val="0"/>
                    <w:rPr>
                      <w:rFonts w:hint="eastAsia" w:eastAsia="宋体"/>
                      <w:color w:val="auto"/>
                      <w:highlight w:val="none"/>
                      <w:lang w:val="en-US" w:eastAsia="zh-CN"/>
                    </w:rPr>
                  </w:pPr>
                  <w:r>
                    <w:rPr>
                      <w:rFonts w:hint="eastAsia"/>
                      <w:color w:val="auto"/>
                      <w:highlight w:val="none"/>
                      <w:lang w:val="en-US" w:eastAsia="zh-CN"/>
                    </w:rPr>
                    <w:t>6</w:t>
                  </w:r>
                </w:p>
              </w:tc>
              <w:tc>
                <w:tcPr>
                  <w:tcW w:w="2426" w:type="dxa"/>
                  <w:vAlign w:val="center"/>
                </w:tcPr>
                <w:p w14:paraId="6D027A4B">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w:t>
                  </w:r>
                </w:p>
              </w:tc>
            </w:tr>
            <w:tr w14:paraId="1C5C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shd w:val="clear" w:color="auto" w:fill="auto"/>
                  <w:vAlign w:val="center"/>
                </w:tcPr>
                <w:p w14:paraId="4C38992B">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6</w:t>
                  </w:r>
                </w:p>
              </w:tc>
              <w:tc>
                <w:tcPr>
                  <w:tcW w:w="1291" w:type="dxa"/>
                  <w:shd w:val="clear" w:color="auto" w:fill="auto"/>
                  <w:vAlign w:val="center"/>
                </w:tcPr>
                <w:p w14:paraId="38ABD4F2">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尿素加注机</w:t>
                  </w:r>
                </w:p>
              </w:tc>
              <w:tc>
                <w:tcPr>
                  <w:tcW w:w="1530" w:type="dxa"/>
                  <w:shd w:val="clear" w:color="auto" w:fill="auto"/>
                  <w:vAlign w:val="center"/>
                </w:tcPr>
                <w:p w14:paraId="5809CE5F">
                  <w:pPr>
                    <w:pStyle w:val="30"/>
                    <w:overflowPunct w:val="0"/>
                    <w:autoSpaceDE w:val="0"/>
                    <w:autoSpaceDN w:val="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防爆型</w:t>
                  </w:r>
                </w:p>
              </w:tc>
              <w:tc>
                <w:tcPr>
                  <w:tcW w:w="878" w:type="dxa"/>
                  <w:shd w:val="clear" w:color="auto" w:fill="auto"/>
                  <w:vAlign w:val="center"/>
                </w:tcPr>
                <w:p w14:paraId="094261C6">
                  <w:pPr>
                    <w:pStyle w:val="30"/>
                    <w:overflowPunct w:val="0"/>
                    <w:autoSpaceDE w:val="0"/>
                    <w:autoSpaceDN w:val="0"/>
                    <w:ind w:firstLine="0" w:firstLineChars="0"/>
                    <w:rPr>
                      <w:rFonts w:hint="eastAsia" w:ascii="宋体" w:hAnsi="Courier New" w:eastAsia="宋体" w:cs="Courier New"/>
                      <w:color w:val="auto"/>
                      <w:kern w:val="2"/>
                      <w:sz w:val="21"/>
                      <w:szCs w:val="21"/>
                      <w:highlight w:val="none"/>
                      <w:lang w:val="en-US" w:eastAsia="zh-CN" w:bidi="ar-SA"/>
                    </w:rPr>
                  </w:pPr>
                  <w:r>
                    <w:rPr>
                      <w:rFonts w:hint="eastAsia"/>
                      <w:color w:val="auto"/>
                      <w:highlight w:val="none"/>
                    </w:rPr>
                    <w:t>台</w:t>
                  </w:r>
                </w:p>
              </w:tc>
              <w:tc>
                <w:tcPr>
                  <w:tcW w:w="856" w:type="dxa"/>
                  <w:shd w:val="clear" w:color="auto" w:fill="auto"/>
                  <w:vAlign w:val="center"/>
                </w:tcPr>
                <w:p w14:paraId="418EE5CD">
                  <w:pPr>
                    <w:pStyle w:val="30"/>
                    <w:overflowPunct w:val="0"/>
                    <w:autoSpaceDE w:val="0"/>
                    <w:autoSpaceDN w:val="0"/>
                    <w:ind w:firstLine="0" w:firstLineChars="0"/>
                    <w:rPr>
                      <w:rFonts w:hint="default" w:ascii="宋体" w:hAnsi="Courier New" w:eastAsia="宋体" w:cs="Courier New"/>
                      <w:color w:val="auto"/>
                      <w:kern w:val="2"/>
                      <w:sz w:val="21"/>
                      <w:szCs w:val="21"/>
                      <w:highlight w:val="none"/>
                      <w:lang w:val="en-US" w:eastAsia="zh-CN" w:bidi="ar-SA"/>
                    </w:rPr>
                  </w:pPr>
                  <w:r>
                    <w:rPr>
                      <w:rFonts w:hint="eastAsia"/>
                      <w:color w:val="auto"/>
                      <w:highlight w:val="none"/>
                      <w:lang w:val="en-US" w:eastAsia="zh-CN"/>
                    </w:rPr>
                    <w:t>2</w:t>
                  </w:r>
                </w:p>
              </w:tc>
              <w:tc>
                <w:tcPr>
                  <w:tcW w:w="2426" w:type="dxa"/>
                  <w:shd w:val="clear" w:color="auto" w:fill="auto"/>
                  <w:vAlign w:val="center"/>
                </w:tcPr>
                <w:p w14:paraId="3F770E0E">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p>
              </w:tc>
            </w:tr>
            <w:tr w14:paraId="5809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shd w:val="clear" w:color="auto" w:fill="auto"/>
                  <w:vAlign w:val="center"/>
                </w:tcPr>
                <w:p w14:paraId="16A4051F">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7</w:t>
                  </w:r>
                </w:p>
              </w:tc>
              <w:tc>
                <w:tcPr>
                  <w:tcW w:w="1291" w:type="dxa"/>
                  <w:shd w:val="clear" w:color="auto" w:fill="auto"/>
                  <w:vAlign w:val="center"/>
                </w:tcPr>
                <w:p w14:paraId="7AA1CDD2">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箱式变压器</w:t>
                  </w:r>
                </w:p>
              </w:tc>
              <w:tc>
                <w:tcPr>
                  <w:tcW w:w="1530" w:type="dxa"/>
                  <w:shd w:val="clear" w:color="auto" w:fill="auto"/>
                  <w:vAlign w:val="center"/>
                </w:tcPr>
                <w:p w14:paraId="785FE962">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成套设备</w:t>
                  </w:r>
                </w:p>
              </w:tc>
              <w:tc>
                <w:tcPr>
                  <w:tcW w:w="878" w:type="dxa"/>
                  <w:shd w:val="clear" w:color="auto" w:fill="auto"/>
                  <w:vAlign w:val="center"/>
                </w:tcPr>
                <w:p w14:paraId="5DE0B578">
                  <w:pPr>
                    <w:pStyle w:val="30"/>
                    <w:overflowPunct w:val="0"/>
                    <w:autoSpaceDE w:val="0"/>
                    <w:autoSpaceDN w:val="0"/>
                    <w:ind w:firstLine="0" w:firstLineChars="0"/>
                    <w:rPr>
                      <w:rFonts w:hint="eastAsia" w:ascii="宋体" w:hAnsi="Courier New" w:eastAsia="宋体" w:cs="Courier New"/>
                      <w:color w:val="auto"/>
                      <w:kern w:val="2"/>
                      <w:sz w:val="21"/>
                      <w:szCs w:val="21"/>
                      <w:highlight w:val="none"/>
                      <w:lang w:val="en-US" w:eastAsia="zh-CN" w:bidi="ar-SA"/>
                    </w:rPr>
                  </w:pPr>
                  <w:r>
                    <w:rPr>
                      <w:rFonts w:hint="eastAsia"/>
                      <w:color w:val="auto"/>
                      <w:highlight w:val="none"/>
                    </w:rPr>
                    <w:t>台</w:t>
                  </w:r>
                </w:p>
              </w:tc>
              <w:tc>
                <w:tcPr>
                  <w:tcW w:w="856" w:type="dxa"/>
                  <w:shd w:val="clear" w:color="auto" w:fill="auto"/>
                  <w:vAlign w:val="center"/>
                </w:tcPr>
                <w:p w14:paraId="187B2928">
                  <w:pPr>
                    <w:pStyle w:val="30"/>
                    <w:overflowPunct w:val="0"/>
                    <w:autoSpaceDE w:val="0"/>
                    <w:autoSpaceDN w:val="0"/>
                    <w:ind w:firstLine="0" w:firstLineChars="0"/>
                    <w:rPr>
                      <w:rFonts w:hint="eastAsia" w:ascii="宋体" w:hAnsi="Courier New" w:eastAsia="宋体" w:cs="Courier New"/>
                      <w:color w:val="auto"/>
                      <w:kern w:val="2"/>
                      <w:sz w:val="21"/>
                      <w:szCs w:val="21"/>
                      <w:highlight w:val="none"/>
                      <w:lang w:val="en-US" w:eastAsia="zh-CN" w:bidi="ar-SA"/>
                    </w:rPr>
                  </w:pPr>
                  <w:r>
                    <w:rPr>
                      <w:rFonts w:hint="eastAsia"/>
                      <w:color w:val="auto"/>
                      <w:highlight w:val="none"/>
                      <w:lang w:val="en-US" w:eastAsia="zh-CN"/>
                    </w:rPr>
                    <w:t>2</w:t>
                  </w:r>
                </w:p>
              </w:tc>
              <w:tc>
                <w:tcPr>
                  <w:tcW w:w="2426" w:type="dxa"/>
                  <w:shd w:val="clear" w:color="auto" w:fill="auto"/>
                  <w:vAlign w:val="center"/>
                </w:tcPr>
                <w:p w14:paraId="51CD30D8">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1台315KVA；1套630KVA</w:t>
                  </w:r>
                </w:p>
              </w:tc>
            </w:tr>
            <w:tr w14:paraId="77CE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2" w:type="dxa"/>
                  <w:shd w:val="clear" w:color="auto" w:fill="auto"/>
                  <w:vAlign w:val="center"/>
                </w:tcPr>
                <w:p w14:paraId="52390C91">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8</w:t>
                  </w:r>
                </w:p>
              </w:tc>
              <w:tc>
                <w:tcPr>
                  <w:tcW w:w="1291" w:type="dxa"/>
                  <w:shd w:val="clear" w:color="auto" w:fill="auto"/>
                  <w:vAlign w:val="center"/>
                </w:tcPr>
                <w:p w14:paraId="2295C657">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充电桩</w:t>
                  </w:r>
                </w:p>
              </w:tc>
              <w:tc>
                <w:tcPr>
                  <w:tcW w:w="1530" w:type="dxa"/>
                  <w:shd w:val="clear" w:color="auto" w:fill="auto"/>
                  <w:vAlign w:val="center"/>
                </w:tcPr>
                <w:p w14:paraId="08E3EA57">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成套设备</w:t>
                  </w:r>
                </w:p>
              </w:tc>
              <w:tc>
                <w:tcPr>
                  <w:tcW w:w="878" w:type="dxa"/>
                  <w:shd w:val="clear" w:color="auto" w:fill="auto"/>
                  <w:vAlign w:val="center"/>
                </w:tcPr>
                <w:p w14:paraId="72A558AB">
                  <w:pPr>
                    <w:pStyle w:val="30"/>
                    <w:overflowPunct w:val="0"/>
                    <w:autoSpaceDE w:val="0"/>
                    <w:autoSpaceDN w:val="0"/>
                    <w:ind w:firstLine="0" w:firstLineChars="0"/>
                    <w:rPr>
                      <w:rFonts w:hint="eastAsia" w:ascii="宋体" w:hAnsi="Courier New" w:eastAsia="宋体" w:cs="Courier New"/>
                      <w:color w:val="auto"/>
                      <w:kern w:val="2"/>
                      <w:sz w:val="21"/>
                      <w:szCs w:val="21"/>
                      <w:highlight w:val="none"/>
                      <w:lang w:val="en-US" w:eastAsia="zh-CN" w:bidi="ar-SA"/>
                    </w:rPr>
                  </w:pPr>
                  <w:r>
                    <w:rPr>
                      <w:rFonts w:hint="eastAsia"/>
                      <w:color w:val="auto"/>
                      <w:highlight w:val="none"/>
                    </w:rPr>
                    <w:t>台</w:t>
                  </w:r>
                </w:p>
              </w:tc>
              <w:tc>
                <w:tcPr>
                  <w:tcW w:w="856" w:type="dxa"/>
                  <w:shd w:val="clear" w:color="auto" w:fill="auto"/>
                  <w:vAlign w:val="center"/>
                </w:tcPr>
                <w:p w14:paraId="3A202321">
                  <w:pPr>
                    <w:pStyle w:val="30"/>
                    <w:overflowPunct w:val="0"/>
                    <w:autoSpaceDE w:val="0"/>
                    <w:autoSpaceDN w:val="0"/>
                    <w:ind w:firstLine="0" w:firstLineChars="0"/>
                    <w:rPr>
                      <w:rFonts w:hint="eastAsia" w:ascii="宋体" w:hAnsi="Courier New" w:eastAsia="宋体" w:cs="Courier New"/>
                      <w:color w:val="auto"/>
                      <w:kern w:val="2"/>
                      <w:sz w:val="21"/>
                      <w:szCs w:val="21"/>
                      <w:highlight w:val="none"/>
                      <w:lang w:val="en-US" w:eastAsia="zh-CN" w:bidi="ar-SA"/>
                    </w:rPr>
                  </w:pPr>
                  <w:r>
                    <w:rPr>
                      <w:rFonts w:hint="eastAsia"/>
                      <w:color w:val="auto"/>
                      <w:highlight w:val="none"/>
                      <w:lang w:val="en-US" w:eastAsia="zh-CN"/>
                    </w:rPr>
                    <w:t>4</w:t>
                  </w:r>
                </w:p>
              </w:tc>
              <w:tc>
                <w:tcPr>
                  <w:tcW w:w="2426" w:type="dxa"/>
                  <w:shd w:val="clear" w:color="auto" w:fill="auto"/>
                  <w:vAlign w:val="center"/>
                </w:tcPr>
                <w:p w14:paraId="16DF4653">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双枪</w:t>
                  </w:r>
                </w:p>
              </w:tc>
            </w:tr>
          </w:tbl>
          <w:p w14:paraId="1AA94EE9">
            <w:pPr>
              <w:pStyle w:val="6"/>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t xml:space="preserve"> 项目交通驿站主要设备一览表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079"/>
              <w:gridCol w:w="1457"/>
              <w:gridCol w:w="1030"/>
              <w:gridCol w:w="1189"/>
              <w:gridCol w:w="1910"/>
            </w:tblGrid>
            <w:tr w14:paraId="37B8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vAlign w:val="center"/>
                </w:tcPr>
                <w:p w14:paraId="216A8418">
                  <w:pPr>
                    <w:pStyle w:val="30"/>
                    <w:rPr>
                      <w:color w:val="auto"/>
                      <w:highlight w:val="none"/>
                    </w:rPr>
                  </w:pPr>
                  <w:r>
                    <w:rPr>
                      <w:color w:val="auto"/>
                      <w:highlight w:val="none"/>
                    </w:rPr>
                    <w:t>序号</w:t>
                  </w:r>
                </w:p>
              </w:tc>
              <w:tc>
                <w:tcPr>
                  <w:tcW w:w="2524" w:type="dxa"/>
                  <w:gridSpan w:val="2"/>
                  <w:vAlign w:val="center"/>
                </w:tcPr>
                <w:p w14:paraId="3C36ED80">
                  <w:pPr>
                    <w:pStyle w:val="30"/>
                    <w:rPr>
                      <w:color w:val="auto"/>
                      <w:highlight w:val="none"/>
                    </w:rPr>
                  </w:pPr>
                  <w:r>
                    <w:rPr>
                      <w:color w:val="auto"/>
                      <w:highlight w:val="none"/>
                    </w:rPr>
                    <w:t>名称</w:t>
                  </w:r>
                </w:p>
              </w:tc>
              <w:tc>
                <w:tcPr>
                  <w:tcW w:w="1025" w:type="dxa"/>
                  <w:vAlign w:val="center"/>
                </w:tcPr>
                <w:p w14:paraId="33E00AB3">
                  <w:pPr>
                    <w:pStyle w:val="30"/>
                    <w:rPr>
                      <w:color w:val="auto"/>
                      <w:highlight w:val="none"/>
                    </w:rPr>
                  </w:pPr>
                  <w:r>
                    <w:rPr>
                      <w:color w:val="auto"/>
                      <w:highlight w:val="none"/>
                    </w:rPr>
                    <w:t>单位</w:t>
                  </w:r>
                </w:p>
              </w:tc>
              <w:tc>
                <w:tcPr>
                  <w:tcW w:w="1184" w:type="dxa"/>
                  <w:vAlign w:val="center"/>
                </w:tcPr>
                <w:p w14:paraId="69B6FF90">
                  <w:pPr>
                    <w:pStyle w:val="30"/>
                    <w:rPr>
                      <w:color w:val="auto"/>
                      <w:highlight w:val="none"/>
                    </w:rPr>
                  </w:pPr>
                  <w:r>
                    <w:rPr>
                      <w:color w:val="auto"/>
                      <w:highlight w:val="none"/>
                    </w:rPr>
                    <w:t>数量</w:t>
                  </w:r>
                </w:p>
              </w:tc>
              <w:tc>
                <w:tcPr>
                  <w:tcW w:w="1901" w:type="dxa"/>
                  <w:vAlign w:val="center"/>
                </w:tcPr>
                <w:p w14:paraId="7EFF887D">
                  <w:pPr>
                    <w:pStyle w:val="30"/>
                    <w:rPr>
                      <w:color w:val="auto"/>
                      <w:highlight w:val="none"/>
                    </w:rPr>
                  </w:pPr>
                  <w:r>
                    <w:rPr>
                      <w:rFonts w:hint="eastAsia"/>
                      <w:color w:val="auto"/>
                      <w:highlight w:val="none"/>
                    </w:rPr>
                    <w:t>备注</w:t>
                  </w:r>
                </w:p>
              </w:tc>
            </w:tr>
            <w:tr w14:paraId="7396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vAlign w:val="center"/>
                </w:tcPr>
                <w:p w14:paraId="7E6320BA">
                  <w:pPr>
                    <w:pStyle w:val="30"/>
                    <w:rPr>
                      <w:color w:val="auto"/>
                      <w:highlight w:val="none"/>
                    </w:rPr>
                  </w:pPr>
                  <w:r>
                    <w:rPr>
                      <w:rFonts w:hint="eastAsia"/>
                      <w:color w:val="auto"/>
                      <w:highlight w:val="none"/>
                    </w:rPr>
                    <w:t>1</w:t>
                  </w:r>
                </w:p>
              </w:tc>
              <w:tc>
                <w:tcPr>
                  <w:tcW w:w="1074" w:type="dxa"/>
                  <w:vMerge w:val="restart"/>
                  <w:vAlign w:val="center"/>
                </w:tcPr>
                <w:p w14:paraId="5E2D6620">
                  <w:pPr>
                    <w:pStyle w:val="30"/>
                    <w:rPr>
                      <w:rFonts w:hint="eastAsia"/>
                      <w:color w:val="auto"/>
                      <w:highlight w:val="none"/>
                    </w:rPr>
                  </w:pPr>
                  <w:r>
                    <w:rPr>
                      <w:rFonts w:hint="eastAsia"/>
                      <w:color w:val="auto"/>
                      <w:highlight w:val="none"/>
                    </w:rPr>
                    <w:t>停车场</w:t>
                  </w:r>
                </w:p>
              </w:tc>
              <w:tc>
                <w:tcPr>
                  <w:tcW w:w="1450" w:type="dxa"/>
                  <w:vAlign w:val="center"/>
                </w:tcPr>
                <w:p w14:paraId="43736D88">
                  <w:pPr>
                    <w:pStyle w:val="30"/>
                    <w:rPr>
                      <w:color w:val="auto"/>
                      <w:highlight w:val="none"/>
                    </w:rPr>
                  </w:pPr>
                  <w:r>
                    <w:rPr>
                      <w:rFonts w:hint="eastAsia"/>
                      <w:color w:val="auto"/>
                      <w:highlight w:val="none"/>
                    </w:rPr>
                    <w:t>小汽车充电桩</w:t>
                  </w:r>
                </w:p>
              </w:tc>
              <w:tc>
                <w:tcPr>
                  <w:tcW w:w="1025" w:type="dxa"/>
                  <w:vAlign w:val="center"/>
                </w:tcPr>
                <w:p w14:paraId="183830E0">
                  <w:pPr>
                    <w:pStyle w:val="30"/>
                    <w:rPr>
                      <w:color w:val="auto"/>
                      <w:highlight w:val="none"/>
                    </w:rPr>
                  </w:pPr>
                  <w:r>
                    <w:rPr>
                      <w:rFonts w:hint="eastAsia"/>
                      <w:color w:val="auto"/>
                      <w:highlight w:val="none"/>
                    </w:rPr>
                    <w:t>个</w:t>
                  </w:r>
                </w:p>
              </w:tc>
              <w:tc>
                <w:tcPr>
                  <w:tcW w:w="1184" w:type="dxa"/>
                  <w:vAlign w:val="center"/>
                </w:tcPr>
                <w:p w14:paraId="3F3FAB80">
                  <w:pPr>
                    <w:pStyle w:val="30"/>
                    <w:rPr>
                      <w:color w:val="auto"/>
                      <w:highlight w:val="none"/>
                    </w:rPr>
                  </w:pPr>
                  <w:r>
                    <w:rPr>
                      <w:rFonts w:hint="eastAsia"/>
                      <w:color w:val="auto"/>
                      <w:highlight w:val="none"/>
                    </w:rPr>
                    <w:t>26</w:t>
                  </w:r>
                </w:p>
              </w:tc>
              <w:tc>
                <w:tcPr>
                  <w:tcW w:w="1901" w:type="dxa"/>
                  <w:vAlign w:val="center"/>
                </w:tcPr>
                <w:p w14:paraId="3A970B22">
                  <w:pPr>
                    <w:pStyle w:val="30"/>
                    <w:rPr>
                      <w:color w:val="auto"/>
                      <w:highlight w:val="none"/>
                    </w:rPr>
                  </w:pPr>
                  <w:r>
                    <w:rPr>
                      <w:rFonts w:hint="eastAsia"/>
                      <w:color w:val="auto"/>
                      <w:highlight w:val="none"/>
                    </w:rPr>
                    <w:t>按100%配置充电车位</w:t>
                  </w:r>
                </w:p>
              </w:tc>
            </w:tr>
            <w:tr w14:paraId="4E62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4DEAE128">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2</w:t>
                  </w:r>
                </w:p>
              </w:tc>
              <w:tc>
                <w:tcPr>
                  <w:tcW w:w="1074" w:type="dxa"/>
                  <w:vMerge w:val="continue"/>
                  <w:vAlign w:val="center"/>
                </w:tcPr>
                <w:p w14:paraId="4CA319A5">
                  <w:pPr>
                    <w:pStyle w:val="30"/>
                    <w:rPr>
                      <w:rFonts w:hint="eastAsia"/>
                      <w:color w:val="auto"/>
                      <w:highlight w:val="none"/>
                    </w:rPr>
                  </w:pPr>
                </w:p>
              </w:tc>
              <w:tc>
                <w:tcPr>
                  <w:tcW w:w="1450" w:type="dxa"/>
                  <w:vAlign w:val="center"/>
                </w:tcPr>
                <w:p w14:paraId="2F82CFC5">
                  <w:pPr>
                    <w:pStyle w:val="30"/>
                    <w:rPr>
                      <w:rFonts w:hint="eastAsia" w:eastAsia="宋体"/>
                      <w:color w:val="auto"/>
                      <w:highlight w:val="none"/>
                      <w:lang w:eastAsia="zh-CN"/>
                    </w:rPr>
                  </w:pPr>
                  <w:r>
                    <w:rPr>
                      <w:rFonts w:hint="eastAsia"/>
                      <w:color w:val="auto"/>
                      <w:highlight w:val="none"/>
                      <w:lang w:eastAsia="zh-CN"/>
                    </w:rPr>
                    <w:t>货车充电桩</w:t>
                  </w:r>
                </w:p>
              </w:tc>
              <w:tc>
                <w:tcPr>
                  <w:tcW w:w="1025" w:type="dxa"/>
                  <w:vAlign w:val="center"/>
                </w:tcPr>
                <w:p w14:paraId="67BC8799">
                  <w:pPr>
                    <w:pStyle w:val="30"/>
                    <w:rPr>
                      <w:rFonts w:hint="eastAsia" w:eastAsia="宋体"/>
                      <w:color w:val="auto"/>
                      <w:highlight w:val="none"/>
                      <w:lang w:eastAsia="zh-CN"/>
                    </w:rPr>
                  </w:pPr>
                  <w:r>
                    <w:rPr>
                      <w:rFonts w:hint="eastAsia"/>
                      <w:color w:val="auto"/>
                      <w:highlight w:val="none"/>
                      <w:lang w:eastAsia="zh-CN"/>
                    </w:rPr>
                    <w:t>个</w:t>
                  </w:r>
                </w:p>
              </w:tc>
              <w:tc>
                <w:tcPr>
                  <w:tcW w:w="1184" w:type="dxa"/>
                  <w:vAlign w:val="center"/>
                </w:tcPr>
                <w:p w14:paraId="0BF982E0">
                  <w:pPr>
                    <w:pStyle w:val="30"/>
                    <w:rPr>
                      <w:rFonts w:hint="default" w:eastAsia="宋体"/>
                      <w:color w:val="auto"/>
                      <w:highlight w:val="none"/>
                      <w:lang w:val="en-US" w:eastAsia="zh-CN"/>
                    </w:rPr>
                  </w:pPr>
                  <w:r>
                    <w:rPr>
                      <w:rFonts w:hint="eastAsia"/>
                      <w:color w:val="auto"/>
                      <w:highlight w:val="none"/>
                      <w:lang w:val="en-US" w:eastAsia="zh-CN"/>
                    </w:rPr>
                    <w:t>98</w:t>
                  </w:r>
                </w:p>
              </w:tc>
              <w:tc>
                <w:tcPr>
                  <w:tcW w:w="1901" w:type="dxa"/>
                  <w:vAlign w:val="center"/>
                </w:tcPr>
                <w:p w14:paraId="59F3D2E7">
                  <w:pPr>
                    <w:pStyle w:val="30"/>
                    <w:rPr>
                      <w:rFonts w:hint="eastAsia"/>
                      <w:color w:val="auto"/>
                      <w:highlight w:val="none"/>
                    </w:rPr>
                  </w:pPr>
                  <w:r>
                    <w:rPr>
                      <w:rFonts w:hint="eastAsia"/>
                      <w:color w:val="auto"/>
                      <w:highlight w:val="none"/>
                    </w:rPr>
                    <w:t>按</w:t>
                  </w:r>
                  <w:r>
                    <w:rPr>
                      <w:rFonts w:hint="eastAsia"/>
                      <w:color w:val="auto"/>
                      <w:highlight w:val="none"/>
                      <w:lang w:val="en-US" w:eastAsia="zh-CN"/>
                    </w:rPr>
                    <w:t>40</w:t>
                  </w:r>
                  <w:r>
                    <w:rPr>
                      <w:rFonts w:hint="eastAsia"/>
                      <w:color w:val="auto"/>
                      <w:highlight w:val="none"/>
                    </w:rPr>
                    <w:t>%配置充电车位</w:t>
                  </w:r>
                </w:p>
              </w:tc>
            </w:tr>
            <w:tr w14:paraId="1C55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03A3B7D5">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3</w:t>
                  </w:r>
                </w:p>
              </w:tc>
              <w:tc>
                <w:tcPr>
                  <w:tcW w:w="1074" w:type="dxa"/>
                  <w:vMerge w:val="restart"/>
                  <w:vAlign w:val="center"/>
                </w:tcPr>
                <w:p w14:paraId="27A6B8A2">
                  <w:pPr>
                    <w:pStyle w:val="30"/>
                    <w:rPr>
                      <w:rFonts w:hint="eastAsia" w:eastAsia="宋体"/>
                      <w:color w:val="auto"/>
                      <w:highlight w:val="none"/>
                      <w:lang w:eastAsia="zh-CN"/>
                    </w:rPr>
                  </w:pPr>
                  <w:r>
                    <w:rPr>
                      <w:rFonts w:hint="eastAsia"/>
                      <w:color w:val="auto"/>
                      <w:highlight w:val="none"/>
                      <w:lang w:eastAsia="zh-CN"/>
                    </w:rPr>
                    <w:t>智慧货运维修中心</w:t>
                  </w:r>
                </w:p>
              </w:tc>
              <w:tc>
                <w:tcPr>
                  <w:tcW w:w="1450" w:type="dxa"/>
                  <w:vAlign w:val="center"/>
                </w:tcPr>
                <w:p w14:paraId="28657F86">
                  <w:pPr>
                    <w:pStyle w:val="30"/>
                    <w:rPr>
                      <w:color w:val="auto"/>
                      <w:highlight w:val="none"/>
                    </w:rPr>
                  </w:pPr>
                  <w:r>
                    <w:rPr>
                      <w:rFonts w:hint="eastAsia"/>
                      <w:color w:val="auto"/>
                      <w:highlight w:val="none"/>
                    </w:rPr>
                    <w:t>航吊</w:t>
                  </w:r>
                </w:p>
              </w:tc>
              <w:tc>
                <w:tcPr>
                  <w:tcW w:w="1025" w:type="dxa"/>
                  <w:vAlign w:val="center"/>
                </w:tcPr>
                <w:p w14:paraId="4F277F0E">
                  <w:pPr>
                    <w:pStyle w:val="30"/>
                    <w:rPr>
                      <w:color w:val="auto"/>
                      <w:highlight w:val="none"/>
                    </w:rPr>
                  </w:pPr>
                  <w:r>
                    <w:rPr>
                      <w:rFonts w:hint="eastAsia"/>
                      <w:color w:val="auto"/>
                      <w:highlight w:val="none"/>
                    </w:rPr>
                    <w:t>台</w:t>
                  </w:r>
                </w:p>
              </w:tc>
              <w:tc>
                <w:tcPr>
                  <w:tcW w:w="1184" w:type="dxa"/>
                  <w:vAlign w:val="center"/>
                </w:tcPr>
                <w:p w14:paraId="76693837">
                  <w:pPr>
                    <w:pStyle w:val="30"/>
                    <w:rPr>
                      <w:color w:val="auto"/>
                      <w:highlight w:val="none"/>
                    </w:rPr>
                  </w:pPr>
                  <w:r>
                    <w:rPr>
                      <w:rFonts w:hint="eastAsia"/>
                      <w:color w:val="auto"/>
                      <w:highlight w:val="none"/>
                    </w:rPr>
                    <w:t>2</w:t>
                  </w:r>
                </w:p>
              </w:tc>
              <w:tc>
                <w:tcPr>
                  <w:tcW w:w="1901" w:type="dxa"/>
                  <w:vAlign w:val="center"/>
                </w:tcPr>
                <w:p w14:paraId="567B18EC">
                  <w:pPr>
                    <w:pStyle w:val="30"/>
                    <w:rPr>
                      <w:color w:val="auto"/>
                      <w:highlight w:val="none"/>
                    </w:rPr>
                  </w:pPr>
                </w:p>
              </w:tc>
            </w:tr>
            <w:tr w14:paraId="5D77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56C7EED9">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4</w:t>
                  </w:r>
                </w:p>
              </w:tc>
              <w:tc>
                <w:tcPr>
                  <w:tcW w:w="1074" w:type="dxa"/>
                  <w:vMerge w:val="continue"/>
                  <w:vAlign w:val="center"/>
                </w:tcPr>
                <w:p w14:paraId="2DF6D04C">
                  <w:pPr>
                    <w:pStyle w:val="30"/>
                    <w:rPr>
                      <w:color w:val="auto"/>
                      <w:highlight w:val="none"/>
                    </w:rPr>
                  </w:pPr>
                </w:p>
              </w:tc>
              <w:tc>
                <w:tcPr>
                  <w:tcW w:w="1450" w:type="dxa"/>
                  <w:vAlign w:val="center"/>
                </w:tcPr>
                <w:p w14:paraId="2F9A6ECD">
                  <w:pPr>
                    <w:pStyle w:val="30"/>
                    <w:rPr>
                      <w:color w:val="auto"/>
                      <w:highlight w:val="none"/>
                    </w:rPr>
                  </w:pPr>
                  <w:r>
                    <w:rPr>
                      <w:rFonts w:hint="eastAsia"/>
                      <w:color w:val="auto"/>
                      <w:highlight w:val="none"/>
                    </w:rPr>
                    <w:t>电脑检测仪</w:t>
                  </w:r>
                </w:p>
              </w:tc>
              <w:tc>
                <w:tcPr>
                  <w:tcW w:w="1025" w:type="dxa"/>
                  <w:vAlign w:val="center"/>
                </w:tcPr>
                <w:p w14:paraId="0D8E125C">
                  <w:pPr>
                    <w:pStyle w:val="30"/>
                    <w:rPr>
                      <w:color w:val="auto"/>
                      <w:highlight w:val="none"/>
                    </w:rPr>
                  </w:pPr>
                  <w:r>
                    <w:rPr>
                      <w:rFonts w:hint="eastAsia"/>
                      <w:color w:val="auto"/>
                      <w:highlight w:val="none"/>
                    </w:rPr>
                    <w:t>台</w:t>
                  </w:r>
                </w:p>
              </w:tc>
              <w:tc>
                <w:tcPr>
                  <w:tcW w:w="1184" w:type="dxa"/>
                  <w:vAlign w:val="center"/>
                </w:tcPr>
                <w:p w14:paraId="796CC0F3">
                  <w:pPr>
                    <w:pStyle w:val="30"/>
                    <w:rPr>
                      <w:color w:val="auto"/>
                      <w:highlight w:val="none"/>
                    </w:rPr>
                  </w:pPr>
                  <w:r>
                    <w:rPr>
                      <w:rFonts w:hint="eastAsia"/>
                      <w:color w:val="auto"/>
                      <w:highlight w:val="none"/>
                    </w:rPr>
                    <w:t>4</w:t>
                  </w:r>
                </w:p>
              </w:tc>
              <w:tc>
                <w:tcPr>
                  <w:tcW w:w="1901" w:type="dxa"/>
                  <w:vAlign w:val="center"/>
                </w:tcPr>
                <w:p w14:paraId="1557683D">
                  <w:pPr>
                    <w:pStyle w:val="30"/>
                    <w:rPr>
                      <w:color w:val="auto"/>
                      <w:highlight w:val="none"/>
                    </w:rPr>
                  </w:pPr>
                </w:p>
              </w:tc>
            </w:tr>
            <w:tr w14:paraId="325C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363EBE52">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5</w:t>
                  </w:r>
                </w:p>
              </w:tc>
              <w:tc>
                <w:tcPr>
                  <w:tcW w:w="1074" w:type="dxa"/>
                  <w:vMerge w:val="continue"/>
                  <w:vAlign w:val="center"/>
                </w:tcPr>
                <w:p w14:paraId="160D48C7">
                  <w:pPr>
                    <w:pStyle w:val="30"/>
                    <w:rPr>
                      <w:color w:val="auto"/>
                      <w:highlight w:val="none"/>
                    </w:rPr>
                  </w:pPr>
                </w:p>
              </w:tc>
              <w:tc>
                <w:tcPr>
                  <w:tcW w:w="1450" w:type="dxa"/>
                  <w:vAlign w:val="center"/>
                </w:tcPr>
                <w:p w14:paraId="3955CC4F">
                  <w:pPr>
                    <w:pStyle w:val="30"/>
                    <w:rPr>
                      <w:color w:val="auto"/>
                      <w:highlight w:val="none"/>
                    </w:rPr>
                  </w:pPr>
                  <w:r>
                    <w:rPr>
                      <w:rFonts w:hint="eastAsia"/>
                      <w:color w:val="auto"/>
                      <w:highlight w:val="none"/>
                    </w:rPr>
                    <w:t>空气压缩机</w:t>
                  </w:r>
                </w:p>
              </w:tc>
              <w:tc>
                <w:tcPr>
                  <w:tcW w:w="1025" w:type="dxa"/>
                  <w:vAlign w:val="center"/>
                </w:tcPr>
                <w:p w14:paraId="5D685400">
                  <w:pPr>
                    <w:pStyle w:val="30"/>
                    <w:rPr>
                      <w:color w:val="auto"/>
                      <w:highlight w:val="none"/>
                    </w:rPr>
                  </w:pPr>
                  <w:r>
                    <w:rPr>
                      <w:rFonts w:hint="eastAsia"/>
                      <w:color w:val="auto"/>
                      <w:highlight w:val="none"/>
                    </w:rPr>
                    <w:t>台</w:t>
                  </w:r>
                </w:p>
              </w:tc>
              <w:tc>
                <w:tcPr>
                  <w:tcW w:w="1184" w:type="dxa"/>
                  <w:vAlign w:val="center"/>
                </w:tcPr>
                <w:p w14:paraId="469D0A21">
                  <w:pPr>
                    <w:pStyle w:val="30"/>
                    <w:rPr>
                      <w:color w:val="auto"/>
                      <w:highlight w:val="none"/>
                    </w:rPr>
                  </w:pPr>
                  <w:r>
                    <w:rPr>
                      <w:rFonts w:hint="eastAsia"/>
                      <w:color w:val="auto"/>
                      <w:highlight w:val="none"/>
                    </w:rPr>
                    <w:t>1</w:t>
                  </w:r>
                </w:p>
              </w:tc>
              <w:tc>
                <w:tcPr>
                  <w:tcW w:w="1901" w:type="dxa"/>
                  <w:vAlign w:val="center"/>
                </w:tcPr>
                <w:p w14:paraId="55B353FC">
                  <w:pPr>
                    <w:pStyle w:val="30"/>
                    <w:rPr>
                      <w:color w:val="auto"/>
                      <w:highlight w:val="none"/>
                    </w:rPr>
                  </w:pPr>
                </w:p>
              </w:tc>
            </w:tr>
            <w:tr w14:paraId="006D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4669833F">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6</w:t>
                  </w:r>
                </w:p>
              </w:tc>
              <w:tc>
                <w:tcPr>
                  <w:tcW w:w="1074" w:type="dxa"/>
                  <w:vMerge w:val="continue"/>
                  <w:vAlign w:val="center"/>
                </w:tcPr>
                <w:p w14:paraId="449606DF">
                  <w:pPr>
                    <w:pStyle w:val="30"/>
                    <w:rPr>
                      <w:color w:val="auto"/>
                      <w:highlight w:val="none"/>
                    </w:rPr>
                  </w:pPr>
                </w:p>
              </w:tc>
              <w:tc>
                <w:tcPr>
                  <w:tcW w:w="1450" w:type="dxa"/>
                  <w:vAlign w:val="center"/>
                </w:tcPr>
                <w:p w14:paraId="40C72526">
                  <w:pPr>
                    <w:pStyle w:val="30"/>
                    <w:rPr>
                      <w:color w:val="auto"/>
                      <w:highlight w:val="none"/>
                    </w:rPr>
                  </w:pPr>
                  <w:r>
                    <w:rPr>
                      <w:rFonts w:hint="eastAsia"/>
                      <w:color w:val="auto"/>
                      <w:highlight w:val="none"/>
                    </w:rPr>
                    <w:t>车轮动平衡机</w:t>
                  </w:r>
                </w:p>
              </w:tc>
              <w:tc>
                <w:tcPr>
                  <w:tcW w:w="1025" w:type="dxa"/>
                  <w:vAlign w:val="center"/>
                </w:tcPr>
                <w:p w14:paraId="25358C44">
                  <w:pPr>
                    <w:pStyle w:val="30"/>
                    <w:rPr>
                      <w:color w:val="auto"/>
                      <w:highlight w:val="none"/>
                    </w:rPr>
                  </w:pPr>
                  <w:r>
                    <w:rPr>
                      <w:rFonts w:hint="eastAsia"/>
                      <w:color w:val="auto"/>
                      <w:highlight w:val="none"/>
                    </w:rPr>
                    <w:t>台</w:t>
                  </w:r>
                </w:p>
              </w:tc>
              <w:tc>
                <w:tcPr>
                  <w:tcW w:w="1184" w:type="dxa"/>
                  <w:vAlign w:val="center"/>
                </w:tcPr>
                <w:p w14:paraId="70233AF9">
                  <w:pPr>
                    <w:pStyle w:val="30"/>
                    <w:rPr>
                      <w:color w:val="auto"/>
                      <w:highlight w:val="none"/>
                    </w:rPr>
                  </w:pPr>
                  <w:r>
                    <w:rPr>
                      <w:rFonts w:hint="eastAsia"/>
                      <w:color w:val="auto"/>
                      <w:highlight w:val="none"/>
                    </w:rPr>
                    <w:t>2</w:t>
                  </w:r>
                </w:p>
              </w:tc>
              <w:tc>
                <w:tcPr>
                  <w:tcW w:w="1901" w:type="dxa"/>
                  <w:vAlign w:val="center"/>
                </w:tcPr>
                <w:p w14:paraId="08BB1AC9">
                  <w:pPr>
                    <w:pStyle w:val="30"/>
                    <w:rPr>
                      <w:color w:val="auto"/>
                      <w:highlight w:val="none"/>
                    </w:rPr>
                  </w:pPr>
                </w:p>
              </w:tc>
            </w:tr>
            <w:tr w14:paraId="16AD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775E1CCD">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7</w:t>
                  </w:r>
                </w:p>
              </w:tc>
              <w:tc>
                <w:tcPr>
                  <w:tcW w:w="1074" w:type="dxa"/>
                  <w:vMerge w:val="continue"/>
                  <w:vAlign w:val="center"/>
                </w:tcPr>
                <w:p w14:paraId="20AEA7D0">
                  <w:pPr>
                    <w:pStyle w:val="30"/>
                    <w:rPr>
                      <w:color w:val="auto"/>
                      <w:highlight w:val="none"/>
                    </w:rPr>
                  </w:pPr>
                </w:p>
              </w:tc>
              <w:tc>
                <w:tcPr>
                  <w:tcW w:w="1450" w:type="dxa"/>
                  <w:vAlign w:val="center"/>
                </w:tcPr>
                <w:p w14:paraId="7547D318">
                  <w:pPr>
                    <w:pStyle w:val="30"/>
                    <w:rPr>
                      <w:color w:val="auto"/>
                      <w:highlight w:val="none"/>
                    </w:rPr>
                  </w:pPr>
                  <w:r>
                    <w:rPr>
                      <w:color w:val="auto"/>
                      <w:highlight w:val="none"/>
                    </w:rPr>
                    <w:t>二氧化碳保护焊机</w:t>
                  </w:r>
                </w:p>
              </w:tc>
              <w:tc>
                <w:tcPr>
                  <w:tcW w:w="1025" w:type="dxa"/>
                  <w:vAlign w:val="center"/>
                </w:tcPr>
                <w:p w14:paraId="749589BD">
                  <w:pPr>
                    <w:pStyle w:val="30"/>
                    <w:rPr>
                      <w:color w:val="auto"/>
                      <w:highlight w:val="none"/>
                    </w:rPr>
                  </w:pPr>
                  <w:r>
                    <w:rPr>
                      <w:rFonts w:hint="eastAsia"/>
                      <w:color w:val="auto"/>
                      <w:highlight w:val="none"/>
                    </w:rPr>
                    <w:t>台</w:t>
                  </w:r>
                </w:p>
              </w:tc>
              <w:tc>
                <w:tcPr>
                  <w:tcW w:w="1184" w:type="dxa"/>
                  <w:vAlign w:val="center"/>
                </w:tcPr>
                <w:p w14:paraId="0E1B83D2">
                  <w:pPr>
                    <w:pStyle w:val="30"/>
                    <w:rPr>
                      <w:color w:val="auto"/>
                      <w:highlight w:val="none"/>
                    </w:rPr>
                  </w:pPr>
                  <w:r>
                    <w:rPr>
                      <w:rFonts w:hint="eastAsia"/>
                      <w:color w:val="auto"/>
                      <w:highlight w:val="none"/>
                    </w:rPr>
                    <w:t>2</w:t>
                  </w:r>
                </w:p>
              </w:tc>
              <w:tc>
                <w:tcPr>
                  <w:tcW w:w="1901" w:type="dxa"/>
                  <w:vAlign w:val="center"/>
                </w:tcPr>
                <w:p w14:paraId="40FE8E00">
                  <w:pPr>
                    <w:pStyle w:val="30"/>
                    <w:rPr>
                      <w:color w:val="auto"/>
                      <w:highlight w:val="none"/>
                    </w:rPr>
                  </w:pPr>
                </w:p>
              </w:tc>
            </w:tr>
            <w:tr w14:paraId="3F56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5C92A1A8">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8</w:t>
                  </w:r>
                </w:p>
              </w:tc>
              <w:tc>
                <w:tcPr>
                  <w:tcW w:w="1074" w:type="dxa"/>
                  <w:vMerge w:val="continue"/>
                  <w:vAlign w:val="center"/>
                </w:tcPr>
                <w:p w14:paraId="4E2011E6">
                  <w:pPr>
                    <w:pStyle w:val="30"/>
                    <w:rPr>
                      <w:color w:val="auto"/>
                      <w:highlight w:val="none"/>
                    </w:rPr>
                  </w:pPr>
                </w:p>
              </w:tc>
              <w:tc>
                <w:tcPr>
                  <w:tcW w:w="1450" w:type="dxa"/>
                  <w:vAlign w:val="center"/>
                </w:tcPr>
                <w:p w14:paraId="1780C216">
                  <w:pPr>
                    <w:pStyle w:val="30"/>
                    <w:rPr>
                      <w:color w:val="auto"/>
                      <w:highlight w:val="none"/>
                    </w:rPr>
                  </w:pPr>
                  <w:r>
                    <w:rPr>
                      <w:rFonts w:hint="eastAsia"/>
                      <w:color w:val="auto"/>
                      <w:highlight w:val="none"/>
                    </w:rPr>
                    <w:t>拆胎机</w:t>
                  </w:r>
                </w:p>
              </w:tc>
              <w:tc>
                <w:tcPr>
                  <w:tcW w:w="1025" w:type="dxa"/>
                  <w:vAlign w:val="center"/>
                </w:tcPr>
                <w:p w14:paraId="717C7049">
                  <w:pPr>
                    <w:pStyle w:val="30"/>
                    <w:rPr>
                      <w:color w:val="auto"/>
                      <w:highlight w:val="none"/>
                    </w:rPr>
                  </w:pPr>
                  <w:r>
                    <w:rPr>
                      <w:rFonts w:hint="eastAsia"/>
                      <w:color w:val="auto"/>
                      <w:highlight w:val="none"/>
                    </w:rPr>
                    <w:t>台</w:t>
                  </w:r>
                </w:p>
              </w:tc>
              <w:tc>
                <w:tcPr>
                  <w:tcW w:w="1184" w:type="dxa"/>
                  <w:vAlign w:val="center"/>
                </w:tcPr>
                <w:p w14:paraId="7500AE1B">
                  <w:pPr>
                    <w:pStyle w:val="30"/>
                    <w:rPr>
                      <w:color w:val="auto"/>
                      <w:highlight w:val="none"/>
                    </w:rPr>
                  </w:pPr>
                  <w:r>
                    <w:rPr>
                      <w:rFonts w:hint="eastAsia"/>
                      <w:color w:val="auto"/>
                      <w:highlight w:val="none"/>
                    </w:rPr>
                    <w:t>1</w:t>
                  </w:r>
                </w:p>
              </w:tc>
              <w:tc>
                <w:tcPr>
                  <w:tcW w:w="1901" w:type="dxa"/>
                  <w:vAlign w:val="center"/>
                </w:tcPr>
                <w:p w14:paraId="1DE4FFB0">
                  <w:pPr>
                    <w:pStyle w:val="30"/>
                    <w:rPr>
                      <w:color w:val="auto"/>
                      <w:highlight w:val="none"/>
                    </w:rPr>
                  </w:pPr>
                </w:p>
              </w:tc>
            </w:tr>
            <w:tr w14:paraId="1CA8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2BA36AD2">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9</w:t>
                  </w:r>
                </w:p>
              </w:tc>
              <w:tc>
                <w:tcPr>
                  <w:tcW w:w="1074" w:type="dxa"/>
                  <w:vMerge w:val="continue"/>
                  <w:vAlign w:val="center"/>
                </w:tcPr>
                <w:p w14:paraId="5646CE06">
                  <w:pPr>
                    <w:pStyle w:val="30"/>
                    <w:rPr>
                      <w:color w:val="auto"/>
                      <w:highlight w:val="none"/>
                    </w:rPr>
                  </w:pPr>
                </w:p>
              </w:tc>
              <w:tc>
                <w:tcPr>
                  <w:tcW w:w="1450" w:type="dxa"/>
                  <w:vAlign w:val="center"/>
                </w:tcPr>
                <w:p w14:paraId="21CA41F5">
                  <w:pPr>
                    <w:pStyle w:val="30"/>
                    <w:rPr>
                      <w:color w:val="auto"/>
                      <w:highlight w:val="none"/>
                    </w:rPr>
                  </w:pPr>
                  <w:r>
                    <w:rPr>
                      <w:rFonts w:hint="eastAsia"/>
                      <w:color w:val="auto"/>
                      <w:highlight w:val="none"/>
                    </w:rPr>
                    <w:t>举升机</w:t>
                  </w:r>
                </w:p>
              </w:tc>
              <w:tc>
                <w:tcPr>
                  <w:tcW w:w="1025" w:type="dxa"/>
                  <w:vAlign w:val="center"/>
                </w:tcPr>
                <w:p w14:paraId="1AECBD8F">
                  <w:pPr>
                    <w:pStyle w:val="30"/>
                    <w:rPr>
                      <w:color w:val="auto"/>
                      <w:highlight w:val="none"/>
                    </w:rPr>
                  </w:pPr>
                  <w:r>
                    <w:rPr>
                      <w:rFonts w:hint="eastAsia"/>
                      <w:color w:val="auto"/>
                      <w:highlight w:val="none"/>
                    </w:rPr>
                    <w:t>台</w:t>
                  </w:r>
                </w:p>
              </w:tc>
              <w:tc>
                <w:tcPr>
                  <w:tcW w:w="1184" w:type="dxa"/>
                  <w:vAlign w:val="center"/>
                </w:tcPr>
                <w:p w14:paraId="5495E0BE">
                  <w:pPr>
                    <w:pStyle w:val="30"/>
                    <w:rPr>
                      <w:color w:val="auto"/>
                      <w:highlight w:val="none"/>
                    </w:rPr>
                  </w:pPr>
                  <w:r>
                    <w:rPr>
                      <w:rFonts w:hint="eastAsia"/>
                      <w:color w:val="auto"/>
                      <w:highlight w:val="none"/>
                    </w:rPr>
                    <w:t>2</w:t>
                  </w:r>
                </w:p>
              </w:tc>
              <w:tc>
                <w:tcPr>
                  <w:tcW w:w="1901" w:type="dxa"/>
                  <w:vAlign w:val="center"/>
                </w:tcPr>
                <w:p w14:paraId="1ECCF3B7">
                  <w:pPr>
                    <w:pStyle w:val="30"/>
                    <w:rPr>
                      <w:color w:val="auto"/>
                      <w:highlight w:val="none"/>
                    </w:rPr>
                  </w:pPr>
                </w:p>
              </w:tc>
            </w:tr>
            <w:tr w14:paraId="28F8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05F92454">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10</w:t>
                  </w:r>
                </w:p>
              </w:tc>
              <w:tc>
                <w:tcPr>
                  <w:tcW w:w="1074" w:type="dxa"/>
                  <w:vMerge w:val="continue"/>
                  <w:vAlign w:val="center"/>
                </w:tcPr>
                <w:p w14:paraId="39BCD151">
                  <w:pPr>
                    <w:pStyle w:val="30"/>
                    <w:rPr>
                      <w:color w:val="auto"/>
                      <w:highlight w:val="none"/>
                    </w:rPr>
                  </w:pPr>
                </w:p>
              </w:tc>
              <w:tc>
                <w:tcPr>
                  <w:tcW w:w="1450" w:type="dxa"/>
                  <w:vAlign w:val="center"/>
                </w:tcPr>
                <w:p w14:paraId="35E01A01">
                  <w:pPr>
                    <w:pStyle w:val="30"/>
                    <w:rPr>
                      <w:color w:val="auto"/>
                      <w:highlight w:val="none"/>
                    </w:rPr>
                  </w:pPr>
                  <w:r>
                    <w:rPr>
                      <w:rFonts w:hint="eastAsia"/>
                      <w:color w:val="auto"/>
                      <w:highlight w:val="none"/>
                    </w:rPr>
                    <w:t>手电钻</w:t>
                  </w:r>
                </w:p>
              </w:tc>
              <w:tc>
                <w:tcPr>
                  <w:tcW w:w="1025" w:type="dxa"/>
                  <w:vAlign w:val="center"/>
                </w:tcPr>
                <w:p w14:paraId="18D034FA">
                  <w:pPr>
                    <w:pStyle w:val="30"/>
                    <w:rPr>
                      <w:color w:val="auto"/>
                      <w:highlight w:val="none"/>
                    </w:rPr>
                  </w:pPr>
                  <w:r>
                    <w:rPr>
                      <w:rFonts w:hint="eastAsia"/>
                      <w:color w:val="auto"/>
                      <w:highlight w:val="none"/>
                    </w:rPr>
                    <w:t>台</w:t>
                  </w:r>
                </w:p>
              </w:tc>
              <w:tc>
                <w:tcPr>
                  <w:tcW w:w="1184" w:type="dxa"/>
                  <w:vAlign w:val="center"/>
                </w:tcPr>
                <w:p w14:paraId="6D14BE12">
                  <w:pPr>
                    <w:pStyle w:val="30"/>
                    <w:rPr>
                      <w:color w:val="auto"/>
                      <w:highlight w:val="none"/>
                    </w:rPr>
                  </w:pPr>
                  <w:r>
                    <w:rPr>
                      <w:rFonts w:hint="eastAsia"/>
                      <w:color w:val="auto"/>
                      <w:highlight w:val="none"/>
                    </w:rPr>
                    <w:t>3</w:t>
                  </w:r>
                </w:p>
              </w:tc>
              <w:tc>
                <w:tcPr>
                  <w:tcW w:w="1901" w:type="dxa"/>
                  <w:vAlign w:val="center"/>
                </w:tcPr>
                <w:p w14:paraId="7334453A">
                  <w:pPr>
                    <w:pStyle w:val="30"/>
                    <w:rPr>
                      <w:color w:val="auto"/>
                      <w:highlight w:val="none"/>
                    </w:rPr>
                  </w:pPr>
                </w:p>
              </w:tc>
            </w:tr>
            <w:tr w14:paraId="6A3F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35EA48B1">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11</w:t>
                  </w:r>
                </w:p>
              </w:tc>
              <w:tc>
                <w:tcPr>
                  <w:tcW w:w="1074" w:type="dxa"/>
                  <w:vMerge w:val="continue"/>
                  <w:vAlign w:val="center"/>
                </w:tcPr>
                <w:p w14:paraId="599D9B29">
                  <w:pPr>
                    <w:pStyle w:val="30"/>
                    <w:rPr>
                      <w:color w:val="auto"/>
                      <w:highlight w:val="none"/>
                    </w:rPr>
                  </w:pPr>
                </w:p>
              </w:tc>
              <w:tc>
                <w:tcPr>
                  <w:tcW w:w="1450" w:type="dxa"/>
                  <w:vAlign w:val="center"/>
                </w:tcPr>
                <w:p w14:paraId="1F7947A2">
                  <w:pPr>
                    <w:pStyle w:val="30"/>
                    <w:rPr>
                      <w:color w:val="auto"/>
                      <w:highlight w:val="none"/>
                    </w:rPr>
                  </w:pPr>
                  <w:r>
                    <w:rPr>
                      <w:rFonts w:hint="eastAsia"/>
                      <w:color w:val="auto"/>
                      <w:highlight w:val="none"/>
                    </w:rPr>
                    <w:t>冲击钻</w:t>
                  </w:r>
                </w:p>
              </w:tc>
              <w:tc>
                <w:tcPr>
                  <w:tcW w:w="1025" w:type="dxa"/>
                  <w:vAlign w:val="center"/>
                </w:tcPr>
                <w:p w14:paraId="66F27688">
                  <w:pPr>
                    <w:pStyle w:val="30"/>
                    <w:rPr>
                      <w:color w:val="auto"/>
                      <w:highlight w:val="none"/>
                    </w:rPr>
                  </w:pPr>
                  <w:r>
                    <w:rPr>
                      <w:rFonts w:hint="eastAsia"/>
                      <w:color w:val="auto"/>
                      <w:highlight w:val="none"/>
                    </w:rPr>
                    <w:t>台</w:t>
                  </w:r>
                </w:p>
              </w:tc>
              <w:tc>
                <w:tcPr>
                  <w:tcW w:w="1184" w:type="dxa"/>
                  <w:vAlign w:val="center"/>
                </w:tcPr>
                <w:p w14:paraId="4EF3093A">
                  <w:pPr>
                    <w:pStyle w:val="30"/>
                    <w:rPr>
                      <w:color w:val="auto"/>
                      <w:highlight w:val="none"/>
                    </w:rPr>
                  </w:pPr>
                  <w:r>
                    <w:rPr>
                      <w:rFonts w:hint="eastAsia"/>
                      <w:color w:val="auto"/>
                      <w:highlight w:val="none"/>
                    </w:rPr>
                    <w:t>3</w:t>
                  </w:r>
                </w:p>
              </w:tc>
              <w:tc>
                <w:tcPr>
                  <w:tcW w:w="1901" w:type="dxa"/>
                  <w:vAlign w:val="center"/>
                </w:tcPr>
                <w:p w14:paraId="7116465A">
                  <w:pPr>
                    <w:pStyle w:val="30"/>
                    <w:rPr>
                      <w:color w:val="auto"/>
                      <w:highlight w:val="none"/>
                    </w:rPr>
                  </w:pPr>
                </w:p>
              </w:tc>
            </w:tr>
            <w:tr w14:paraId="43A9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4F9FEEB1">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12</w:t>
                  </w:r>
                </w:p>
              </w:tc>
              <w:tc>
                <w:tcPr>
                  <w:tcW w:w="1074" w:type="dxa"/>
                  <w:vMerge w:val="continue"/>
                  <w:vAlign w:val="center"/>
                </w:tcPr>
                <w:p w14:paraId="49F24405">
                  <w:pPr>
                    <w:pStyle w:val="30"/>
                    <w:rPr>
                      <w:color w:val="auto"/>
                      <w:highlight w:val="none"/>
                    </w:rPr>
                  </w:pPr>
                </w:p>
              </w:tc>
              <w:tc>
                <w:tcPr>
                  <w:tcW w:w="1450" w:type="dxa"/>
                  <w:vAlign w:val="center"/>
                </w:tcPr>
                <w:p w14:paraId="0E033134">
                  <w:pPr>
                    <w:pStyle w:val="30"/>
                    <w:rPr>
                      <w:color w:val="auto"/>
                      <w:highlight w:val="none"/>
                    </w:rPr>
                  </w:pPr>
                  <w:r>
                    <w:rPr>
                      <w:rFonts w:hint="eastAsia"/>
                      <w:color w:val="auto"/>
                      <w:highlight w:val="none"/>
                    </w:rPr>
                    <w:t>砂轮机</w:t>
                  </w:r>
                </w:p>
              </w:tc>
              <w:tc>
                <w:tcPr>
                  <w:tcW w:w="1025" w:type="dxa"/>
                  <w:vAlign w:val="center"/>
                </w:tcPr>
                <w:p w14:paraId="706CB2EA">
                  <w:pPr>
                    <w:pStyle w:val="30"/>
                    <w:rPr>
                      <w:color w:val="auto"/>
                      <w:highlight w:val="none"/>
                    </w:rPr>
                  </w:pPr>
                  <w:r>
                    <w:rPr>
                      <w:rFonts w:hint="eastAsia"/>
                      <w:color w:val="auto"/>
                      <w:highlight w:val="none"/>
                    </w:rPr>
                    <w:t>台</w:t>
                  </w:r>
                </w:p>
              </w:tc>
              <w:tc>
                <w:tcPr>
                  <w:tcW w:w="1184" w:type="dxa"/>
                  <w:vAlign w:val="center"/>
                </w:tcPr>
                <w:p w14:paraId="5F678365">
                  <w:pPr>
                    <w:pStyle w:val="30"/>
                    <w:rPr>
                      <w:color w:val="auto"/>
                      <w:highlight w:val="none"/>
                    </w:rPr>
                  </w:pPr>
                  <w:r>
                    <w:rPr>
                      <w:rFonts w:hint="eastAsia"/>
                      <w:color w:val="auto"/>
                      <w:highlight w:val="none"/>
                    </w:rPr>
                    <w:t>2</w:t>
                  </w:r>
                </w:p>
              </w:tc>
              <w:tc>
                <w:tcPr>
                  <w:tcW w:w="1901" w:type="dxa"/>
                  <w:vAlign w:val="center"/>
                </w:tcPr>
                <w:p w14:paraId="15127B87">
                  <w:pPr>
                    <w:pStyle w:val="30"/>
                    <w:rPr>
                      <w:color w:val="auto"/>
                      <w:highlight w:val="none"/>
                    </w:rPr>
                  </w:pPr>
                </w:p>
              </w:tc>
            </w:tr>
            <w:tr w14:paraId="1A40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3009000F">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13</w:t>
                  </w:r>
                </w:p>
              </w:tc>
              <w:tc>
                <w:tcPr>
                  <w:tcW w:w="1074" w:type="dxa"/>
                  <w:vMerge w:val="continue"/>
                  <w:vAlign w:val="center"/>
                </w:tcPr>
                <w:p w14:paraId="37442D66">
                  <w:pPr>
                    <w:pStyle w:val="30"/>
                    <w:rPr>
                      <w:color w:val="auto"/>
                      <w:highlight w:val="none"/>
                    </w:rPr>
                  </w:pPr>
                </w:p>
              </w:tc>
              <w:tc>
                <w:tcPr>
                  <w:tcW w:w="1450" w:type="dxa"/>
                  <w:vAlign w:val="center"/>
                </w:tcPr>
                <w:p w14:paraId="56484FA4">
                  <w:pPr>
                    <w:pStyle w:val="30"/>
                    <w:rPr>
                      <w:color w:val="auto"/>
                      <w:highlight w:val="none"/>
                    </w:rPr>
                  </w:pPr>
                  <w:r>
                    <w:rPr>
                      <w:rFonts w:hint="eastAsia"/>
                      <w:color w:val="auto"/>
                      <w:highlight w:val="none"/>
                    </w:rPr>
                    <w:t>千斤顶</w:t>
                  </w:r>
                </w:p>
              </w:tc>
              <w:tc>
                <w:tcPr>
                  <w:tcW w:w="1025" w:type="dxa"/>
                  <w:vAlign w:val="center"/>
                </w:tcPr>
                <w:p w14:paraId="03F7B938">
                  <w:pPr>
                    <w:pStyle w:val="30"/>
                    <w:rPr>
                      <w:color w:val="auto"/>
                      <w:highlight w:val="none"/>
                    </w:rPr>
                  </w:pPr>
                  <w:r>
                    <w:rPr>
                      <w:rFonts w:hint="eastAsia"/>
                      <w:color w:val="auto"/>
                      <w:highlight w:val="none"/>
                    </w:rPr>
                    <w:t>台</w:t>
                  </w:r>
                </w:p>
              </w:tc>
              <w:tc>
                <w:tcPr>
                  <w:tcW w:w="1184" w:type="dxa"/>
                  <w:vAlign w:val="center"/>
                </w:tcPr>
                <w:p w14:paraId="104F8DD4">
                  <w:pPr>
                    <w:pStyle w:val="30"/>
                    <w:rPr>
                      <w:color w:val="auto"/>
                      <w:highlight w:val="none"/>
                    </w:rPr>
                  </w:pPr>
                  <w:r>
                    <w:rPr>
                      <w:rFonts w:hint="eastAsia"/>
                      <w:color w:val="auto"/>
                      <w:highlight w:val="none"/>
                    </w:rPr>
                    <w:t>4</w:t>
                  </w:r>
                </w:p>
              </w:tc>
              <w:tc>
                <w:tcPr>
                  <w:tcW w:w="1901" w:type="dxa"/>
                  <w:vAlign w:val="center"/>
                </w:tcPr>
                <w:p w14:paraId="747B7CF6">
                  <w:pPr>
                    <w:pStyle w:val="30"/>
                    <w:rPr>
                      <w:color w:val="auto"/>
                      <w:highlight w:val="none"/>
                    </w:rPr>
                  </w:pPr>
                </w:p>
              </w:tc>
            </w:tr>
            <w:tr w14:paraId="2F1D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7A2CE370">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14</w:t>
                  </w:r>
                </w:p>
              </w:tc>
              <w:tc>
                <w:tcPr>
                  <w:tcW w:w="1074" w:type="dxa"/>
                  <w:vMerge w:val="continue"/>
                  <w:vAlign w:val="center"/>
                </w:tcPr>
                <w:p w14:paraId="75DE165C">
                  <w:pPr>
                    <w:pStyle w:val="30"/>
                    <w:rPr>
                      <w:color w:val="auto"/>
                      <w:highlight w:val="none"/>
                    </w:rPr>
                  </w:pPr>
                </w:p>
              </w:tc>
              <w:tc>
                <w:tcPr>
                  <w:tcW w:w="1450" w:type="dxa"/>
                  <w:vAlign w:val="center"/>
                </w:tcPr>
                <w:p w14:paraId="11AC801A">
                  <w:pPr>
                    <w:pStyle w:val="30"/>
                    <w:rPr>
                      <w:color w:val="auto"/>
                      <w:highlight w:val="none"/>
                    </w:rPr>
                  </w:pPr>
                  <w:r>
                    <w:rPr>
                      <w:rFonts w:hint="eastAsia"/>
                      <w:color w:val="auto"/>
                      <w:highlight w:val="none"/>
                    </w:rPr>
                    <w:t>电动扳手</w:t>
                  </w:r>
                </w:p>
              </w:tc>
              <w:tc>
                <w:tcPr>
                  <w:tcW w:w="1025" w:type="dxa"/>
                  <w:vAlign w:val="center"/>
                </w:tcPr>
                <w:p w14:paraId="1093B30E">
                  <w:pPr>
                    <w:pStyle w:val="30"/>
                    <w:rPr>
                      <w:color w:val="auto"/>
                      <w:highlight w:val="none"/>
                    </w:rPr>
                  </w:pPr>
                  <w:r>
                    <w:rPr>
                      <w:rFonts w:hint="eastAsia"/>
                      <w:color w:val="auto"/>
                      <w:highlight w:val="none"/>
                    </w:rPr>
                    <w:t>台</w:t>
                  </w:r>
                </w:p>
              </w:tc>
              <w:tc>
                <w:tcPr>
                  <w:tcW w:w="1184" w:type="dxa"/>
                  <w:vAlign w:val="center"/>
                </w:tcPr>
                <w:p w14:paraId="01EE444B">
                  <w:pPr>
                    <w:pStyle w:val="30"/>
                    <w:rPr>
                      <w:color w:val="auto"/>
                      <w:highlight w:val="none"/>
                    </w:rPr>
                  </w:pPr>
                  <w:r>
                    <w:rPr>
                      <w:rFonts w:hint="eastAsia"/>
                      <w:color w:val="auto"/>
                      <w:highlight w:val="none"/>
                    </w:rPr>
                    <w:t>6</w:t>
                  </w:r>
                </w:p>
              </w:tc>
              <w:tc>
                <w:tcPr>
                  <w:tcW w:w="1901" w:type="dxa"/>
                  <w:vAlign w:val="center"/>
                </w:tcPr>
                <w:p w14:paraId="1665DACE">
                  <w:pPr>
                    <w:pStyle w:val="30"/>
                    <w:rPr>
                      <w:color w:val="auto"/>
                      <w:highlight w:val="none"/>
                    </w:rPr>
                  </w:pPr>
                </w:p>
              </w:tc>
            </w:tr>
            <w:tr w14:paraId="7830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79C81293">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15</w:t>
                  </w:r>
                </w:p>
              </w:tc>
              <w:tc>
                <w:tcPr>
                  <w:tcW w:w="1074" w:type="dxa"/>
                  <w:vMerge w:val="continue"/>
                  <w:vAlign w:val="center"/>
                </w:tcPr>
                <w:p w14:paraId="0E560AA2">
                  <w:pPr>
                    <w:pStyle w:val="30"/>
                    <w:rPr>
                      <w:color w:val="auto"/>
                      <w:highlight w:val="none"/>
                    </w:rPr>
                  </w:pPr>
                </w:p>
              </w:tc>
              <w:tc>
                <w:tcPr>
                  <w:tcW w:w="1450" w:type="dxa"/>
                  <w:vAlign w:val="center"/>
                </w:tcPr>
                <w:p w14:paraId="2FFDC9CB">
                  <w:pPr>
                    <w:pStyle w:val="30"/>
                    <w:rPr>
                      <w:color w:val="auto"/>
                      <w:highlight w:val="none"/>
                    </w:rPr>
                  </w:pPr>
                  <w:r>
                    <w:rPr>
                      <w:rFonts w:hint="eastAsia"/>
                      <w:color w:val="auto"/>
                      <w:highlight w:val="none"/>
                    </w:rPr>
                    <w:t>角磨机</w:t>
                  </w:r>
                </w:p>
              </w:tc>
              <w:tc>
                <w:tcPr>
                  <w:tcW w:w="1025" w:type="dxa"/>
                  <w:vAlign w:val="center"/>
                </w:tcPr>
                <w:p w14:paraId="05EEE8D9">
                  <w:pPr>
                    <w:pStyle w:val="30"/>
                    <w:rPr>
                      <w:color w:val="auto"/>
                      <w:highlight w:val="none"/>
                    </w:rPr>
                  </w:pPr>
                  <w:r>
                    <w:rPr>
                      <w:rFonts w:hint="eastAsia"/>
                      <w:color w:val="auto"/>
                      <w:highlight w:val="none"/>
                    </w:rPr>
                    <w:t>台</w:t>
                  </w:r>
                </w:p>
              </w:tc>
              <w:tc>
                <w:tcPr>
                  <w:tcW w:w="1184" w:type="dxa"/>
                  <w:vAlign w:val="center"/>
                </w:tcPr>
                <w:p w14:paraId="66A0472A">
                  <w:pPr>
                    <w:pStyle w:val="30"/>
                    <w:rPr>
                      <w:color w:val="auto"/>
                      <w:highlight w:val="none"/>
                    </w:rPr>
                  </w:pPr>
                  <w:r>
                    <w:rPr>
                      <w:rFonts w:hint="eastAsia"/>
                      <w:color w:val="auto"/>
                      <w:highlight w:val="none"/>
                    </w:rPr>
                    <w:t>2</w:t>
                  </w:r>
                </w:p>
              </w:tc>
              <w:tc>
                <w:tcPr>
                  <w:tcW w:w="1901" w:type="dxa"/>
                  <w:vAlign w:val="center"/>
                </w:tcPr>
                <w:p w14:paraId="2DC0C0A3">
                  <w:pPr>
                    <w:pStyle w:val="30"/>
                    <w:rPr>
                      <w:color w:val="auto"/>
                      <w:highlight w:val="none"/>
                    </w:rPr>
                  </w:pPr>
                </w:p>
              </w:tc>
            </w:tr>
            <w:tr w14:paraId="332A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78B5D1A0">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16</w:t>
                  </w:r>
                </w:p>
              </w:tc>
              <w:tc>
                <w:tcPr>
                  <w:tcW w:w="1074" w:type="dxa"/>
                  <w:vMerge w:val="continue"/>
                  <w:vAlign w:val="center"/>
                </w:tcPr>
                <w:p w14:paraId="255BF9B2">
                  <w:pPr>
                    <w:pStyle w:val="30"/>
                    <w:rPr>
                      <w:color w:val="auto"/>
                      <w:highlight w:val="none"/>
                    </w:rPr>
                  </w:pPr>
                </w:p>
              </w:tc>
              <w:tc>
                <w:tcPr>
                  <w:tcW w:w="1450" w:type="dxa"/>
                  <w:vAlign w:val="center"/>
                </w:tcPr>
                <w:p w14:paraId="5A8139BF">
                  <w:pPr>
                    <w:pStyle w:val="30"/>
                    <w:rPr>
                      <w:color w:val="auto"/>
                      <w:highlight w:val="none"/>
                    </w:rPr>
                  </w:pPr>
                  <w:r>
                    <w:rPr>
                      <w:rFonts w:hint="eastAsia"/>
                      <w:color w:val="auto"/>
                      <w:highlight w:val="none"/>
                    </w:rPr>
                    <w:t>吸尘器</w:t>
                  </w:r>
                </w:p>
              </w:tc>
              <w:tc>
                <w:tcPr>
                  <w:tcW w:w="1025" w:type="dxa"/>
                  <w:vAlign w:val="center"/>
                </w:tcPr>
                <w:p w14:paraId="3FC01861">
                  <w:pPr>
                    <w:pStyle w:val="30"/>
                    <w:rPr>
                      <w:color w:val="auto"/>
                      <w:highlight w:val="none"/>
                    </w:rPr>
                  </w:pPr>
                  <w:r>
                    <w:rPr>
                      <w:rFonts w:hint="eastAsia"/>
                      <w:color w:val="auto"/>
                      <w:highlight w:val="none"/>
                    </w:rPr>
                    <w:t>台</w:t>
                  </w:r>
                </w:p>
              </w:tc>
              <w:tc>
                <w:tcPr>
                  <w:tcW w:w="1184" w:type="dxa"/>
                  <w:vAlign w:val="center"/>
                </w:tcPr>
                <w:p w14:paraId="3A592B02">
                  <w:pPr>
                    <w:pStyle w:val="30"/>
                    <w:rPr>
                      <w:color w:val="auto"/>
                      <w:highlight w:val="none"/>
                    </w:rPr>
                  </w:pPr>
                  <w:r>
                    <w:rPr>
                      <w:rFonts w:hint="eastAsia"/>
                      <w:color w:val="auto"/>
                      <w:highlight w:val="none"/>
                    </w:rPr>
                    <w:t>3</w:t>
                  </w:r>
                </w:p>
              </w:tc>
              <w:tc>
                <w:tcPr>
                  <w:tcW w:w="1901" w:type="dxa"/>
                  <w:vAlign w:val="center"/>
                </w:tcPr>
                <w:p w14:paraId="40C3226A">
                  <w:pPr>
                    <w:pStyle w:val="30"/>
                    <w:rPr>
                      <w:color w:val="auto"/>
                      <w:highlight w:val="none"/>
                    </w:rPr>
                  </w:pPr>
                </w:p>
              </w:tc>
            </w:tr>
            <w:tr w14:paraId="323D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dxa"/>
                  <w:shd w:val="clear" w:color="auto" w:fill="auto"/>
                  <w:vAlign w:val="center"/>
                </w:tcPr>
                <w:p w14:paraId="26ED58B2">
                  <w:pPr>
                    <w:pStyle w:val="30"/>
                    <w:rPr>
                      <w:rFonts w:hint="default" w:eastAsia="宋体"/>
                      <w:color w:val="auto"/>
                      <w:highlight w:val="none"/>
                      <w:lang w:val="en-US" w:eastAsia="zh-CN"/>
                    </w:rPr>
                  </w:pPr>
                  <w:r>
                    <w:rPr>
                      <w:rFonts w:hint="eastAsia"/>
                      <w:color w:val="auto"/>
                      <w:highlight w:val="none"/>
                      <w:lang w:val="en-US" w:eastAsia="zh-CN"/>
                    </w:rPr>
                    <w:t>17</w:t>
                  </w:r>
                </w:p>
              </w:tc>
              <w:tc>
                <w:tcPr>
                  <w:tcW w:w="1074" w:type="dxa"/>
                  <w:vMerge w:val="continue"/>
                  <w:vAlign w:val="center"/>
                </w:tcPr>
                <w:p w14:paraId="2BC91027">
                  <w:pPr>
                    <w:pStyle w:val="30"/>
                    <w:rPr>
                      <w:color w:val="auto"/>
                      <w:highlight w:val="none"/>
                    </w:rPr>
                  </w:pPr>
                </w:p>
              </w:tc>
              <w:tc>
                <w:tcPr>
                  <w:tcW w:w="1450" w:type="dxa"/>
                  <w:vAlign w:val="center"/>
                </w:tcPr>
                <w:p w14:paraId="7CC9DAF4">
                  <w:pPr>
                    <w:pStyle w:val="30"/>
                    <w:rPr>
                      <w:color w:val="auto"/>
                      <w:highlight w:val="none"/>
                    </w:rPr>
                  </w:pPr>
                  <w:r>
                    <w:rPr>
                      <w:rFonts w:hint="eastAsia"/>
                      <w:color w:val="auto"/>
                      <w:highlight w:val="none"/>
                    </w:rPr>
                    <w:t>高压清洗机</w:t>
                  </w:r>
                </w:p>
              </w:tc>
              <w:tc>
                <w:tcPr>
                  <w:tcW w:w="1025" w:type="dxa"/>
                  <w:vAlign w:val="center"/>
                </w:tcPr>
                <w:p w14:paraId="193EAF77">
                  <w:pPr>
                    <w:pStyle w:val="30"/>
                    <w:rPr>
                      <w:color w:val="auto"/>
                      <w:highlight w:val="none"/>
                    </w:rPr>
                  </w:pPr>
                  <w:r>
                    <w:rPr>
                      <w:rFonts w:hint="eastAsia"/>
                      <w:color w:val="auto"/>
                      <w:highlight w:val="none"/>
                    </w:rPr>
                    <w:t>台</w:t>
                  </w:r>
                </w:p>
              </w:tc>
              <w:tc>
                <w:tcPr>
                  <w:tcW w:w="1184" w:type="dxa"/>
                  <w:vAlign w:val="center"/>
                </w:tcPr>
                <w:p w14:paraId="7A6236A1">
                  <w:pPr>
                    <w:pStyle w:val="30"/>
                    <w:rPr>
                      <w:color w:val="auto"/>
                      <w:highlight w:val="none"/>
                    </w:rPr>
                  </w:pPr>
                  <w:r>
                    <w:rPr>
                      <w:rFonts w:hint="eastAsia"/>
                      <w:color w:val="auto"/>
                      <w:highlight w:val="none"/>
                    </w:rPr>
                    <w:t>3</w:t>
                  </w:r>
                </w:p>
              </w:tc>
              <w:tc>
                <w:tcPr>
                  <w:tcW w:w="1901" w:type="dxa"/>
                  <w:vAlign w:val="center"/>
                </w:tcPr>
                <w:p w14:paraId="78CB75FC">
                  <w:pPr>
                    <w:pStyle w:val="30"/>
                    <w:rPr>
                      <w:color w:val="auto"/>
                      <w:highlight w:val="none"/>
                    </w:rPr>
                  </w:pPr>
                  <w:r>
                    <w:rPr>
                      <w:rFonts w:hint="eastAsia"/>
                      <w:color w:val="auto"/>
                      <w:highlight w:val="none"/>
                    </w:rPr>
                    <w:t>（2用1备）</w:t>
                  </w:r>
                </w:p>
              </w:tc>
            </w:tr>
          </w:tbl>
          <w:p w14:paraId="3FD4BCD6">
            <w:pPr>
              <w:overflowPunct w:val="0"/>
              <w:autoSpaceDE w:val="0"/>
              <w:autoSpaceDN w:val="0"/>
              <w:ind w:firstLine="480" w:firstLineChars="200"/>
              <w:rPr>
                <w:color w:val="auto"/>
                <w:highlight w:val="none"/>
              </w:rPr>
            </w:pPr>
            <w:bookmarkStart w:id="16" w:name="OLE_LINK24"/>
            <w:r>
              <w:rPr>
                <w:rFonts w:hint="eastAsia"/>
                <w:color w:val="auto"/>
                <w:highlight w:val="none"/>
              </w:rPr>
              <w:t>2.6主要原辅材料</w:t>
            </w:r>
          </w:p>
          <w:p w14:paraId="296C31AB">
            <w:pPr>
              <w:overflowPunct w:val="0"/>
              <w:autoSpaceDE w:val="0"/>
              <w:autoSpaceDN w:val="0"/>
              <w:ind w:firstLine="480" w:firstLineChars="200"/>
              <w:rPr>
                <w:color w:val="auto"/>
                <w:highlight w:val="none"/>
              </w:rPr>
            </w:pPr>
            <w:r>
              <w:rPr>
                <w:rFonts w:hint="eastAsia"/>
                <w:color w:val="auto"/>
                <w:highlight w:val="none"/>
              </w:rPr>
              <w:t>本项目主要原辅材料及能源消耗情况见下表。</w:t>
            </w:r>
          </w:p>
          <w:p w14:paraId="56605996">
            <w:pPr>
              <w:pStyle w:val="6"/>
              <w:overflowPunct w:val="0"/>
              <w:autoSpaceDE w:val="0"/>
              <w:autoSpaceDN w:val="0"/>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rPr>
              <w:t xml:space="preserve"> 项目主要原辅材料及能源消耗情况一览表</w:t>
            </w:r>
            <w:bookmarkEnd w:id="16"/>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70"/>
              <w:gridCol w:w="1312"/>
              <w:gridCol w:w="1189"/>
              <w:gridCol w:w="688"/>
              <w:gridCol w:w="688"/>
              <w:gridCol w:w="1047"/>
              <w:gridCol w:w="674"/>
            </w:tblGrid>
            <w:tr w14:paraId="5635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3" w:type="dxa"/>
                  <w:gridSpan w:val="8"/>
                  <w:vAlign w:val="center"/>
                </w:tcPr>
                <w:p w14:paraId="07473061">
                  <w:pPr>
                    <w:pStyle w:val="30"/>
                    <w:overflowPunct w:val="0"/>
                    <w:autoSpaceDE w:val="0"/>
                    <w:autoSpaceDN w:val="0"/>
                    <w:jc w:val="both"/>
                    <w:rPr>
                      <w:color w:val="auto"/>
                      <w:highlight w:val="none"/>
                    </w:rPr>
                  </w:pPr>
                  <w:r>
                    <w:rPr>
                      <w:rFonts w:hint="eastAsia"/>
                      <w:color w:val="auto"/>
                      <w:highlight w:val="none"/>
                      <w:lang w:eastAsia="zh-CN"/>
                    </w:rPr>
                    <w:t>内部</w:t>
                  </w:r>
                  <w:r>
                    <w:rPr>
                      <w:rFonts w:hint="eastAsia"/>
                      <w:color w:val="auto"/>
                      <w:highlight w:val="none"/>
                    </w:rPr>
                    <w:t>综合能源站</w:t>
                  </w:r>
                </w:p>
              </w:tc>
            </w:tr>
            <w:tr w14:paraId="1357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Align w:val="center"/>
                </w:tcPr>
                <w:p w14:paraId="33BB7BED">
                  <w:pPr>
                    <w:pStyle w:val="30"/>
                    <w:overflowPunct w:val="0"/>
                    <w:autoSpaceDE w:val="0"/>
                    <w:autoSpaceDN w:val="0"/>
                    <w:rPr>
                      <w:color w:val="auto"/>
                      <w:highlight w:val="none"/>
                    </w:rPr>
                  </w:pPr>
                  <w:r>
                    <w:rPr>
                      <w:rFonts w:hint="eastAsia"/>
                      <w:color w:val="auto"/>
                      <w:highlight w:val="none"/>
                    </w:rPr>
                    <w:t>序号</w:t>
                  </w:r>
                </w:p>
              </w:tc>
              <w:tc>
                <w:tcPr>
                  <w:tcW w:w="1570" w:type="dxa"/>
                  <w:vAlign w:val="center"/>
                </w:tcPr>
                <w:p w14:paraId="161E5998">
                  <w:pPr>
                    <w:pStyle w:val="30"/>
                    <w:overflowPunct w:val="0"/>
                    <w:autoSpaceDE w:val="0"/>
                    <w:autoSpaceDN w:val="0"/>
                    <w:rPr>
                      <w:color w:val="auto"/>
                      <w:highlight w:val="none"/>
                    </w:rPr>
                  </w:pPr>
                  <w:r>
                    <w:rPr>
                      <w:rFonts w:hint="eastAsia"/>
                      <w:color w:val="auto"/>
                      <w:highlight w:val="none"/>
                    </w:rPr>
                    <w:t>名称</w:t>
                  </w:r>
                </w:p>
              </w:tc>
              <w:tc>
                <w:tcPr>
                  <w:tcW w:w="1312" w:type="dxa"/>
                  <w:vAlign w:val="center"/>
                </w:tcPr>
                <w:p w14:paraId="2FF5FF01">
                  <w:pPr>
                    <w:pStyle w:val="30"/>
                    <w:overflowPunct w:val="0"/>
                    <w:autoSpaceDE w:val="0"/>
                    <w:autoSpaceDN w:val="0"/>
                    <w:rPr>
                      <w:color w:val="auto"/>
                      <w:highlight w:val="none"/>
                    </w:rPr>
                  </w:pPr>
                  <w:r>
                    <w:rPr>
                      <w:rFonts w:hint="eastAsia"/>
                      <w:color w:val="auto"/>
                      <w:highlight w:val="none"/>
                    </w:rPr>
                    <w:t>年周转量</w:t>
                  </w:r>
                </w:p>
              </w:tc>
              <w:tc>
                <w:tcPr>
                  <w:tcW w:w="1189" w:type="dxa"/>
                  <w:vAlign w:val="center"/>
                </w:tcPr>
                <w:p w14:paraId="16CE8E05">
                  <w:pPr>
                    <w:pStyle w:val="30"/>
                    <w:overflowPunct w:val="0"/>
                    <w:autoSpaceDE w:val="0"/>
                    <w:autoSpaceDN w:val="0"/>
                    <w:rPr>
                      <w:color w:val="auto"/>
                      <w:highlight w:val="none"/>
                    </w:rPr>
                  </w:pPr>
                  <w:r>
                    <w:rPr>
                      <w:rFonts w:hint="eastAsia"/>
                      <w:color w:val="auto"/>
                      <w:highlight w:val="none"/>
                    </w:rPr>
                    <w:t>最大储存量</w:t>
                  </w:r>
                </w:p>
              </w:tc>
              <w:tc>
                <w:tcPr>
                  <w:tcW w:w="688" w:type="dxa"/>
                  <w:vAlign w:val="center"/>
                </w:tcPr>
                <w:p w14:paraId="1EBDF229">
                  <w:pPr>
                    <w:pStyle w:val="30"/>
                    <w:overflowPunct w:val="0"/>
                    <w:autoSpaceDE w:val="0"/>
                    <w:autoSpaceDN w:val="0"/>
                    <w:rPr>
                      <w:color w:val="auto"/>
                      <w:highlight w:val="none"/>
                    </w:rPr>
                  </w:pPr>
                  <w:r>
                    <w:rPr>
                      <w:rFonts w:hint="eastAsia"/>
                      <w:color w:val="auto"/>
                      <w:highlight w:val="none"/>
                    </w:rPr>
                    <w:t>状态</w:t>
                  </w:r>
                </w:p>
              </w:tc>
              <w:tc>
                <w:tcPr>
                  <w:tcW w:w="688" w:type="dxa"/>
                  <w:vAlign w:val="center"/>
                </w:tcPr>
                <w:p w14:paraId="7EE725C0">
                  <w:pPr>
                    <w:pStyle w:val="30"/>
                    <w:overflowPunct w:val="0"/>
                    <w:autoSpaceDE w:val="0"/>
                    <w:autoSpaceDN w:val="0"/>
                    <w:rPr>
                      <w:color w:val="auto"/>
                      <w:highlight w:val="none"/>
                    </w:rPr>
                  </w:pPr>
                  <w:r>
                    <w:rPr>
                      <w:rFonts w:hint="eastAsia"/>
                      <w:color w:val="auto"/>
                      <w:highlight w:val="none"/>
                    </w:rPr>
                    <w:t>储存位置</w:t>
                  </w:r>
                </w:p>
              </w:tc>
              <w:tc>
                <w:tcPr>
                  <w:tcW w:w="1047" w:type="dxa"/>
                  <w:vAlign w:val="center"/>
                </w:tcPr>
                <w:p w14:paraId="2F515F23">
                  <w:pPr>
                    <w:pStyle w:val="30"/>
                    <w:overflowPunct w:val="0"/>
                    <w:autoSpaceDE w:val="0"/>
                    <w:autoSpaceDN w:val="0"/>
                    <w:rPr>
                      <w:color w:val="auto"/>
                      <w:highlight w:val="none"/>
                    </w:rPr>
                  </w:pPr>
                  <w:r>
                    <w:rPr>
                      <w:rFonts w:hint="eastAsia"/>
                      <w:color w:val="auto"/>
                      <w:highlight w:val="none"/>
                      <w:lang w:eastAsia="zh-CN"/>
                    </w:rPr>
                    <w:t>储存</w:t>
                  </w:r>
                  <w:r>
                    <w:rPr>
                      <w:rFonts w:hint="eastAsia"/>
                      <w:color w:val="auto"/>
                      <w:highlight w:val="none"/>
                    </w:rPr>
                    <w:t>方式</w:t>
                  </w:r>
                </w:p>
              </w:tc>
              <w:tc>
                <w:tcPr>
                  <w:tcW w:w="674" w:type="dxa"/>
                  <w:vAlign w:val="center"/>
                </w:tcPr>
                <w:p w14:paraId="35431C63">
                  <w:pPr>
                    <w:pStyle w:val="30"/>
                    <w:overflowPunct w:val="0"/>
                    <w:autoSpaceDE w:val="0"/>
                    <w:autoSpaceDN w:val="0"/>
                    <w:rPr>
                      <w:color w:val="auto"/>
                      <w:highlight w:val="none"/>
                    </w:rPr>
                  </w:pPr>
                  <w:r>
                    <w:rPr>
                      <w:rFonts w:hint="eastAsia"/>
                      <w:color w:val="auto"/>
                      <w:highlight w:val="none"/>
                    </w:rPr>
                    <w:t>来源</w:t>
                  </w:r>
                </w:p>
              </w:tc>
            </w:tr>
            <w:tr w14:paraId="77BC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Align w:val="center"/>
                </w:tcPr>
                <w:p w14:paraId="62BE14BC">
                  <w:pPr>
                    <w:pStyle w:val="30"/>
                    <w:overflowPunct w:val="0"/>
                    <w:autoSpaceDE w:val="0"/>
                    <w:autoSpaceDN w:val="0"/>
                    <w:rPr>
                      <w:color w:val="auto"/>
                      <w:highlight w:val="none"/>
                    </w:rPr>
                  </w:pPr>
                  <w:r>
                    <w:rPr>
                      <w:rFonts w:hint="eastAsia"/>
                      <w:color w:val="auto"/>
                      <w:highlight w:val="none"/>
                    </w:rPr>
                    <w:t>1</w:t>
                  </w:r>
                </w:p>
              </w:tc>
              <w:tc>
                <w:tcPr>
                  <w:tcW w:w="1570" w:type="dxa"/>
                  <w:vAlign w:val="center"/>
                </w:tcPr>
                <w:p w14:paraId="11FDD3A7">
                  <w:pPr>
                    <w:pStyle w:val="30"/>
                    <w:overflowPunct w:val="0"/>
                    <w:autoSpaceDE w:val="0"/>
                    <w:autoSpaceDN w:val="0"/>
                    <w:rPr>
                      <w:color w:val="auto"/>
                      <w:highlight w:val="none"/>
                    </w:rPr>
                  </w:pPr>
                  <w:r>
                    <w:rPr>
                      <w:color w:val="auto"/>
                      <w:highlight w:val="none"/>
                    </w:rPr>
                    <w:t>汽油（92#）</w:t>
                  </w:r>
                </w:p>
              </w:tc>
              <w:tc>
                <w:tcPr>
                  <w:tcW w:w="1312" w:type="dxa"/>
                  <w:vMerge w:val="restart"/>
                  <w:vAlign w:val="center"/>
                </w:tcPr>
                <w:p w14:paraId="04013189">
                  <w:pPr>
                    <w:pStyle w:val="30"/>
                    <w:overflowPunct w:val="0"/>
                    <w:autoSpaceDE w:val="0"/>
                    <w:autoSpaceDN w:val="0"/>
                    <w:rPr>
                      <w:color w:val="auto"/>
                      <w:highlight w:val="none"/>
                    </w:rPr>
                  </w:pPr>
                  <w:r>
                    <w:rPr>
                      <w:rFonts w:hint="eastAsia"/>
                      <w:color w:val="auto"/>
                      <w:highlight w:val="none"/>
                      <w:lang w:val="en-US" w:eastAsia="zh-CN"/>
                    </w:rPr>
                    <w:t>1000t</w:t>
                  </w:r>
                  <w:r>
                    <w:rPr>
                      <w:rFonts w:hint="eastAsia"/>
                      <w:color w:val="auto"/>
                      <w:highlight w:val="none"/>
                    </w:rPr>
                    <w:t>/a</w:t>
                  </w:r>
                </w:p>
              </w:tc>
              <w:tc>
                <w:tcPr>
                  <w:tcW w:w="1189" w:type="dxa"/>
                  <w:vMerge w:val="restart"/>
                  <w:vAlign w:val="center"/>
                </w:tcPr>
                <w:p w14:paraId="4BF39BDD">
                  <w:pPr>
                    <w:pStyle w:val="30"/>
                    <w:overflowPunct w:val="0"/>
                    <w:autoSpaceDE w:val="0"/>
                    <w:autoSpaceDN w:val="0"/>
                    <w:rPr>
                      <w:color w:val="auto"/>
                      <w:highlight w:val="none"/>
                    </w:rPr>
                  </w:pPr>
                  <w:r>
                    <w:rPr>
                      <w:rFonts w:hint="eastAsia"/>
                      <w:color w:val="auto"/>
                      <w:highlight w:val="none"/>
                    </w:rPr>
                    <w:t>60m</w:t>
                  </w:r>
                  <w:r>
                    <w:rPr>
                      <w:rFonts w:hint="eastAsia"/>
                      <w:color w:val="auto"/>
                      <w:highlight w:val="none"/>
                      <w:vertAlign w:val="superscript"/>
                    </w:rPr>
                    <w:t>3</w:t>
                  </w:r>
                </w:p>
              </w:tc>
              <w:tc>
                <w:tcPr>
                  <w:tcW w:w="688" w:type="dxa"/>
                  <w:vMerge w:val="restart"/>
                  <w:vAlign w:val="center"/>
                </w:tcPr>
                <w:p w14:paraId="27178B77">
                  <w:pPr>
                    <w:pStyle w:val="30"/>
                    <w:overflowPunct w:val="0"/>
                    <w:autoSpaceDE w:val="0"/>
                    <w:autoSpaceDN w:val="0"/>
                    <w:rPr>
                      <w:color w:val="auto"/>
                      <w:highlight w:val="none"/>
                    </w:rPr>
                  </w:pPr>
                  <w:r>
                    <w:rPr>
                      <w:rFonts w:hint="eastAsia"/>
                      <w:color w:val="auto"/>
                      <w:highlight w:val="none"/>
                    </w:rPr>
                    <w:t>液态</w:t>
                  </w:r>
                </w:p>
              </w:tc>
              <w:tc>
                <w:tcPr>
                  <w:tcW w:w="688" w:type="dxa"/>
                  <w:vMerge w:val="restart"/>
                  <w:vAlign w:val="center"/>
                </w:tcPr>
                <w:p w14:paraId="4F93323D">
                  <w:pPr>
                    <w:pStyle w:val="30"/>
                    <w:overflowPunct w:val="0"/>
                    <w:autoSpaceDE w:val="0"/>
                    <w:autoSpaceDN w:val="0"/>
                    <w:rPr>
                      <w:color w:val="auto"/>
                      <w:highlight w:val="none"/>
                    </w:rPr>
                  </w:pPr>
                  <w:r>
                    <w:rPr>
                      <w:rFonts w:hint="eastAsia"/>
                      <w:color w:val="auto"/>
                      <w:highlight w:val="none"/>
                    </w:rPr>
                    <w:t>地下</w:t>
                  </w:r>
                </w:p>
              </w:tc>
              <w:tc>
                <w:tcPr>
                  <w:tcW w:w="1047" w:type="dxa"/>
                  <w:vMerge w:val="restart"/>
                  <w:vAlign w:val="center"/>
                </w:tcPr>
                <w:p w14:paraId="0EEFCC42">
                  <w:pPr>
                    <w:pStyle w:val="30"/>
                    <w:overflowPunct w:val="0"/>
                    <w:autoSpaceDE w:val="0"/>
                    <w:autoSpaceDN w:val="0"/>
                    <w:rPr>
                      <w:color w:val="auto"/>
                      <w:highlight w:val="none"/>
                    </w:rPr>
                  </w:pPr>
                  <w:r>
                    <w:rPr>
                      <w:rFonts w:hint="eastAsia"/>
                      <w:color w:val="auto"/>
                      <w:highlight w:val="none"/>
                    </w:rPr>
                    <w:t>30m</w:t>
                  </w:r>
                  <w:r>
                    <w:rPr>
                      <w:rFonts w:hint="eastAsia"/>
                      <w:color w:val="auto"/>
                      <w:highlight w:val="none"/>
                      <w:vertAlign w:val="superscript"/>
                    </w:rPr>
                    <w:t>3</w:t>
                  </w:r>
                  <w:r>
                    <w:rPr>
                      <w:rFonts w:hint="eastAsia"/>
                      <w:color w:val="auto"/>
                      <w:highlight w:val="none"/>
                    </w:rPr>
                    <w:t>储罐</w:t>
                  </w:r>
                </w:p>
              </w:tc>
              <w:tc>
                <w:tcPr>
                  <w:tcW w:w="674" w:type="dxa"/>
                  <w:vMerge w:val="restart"/>
                  <w:vAlign w:val="center"/>
                </w:tcPr>
                <w:p w14:paraId="34EFCA47">
                  <w:pPr>
                    <w:pStyle w:val="30"/>
                    <w:overflowPunct w:val="0"/>
                    <w:autoSpaceDE w:val="0"/>
                    <w:autoSpaceDN w:val="0"/>
                    <w:rPr>
                      <w:color w:val="auto"/>
                      <w:highlight w:val="none"/>
                    </w:rPr>
                  </w:pPr>
                  <w:r>
                    <w:rPr>
                      <w:rFonts w:hint="eastAsia"/>
                      <w:color w:val="auto"/>
                      <w:highlight w:val="none"/>
                    </w:rPr>
                    <w:t>外购</w:t>
                  </w:r>
                </w:p>
              </w:tc>
            </w:tr>
            <w:tr w14:paraId="54EC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Align w:val="center"/>
                </w:tcPr>
                <w:p w14:paraId="1488DFBF">
                  <w:pPr>
                    <w:pStyle w:val="30"/>
                    <w:overflowPunct w:val="0"/>
                    <w:autoSpaceDE w:val="0"/>
                    <w:autoSpaceDN w:val="0"/>
                    <w:rPr>
                      <w:color w:val="auto"/>
                      <w:highlight w:val="none"/>
                    </w:rPr>
                  </w:pPr>
                  <w:r>
                    <w:rPr>
                      <w:rFonts w:hint="eastAsia"/>
                      <w:color w:val="auto"/>
                      <w:highlight w:val="none"/>
                    </w:rPr>
                    <w:t>2</w:t>
                  </w:r>
                </w:p>
              </w:tc>
              <w:tc>
                <w:tcPr>
                  <w:tcW w:w="1570" w:type="dxa"/>
                  <w:vAlign w:val="center"/>
                </w:tcPr>
                <w:p w14:paraId="14094F07">
                  <w:pPr>
                    <w:pStyle w:val="30"/>
                    <w:overflowPunct w:val="0"/>
                    <w:autoSpaceDE w:val="0"/>
                    <w:autoSpaceDN w:val="0"/>
                    <w:rPr>
                      <w:color w:val="auto"/>
                      <w:highlight w:val="none"/>
                    </w:rPr>
                  </w:pPr>
                  <w:r>
                    <w:rPr>
                      <w:color w:val="auto"/>
                      <w:highlight w:val="none"/>
                    </w:rPr>
                    <w:t>汽油（95#）</w:t>
                  </w:r>
                </w:p>
              </w:tc>
              <w:tc>
                <w:tcPr>
                  <w:tcW w:w="1312" w:type="dxa"/>
                  <w:vMerge w:val="continue"/>
                  <w:vAlign w:val="center"/>
                </w:tcPr>
                <w:p w14:paraId="3A99ED45">
                  <w:pPr>
                    <w:pStyle w:val="30"/>
                    <w:overflowPunct w:val="0"/>
                    <w:autoSpaceDE w:val="0"/>
                    <w:autoSpaceDN w:val="0"/>
                    <w:rPr>
                      <w:color w:val="auto"/>
                      <w:highlight w:val="none"/>
                    </w:rPr>
                  </w:pPr>
                </w:p>
              </w:tc>
              <w:tc>
                <w:tcPr>
                  <w:tcW w:w="1189" w:type="dxa"/>
                  <w:vMerge w:val="continue"/>
                  <w:vAlign w:val="center"/>
                </w:tcPr>
                <w:p w14:paraId="5E0047E8">
                  <w:pPr>
                    <w:pStyle w:val="30"/>
                    <w:overflowPunct w:val="0"/>
                    <w:autoSpaceDE w:val="0"/>
                    <w:autoSpaceDN w:val="0"/>
                    <w:rPr>
                      <w:color w:val="auto"/>
                      <w:highlight w:val="none"/>
                    </w:rPr>
                  </w:pPr>
                </w:p>
              </w:tc>
              <w:tc>
                <w:tcPr>
                  <w:tcW w:w="688" w:type="dxa"/>
                  <w:vMerge w:val="continue"/>
                  <w:vAlign w:val="center"/>
                </w:tcPr>
                <w:p w14:paraId="0BE96042">
                  <w:pPr>
                    <w:pStyle w:val="30"/>
                    <w:overflowPunct w:val="0"/>
                    <w:autoSpaceDE w:val="0"/>
                    <w:autoSpaceDN w:val="0"/>
                    <w:rPr>
                      <w:color w:val="auto"/>
                      <w:highlight w:val="none"/>
                    </w:rPr>
                  </w:pPr>
                </w:p>
              </w:tc>
              <w:tc>
                <w:tcPr>
                  <w:tcW w:w="688" w:type="dxa"/>
                  <w:vMerge w:val="continue"/>
                  <w:vAlign w:val="center"/>
                </w:tcPr>
                <w:p w14:paraId="593DC3BE">
                  <w:pPr>
                    <w:pStyle w:val="30"/>
                    <w:overflowPunct w:val="0"/>
                    <w:autoSpaceDE w:val="0"/>
                    <w:autoSpaceDN w:val="0"/>
                    <w:rPr>
                      <w:color w:val="auto"/>
                      <w:highlight w:val="none"/>
                    </w:rPr>
                  </w:pPr>
                </w:p>
              </w:tc>
              <w:tc>
                <w:tcPr>
                  <w:tcW w:w="1047" w:type="dxa"/>
                  <w:vMerge w:val="continue"/>
                  <w:vAlign w:val="center"/>
                </w:tcPr>
                <w:p w14:paraId="542A098E">
                  <w:pPr>
                    <w:pStyle w:val="30"/>
                    <w:overflowPunct w:val="0"/>
                    <w:autoSpaceDE w:val="0"/>
                    <w:autoSpaceDN w:val="0"/>
                    <w:rPr>
                      <w:color w:val="auto"/>
                      <w:highlight w:val="none"/>
                    </w:rPr>
                  </w:pPr>
                </w:p>
              </w:tc>
              <w:tc>
                <w:tcPr>
                  <w:tcW w:w="674" w:type="dxa"/>
                  <w:vMerge w:val="continue"/>
                  <w:vAlign w:val="center"/>
                </w:tcPr>
                <w:p w14:paraId="65472032">
                  <w:pPr>
                    <w:pStyle w:val="30"/>
                    <w:overflowPunct w:val="0"/>
                    <w:autoSpaceDE w:val="0"/>
                    <w:autoSpaceDN w:val="0"/>
                    <w:rPr>
                      <w:color w:val="auto"/>
                      <w:highlight w:val="none"/>
                    </w:rPr>
                  </w:pPr>
                </w:p>
              </w:tc>
            </w:tr>
            <w:tr w14:paraId="77BD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Align w:val="center"/>
                </w:tcPr>
                <w:p w14:paraId="4D4C8B9C">
                  <w:pPr>
                    <w:pStyle w:val="30"/>
                    <w:overflowPunct w:val="0"/>
                    <w:autoSpaceDE w:val="0"/>
                    <w:autoSpaceDN w:val="0"/>
                    <w:rPr>
                      <w:color w:val="auto"/>
                      <w:highlight w:val="none"/>
                    </w:rPr>
                  </w:pPr>
                  <w:r>
                    <w:rPr>
                      <w:rFonts w:hint="eastAsia"/>
                      <w:color w:val="auto"/>
                      <w:highlight w:val="none"/>
                    </w:rPr>
                    <w:t>3</w:t>
                  </w:r>
                </w:p>
              </w:tc>
              <w:tc>
                <w:tcPr>
                  <w:tcW w:w="1570" w:type="dxa"/>
                  <w:vAlign w:val="center"/>
                </w:tcPr>
                <w:p w14:paraId="6DE80F1E">
                  <w:pPr>
                    <w:pStyle w:val="30"/>
                    <w:overflowPunct w:val="0"/>
                    <w:autoSpaceDE w:val="0"/>
                    <w:autoSpaceDN w:val="0"/>
                    <w:rPr>
                      <w:color w:val="auto"/>
                      <w:highlight w:val="none"/>
                    </w:rPr>
                  </w:pPr>
                  <w:r>
                    <w:rPr>
                      <w:rFonts w:hint="eastAsia"/>
                      <w:color w:val="auto"/>
                      <w:highlight w:val="none"/>
                    </w:rPr>
                    <w:t>柴油（0#）</w:t>
                  </w:r>
                </w:p>
              </w:tc>
              <w:tc>
                <w:tcPr>
                  <w:tcW w:w="1312" w:type="dxa"/>
                  <w:vAlign w:val="center"/>
                </w:tcPr>
                <w:p w14:paraId="6BDF2CC9">
                  <w:pPr>
                    <w:pStyle w:val="30"/>
                    <w:overflowPunct w:val="0"/>
                    <w:autoSpaceDE w:val="0"/>
                    <w:autoSpaceDN w:val="0"/>
                    <w:rPr>
                      <w:color w:val="auto"/>
                      <w:highlight w:val="none"/>
                    </w:rPr>
                  </w:pPr>
                  <w:r>
                    <w:rPr>
                      <w:rFonts w:hint="eastAsia"/>
                      <w:color w:val="auto"/>
                      <w:highlight w:val="none"/>
                      <w:lang w:val="en-US" w:eastAsia="zh-CN"/>
                    </w:rPr>
                    <w:t>3000t</w:t>
                  </w:r>
                  <w:r>
                    <w:rPr>
                      <w:rFonts w:hint="eastAsia"/>
                      <w:color w:val="auto"/>
                      <w:highlight w:val="none"/>
                    </w:rPr>
                    <w:t>/a</w:t>
                  </w:r>
                </w:p>
              </w:tc>
              <w:tc>
                <w:tcPr>
                  <w:tcW w:w="1189" w:type="dxa"/>
                  <w:vAlign w:val="center"/>
                </w:tcPr>
                <w:p w14:paraId="493889E5">
                  <w:pPr>
                    <w:pStyle w:val="30"/>
                    <w:overflowPunct w:val="0"/>
                    <w:autoSpaceDE w:val="0"/>
                    <w:autoSpaceDN w:val="0"/>
                    <w:rPr>
                      <w:color w:val="auto"/>
                      <w:highlight w:val="none"/>
                    </w:rPr>
                  </w:pPr>
                  <w:r>
                    <w:rPr>
                      <w:rFonts w:hint="eastAsia"/>
                      <w:color w:val="auto"/>
                      <w:highlight w:val="none"/>
                    </w:rPr>
                    <w:t>150m</w:t>
                  </w:r>
                  <w:r>
                    <w:rPr>
                      <w:rFonts w:hint="eastAsia"/>
                      <w:color w:val="auto"/>
                      <w:highlight w:val="none"/>
                      <w:vertAlign w:val="superscript"/>
                    </w:rPr>
                    <w:t>3</w:t>
                  </w:r>
                </w:p>
              </w:tc>
              <w:tc>
                <w:tcPr>
                  <w:tcW w:w="688" w:type="dxa"/>
                  <w:vAlign w:val="center"/>
                </w:tcPr>
                <w:p w14:paraId="42AB834E">
                  <w:pPr>
                    <w:pStyle w:val="30"/>
                    <w:overflowPunct w:val="0"/>
                    <w:autoSpaceDE w:val="0"/>
                    <w:autoSpaceDN w:val="0"/>
                    <w:rPr>
                      <w:color w:val="auto"/>
                      <w:highlight w:val="none"/>
                    </w:rPr>
                  </w:pPr>
                  <w:r>
                    <w:rPr>
                      <w:rFonts w:hint="eastAsia"/>
                      <w:color w:val="auto"/>
                      <w:highlight w:val="none"/>
                    </w:rPr>
                    <w:t>液态</w:t>
                  </w:r>
                </w:p>
              </w:tc>
              <w:tc>
                <w:tcPr>
                  <w:tcW w:w="688" w:type="dxa"/>
                  <w:vAlign w:val="center"/>
                </w:tcPr>
                <w:p w14:paraId="086C7B7A">
                  <w:pPr>
                    <w:pStyle w:val="30"/>
                    <w:overflowPunct w:val="0"/>
                    <w:autoSpaceDE w:val="0"/>
                    <w:autoSpaceDN w:val="0"/>
                    <w:rPr>
                      <w:color w:val="auto"/>
                      <w:highlight w:val="none"/>
                    </w:rPr>
                  </w:pPr>
                  <w:r>
                    <w:rPr>
                      <w:rFonts w:hint="eastAsia"/>
                      <w:color w:val="auto"/>
                      <w:highlight w:val="none"/>
                    </w:rPr>
                    <w:t>地下</w:t>
                  </w:r>
                </w:p>
              </w:tc>
              <w:tc>
                <w:tcPr>
                  <w:tcW w:w="1047" w:type="dxa"/>
                  <w:vAlign w:val="center"/>
                </w:tcPr>
                <w:p w14:paraId="55F98492">
                  <w:pPr>
                    <w:pStyle w:val="30"/>
                    <w:overflowPunct w:val="0"/>
                    <w:autoSpaceDE w:val="0"/>
                    <w:autoSpaceDN w:val="0"/>
                    <w:rPr>
                      <w:color w:val="auto"/>
                      <w:highlight w:val="none"/>
                    </w:rPr>
                  </w:pPr>
                  <w:r>
                    <w:rPr>
                      <w:rFonts w:hint="eastAsia"/>
                      <w:color w:val="auto"/>
                      <w:highlight w:val="none"/>
                    </w:rPr>
                    <w:t>50m</w:t>
                  </w:r>
                  <w:r>
                    <w:rPr>
                      <w:rFonts w:hint="eastAsia"/>
                      <w:color w:val="auto"/>
                      <w:highlight w:val="none"/>
                      <w:vertAlign w:val="superscript"/>
                    </w:rPr>
                    <w:t>3</w:t>
                  </w:r>
                  <w:r>
                    <w:rPr>
                      <w:rFonts w:hint="eastAsia"/>
                      <w:color w:val="auto"/>
                      <w:highlight w:val="none"/>
                    </w:rPr>
                    <w:t>储罐</w:t>
                  </w:r>
                </w:p>
              </w:tc>
              <w:tc>
                <w:tcPr>
                  <w:tcW w:w="674" w:type="dxa"/>
                  <w:vAlign w:val="center"/>
                </w:tcPr>
                <w:p w14:paraId="4A005E2F">
                  <w:pPr>
                    <w:pStyle w:val="30"/>
                    <w:overflowPunct w:val="0"/>
                    <w:autoSpaceDE w:val="0"/>
                    <w:autoSpaceDN w:val="0"/>
                    <w:rPr>
                      <w:color w:val="auto"/>
                      <w:highlight w:val="none"/>
                    </w:rPr>
                  </w:pPr>
                  <w:r>
                    <w:rPr>
                      <w:rFonts w:hint="eastAsia"/>
                      <w:color w:val="auto"/>
                      <w:highlight w:val="none"/>
                    </w:rPr>
                    <w:t>外购</w:t>
                  </w:r>
                </w:p>
              </w:tc>
            </w:tr>
            <w:tr w14:paraId="2AC3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Align w:val="center"/>
                </w:tcPr>
                <w:p w14:paraId="18C52837">
                  <w:pPr>
                    <w:pStyle w:val="30"/>
                    <w:overflowPunct w:val="0"/>
                    <w:autoSpaceDE w:val="0"/>
                    <w:autoSpaceDN w:val="0"/>
                    <w:rPr>
                      <w:rFonts w:hint="eastAsia" w:eastAsia="宋体"/>
                      <w:color w:val="auto"/>
                      <w:highlight w:val="none"/>
                      <w:lang w:val="en-US" w:eastAsia="zh-CN"/>
                    </w:rPr>
                  </w:pPr>
                  <w:r>
                    <w:rPr>
                      <w:rFonts w:hint="eastAsia"/>
                      <w:color w:val="auto"/>
                      <w:highlight w:val="none"/>
                      <w:lang w:val="en-US" w:eastAsia="zh-CN"/>
                    </w:rPr>
                    <w:t>4</w:t>
                  </w:r>
                </w:p>
              </w:tc>
              <w:tc>
                <w:tcPr>
                  <w:tcW w:w="1570" w:type="dxa"/>
                  <w:shd w:val="clear" w:color="auto" w:fill="auto"/>
                  <w:vAlign w:val="center"/>
                </w:tcPr>
                <w:p w14:paraId="1A25B23B">
                  <w:pPr>
                    <w:pStyle w:val="30"/>
                    <w:overflowPunct w:val="0"/>
                    <w:autoSpaceDE w:val="0"/>
                    <w:autoSpaceDN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车用尿素</w:t>
                  </w:r>
                </w:p>
              </w:tc>
              <w:tc>
                <w:tcPr>
                  <w:tcW w:w="1312" w:type="dxa"/>
                  <w:vAlign w:val="center"/>
                </w:tcPr>
                <w:p w14:paraId="1BD15A27">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150t/a</w:t>
                  </w:r>
                </w:p>
              </w:tc>
              <w:tc>
                <w:tcPr>
                  <w:tcW w:w="1189" w:type="dxa"/>
                  <w:vAlign w:val="center"/>
                </w:tcPr>
                <w:p w14:paraId="43CC7504">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3t</w:t>
                  </w:r>
                </w:p>
              </w:tc>
              <w:tc>
                <w:tcPr>
                  <w:tcW w:w="688" w:type="dxa"/>
                  <w:vAlign w:val="center"/>
                </w:tcPr>
                <w:p w14:paraId="20554860">
                  <w:pPr>
                    <w:pStyle w:val="30"/>
                    <w:overflowPunct w:val="0"/>
                    <w:autoSpaceDE w:val="0"/>
                    <w:autoSpaceDN w:val="0"/>
                    <w:rPr>
                      <w:rFonts w:hint="eastAsia" w:eastAsia="宋体"/>
                      <w:color w:val="auto"/>
                      <w:highlight w:val="none"/>
                      <w:lang w:eastAsia="zh-CN"/>
                    </w:rPr>
                  </w:pPr>
                  <w:r>
                    <w:rPr>
                      <w:rFonts w:hint="eastAsia"/>
                      <w:color w:val="auto"/>
                      <w:highlight w:val="none"/>
                    </w:rPr>
                    <w:t>液态</w:t>
                  </w:r>
                </w:p>
              </w:tc>
              <w:tc>
                <w:tcPr>
                  <w:tcW w:w="688" w:type="dxa"/>
                  <w:vAlign w:val="center"/>
                </w:tcPr>
                <w:p w14:paraId="6E5ED53D">
                  <w:pPr>
                    <w:pStyle w:val="30"/>
                    <w:bidi w:val="0"/>
                    <w:rPr>
                      <w:rFonts w:hint="eastAsia"/>
                      <w:color w:val="auto"/>
                      <w:highlight w:val="none"/>
                      <w:lang w:eastAsia="zh-CN"/>
                    </w:rPr>
                  </w:pPr>
                  <w:r>
                    <w:rPr>
                      <w:rFonts w:hint="eastAsia"/>
                      <w:color w:val="auto"/>
                      <w:highlight w:val="none"/>
                    </w:rPr>
                    <w:t>专用存储箱</w:t>
                  </w:r>
                </w:p>
              </w:tc>
              <w:tc>
                <w:tcPr>
                  <w:tcW w:w="1047" w:type="dxa"/>
                  <w:vAlign w:val="center"/>
                </w:tcPr>
                <w:p w14:paraId="5192FB74">
                  <w:pPr>
                    <w:pStyle w:val="30"/>
                    <w:overflowPunct w:val="0"/>
                    <w:autoSpaceDE w:val="0"/>
                    <w:autoSpaceDN w:val="0"/>
                    <w:rPr>
                      <w:rFonts w:hint="default" w:eastAsia="宋体"/>
                      <w:color w:val="auto"/>
                      <w:highlight w:val="none"/>
                      <w:lang w:val="en-US" w:eastAsia="zh-CN"/>
                    </w:rPr>
                  </w:pPr>
                  <w:r>
                    <w:rPr>
                      <w:rFonts w:hint="eastAsia"/>
                      <w:color w:val="auto"/>
                      <w:highlight w:val="none"/>
                      <w:lang w:eastAsia="zh-CN"/>
                    </w:rPr>
                    <w:t>吨桶</w:t>
                  </w:r>
                </w:p>
              </w:tc>
              <w:tc>
                <w:tcPr>
                  <w:tcW w:w="674" w:type="dxa"/>
                  <w:vAlign w:val="center"/>
                </w:tcPr>
                <w:p w14:paraId="0A6A68AC">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外购</w:t>
                  </w:r>
                </w:p>
              </w:tc>
            </w:tr>
            <w:tr w14:paraId="7BAA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3" w:type="dxa"/>
                  <w:gridSpan w:val="8"/>
                  <w:vAlign w:val="center"/>
                </w:tcPr>
                <w:p w14:paraId="0950B959">
                  <w:pPr>
                    <w:pStyle w:val="30"/>
                    <w:overflowPunct w:val="0"/>
                    <w:autoSpaceDE w:val="0"/>
                    <w:autoSpaceDN w:val="0"/>
                    <w:jc w:val="both"/>
                    <w:rPr>
                      <w:rFonts w:hint="eastAsia" w:eastAsia="宋体"/>
                      <w:color w:val="auto"/>
                      <w:highlight w:val="none"/>
                      <w:lang w:eastAsia="zh-CN"/>
                    </w:rPr>
                  </w:pPr>
                  <w:r>
                    <w:rPr>
                      <w:rFonts w:hint="eastAsia"/>
                      <w:color w:val="auto"/>
                      <w:highlight w:val="none"/>
                      <w:lang w:eastAsia="zh-CN"/>
                    </w:rPr>
                    <w:t>智慧货运维修中心</w:t>
                  </w:r>
                </w:p>
              </w:tc>
            </w:tr>
            <w:tr w14:paraId="2FA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vAlign w:val="center"/>
                </w:tcPr>
                <w:p w14:paraId="1D07F1E7">
                  <w:pPr>
                    <w:pStyle w:val="30"/>
                    <w:rPr>
                      <w:color w:val="auto"/>
                      <w:highlight w:val="none"/>
                    </w:rPr>
                  </w:pPr>
                  <w:r>
                    <w:rPr>
                      <w:color w:val="auto"/>
                      <w:highlight w:val="none"/>
                    </w:rPr>
                    <w:t>序号</w:t>
                  </w:r>
                </w:p>
              </w:tc>
              <w:tc>
                <w:tcPr>
                  <w:tcW w:w="1570" w:type="dxa"/>
                  <w:vAlign w:val="center"/>
                </w:tcPr>
                <w:p w14:paraId="61C03C03">
                  <w:pPr>
                    <w:pStyle w:val="30"/>
                    <w:rPr>
                      <w:color w:val="auto"/>
                      <w:highlight w:val="none"/>
                    </w:rPr>
                  </w:pPr>
                  <w:r>
                    <w:rPr>
                      <w:color w:val="auto"/>
                      <w:highlight w:val="none"/>
                    </w:rPr>
                    <w:t>名称</w:t>
                  </w:r>
                </w:p>
              </w:tc>
              <w:tc>
                <w:tcPr>
                  <w:tcW w:w="1312" w:type="dxa"/>
                  <w:vAlign w:val="center"/>
                </w:tcPr>
                <w:p w14:paraId="16598FCE">
                  <w:pPr>
                    <w:pStyle w:val="30"/>
                    <w:rPr>
                      <w:color w:val="auto"/>
                      <w:highlight w:val="none"/>
                    </w:rPr>
                  </w:pPr>
                  <w:r>
                    <w:rPr>
                      <w:rFonts w:hint="eastAsia"/>
                      <w:color w:val="auto"/>
                      <w:highlight w:val="none"/>
                    </w:rPr>
                    <w:t>单位</w:t>
                  </w:r>
                </w:p>
              </w:tc>
              <w:tc>
                <w:tcPr>
                  <w:tcW w:w="1189" w:type="dxa"/>
                  <w:vAlign w:val="center"/>
                </w:tcPr>
                <w:p w14:paraId="44A22FDF">
                  <w:pPr>
                    <w:pStyle w:val="30"/>
                    <w:rPr>
                      <w:color w:val="auto"/>
                      <w:highlight w:val="none"/>
                    </w:rPr>
                  </w:pPr>
                  <w:r>
                    <w:rPr>
                      <w:color w:val="auto"/>
                      <w:highlight w:val="none"/>
                    </w:rPr>
                    <w:t>年用量</w:t>
                  </w:r>
                </w:p>
              </w:tc>
              <w:tc>
                <w:tcPr>
                  <w:tcW w:w="1376" w:type="dxa"/>
                  <w:gridSpan w:val="2"/>
                  <w:vAlign w:val="center"/>
                </w:tcPr>
                <w:p w14:paraId="17FDAC6B">
                  <w:pPr>
                    <w:pStyle w:val="30"/>
                    <w:overflowPunct w:val="0"/>
                    <w:autoSpaceDE w:val="0"/>
                    <w:autoSpaceDN w:val="0"/>
                    <w:rPr>
                      <w:color w:val="auto"/>
                      <w:highlight w:val="none"/>
                    </w:rPr>
                  </w:pPr>
                  <w:r>
                    <w:rPr>
                      <w:rFonts w:hint="eastAsia"/>
                      <w:color w:val="auto"/>
                      <w:highlight w:val="none"/>
                      <w:lang w:eastAsia="zh-CN"/>
                    </w:rPr>
                    <w:t>状态</w:t>
                  </w:r>
                </w:p>
              </w:tc>
              <w:tc>
                <w:tcPr>
                  <w:tcW w:w="1047" w:type="dxa"/>
                  <w:vAlign w:val="center"/>
                </w:tcPr>
                <w:p w14:paraId="6D0C403B">
                  <w:pPr>
                    <w:pStyle w:val="30"/>
                    <w:overflowPunct w:val="0"/>
                    <w:autoSpaceDE w:val="0"/>
                    <w:autoSpaceDN w:val="0"/>
                    <w:rPr>
                      <w:color w:val="auto"/>
                      <w:highlight w:val="none"/>
                    </w:rPr>
                  </w:pPr>
                  <w:r>
                    <w:rPr>
                      <w:rFonts w:hint="eastAsia"/>
                      <w:color w:val="auto"/>
                      <w:highlight w:val="none"/>
                      <w:lang w:val="en-US" w:eastAsia="zh-CN"/>
                    </w:rPr>
                    <w:t>规格</w:t>
                  </w:r>
                </w:p>
              </w:tc>
              <w:tc>
                <w:tcPr>
                  <w:tcW w:w="674" w:type="dxa"/>
                  <w:vAlign w:val="center"/>
                </w:tcPr>
                <w:p w14:paraId="2DC14AEF">
                  <w:pPr>
                    <w:pStyle w:val="30"/>
                    <w:overflowPunct w:val="0"/>
                    <w:autoSpaceDE w:val="0"/>
                    <w:autoSpaceDN w:val="0"/>
                    <w:rPr>
                      <w:rFonts w:hint="eastAsia"/>
                      <w:color w:val="auto"/>
                      <w:highlight w:val="none"/>
                      <w:lang w:val="en-US" w:eastAsia="zh-CN"/>
                    </w:rPr>
                  </w:pPr>
                  <w:r>
                    <w:rPr>
                      <w:rFonts w:hint="eastAsia"/>
                      <w:color w:val="auto"/>
                      <w:highlight w:val="none"/>
                      <w:lang w:val="en-US" w:eastAsia="zh-CN"/>
                    </w:rPr>
                    <w:t>来源</w:t>
                  </w:r>
                </w:p>
              </w:tc>
            </w:tr>
            <w:tr w14:paraId="3FAD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5" w:type="dxa"/>
                  <w:vAlign w:val="center"/>
                </w:tcPr>
                <w:p w14:paraId="1F526151">
                  <w:pPr>
                    <w:pStyle w:val="30"/>
                    <w:overflowPunct w:val="0"/>
                    <w:autoSpaceDE w:val="0"/>
                    <w:autoSpaceDN w:val="0"/>
                    <w:rPr>
                      <w:color w:val="auto"/>
                      <w:highlight w:val="none"/>
                    </w:rPr>
                  </w:pPr>
                  <w:r>
                    <w:rPr>
                      <w:rFonts w:hint="eastAsia"/>
                      <w:color w:val="auto"/>
                      <w:highlight w:val="none"/>
                    </w:rPr>
                    <w:t>5</w:t>
                  </w:r>
                </w:p>
              </w:tc>
              <w:tc>
                <w:tcPr>
                  <w:tcW w:w="1570" w:type="dxa"/>
                  <w:vAlign w:val="center"/>
                </w:tcPr>
                <w:p w14:paraId="43A50D13">
                  <w:pPr>
                    <w:pStyle w:val="30"/>
                    <w:overflowPunct w:val="0"/>
                    <w:autoSpaceDE w:val="0"/>
                    <w:autoSpaceDN w:val="0"/>
                    <w:rPr>
                      <w:color w:val="auto"/>
                      <w:highlight w:val="none"/>
                    </w:rPr>
                  </w:pPr>
                  <w:r>
                    <w:rPr>
                      <w:rFonts w:hint="eastAsia"/>
                      <w:color w:val="auto"/>
                      <w:highlight w:val="none"/>
                    </w:rPr>
                    <w:t>机油</w:t>
                  </w:r>
                </w:p>
              </w:tc>
              <w:tc>
                <w:tcPr>
                  <w:tcW w:w="1312" w:type="dxa"/>
                  <w:vAlign w:val="center"/>
                </w:tcPr>
                <w:p w14:paraId="6A39FF03">
                  <w:pPr>
                    <w:pStyle w:val="30"/>
                    <w:overflowPunct w:val="0"/>
                    <w:autoSpaceDE w:val="0"/>
                    <w:autoSpaceDN w:val="0"/>
                    <w:rPr>
                      <w:color w:val="auto"/>
                      <w:highlight w:val="none"/>
                    </w:rPr>
                  </w:pPr>
                  <w:r>
                    <w:rPr>
                      <w:rFonts w:hint="eastAsia"/>
                      <w:color w:val="auto"/>
                      <w:highlight w:val="none"/>
                    </w:rPr>
                    <w:t>t/a</w:t>
                  </w:r>
                </w:p>
              </w:tc>
              <w:tc>
                <w:tcPr>
                  <w:tcW w:w="1189" w:type="dxa"/>
                  <w:vAlign w:val="center"/>
                </w:tcPr>
                <w:p w14:paraId="273292C3">
                  <w:pPr>
                    <w:pStyle w:val="30"/>
                    <w:overflowPunct w:val="0"/>
                    <w:autoSpaceDE w:val="0"/>
                    <w:autoSpaceDN w:val="0"/>
                    <w:rPr>
                      <w:color w:val="auto"/>
                      <w:highlight w:val="none"/>
                    </w:rPr>
                  </w:pPr>
                  <w:r>
                    <w:rPr>
                      <w:rFonts w:hint="eastAsia"/>
                      <w:color w:val="auto"/>
                      <w:highlight w:val="none"/>
                    </w:rPr>
                    <w:t>5</w:t>
                  </w:r>
                </w:p>
              </w:tc>
              <w:tc>
                <w:tcPr>
                  <w:tcW w:w="1376" w:type="dxa"/>
                  <w:gridSpan w:val="2"/>
                  <w:vAlign w:val="center"/>
                </w:tcPr>
                <w:p w14:paraId="2124F36C">
                  <w:pPr>
                    <w:pStyle w:val="30"/>
                    <w:overflowPunct w:val="0"/>
                    <w:autoSpaceDE w:val="0"/>
                    <w:autoSpaceDN w:val="0"/>
                    <w:rPr>
                      <w:color w:val="auto"/>
                      <w:highlight w:val="none"/>
                    </w:rPr>
                  </w:pPr>
                  <w:r>
                    <w:rPr>
                      <w:rFonts w:hint="eastAsia"/>
                      <w:color w:val="auto"/>
                      <w:highlight w:val="none"/>
                    </w:rPr>
                    <w:t>液体</w:t>
                  </w:r>
                </w:p>
              </w:tc>
              <w:tc>
                <w:tcPr>
                  <w:tcW w:w="1047" w:type="dxa"/>
                  <w:vAlign w:val="center"/>
                </w:tcPr>
                <w:p w14:paraId="116C4E43">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25kg/桶</w:t>
                  </w:r>
                </w:p>
              </w:tc>
              <w:tc>
                <w:tcPr>
                  <w:tcW w:w="674" w:type="dxa"/>
                  <w:vAlign w:val="center"/>
                </w:tcPr>
                <w:p w14:paraId="705AC2B7">
                  <w:pPr>
                    <w:pStyle w:val="30"/>
                    <w:overflowPunct w:val="0"/>
                    <w:autoSpaceDE w:val="0"/>
                    <w:autoSpaceDN w:val="0"/>
                    <w:rPr>
                      <w:rFonts w:hint="eastAsia"/>
                      <w:color w:val="auto"/>
                      <w:highlight w:val="none"/>
                    </w:rPr>
                  </w:pPr>
                  <w:r>
                    <w:rPr>
                      <w:rFonts w:hint="eastAsia"/>
                      <w:color w:val="auto"/>
                      <w:highlight w:val="none"/>
                    </w:rPr>
                    <w:t>外购</w:t>
                  </w:r>
                </w:p>
              </w:tc>
            </w:tr>
            <w:tr w14:paraId="234B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shd w:val="clear" w:color="auto" w:fill="auto"/>
                  <w:vAlign w:val="center"/>
                </w:tcPr>
                <w:p w14:paraId="209DF548">
                  <w:pPr>
                    <w:pStyle w:val="30"/>
                    <w:overflowPunct w:val="0"/>
                    <w:autoSpaceDE w:val="0"/>
                    <w:autoSpaceDN w:val="0"/>
                    <w:rPr>
                      <w:color w:val="auto"/>
                      <w:highlight w:val="none"/>
                    </w:rPr>
                  </w:pPr>
                  <w:r>
                    <w:rPr>
                      <w:rFonts w:hint="eastAsia"/>
                      <w:color w:val="auto"/>
                      <w:highlight w:val="none"/>
                    </w:rPr>
                    <w:t>6</w:t>
                  </w:r>
                </w:p>
              </w:tc>
              <w:tc>
                <w:tcPr>
                  <w:tcW w:w="1570" w:type="dxa"/>
                  <w:vAlign w:val="center"/>
                </w:tcPr>
                <w:p w14:paraId="3A196078">
                  <w:pPr>
                    <w:pStyle w:val="30"/>
                    <w:overflowPunct w:val="0"/>
                    <w:autoSpaceDE w:val="0"/>
                    <w:autoSpaceDN w:val="0"/>
                    <w:rPr>
                      <w:color w:val="auto"/>
                      <w:highlight w:val="none"/>
                    </w:rPr>
                  </w:pPr>
                  <w:r>
                    <w:rPr>
                      <w:rFonts w:hint="eastAsia"/>
                      <w:color w:val="auto"/>
                      <w:highlight w:val="none"/>
                    </w:rPr>
                    <w:t>防冻液</w:t>
                  </w:r>
                </w:p>
              </w:tc>
              <w:tc>
                <w:tcPr>
                  <w:tcW w:w="1312" w:type="dxa"/>
                  <w:vAlign w:val="center"/>
                </w:tcPr>
                <w:p w14:paraId="47383B19">
                  <w:pPr>
                    <w:pStyle w:val="30"/>
                    <w:overflowPunct w:val="0"/>
                    <w:autoSpaceDE w:val="0"/>
                    <w:autoSpaceDN w:val="0"/>
                    <w:rPr>
                      <w:color w:val="auto"/>
                      <w:highlight w:val="none"/>
                    </w:rPr>
                  </w:pPr>
                  <w:r>
                    <w:rPr>
                      <w:rFonts w:hint="eastAsia"/>
                      <w:color w:val="auto"/>
                      <w:highlight w:val="none"/>
                    </w:rPr>
                    <w:t>t/a</w:t>
                  </w:r>
                </w:p>
              </w:tc>
              <w:tc>
                <w:tcPr>
                  <w:tcW w:w="1189" w:type="dxa"/>
                  <w:vAlign w:val="center"/>
                </w:tcPr>
                <w:p w14:paraId="1E8B8496">
                  <w:pPr>
                    <w:pStyle w:val="30"/>
                    <w:overflowPunct w:val="0"/>
                    <w:autoSpaceDE w:val="0"/>
                    <w:autoSpaceDN w:val="0"/>
                    <w:rPr>
                      <w:color w:val="auto"/>
                      <w:highlight w:val="none"/>
                    </w:rPr>
                  </w:pPr>
                  <w:r>
                    <w:rPr>
                      <w:rFonts w:hint="eastAsia"/>
                      <w:color w:val="auto"/>
                      <w:highlight w:val="none"/>
                    </w:rPr>
                    <w:t>3</w:t>
                  </w:r>
                </w:p>
              </w:tc>
              <w:tc>
                <w:tcPr>
                  <w:tcW w:w="1376" w:type="dxa"/>
                  <w:gridSpan w:val="2"/>
                  <w:vAlign w:val="center"/>
                </w:tcPr>
                <w:p w14:paraId="37A21AAF">
                  <w:pPr>
                    <w:pStyle w:val="30"/>
                    <w:overflowPunct w:val="0"/>
                    <w:autoSpaceDE w:val="0"/>
                    <w:autoSpaceDN w:val="0"/>
                    <w:rPr>
                      <w:color w:val="auto"/>
                      <w:highlight w:val="none"/>
                    </w:rPr>
                  </w:pPr>
                  <w:r>
                    <w:rPr>
                      <w:rFonts w:hint="eastAsia"/>
                      <w:color w:val="auto"/>
                      <w:highlight w:val="none"/>
                    </w:rPr>
                    <w:t>液体</w:t>
                  </w:r>
                </w:p>
              </w:tc>
              <w:tc>
                <w:tcPr>
                  <w:tcW w:w="1047" w:type="dxa"/>
                  <w:vAlign w:val="center"/>
                </w:tcPr>
                <w:p w14:paraId="6A5E29CA">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2kg/瓶</w:t>
                  </w:r>
                </w:p>
              </w:tc>
              <w:tc>
                <w:tcPr>
                  <w:tcW w:w="674" w:type="dxa"/>
                  <w:vAlign w:val="center"/>
                </w:tcPr>
                <w:p w14:paraId="1C72A11D">
                  <w:pPr>
                    <w:pStyle w:val="30"/>
                    <w:overflowPunct w:val="0"/>
                    <w:autoSpaceDE w:val="0"/>
                    <w:autoSpaceDN w:val="0"/>
                    <w:rPr>
                      <w:rFonts w:hint="eastAsia"/>
                      <w:color w:val="auto"/>
                      <w:highlight w:val="none"/>
                    </w:rPr>
                  </w:pPr>
                  <w:r>
                    <w:rPr>
                      <w:rFonts w:hint="eastAsia"/>
                      <w:color w:val="auto"/>
                      <w:highlight w:val="none"/>
                    </w:rPr>
                    <w:t>外购</w:t>
                  </w:r>
                </w:p>
              </w:tc>
            </w:tr>
            <w:tr w14:paraId="6095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shd w:val="clear" w:color="auto" w:fill="auto"/>
                  <w:vAlign w:val="center"/>
                </w:tcPr>
                <w:p w14:paraId="1C6E3EA4">
                  <w:pPr>
                    <w:pStyle w:val="30"/>
                    <w:overflowPunct w:val="0"/>
                    <w:autoSpaceDE w:val="0"/>
                    <w:autoSpaceDN w:val="0"/>
                    <w:rPr>
                      <w:color w:val="auto"/>
                      <w:highlight w:val="none"/>
                    </w:rPr>
                  </w:pPr>
                  <w:r>
                    <w:rPr>
                      <w:rFonts w:hint="eastAsia"/>
                      <w:color w:val="auto"/>
                      <w:highlight w:val="none"/>
                    </w:rPr>
                    <w:t>7</w:t>
                  </w:r>
                </w:p>
              </w:tc>
              <w:tc>
                <w:tcPr>
                  <w:tcW w:w="1570" w:type="dxa"/>
                  <w:vAlign w:val="center"/>
                </w:tcPr>
                <w:p w14:paraId="7750728B">
                  <w:pPr>
                    <w:pStyle w:val="30"/>
                    <w:overflowPunct w:val="0"/>
                    <w:autoSpaceDE w:val="0"/>
                    <w:autoSpaceDN w:val="0"/>
                    <w:rPr>
                      <w:color w:val="auto"/>
                      <w:highlight w:val="none"/>
                    </w:rPr>
                  </w:pPr>
                  <w:r>
                    <w:rPr>
                      <w:rFonts w:hint="eastAsia"/>
                      <w:color w:val="auto"/>
                      <w:highlight w:val="none"/>
                    </w:rPr>
                    <w:t>零配件</w:t>
                  </w:r>
                </w:p>
              </w:tc>
              <w:tc>
                <w:tcPr>
                  <w:tcW w:w="1312" w:type="dxa"/>
                  <w:vAlign w:val="center"/>
                </w:tcPr>
                <w:p w14:paraId="41033436">
                  <w:pPr>
                    <w:pStyle w:val="30"/>
                    <w:overflowPunct w:val="0"/>
                    <w:autoSpaceDE w:val="0"/>
                    <w:autoSpaceDN w:val="0"/>
                    <w:rPr>
                      <w:color w:val="auto"/>
                      <w:highlight w:val="none"/>
                    </w:rPr>
                  </w:pPr>
                  <w:r>
                    <w:rPr>
                      <w:rFonts w:hint="eastAsia"/>
                      <w:color w:val="auto"/>
                      <w:highlight w:val="none"/>
                    </w:rPr>
                    <w:t>/</w:t>
                  </w:r>
                </w:p>
              </w:tc>
              <w:tc>
                <w:tcPr>
                  <w:tcW w:w="1189" w:type="dxa"/>
                  <w:vAlign w:val="center"/>
                </w:tcPr>
                <w:p w14:paraId="79FB63C3">
                  <w:pPr>
                    <w:pStyle w:val="30"/>
                    <w:overflowPunct w:val="0"/>
                    <w:autoSpaceDE w:val="0"/>
                    <w:autoSpaceDN w:val="0"/>
                    <w:rPr>
                      <w:rFonts w:hint="eastAsia" w:eastAsia="宋体"/>
                      <w:color w:val="auto"/>
                      <w:highlight w:val="none"/>
                      <w:lang w:eastAsia="zh-CN"/>
                    </w:rPr>
                  </w:pPr>
                  <w:r>
                    <w:rPr>
                      <w:rFonts w:hint="eastAsia"/>
                      <w:color w:val="auto"/>
                      <w:highlight w:val="none"/>
                      <w:lang w:eastAsia="zh-CN"/>
                    </w:rPr>
                    <w:t>若干</w:t>
                  </w:r>
                </w:p>
              </w:tc>
              <w:tc>
                <w:tcPr>
                  <w:tcW w:w="1376" w:type="dxa"/>
                  <w:gridSpan w:val="2"/>
                  <w:vAlign w:val="center"/>
                </w:tcPr>
                <w:p w14:paraId="1FDA1BCA">
                  <w:pPr>
                    <w:pStyle w:val="30"/>
                    <w:overflowPunct w:val="0"/>
                    <w:autoSpaceDE w:val="0"/>
                    <w:autoSpaceDN w:val="0"/>
                    <w:rPr>
                      <w:color w:val="auto"/>
                      <w:highlight w:val="none"/>
                    </w:rPr>
                  </w:pPr>
                  <w:r>
                    <w:rPr>
                      <w:rFonts w:hint="eastAsia"/>
                      <w:color w:val="auto"/>
                      <w:highlight w:val="none"/>
                    </w:rPr>
                    <w:t>固体</w:t>
                  </w:r>
                </w:p>
              </w:tc>
              <w:tc>
                <w:tcPr>
                  <w:tcW w:w="1047" w:type="dxa"/>
                  <w:vAlign w:val="center"/>
                </w:tcPr>
                <w:p w14:paraId="03C68033">
                  <w:pPr>
                    <w:pStyle w:val="30"/>
                    <w:overflowPunct w:val="0"/>
                    <w:autoSpaceDE w:val="0"/>
                    <w:autoSpaceDN w:val="0"/>
                    <w:rPr>
                      <w:rFonts w:hint="eastAsia" w:eastAsia="宋体"/>
                      <w:color w:val="auto"/>
                      <w:highlight w:val="none"/>
                      <w:lang w:val="en-US" w:eastAsia="zh-CN"/>
                    </w:rPr>
                  </w:pPr>
                  <w:r>
                    <w:rPr>
                      <w:rFonts w:hint="eastAsia"/>
                      <w:color w:val="auto"/>
                      <w:highlight w:val="none"/>
                      <w:lang w:val="en-US" w:eastAsia="zh-CN"/>
                    </w:rPr>
                    <w:t>/</w:t>
                  </w:r>
                </w:p>
              </w:tc>
              <w:tc>
                <w:tcPr>
                  <w:tcW w:w="674" w:type="dxa"/>
                  <w:vAlign w:val="center"/>
                </w:tcPr>
                <w:p w14:paraId="4FB60EA3">
                  <w:pPr>
                    <w:pStyle w:val="30"/>
                    <w:overflowPunct w:val="0"/>
                    <w:autoSpaceDE w:val="0"/>
                    <w:autoSpaceDN w:val="0"/>
                    <w:rPr>
                      <w:rFonts w:hint="eastAsia"/>
                      <w:color w:val="auto"/>
                      <w:highlight w:val="none"/>
                    </w:rPr>
                  </w:pPr>
                  <w:r>
                    <w:rPr>
                      <w:rFonts w:hint="eastAsia"/>
                      <w:color w:val="auto"/>
                      <w:highlight w:val="none"/>
                    </w:rPr>
                    <w:t>外购</w:t>
                  </w:r>
                </w:p>
              </w:tc>
            </w:tr>
            <w:tr w14:paraId="1EFC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shd w:val="clear" w:color="auto" w:fill="auto"/>
                  <w:vAlign w:val="center"/>
                </w:tcPr>
                <w:p w14:paraId="4D911542">
                  <w:pPr>
                    <w:pStyle w:val="30"/>
                    <w:overflowPunct w:val="0"/>
                    <w:autoSpaceDE w:val="0"/>
                    <w:autoSpaceDN w:val="0"/>
                    <w:rPr>
                      <w:color w:val="auto"/>
                      <w:highlight w:val="none"/>
                    </w:rPr>
                  </w:pPr>
                  <w:r>
                    <w:rPr>
                      <w:rFonts w:hint="eastAsia"/>
                      <w:color w:val="auto"/>
                      <w:highlight w:val="none"/>
                    </w:rPr>
                    <w:t>8</w:t>
                  </w:r>
                </w:p>
              </w:tc>
              <w:tc>
                <w:tcPr>
                  <w:tcW w:w="1570" w:type="dxa"/>
                  <w:vAlign w:val="center"/>
                </w:tcPr>
                <w:p w14:paraId="1D72C491">
                  <w:pPr>
                    <w:pStyle w:val="30"/>
                    <w:overflowPunct w:val="0"/>
                    <w:autoSpaceDE w:val="0"/>
                    <w:autoSpaceDN w:val="0"/>
                    <w:rPr>
                      <w:color w:val="auto"/>
                      <w:highlight w:val="none"/>
                    </w:rPr>
                  </w:pPr>
                  <w:r>
                    <w:rPr>
                      <w:rFonts w:hint="eastAsia"/>
                      <w:color w:val="auto"/>
                      <w:highlight w:val="none"/>
                    </w:rPr>
                    <w:t>刹车油</w:t>
                  </w:r>
                </w:p>
              </w:tc>
              <w:tc>
                <w:tcPr>
                  <w:tcW w:w="1312" w:type="dxa"/>
                  <w:vAlign w:val="center"/>
                </w:tcPr>
                <w:p w14:paraId="566776A4">
                  <w:pPr>
                    <w:pStyle w:val="30"/>
                    <w:overflowPunct w:val="0"/>
                    <w:autoSpaceDE w:val="0"/>
                    <w:autoSpaceDN w:val="0"/>
                    <w:rPr>
                      <w:color w:val="auto"/>
                      <w:highlight w:val="none"/>
                    </w:rPr>
                  </w:pPr>
                  <w:r>
                    <w:rPr>
                      <w:rFonts w:hint="eastAsia"/>
                      <w:color w:val="auto"/>
                      <w:highlight w:val="none"/>
                    </w:rPr>
                    <w:t>L/a</w:t>
                  </w:r>
                </w:p>
              </w:tc>
              <w:tc>
                <w:tcPr>
                  <w:tcW w:w="1189" w:type="dxa"/>
                  <w:vAlign w:val="center"/>
                </w:tcPr>
                <w:p w14:paraId="2D55FA3D">
                  <w:pPr>
                    <w:pStyle w:val="30"/>
                    <w:overflowPunct w:val="0"/>
                    <w:autoSpaceDE w:val="0"/>
                    <w:autoSpaceDN w:val="0"/>
                    <w:rPr>
                      <w:color w:val="auto"/>
                      <w:highlight w:val="none"/>
                    </w:rPr>
                  </w:pPr>
                  <w:r>
                    <w:rPr>
                      <w:rFonts w:hint="eastAsia"/>
                      <w:color w:val="auto"/>
                      <w:highlight w:val="none"/>
                    </w:rPr>
                    <w:t>200</w:t>
                  </w:r>
                </w:p>
              </w:tc>
              <w:tc>
                <w:tcPr>
                  <w:tcW w:w="1376" w:type="dxa"/>
                  <w:gridSpan w:val="2"/>
                  <w:vAlign w:val="center"/>
                </w:tcPr>
                <w:p w14:paraId="7A03859E">
                  <w:pPr>
                    <w:pStyle w:val="30"/>
                    <w:overflowPunct w:val="0"/>
                    <w:autoSpaceDE w:val="0"/>
                    <w:autoSpaceDN w:val="0"/>
                    <w:rPr>
                      <w:color w:val="auto"/>
                      <w:highlight w:val="none"/>
                    </w:rPr>
                  </w:pPr>
                  <w:r>
                    <w:rPr>
                      <w:rFonts w:hint="eastAsia"/>
                      <w:color w:val="auto"/>
                      <w:highlight w:val="none"/>
                    </w:rPr>
                    <w:t>液体</w:t>
                  </w:r>
                </w:p>
              </w:tc>
              <w:tc>
                <w:tcPr>
                  <w:tcW w:w="1047" w:type="dxa"/>
                  <w:vAlign w:val="center"/>
                </w:tcPr>
                <w:p w14:paraId="0260AB57">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1L/桶</w:t>
                  </w:r>
                </w:p>
              </w:tc>
              <w:tc>
                <w:tcPr>
                  <w:tcW w:w="674" w:type="dxa"/>
                  <w:vAlign w:val="center"/>
                </w:tcPr>
                <w:p w14:paraId="5E11192B">
                  <w:pPr>
                    <w:pStyle w:val="30"/>
                    <w:overflowPunct w:val="0"/>
                    <w:autoSpaceDE w:val="0"/>
                    <w:autoSpaceDN w:val="0"/>
                    <w:rPr>
                      <w:rFonts w:hint="eastAsia"/>
                      <w:color w:val="auto"/>
                      <w:highlight w:val="none"/>
                    </w:rPr>
                  </w:pPr>
                  <w:r>
                    <w:rPr>
                      <w:rFonts w:hint="eastAsia"/>
                      <w:color w:val="auto"/>
                      <w:highlight w:val="none"/>
                    </w:rPr>
                    <w:t>外购</w:t>
                  </w:r>
                </w:p>
              </w:tc>
            </w:tr>
            <w:tr w14:paraId="41B1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dxa"/>
                  <w:shd w:val="clear" w:color="auto" w:fill="auto"/>
                  <w:vAlign w:val="center"/>
                </w:tcPr>
                <w:p w14:paraId="6890BF72">
                  <w:pPr>
                    <w:pStyle w:val="30"/>
                    <w:overflowPunct w:val="0"/>
                    <w:autoSpaceDE w:val="0"/>
                    <w:autoSpaceDN w:val="0"/>
                    <w:rPr>
                      <w:color w:val="auto"/>
                      <w:highlight w:val="none"/>
                    </w:rPr>
                  </w:pPr>
                  <w:r>
                    <w:rPr>
                      <w:rFonts w:hint="eastAsia"/>
                      <w:color w:val="auto"/>
                      <w:highlight w:val="none"/>
                    </w:rPr>
                    <w:t>9</w:t>
                  </w:r>
                </w:p>
              </w:tc>
              <w:tc>
                <w:tcPr>
                  <w:tcW w:w="1570" w:type="dxa"/>
                  <w:vAlign w:val="center"/>
                </w:tcPr>
                <w:p w14:paraId="11114BD0">
                  <w:pPr>
                    <w:pStyle w:val="30"/>
                    <w:overflowPunct w:val="0"/>
                    <w:autoSpaceDE w:val="0"/>
                    <w:autoSpaceDN w:val="0"/>
                    <w:rPr>
                      <w:color w:val="auto"/>
                      <w:highlight w:val="none"/>
                    </w:rPr>
                  </w:pPr>
                  <w:r>
                    <w:rPr>
                      <w:rFonts w:hint="eastAsia"/>
                      <w:color w:val="auto"/>
                      <w:highlight w:val="none"/>
                      <w:lang w:eastAsia="zh-CN"/>
                    </w:rPr>
                    <w:t>无铅</w:t>
                  </w:r>
                  <w:r>
                    <w:rPr>
                      <w:rFonts w:hint="eastAsia"/>
                      <w:color w:val="auto"/>
                      <w:highlight w:val="none"/>
                    </w:rPr>
                    <w:t>焊丝</w:t>
                  </w:r>
                </w:p>
              </w:tc>
              <w:tc>
                <w:tcPr>
                  <w:tcW w:w="1312" w:type="dxa"/>
                  <w:vAlign w:val="center"/>
                </w:tcPr>
                <w:p w14:paraId="1C7831C6">
                  <w:pPr>
                    <w:pStyle w:val="30"/>
                    <w:overflowPunct w:val="0"/>
                    <w:autoSpaceDE w:val="0"/>
                    <w:autoSpaceDN w:val="0"/>
                    <w:rPr>
                      <w:color w:val="auto"/>
                      <w:highlight w:val="none"/>
                    </w:rPr>
                  </w:pPr>
                  <w:r>
                    <w:rPr>
                      <w:rFonts w:hint="eastAsia"/>
                      <w:color w:val="auto"/>
                      <w:highlight w:val="none"/>
                    </w:rPr>
                    <w:t>kg/a</w:t>
                  </w:r>
                </w:p>
              </w:tc>
              <w:tc>
                <w:tcPr>
                  <w:tcW w:w="1189" w:type="dxa"/>
                  <w:vAlign w:val="center"/>
                </w:tcPr>
                <w:p w14:paraId="010B51A3">
                  <w:pPr>
                    <w:pStyle w:val="30"/>
                    <w:overflowPunct w:val="0"/>
                    <w:autoSpaceDE w:val="0"/>
                    <w:autoSpaceDN w:val="0"/>
                    <w:rPr>
                      <w:color w:val="auto"/>
                      <w:highlight w:val="none"/>
                    </w:rPr>
                  </w:pPr>
                  <w:r>
                    <w:rPr>
                      <w:rFonts w:hint="eastAsia"/>
                      <w:color w:val="auto"/>
                      <w:highlight w:val="none"/>
                    </w:rPr>
                    <w:t>25</w:t>
                  </w:r>
                </w:p>
              </w:tc>
              <w:tc>
                <w:tcPr>
                  <w:tcW w:w="1376" w:type="dxa"/>
                  <w:gridSpan w:val="2"/>
                  <w:vAlign w:val="center"/>
                </w:tcPr>
                <w:p w14:paraId="096754A1">
                  <w:pPr>
                    <w:pStyle w:val="30"/>
                    <w:overflowPunct w:val="0"/>
                    <w:autoSpaceDE w:val="0"/>
                    <w:autoSpaceDN w:val="0"/>
                    <w:rPr>
                      <w:color w:val="auto"/>
                      <w:highlight w:val="none"/>
                    </w:rPr>
                  </w:pPr>
                  <w:r>
                    <w:rPr>
                      <w:rFonts w:hint="eastAsia"/>
                      <w:color w:val="auto"/>
                      <w:highlight w:val="none"/>
                    </w:rPr>
                    <w:t>固体</w:t>
                  </w:r>
                </w:p>
              </w:tc>
              <w:tc>
                <w:tcPr>
                  <w:tcW w:w="1047" w:type="dxa"/>
                  <w:vAlign w:val="center"/>
                </w:tcPr>
                <w:p w14:paraId="2A15D73F">
                  <w:pPr>
                    <w:pStyle w:val="30"/>
                    <w:overflowPunct w:val="0"/>
                    <w:autoSpaceDE w:val="0"/>
                    <w:autoSpaceDN w:val="0"/>
                    <w:rPr>
                      <w:rFonts w:hint="default" w:eastAsia="宋体"/>
                      <w:color w:val="auto"/>
                      <w:highlight w:val="none"/>
                      <w:lang w:val="en-US" w:eastAsia="zh-CN"/>
                    </w:rPr>
                  </w:pPr>
                  <w:r>
                    <w:rPr>
                      <w:rFonts w:hint="eastAsia"/>
                      <w:color w:val="auto"/>
                      <w:highlight w:val="none"/>
                      <w:lang w:val="en-US" w:eastAsia="zh-CN"/>
                    </w:rPr>
                    <w:t>500g/卷</w:t>
                  </w:r>
                </w:p>
              </w:tc>
              <w:tc>
                <w:tcPr>
                  <w:tcW w:w="674" w:type="dxa"/>
                  <w:vAlign w:val="center"/>
                </w:tcPr>
                <w:p w14:paraId="438F256E">
                  <w:pPr>
                    <w:pStyle w:val="30"/>
                    <w:overflowPunct w:val="0"/>
                    <w:autoSpaceDE w:val="0"/>
                    <w:autoSpaceDN w:val="0"/>
                    <w:rPr>
                      <w:rFonts w:hint="eastAsia"/>
                      <w:color w:val="auto"/>
                      <w:highlight w:val="none"/>
                    </w:rPr>
                  </w:pPr>
                  <w:r>
                    <w:rPr>
                      <w:rFonts w:hint="eastAsia"/>
                      <w:color w:val="auto"/>
                      <w:highlight w:val="none"/>
                    </w:rPr>
                    <w:t>外购</w:t>
                  </w:r>
                </w:p>
              </w:tc>
            </w:tr>
          </w:tbl>
          <w:p w14:paraId="1B51502B">
            <w:pPr>
              <w:overflowPunct w:val="0"/>
              <w:autoSpaceDE w:val="0"/>
              <w:autoSpaceDN w:val="0"/>
              <w:ind w:firstLine="480" w:firstLineChars="200"/>
              <w:rPr>
                <w:rFonts w:hint="eastAsia" w:ascii="宋体" w:hAnsi="宋体" w:cs="宋体"/>
                <w:color w:val="auto"/>
                <w:highlight w:val="none"/>
              </w:rPr>
            </w:pPr>
            <w:r>
              <w:rPr>
                <w:rFonts w:ascii="宋体" w:hAnsi="宋体" w:cs="宋体"/>
                <w:color w:val="auto"/>
                <w:highlight w:val="none"/>
              </w:rPr>
              <w:t>项目主要原辅材料成分说明：</w:t>
            </w:r>
          </w:p>
          <w:p w14:paraId="4DA79E8E">
            <w:pPr>
              <w:pStyle w:val="6"/>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rPr>
              <w:t xml:space="preserve"> 汽油理化性质和危险特性一览表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1733"/>
              <w:gridCol w:w="2306"/>
              <w:gridCol w:w="1850"/>
            </w:tblGrid>
            <w:tr w14:paraId="6D65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76169830">
                  <w:pPr>
                    <w:pStyle w:val="30"/>
                    <w:overflowPunct w:val="0"/>
                    <w:autoSpaceDE w:val="0"/>
                    <w:autoSpaceDN w:val="0"/>
                    <w:rPr>
                      <w:color w:val="auto"/>
                      <w:highlight w:val="none"/>
                    </w:rPr>
                  </w:pPr>
                  <w:r>
                    <w:rPr>
                      <w:color w:val="auto"/>
                      <w:highlight w:val="none"/>
                    </w:rPr>
                    <w:t>第一部分</w:t>
                  </w:r>
                  <w:r>
                    <w:rPr>
                      <w:rFonts w:hint="eastAsia"/>
                      <w:color w:val="auto"/>
                      <w:highlight w:val="none"/>
                    </w:rPr>
                    <w:t xml:space="preserve">  </w:t>
                  </w:r>
                  <w:r>
                    <w:rPr>
                      <w:color w:val="auto"/>
                      <w:highlight w:val="none"/>
                    </w:rPr>
                    <w:t>危险性概述</w:t>
                  </w:r>
                </w:p>
              </w:tc>
            </w:tr>
            <w:tr w14:paraId="18F1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5CD8E13">
                  <w:pPr>
                    <w:pStyle w:val="30"/>
                    <w:overflowPunct w:val="0"/>
                    <w:autoSpaceDE w:val="0"/>
                    <w:autoSpaceDN w:val="0"/>
                    <w:rPr>
                      <w:color w:val="auto"/>
                      <w:highlight w:val="none"/>
                    </w:rPr>
                  </w:pPr>
                  <w:r>
                    <w:rPr>
                      <w:rFonts w:hint="eastAsia"/>
                      <w:color w:val="auto"/>
                      <w:highlight w:val="none"/>
                    </w:rPr>
                    <w:t>危险性类别</w:t>
                  </w:r>
                </w:p>
              </w:tc>
              <w:tc>
                <w:tcPr>
                  <w:tcW w:w="340" w:type="dxa"/>
                  <w:vAlign w:val="center"/>
                </w:tcPr>
                <w:p w14:paraId="0E56C205">
                  <w:pPr>
                    <w:pStyle w:val="30"/>
                    <w:overflowPunct w:val="0"/>
                    <w:autoSpaceDE w:val="0"/>
                    <w:autoSpaceDN w:val="0"/>
                    <w:rPr>
                      <w:color w:val="auto"/>
                      <w:highlight w:val="none"/>
                    </w:rPr>
                  </w:pPr>
                  <w:r>
                    <w:rPr>
                      <w:rFonts w:hint="eastAsia"/>
                      <w:color w:val="auto"/>
                      <w:highlight w:val="none"/>
                    </w:rPr>
                    <w:t>第3.1类低闪点易燃液体</w:t>
                  </w:r>
                </w:p>
              </w:tc>
              <w:tc>
                <w:tcPr>
                  <w:tcW w:w="340" w:type="dxa"/>
                  <w:vAlign w:val="center"/>
                </w:tcPr>
                <w:p w14:paraId="1315A74E">
                  <w:pPr>
                    <w:pStyle w:val="30"/>
                    <w:overflowPunct w:val="0"/>
                    <w:autoSpaceDE w:val="0"/>
                    <w:autoSpaceDN w:val="0"/>
                    <w:rPr>
                      <w:color w:val="auto"/>
                      <w:highlight w:val="none"/>
                    </w:rPr>
                  </w:pPr>
                  <w:r>
                    <w:rPr>
                      <w:rFonts w:hint="eastAsia"/>
                      <w:color w:val="auto"/>
                      <w:highlight w:val="none"/>
                    </w:rPr>
                    <w:t>燃爆危险</w:t>
                  </w:r>
                </w:p>
              </w:tc>
              <w:tc>
                <w:tcPr>
                  <w:tcW w:w="340" w:type="dxa"/>
                  <w:vAlign w:val="center"/>
                </w:tcPr>
                <w:p w14:paraId="0A889A02">
                  <w:pPr>
                    <w:pStyle w:val="30"/>
                    <w:overflowPunct w:val="0"/>
                    <w:autoSpaceDE w:val="0"/>
                    <w:autoSpaceDN w:val="0"/>
                    <w:rPr>
                      <w:color w:val="auto"/>
                      <w:highlight w:val="none"/>
                    </w:rPr>
                  </w:pPr>
                  <w:r>
                    <w:rPr>
                      <w:rFonts w:hint="eastAsia"/>
                      <w:color w:val="auto"/>
                      <w:highlight w:val="none"/>
                    </w:rPr>
                    <w:t>易燃</w:t>
                  </w:r>
                </w:p>
              </w:tc>
            </w:tr>
            <w:tr w14:paraId="31E7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E88C574">
                  <w:pPr>
                    <w:pStyle w:val="30"/>
                    <w:overflowPunct w:val="0"/>
                    <w:autoSpaceDE w:val="0"/>
                    <w:autoSpaceDN w:val="0"/>
                    <w:rPr>
                      <w:color w:val="auto"/>
                      <w:highlight w:val="none"/>
                    </w:rPr>
                  </w:pPr>
                  <w:r>
                    <w:rPr>
                      <w:rFonts w:hint="eastAsia"/>
                      <w:color w:val="auto"/>
                      <w:highlight w:val="none"/>
                    </w:rPr>
                    <w:t>侵入途径</w:t>
                  </w:r>
                </w:p>
              </w:tc>
              <w:tc>
                <w:tcPr>
                  <w:tcW w:w="340" w:type="dxa"/>
                  <w:vAlign w:val="center"/>
                </w:tcPr>
                <w:p w14:paraId="27357C8A">
                  <w:pPr>
                    <w:pStyle w:val="30"/>
                    <w:overflowPunct w:val="0"/>
                    <w:autoSpaceDE w:val="0"/>
                    <w:autoSpaceDN w:val="0"/>
                    <w:rPr>
                      <w:color w:val="auto"/>
                      <w:highlight w:val="none"/>
                    </w:rPr>
                  </w:pPr>
                  <w:r>
                    <w:rPr>
                      <w:color w:val="auto"/>
                      <w:highlight w:val="none"/>
                    </w:rPr>
                    <w:t>吸入、食入、经皮肤吸收</w:t>
                  </w:r>
                </w:p>
              </w:tc>
              <w:tc>
                <w:tcPr>
                  <w:tcW w:w="340" w:type="dxa"/>
                  <w:vAlign w:val="center"/>
                </w:tcPr>
                <w:p w14:paraId="5565C589">
                  <w:pPr>
                    <w:pStyle w:val="30"/>
                    <w:overflowPunct w:val="0"/>
                    <w:autoSpaceDE w:val="0"/>
                    <w:autoSpaceDN w:val="0"/>
                    <w:rPr>
                      <w:color w:val="auto"/>
                      <w:highlight w:val="none"/>
                    </w:rPr>
                  </w:pPr>
                  <w:r>
                    <w:rPr>
                      <w:color w:val="auto"/>
                      <w:highlight w:val="none"/>
                    </w:rPr>
                    <w:t>有害燃烧产物</w:t>
                  </w:r>
                </w:p>
              </w:tc>
              <w:tc>
                <w:tcPr>
                  <w:tcW w:w="340" w:type="dxa"/>
                  <w:vAlign w:val="center"/>
                </w:tcPr>
                <w:p w14:paraId="59F7F5DC">
                  <w:pPr>
                    <w:pStyle w:val="30"/>
                    <w:overflowPunct w:val="0"/>
                    <w:autoSpaceDE w:val="0"/>
                    <w:autoSpaceDN w:val="0"/>
                    <w:rPr>
                      <w:color w:val="auto"/>
                      <w:highlight w:val="none"/>
                    </w:rPr>
                  </w:pPr>
                  <w:r>
                    <w:rPr>
                      <w:rFonts w:hint="eastAsia"/>
                      <w:color w:val="auto"/>
                      <w:highlight w:val="none"/>
                      <w:lang w:val="en-US" w:eastAsia="zh-CN"/>
                    </w:rPr>
                    <w:t>一氧化碳、二氧化碳</w:t>
                  </w:r>
                </w:p>
              </w:tc>
            </w:tr>
            <w:tr w14:paraId="7FCE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05941E7">
                  <w:pPr>
                    <w:pStyle w:val="30"/>
                    <w:overflowPunct w:val="0"/>
                    <w:autoSpaceDE w:val="0"/>
                    <w:autoSpaceDN w:val="0"/>
                    <w:rPr>
                      <w:color w:val="auto"/>
                      <w:highlight w:val="none"/>
                    </w:rPr>
                  </w:pPr>
                  <w:r>
                    <w:rPr>
                      <w:color w:val="auto"/>
                      <w:highlight w:val="none"/>
                    </w:rPr>
                    <w:t>健康危害</w:t>
                  </w:r>
                </w:p>
              </w:tc>
              <w:tc>
                <w:tcPr>
                  <w:tcW w:w="340" w:type="dxa"/>
                  <w:gridSpan w:val="3"/>
                  <w:vAlign w:val="center"/>
                </w:tcPr>
                <w:p w14:paraId="53CF471F">
                  <w:pPr>
                    <w:pStyle w:val="30"/>
                    <w:overflowPunct w:val="0"/>
                    <w:autoSpaceDE w:val="0"/>
                    <w:autoSpaceDN w:val="0"/>
                    <w:rPr>
                      <w:color w:val="auto"/>
                      <w:highlight w:val="none"/>
                    </w:rPr>
                  </w:pPr>
                  <w:r>
                    <w:rPr>
                      <w:color w:val="auto"/>
                      <w:highlight w:val="none"/>
                    </w:rPr>
                    <w:t>主要作用于中枢神经系统，急性中毒症状有头晕、头痛、恶心、呕吐、步态不稳、共济失调。高浓度吸入出现中毒性脑病。极高浓度吸入引起意识突然丧失，反射性呼吸停止及化学性肺炎。可致角膜溃疡、穿孔</w:t>
                  </w:r>
                  <w:r>
                    <w:rPr>
                      <w:rFonts w:hint="eastAsia"/>
                      <w:color w:val="auto"/>
                      <w:highlight w:val="none"/>
                      <w:lang w:eastAsia="zh-CN"/>
                    </w:rPr>
                    <w:t>，甚至</w:t>
                  </w:r>
                  <w:r>
                    <w:rPr>
                      <w:color w:val="auto"/>
                      <w:highlight w:val="none"/>
                    </w:rPr>
                    <w:t>失明。皮肤接触致急性接触性皮炎或过敏性皮炎。急性经口中引起急性胃炎，重者出现类似急性吸入中毒症状。慢性中毒：神经衰弱综合症，周围神经病，皮肤损害。</w:t>
                  </w:r>
                </w:p>
              </w:tc>
            </w:tr>
            <w:tr w14:paraId="2008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957400E">
                  <w:pPr>
                    <w:pStyle w:val="30"/>
                    <w:overflowPunct w:val="0"/>
                    <w:autoSpaceDE w:val="0"/>
                    <w:autoSpaceDN w:val="0"/>
                    <w:rPr>
                      <w:color w:val="auto"/>
                      <w:highlight w:val="none"/>
                    </w:rPr>
                  </w:pPr>
                  <w:r>
                    <w:rPr>
                      <w:color w:val="auto"/>
                      <w:highlight w:val="none"/>
                    </w:rPr>
                    <w:t>环境危害</w:t>
                  </w:r>
                </w:p>
              </w:tc>
              <w:tc>
                <w:tcPr>
                  <w:tcW w:w="340" w:type="dxa"/>
                  <w:gridSpan w:val="3"/>
                  <w:vAlign w:val="center"/>
                </w:tcPr>
                <w:p w14:paraId="64B30FB4">
                  <w:pPr>
                    <w:pStyle w:val="30"/>
                    <w:overflowPunct w:val="0"/>
                    <w:autoSpaceDE w:val="0"/>
                    <w:autoSpaceDN w:val="0"/>
                    <w:rPr>
                      <w:color w:val="auto"/>
                      <w:highlight w:val="none"/>
                    </w:rPr>
                  </w:pPr>
                  <w:r>
                    <w:rPr>
                      <w:color w:val="auto"/>
                      <w:highlight w:val="none"/>
                    </w:rPr>
                    <w:t>该物质对环境有危害，应特别注意对地表水、土壤、大气和饮用水的污染。</w:t>
                  </w:r>
                </w:p>
              </w:tc>
            </w:tr>
            <w:tr w14:paraId="5D4B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2B9F12D5">
                  <w:pPr>
                    <w:pStyle w:val="30"/>
                    <w:overflowPunct w:val="0"/>
                    <w:autoSpaceDE w:val="0"/>
                    <w:autoSpaceDN w:val="0"/>
                    <w:rPr>
                      <w:color w:val="auto"/>
                      <w:highlight w:val="none"/>
                    </w:rPr>
                  </w:pPr>
                  <w:r>
                    <w:rPr>
                      <w:rFonts w:hint="eastAsia"/>
                      <w:color w:val="auto"/>
                      <w:highlight w:val="none"/>
                    </w:rPr>
                    <w:t>第二部分  理化特性</w:t>
                  </w:r>
                </w:p>
              </w:tc>
            </w:tr>
            <w:tr w14:paraId="54F9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38FE18C">
                  <w:pPr>
                    <w:pStyle w:val="30"/>
                    <w:overflowPunct w:val="0"/>
                    <w:autoSpaceDE w:val="0"/>
                    <w:autoSpaceDN w:val="0"/>
                    <w:rPr>
                      <w:color w:val="auto"/>
                      <w:highlight w:val="none"/>
                    </w:rPr>
                  </w:pPr>
                  <w:r>
                    <w:rPr>
                      <w:color w:val="auto"/>
                      <w:highlight w:val="none"/>
                    </w:rPr>
                    <w:t>外观及性状</w:t>
                  </w:r>
                </w:p>
              </w:tc>
              <w:tc>
                <w:tcPr>
                  <w:tcW w:w="340" w:type="dxa"/>
                  <w:gridSpan w:val="3"/>
                  <w:vAlign w:val="center"/>
                </w:tcPr>
                <w:p w14:paraId="639530C9">
                  <w:pPr>
                    <w:pStyle w:val="30"/>
                    <w:overflowPunct w:val="0"/>
                    <w:autoSpaceDE w:val="0"/>
                    <w:autoSpaceDN w:val="0"/>
                    <w:rPr>
                      <w:color w:val="auto"/>
                      <w:highlight w:val="none"/>
                    </w:rPr>
                  </w:pPr>
                  <w:r>
                    <w:rPr>
                      <w:color w:val="auto"/>
                      <w:highlight w:val="none"/>
                    </w:rPr>
                    <w:t>无色或淡黄色易挥发液体，具有特殊臭味。</w:t>
                  </w:r>
                </w:p>
              </w:tc>
            </w:tr>
            <w:tr w14:paraId="48A2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0110196">
                  <w:pPr>
                    <w:pStyle w:val="30"/>
                    <w:overflowPunct w:val="0"/>
                    <w:autoSpaceDE w:val="0"/>
                    <w:autoSpaceDN w:val="0"/>
                    <w:rPr>
                      <w:color w:val="auto"/>
                      <w:highlight w:val="none"/>
                    </w:rPr>
                  </w:pPr>
                  <w:r>
                    <w:rPr>
                      <w:color w:val="auto"/>
                      <w:highlight w:val="none"/>
                    </w:rPr>
                    <w:t>熔点（℃）</w:t>
                  </w:r>
                </w:p>
              </w:tc>
              <w:tc>
                <w:tcPr>
                  <w:tcW w:w="340" w:type="dxa"/>
                  <w:vAlign w:val="center"/>
                </w:tcPr>
                <w:p w14:paraId="3FA69C09">
                  <w:pPr>
                    <w:pStyle w:val="30"/>
                    <w:overflowPunct w:val="0"/>
                    <w:autoSpaceDE w:val="0"/>
                    <w:autoSpaceDN w:val="0"/>
                    <w:rPr>
                      <w:color w:val="auto"/>
                      <w:highlight w:val="none"/>
                    </w:rPr>
                  </w:pPr>
                  <w:r>
                    <w:rPr>
                      <w:color w:val="auto"/>
                      <w:highlight w:val="none"/>
                    </w:rPr>
                    <w:t>&lt;-60</w:t>
                  </w:r>
                </w:p>
              </w:tc>
              <w:tc>
                <w:tcPr>
                  <w:tcW w:w="340" w:type="dxa"/>
                  <w:vAlign w:val="center"/>
                </w:tcPr>
                <w:p w14:paraId="6B92072A">
                  <w:pPr>
                    <w:pStyle w:val="30"/>
                    <w:overflowPunct w:val="0"/>
                    <w:autoSpaceDE w:val="0"/>
                    <w:autoSpaceDN w:val="0"/>
                    <w:rPr>
                      <w:color w:val="auto"/>
                      <w:highlight w:val="none"/>
                    </w:rPr>
                  </w:pPr>
                  <w:r>
                    <w:rPr>
                      <w:color w:val="auto"/>
                      <w:highlight w:val="none"/>
                    </w:rPr>
                    <w:t>相对密度（水＝1）</w:t>
                  </w:r>
                </w:p>
              </w:tc>
              <w:tc>
                <w:tcPr>
                  <w:tcW w:w="340" w:type="dxa"/>
                  <w:vAlign w:val="center"/>
                </w:tcPr>
                <w:p w14:paraId="47F41E2E">
                  <w:pPr>
                    <w:pStyle w:val="30"/>
                    <w:overflowPunct w:val="0"/>
                    <w:autoSpaceDE w:val="0"/>
                    <w:autoSpaceDN w:val="0"/>
                    <w:rPr>
                      <w:color w:val="auto"/>
                      <w:highlight w:val="none"/>
                    </w:rPr>
                  </w:pPr>
                  <w:r>
                    <w:rPr>
                      <w:color w:val="auto"/>
                      <w:highlight w:val="none"/>
                    </w:rPr>
                    <w:t>0.70～0.79</w:t>
                  </w:r>
                </w:p>
              </w:tc>
            </w:tr>
            <w:tr w14:paraId="605F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9D70ABA">
                  <w:pPr>
                    <w:pStyle w:val="30"/>
                    <w:overflowPunct w:val="0"/>
                    <w:autoSpaceDE w:val="0"/>
                    <w:autoSpaceDN w:val="0"/>
                    <w:rPr>
                      <w:color w:val="auto"/>
                      <w:highlight w:val="none"/>
                    </w:rPr>
                  </w:pPr>
                  <w:r>
                    <w:rPr>
                      <w:color w:val="auto"/>
                      <w:highlight w:val="none"/>
                    </w:rPr>
                    <w:t>闪点（℃）</w:t>
                  </w:r>
                </w:p>
              </w:tc>
              <w:tc>
                <w:tcPr>
                  <w:tcW w:w="340" w:type="dxa"/>
                  <w:vAlign w:val="center"/>
                </w:tcPr>
                <w:p w14:paraId="00140C51">
                  <w:pPr>
                    <w:pStyle w:val="30"/>
                    <w:overflowPunct w:val="0"/>
                    <w:autoSpaceDE w:val="0"/>
                    <w:autoSpaceDN w:val="0"/>
                    <w:rPr>
                      <w:color w:val="auto"/>
                      <w:highlight w:val="none"/>
                    </w:rPr>
                  </w:pPr>
                  <w:r>
                    <w:rPr>
                      <w:color w:val="auto"/>
                      <w:highlight w:val="none"/>
                    </w:rPr>
                    <w:t>-50</w:t>
                  </w:r>
                </w:p>
              </w:tc>
              <w:tc>
                <w:tcPr>
                  <w:tcW w:w="340" w:type="dxa"/>
                  <w:vAlign w:val="center"/>
                </w:tcPr>
                <w:p w14:paraId="68745855">
                  <w:pPr>
                    <w:pStyle w:val="30"/>
                    <w:overflowPunct w:val="0"/>
                    <w:autoSpaceDE w:val="0"/>
                    <w:autoSpaceDN w:val="0"/>
                    <w:rPr>
                      <w:color w:val="auto"/>
                      <w:highlight w:val="none"/>
                    </w:rPr>
                  </w:pPr>
                  <w:r>
                    <w:rPr>
                      <w:color w:val="auto"/>
                      <w:highlight w:val="none"/>
                    </w:rPr>
                    <w:t>相对密度（空气=1）</w:t>
                  </w:r>
                </w:p>
              </w:tc>
              <w:tc>
                <w:tcPr>
                  <w:tcW w:w="340" w:type="dxa"/>
                  <w:vAlign w:val="center"/>
                </w:tcPr>
                <w:p w14:paraId="67538A87">
                  <w:pPr>
                    <w:pStyle w:val="30"/>
                    <w:overflowPunct w:val="0"/>
                    <w:autoSpaceDE w:val="0"/>
                    <w:autoSpaceDN w:val="0"/>
                    <w:rPr>
                      <w:color w:val="auto"/>
                      <w:highlight w:val="none"/>
                    </w:rPr>
                  </w:pPr>
                  <w:r>
                    <w:rPr>
                      <w:color w:val="auto"/>
                      <w:highlight w:val="none"/>
                    </w:rPr>
                    <w:t>3.5</w:t>
                  </w:r>
                </w:p>
              </w:tc>
            </w:tr>
            <w:tr w14:paraId="6810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AE9EEF9">
                  <w:pPr>
                    <w:pStyle w:val="30"/>
                    <w:overflowPunct w:val="0"/>
                    <w:autoSpaceDE w:val="0"/>
                    <w:autoSpaceDN w:val="0"/>
                    <w:rPr>
                      <w:color w:val="auto"/>
                      <w:highlight w:val="none"/>
                    </w:rPr>
                  </w:pPr>
                  <w:r>
                    <w:rPr>
                      <w:color w:val="auto"/>
                      <w:highlight w:val="none"/>
                    </w:rPr>
                    <w:t>引燃温度（℃）</w:t>
                  </w:r>
                </w:p>
              </w:tc>
              <w:tc>
                <w:tcPr>
                  <w:tcW w:w="340" w:type="dxa"/>
                  <w:vAlign w:val="center"/>
                </w:tcPr>
                <w:p w14:paraId="0DE955AE">
                  <w:pPr>
                    <w:pStyle w:val="30"/>
                    <w:overflowPunct w:val="0"/>
                    <w:autoSpaceDE w:val="0"/>
                    <w:autoSpaceDN w:val="0"/>
                    <w:rPr>
                      <w:color w:val="auto"/>
                      <w:highlight w:val="none"/>
                    </w:rPr>
                  </w:pPr>
                  <w:r>
                    <w:rPr>
                      <w:color w:val="auto"/>
                      <w:highlight w:val="none"/>
                    </w:rPr>
                    <w:t>415～530</w:t>
                  </w:r>
                </w:p>
              </w:tc>
              <w:tc>
                <w:tcPr>
                  <w:tcW w:w="340" w:type="dxa"/>
                  <w:vAlign w:val="center"/>
                </w:tcPr>
                <w:p w14:paraId="4EDE3F88">
                  <w:pPr>
                    <w:pStyle w:val="30"/>
                    <w:overflowPunct w:val="0"/>
                    <w:autoSpaceDE w:val="0"/>
                    <w:autoSpaceDN w:val="0"/>
                    <w:rPr>
                      <w:color w:val="auto"/>
                      <w:highlight w:val="none"/>
                    </w:rPr>
                  </w:pPr>
                  <w:r>
                    <w:rPr>
                      <w:color w:val="auto"/>
                      <w:highlight w:val="none"/>
                    </w:rPr>
                    <w:t>爆炸上限％（V/V）</w:t>
                  </w:r>
                </w:p>
              </w:tc>
              <w:tc>
                <w:tcPr>
                  <w:tcW w:w="340" w:type="dxa"/>
                  <w:vAlign w:val="center"/>
                </w:tcPr>
                <w:p w14:paraId="62E0BF04">
                  <w:pPr>
                    <w:pStyle w:val="30"/>
                    <w:overflowPunct w:val="0"/>
                    <w:autoSpaceDE w:val="0"/>
                    <w:autoSpaceDN w:val="0"/>
                    <w:rPr>
                      <w:color w:val="auto"/>
                      <w:highlight w:val="none"/>
                    </w:rPr>
                  </w:pPr>
                  <w:r>
                    <w:rPr>
                      <w:rFonts w:hint="eastAsia"/>
                      <w:color w:val="auto"/>
                      <w:highlight w:val="none"/>
                    </w:rPr>
                    <w:t>6.0</w:t>
                  </w:r>
                </w:p>
              </w:tc>
            </w:tr>
            <w:tr w14:paraId="4AA9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3A7E243">
                  <w:pPr>
                    <w:pStyle w:val="30"/>
                    <w:overflowPunct w:val="0"/>
                    <w:autoSpaceDE w:val="0"/>
                    <w:autoSpaceDN w:val="0"/>
                    <w:rPr>
                      <w:color w:val="auto"/>
                      <w:highlight w:val="none"/>
                    </w:rPr>
                  </w:pPr>
                  <w:r>
                    <w:rPr>
                      <w:color w:val="auto"/>
                      <w:highlight w:val="none"/>
                    </w:rPr>
                    <w:t>沸点（℃）</w:t>
                  </w:r>
                </w:p>
              </w:tc>
              <w:tc>
                <w:tcPr>
                  <w:tcW w:w="340" w:type="dxa"/>
                  <w:vAlign w:val="center"/>
                </w:tcPr>
                <w:p w14:paraId="32CFD504">
                  <w:pPr>
                    <w:pStyle w:val="30"/>
                    <w:overflowPunct w:val="0"/>
                    <w:autoSpaceDE w:val="0"/>
                    <w:autoSpaceDN w:val="0"/>
                    <w:rPr>
                      <w:color w:val="auto"/>
                      <w:highlight w:val="none"/>
                    </w:rPr>
                  </w:pPr>
                  <w:r>
                    <w:rPr>
                      <w:color w:val="auto"/>
                      <w:highlight w:val="none"/>
                    </w:rPr>
                    <w:t>40～200</w:t>
                  </w:r>
                </w:p>
              </w:tc>
              <w:tc>
                <w:tcPr>
                  <w:tcW w:w="340" w:type="dxa"/>
                  <w:vAlign w:val="center"/>
                </w:tcPr>
                <w:p w14:paraId="27AF34FA">
                  <w:pPr>
                    <w:pStyle w:val="30"/>
                    <w:overflowPunct w:val="0"/>
                    <w:autoSpaceDE w:val="0"/>
                    <w:autoSpaceDN w:val="0"/>
                    <w:rPr>
                      <w:color w:val="auto"/>
                      <w:highlight w:val="none"/>
                    </w:rPr>
                  </w:pPr>
                  <w:r>
                    <w:rPr>
                      <w:color w:val="auto"/>
                      <w:highlight w:val="none"/>
                    </w:rPr>
                    <w:t>爆炸下限％（V/V）</w:t>
                  </w:r>
                </w:p>
              </w:tc>
              <w:tc>
                <w:tcPr>
                  <w:tcW w:w="340" w:type="dxa"/>
                  <w:vAlign w:val="center"/>
                </w:tcPr>
                <w:p w14:paraId="2102D579">
                  <w:pPr>
                    <w:pStyle w:val="30"/>
                    <w:overflowPunct w:val="0"/>
                    <w:autoSpaceDE w:val="0"/>
                    <w:autoSpaceDN w:val="0"/>
                    <w:rPr>
                      <w:color w:val="auto"/>
                      <w:highlight w:val="none"/>
                    </w:rPr>
                  </w:pPr>
                  <w:r>
                    <w:rPr>
                      <w:rFonts w:hint="eastAsia"/>
                      <w:color w:val="auto"/>
                      <w:highlight w:val="none"/>
                    </w:rPr>
                    <w:t>1.3</w:t>
                  </w:r>
                </w:p>
              </w:tc>
            </w:tr>
            <w:tr w14:paraId="2F49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F4B7AF3">
                  <w:pPr>
                    <w:pStyle w:val="30"/>
                    <w:overflowPunct w:val="0"/>
                    <w:autoSpaceDE w:val="0"/>
                    <w:autoSpaceDN w:val="0"/>
                    <w:rPr>
                      <w:color w:val="auto"/>
                      <w:highlight w:val="none"/>
                    </w:rPr>
                  </w:pPr>
                  <w:r>
                    <w:rPr>
                      <w:color w:val="auto"/>
                      <w:highlight w:val="none"/>
                    </w:rPr>
                    <w:t>溶解性</w:t>
                  </w:r>
                </w:p>
              </w:tc>
              <w:tc>
                <w:tcPr>
                  <w:tcW w:w="340" w:type="dxa"/>
                  <w:gridSpan w:val="3"/>
                  <w:vAlign w:val="center"/>
                </w:tcPr>
                <w:p w14:paraId="131BD189">
                  <w:pPr>
                    <w:pStyle w:val="30"/>
                    <w:overflowPunct w:val="0"/>
                    <w:autoSpaceDE w:val="0"/>
                    <w:autoSpaceDN w:val="0"/>
                    <w:rPr>
                      <w:color w:val="auto"/>
                      <w:highlight w:val="none"/>
                    </w:rPr>
                  </w:pPr>
                  <w:r>
                    <w:rPr>
                      <w:color w:val="auto"/>
                      <w:highlight w:val="none"/>
                    </w:rPr>
                    <w:t>不溶于水、易溶于苯、二硫化碳、醇、易溶于脂肪。</w:t>
                  </w:r>
                </w:p>
              </w:tc>
            </w:tr>
            <w:tr w14:paraId="1C7B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D76CEB5">
                  <w:pPr>
                    <w:pStyle w:val="30"/>
                    <w:overflowPunct w:val="0"/>
                    <w:autoSpaceDE w:val="0"/>
                    <w:autoSpaceDN w:val="0"/>
                    <w:rPr>
                      <w:color w:val="auto"/>
                      <w:highlight w:val="none"/>
                    </w:rPr>
                  </w:pPr>
                  <w:r>
                    <w:rPr>
                      <w:color w:val="auto"/>
                      <w:highlight w:val="none"/>
                    </w:rPr>
                    <w:t>主要用途</w:t>
                  </w:r>
                </w:p>
              </w:tc>
              <w:tc>
                <w:tcPr>
                  <w:tcW w:w="340" w:type="dxa"/>
                  <w:gridSpan w:val="3"/>
                  <w:vAlign w:val="center"/>
                </w:tcPr>
                <w:p w14:paraId="54A285DB">
                  <w:pPr>
                    <w:pStyle w:val="30"/>
                    <w:overflowPunct w:val="0"/>
                    <w:autoSpaceDE w:val="0"/>
                    <w:autoSpaceDN w:val="0"/>
                    <w:rPr>
                      <w:color w:val="auto"/>
                      <w:highlight w:val="none"/>
                    </w:rPr>
                  </w:pPr>
                  <w:r>
                    <w:rPr>
                      <w:color w:val="auto"/>
                      <w:highlight w:val="none"/>
                    </w:rPr>
                    <w:t>主要用作汽油机的燃料，用于橡胶、制鞋、印刷、制革等行业。</w:t>
                  </w:r>
                </w:p>
              </w:tc>
            </w:tr>
            <w:tr w14:paraId="14AC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029D54C5">
                  <w:pPr>
                    <w:pStyle w:val="30"/>
                    <w:overflowPunct w:val="0"/>
                    <w:autoSpaceDE w:val="0"/>
                    <w:autoSpaceDN w:val="0"/>
                    <w:rPr>
                      <w:color w:val="auto"/>
                      <w:highlight w:val="none"/>
                    </w:rPr>
                  </w:pPr>
                  <w:r>
                    <w:rPr>
                      <w:rFonts w:hint="eastAsia"/>
                      <w:color w:val="auto"/>
                      <w:highlight w:val="none"/>
                    </w:rPr>
                    <w:t xml:space="preserve">第三部分  </w:t>
                  </w:r>
                  <w:r>
                    <w:rPr>
                      <w:color w:val="auto"/>
                      <w:highlight w:val="none"/>
                    </w:rPr>
                    <w:t>稳定性及化学活性</w:t>
                  </w:r>
                </w:p>
              </w:tc>
            </w:tr>
            <w:tr w14:paraId="7A74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6040BE2">
                  <w:pPr>
                    <w:pStyle w:val="30"/>
                    <w:overflowPunct w:val="0"/>
                    <w:autoSpaceDE w:val="0"/>
                    <w:autoSpaceDN w:val="0"/>
                    <w:rPr>
                      <w:color w:val="auto"/>
                      <w:highlight w:val="none"/>
                    </w:rPr>
                  </w:pPr>
                  <w:r>
                    <w:rPr>
                      <w:color w:val="auto"/>
                      <w:highlight w:val="none"/>
                    </w:rPr>
                    <w:t>稳定性</w:t>
                  </w:r>
                </w:p>
              </w:tc>
              <w:tc>
                <w:tcPr>
                  <w:tcW w:w="340" w:type="dxa"/>
                  <w:vAlign w:val="center"/>
                </w:tcPr>
                <w:p w14:paraId="5148505A">
                  <w:pPr>
                    <w:pStyle w:val="30"/>
                    <w:overflowPunct w:val="0"/>
                    <w:autoSpaceDE w:val="0"/>
                    <w:autoSpaceDN w:val="0"/>
                    <w:rPr>
                      <w:color w:val="auto"/>
                      <w:highlight w:val="none"/>
                    </w:rPr>
                  </w:pPr>
                  <w:r>
                    <w:rPr>
                      <w:color w:val="auto"/>
                      <w:highlight w:val="none"/>
                    </w:rPr>
                    <w:t>稳定</w:t>
                  </w:r>
                </w:p>
              </w:tc>
              <w:tc>
                <w:tcPr>
                  <w:tcW w:w="340" w:type="dxa"/>
                  <w:vAlign w:val="center"/>
                </w:tcPr>
                <w:p w14:paraId="0D133949">
                  <w:pPr>
                    <w:pStyle w:val="30"/>
                    <w:overflowPunct w:val="0"/>
                    <w:autoSpaceDE w:val="0"/>
                    <w:autoSpaceDN w:val="0"/>
                    <w:rPr>
                      <w:color w:val="auto"/>
                      <w:highlight w:val="none"/>
                    </w:rPr>
                  </w:pPr>
                  <w:r>
                    <w:rPr>
                      <w:color w:val="auto"/>
                      <w:highlight w:val="none"/>
                    </w:rPr>
                    <w:t>避免接触的条件</w:t>
                  </w:r>
                </w:p>
              </w:tc>
              <w:tc>
                <w:tcPr>
                  <w:tcW w:w="340" w:type="dxa"/>
                  <w:vAlign w:val="center"/>
                </w:tcPr>
                <w:p w14:paraId="1237395F">
                  <w:pPr>
                    <w:pStyle w:val="30"/>
                    <w:overflowPunct w:val="0"/>
                    <w:autoSpaceDE w:val="0"/>
                    <w:autoSpaceDN w:val="0"/>
                    <w:rPr>
                      <w:color w:val="auto"/>
                      <w:highlight w:val="none"/>
                    </w:rPr>
                  </w:pPr>
                  <w:r>
                    <w:rPr>
                      <w:color w:val="auto"/>
                      <w:highlight w:val="none"/>
                    </w:rPr>
                    <w:t>明火、高热</w:t>
                  </w:r>
                </w:p>
              </w:tc>
            </w:tr>
            <w:tr w14:paraId="3CDB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8C2630A">
                  <w:pPr>
                    <w:pStyle w:val="30"/>
                    <w:overflowPunct w:val="0"/>
                    <w:autoSpaceDE w:val="0"/>
                    <w:autoSpaceDN w:val="0"/>
                    <w:rPr>
                      <w:color w:val="auto"/>
                      <w:highlight w:val="none"/>
                    </w:rPr>
                  </w:pPr>
                  <w:r>
                    <w:rPr>
                      <w:color w:val="auto"/>
                      <w:highlight w:val="none"/>
                    </w:rPr>
                    <w:t>禁配物</w:t>
                  </w:r>
                </w:p>
              </w:tc>
              <w:tc>
                <w:tcPr>
                  <w:tcW w:w="340" w:type="dxa"/>
                  <w:vAlign w:val="center"/>
                </w:tcPr>
                <w:p w14:paraId="1CDA3383">
                  <w:pPr>
                    <w:pStyle w:val="30"/>
                    <w:overflowPunct w:val="0"/>
                    <w:autoSpaceDE w:val="0"/>
                    <w:autoSpaceDN w:val="0"/>
                    <w:rPr>
                      <w:color w:val="auto"/>
                      <w:highlight w:val="none"/>
                    </w:rPr>
                  </w:pPr>
                  <w:r>
                    <w:rPr>
                      <w:color w:val="auto"/>
                      <w:highlight w:val="none"/>
                    </w:rPr>
                    <w:t>强氧化剂</w:t>
                  </w:r>
                </w:p>
              </w:tc>
              <w:tc>
                <w:tcPr>
                  <w:tcW w:w="340" w:type="dxa"/>
                  <w:vAlign w:val="center"/>
                </w:tcPr>
                <w:p w14:paraId="3087F15E">
                  <w:pPr>
                    <w:pStyle w:val="30"/>
                    <w:overflowPunct w:val="0"/>
                    <w:autoSpaceDE w:val="0"/>
                    <w:autoSpaceDN w:val="0"/>
                    <w:rPr>
                      <w:color w:val="auto"/>
                      <w:highlight w:val="none"/>
                    </w:rPr>
                  </w:pPr>
                  <w:r>
                    <w:rPr>
                      <w:color w:val="auto"/>
                      <w:highlight w:val="none"/>
                    </w:rPr>
                    <w:t>聚合危害</w:t>
                  </w:r>
                </w:p>
              </w:tc>
              <w:tc>
                <w:tcPr>
                  <w:tcW w:w="340" w:type="dxa"/>
                  <w:vAlign w:val="center"/>
                </w:tcPr>
                <w:p w14:paraId="02F2D06E">
                  <w:pPr>
                    <w:pStyle w:val="30"/>
                    <w:overflowPunct w:val="0"/>
                    <w:autoSpaceDE w:val="0"/>
                    <w:autoSpaceDN w:val="0"/>
                    <w:rPr>
                      <w:color w:val="auto"/>
                      <w:highlight w:val="none"/>
                    </w:rPr>
                  </w:pPr>
                  <w:r>
                    <w:rPr>
                      <w:color w:val="auto"/>
                      <w:highlight w:val="none"/>
                    </w:rPr>
                    <w:t>不聚合</w:t>
                  </w:r>
                </w:p>
              </w:tc>
            </w:tr>
            <w:tr w14:paraId="6A3F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51E1684">
                  <w:pPr>
                    <w:pStyle w:val="30"/>
                    <w:overflowPunct w:val="0"/>
                    <w:autoSpaceDE w:val="0"/>
                    <w:autoSpaceDN w:val="0"/>
                    <w:rPr>
                      <w:color w:val="auto"/>
                      <w:highlight w:val="none"/>
                    </w:rPr>
                  </w:pPr>
                  <w:r>
                    <w:rPr>
                      <w:color w:val="auto"/>
                      <w:highlight w:val="none"/>
                    </w:rPr>
                    <w:t>分解产物</w:t>
                  </w:r>
                </w:p>
              </w:tc>
              <w:tc>
                <w:tcPr>
                  <w:tcW w:w="340" w:type="dxa"/>
                  <w:gridSpan w:val="3"/>
                  <w:vAlign w:val="center"/>
                </w:tcPr>
                <w:p w14:paraId="34B412D2">
                  <w:pPr>
                    <w:pStyle w:val="30"/>
                    <w:overflowPunct w:val="0"/>
                    <w:autoSpaceDE w:val="0"/>
                    <w:autoSpaceDN w:val="0"/>
                    <w:rPr>
                      <w:color w:val="auto"/>
                      <w:highlight w:val="none"/>
                    </w:rPr>
                  </w:pPr>
                  <w:r>
                    <w:rPr>
                      <w:color w:val="auto"/>
                      <w:highlight w:val="none"/>
                    </w:rPr>
                    <w:t>一氧化碳、二氧化碳。</w:t>
                  </w:r>
                </w:p>
              </w:tc>
            </w:tr>
            <w:tr w14:paraId="6564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1D95953F">
                  <w:pPr>
                    <w:pStyle w:val="30"/>
                    <w:overflowPunct w:val="0"/>
                    <w:autoSpaceDE w:val="0"/>
                    <w:autoSpaceDN w:val="0"/>
                    <w:rPr>
                      <w:color w:val="auto"/>
                      <w:highlight w:val="none"/>
                    </w:rPr>
                  </w:pPr>
                  <w:r>
                    <w:rPr>
                      <w:rFonts w:hint="eastAsia"/>
                      <w:color w:val="auto"/>
                      <w:highlight w:val="none"/>
                    </w:rPr>
                    <w:t xml:space="preserve">第四部分  </w:t>
                  </w:r>
                  <w:r>
                    <w:rPr>
                      <w:color w:val="auto"/>
                      <w:highlight w:val="none"/>
                    </w:rPr>
                    <w:t>毒理学资料</w:t>
                  </w:r>
                </w:p>
              </w:tc>
            </w:tr>
            <w:tr w14:paraId="1E40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5952DE3">
                  <w:pPr>
                    <w:pStyle w:val="30"/>
                    <w:overflowPunct w:val="0"/>
                    <w:autoSpaceDE w:val="0"/>
                    <w:autoSpaceDN w:val="0"/>
                    <w:rPr>
                      <w:color w:val="auto"/>
                      <w:highlight w:val="none"/>
                    </w:rPr>
                  </w:pPr>
                  <w:r>
                    <w:rPr>
                      <w:color w:val="auto"/>
                      <w:highlight w:val="none"/>
                    </w:rPr>
                    <w:t>急性毒性</w:t>
                  </w:r>
                </w:p>
              </w:tc>
              <w:tc>
                <w:tcPr>
                  <w:tcW w:w="340" w:type="dxa"/>
                  <w:gridSpan w:val="3"/>
                  <w:vAlign w:val="center"/>
                </w:tcPr>
                <w:p w14:paraId="24137319">
                  <w:pPr>
                    <w:pStyle w:val="30"/>
                    <w:overflowPunct w:val="0"/>
                    <w:autoSpaceDE w:val="0"/>
                    <w:autoSpaceDN w:val="0"/>
                    <w:rPr>
                      <w:color w:val="auto"/>
                      <w:highlight w:val="none"/>
                    </w:rPr>
                  </w:pPr>
                  <w:r>
                    <w:rPr>
                      <w:color w:val="auto"/>
                      <w:highlight w:val="none"/>
                    </w:rPr>
                    <w:t>LD</w:t>
                  </w:r>
                  <w:r>
                    <w:rPr>
                      <w:color w:val="auto"/>
                      <w:highlight w:val="none"/>
                      <w:vertAlign w:val="subscript"/>
                    </w:rPr>
                    <w:t>50</w:t>
                  </w:r>
                  <w:r>
                    <w:rPr>
                      <w:color w:val="auto"/>
                      <w:highlight w:val="none"/>
                    </w:rPr>
                    <w:t xml:space="preserve"> 67000mg/kg（小鼠经口），2小时（120号溶剂汽油）</w:t>
                  </w:r>
                </w:p>
                <w:p w14:paraId="731E6C7E">
                  <w:pPr>
                    <w:pStyle w:val="30"/>
                    <w:overflowPunct w:val="0"/>
                    <w:autoSpaceDE w:val="0"/>
                    <w:autoSpaceDN w:val="0"/>
                    <w:rPr>
                      <w:color w:val="auto"/>
                      <w:highlight w:val="none"/>
                    </w:rPr>
                  </w:pPr>
                  <w:r>
                    <w:rPr>
                      <w:color w:val="auto"/>
                      <w:highlight w:val="none"/>
                    </w:rPr>
                    <w:t>LC</w:t>
                  </w:r>
                  <w:r>
                    <w:rPr>
                      <w:color w:val="auto"/>
                      <w:highlight w:val="none"/>
                      <w:vertAlign w:val="subscript"/>
                    </w:rPr>
                    <w:t>50</w:t>
                  </w:r>
                  <w:r>
                    <w:rPr>
                      <w:color w:val="auto"/>
                      <w:highlight w:val="none"/>
                    </w:rPr>
                    <w:t xml:space="preserve"> 103000mg/m</w:t>
                  </w:r>
                  <w:r>
                    <w:rPr>
                      <w:color w:val="auto"/>
                      <w:highlight w:val="none"/>
                      <w:vertAlign w:val="superscript"/>
                    </w:rPr>
                    <w:t>3</w:t>
                  </w:r>
                  <w:r>
                    <w:rPr>
                      <w:color w:val="auto"/>
                      <w:highlight w:val="none"/>
                    </w:rPr>
                    <w:t>小鼠，2小时（120号溶剂汽油）</w:t>
                  </w:r>
                </w:p>
              </w:tc>
            </w:tr>
            <w:tr w14:paraId="4B52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33254A9">
                  <w:pPr>
                    <w:pStyle w:val="30"/>
                    <w:overflowPunct w:val="0"/>
                    <w:autoSpaceDE w:val="0"/>
                    <w:autoSpaceDN w:val="0"/>
                    <w:rPr>
                      <w:color w:val="auto"/>
                      <w:highlight w:val="none"/>
                    </w:rPr>
                  </w:pPr>
                  <w:r>
                    <w:rPr>
                      <w:color w:val="auto"/>
                      <w:highlight w:val="none"/>
                    </w:rPr>
                    <w:t>急性中毒</w:t>
                  </w:r>
                </w:p>
              </w:tc>
              <w:tc>
                <w:tcPr>
                  <w:tcW w:w="340" w:type="dxa"/>
                  <w:gridSpan w:val="3"/>
                  <w:vAlign w:val="center"/>
                </w:tcPr>
                <w:p w14:paraId="02802C36">
                  <w:pPr>
                    <w:pStyle w:val="30"/>
                    <w:overflowPunct w:val="0"/>
                    <w:autoSpaceDE w:val="0"/>
                    <w:autoSpaceDN w:val="0"/>
                    <w:rPr>
                      <w:color w:val="auto"/>
                      <w:highlight w:val="none"/>
                    </w:rPr>
                  </w:pPr>
                  <w:r>
                    <w:rPr>
                      <w:color w:val="auto"/>
                      <w:highlight w:val="none"/>
                    </w:rPr>
                    <w:t>高浓度吸入出现中毒性脑病。极高浓度吸入引起意识突然丧失、反射性呼吸停止和化学性肺炎。可致角膜溃疡、穿孔，甚至失明。皮肤接触致急性接触性皮炎或过敏性皮炎。经口中毒引起急性胃肠炎；重者出现，似急性吸入中毒症状。</w:t>
                  </w:r>
                </w:p>
              </w:tc>
            </w:tr>
            <w:tr w14:paraId="5914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3714253">
                  <w:pPr>
                    <w:pStyle w:val="30"/>
                    <w:overflowPunct w:val="0"/>
                    <w:autoSpaceDE w:val="0"/>
                    <w:autoSpaceDN w:val="0"/>
                    <w:rPr>
                      <w:color w:val="auto"/>
                      <w:highlight w:val="none"/>
                    </w:rPr>
                  </w:pPr>
                  <w:r>
                    <w:rPr>
                      <w:color w:val="auto"/>
                      <w:highlight w:val="none"/>
                    </w:rPr>
                    <w:t>慢性中毒</w:t>
                  </w:r>
                </w:p>
              </w:tc>
              <w:tc>
                <w:tcPr>
                  <w:tcW w:w="340" w:type="dxa"/>
                  <w:gridSpan w:val="3"/>
                  <w:vAlign w:val="center"/>
                </w:tcPr>
                <w:p w14:paraId="15AA1E01">
                  <w:pPr>
                    <w:pStyle w:val="30"/>
                    <w:overflowPunct w:val="0"/>
                    <w:autoSpaceDE w:val="0"/>
                    <w:autoSpaceDN w:val="0"/>
                    <w:rPr>
                      <w:color w:val="auto"/>
                      <w:highlight w:val="none"/>
                    </w:rPr>
                  </w:pPr>
                  <w:r>
                    <w:rPr>
                      <w:color w:val="auto"/>
                      <w:highlight w:val="none"/>
                    </w:rPr>
                    <w:t>神经衰弱综合症，周围神经病，皮肤损害</w:t>
                  </w:r>
                  <w:r>
                    <w:rPr>
                      <w:rFonts w:hint="eastAsia"/>
                      <w:color w:val="auto"/>
                      <w:highlight w:val="none"/>
                    </w:rPr>
                    <w:t>。</w:t>
                  </w:r>
                </w:p>
              </w:tc>
            </w:tr>
            <w:tr w14:paraId="2350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2AF0B9A">
                  <w:pPr>
                    <w:pStyle w:val="30"/>
                    <w:overflowPunct w:val="0"/>
                    <w:autoSpaceDE w:val="0"/>
                    <w:autoSpaceDN w:val="0"/>
                    <w:rPr>
                      <w:color w:val="auto"/>
                      <w:highlight w:val="none"/>
                    </w:rPr>
                  </w:pPr>
                  <w:r>
                    <w:rPr>
                      <w:color w:val="auto"/>
                      <w:highlight w:val="none"/>
                    </w:rPr>
                    <w:t>刺激性</w:t>
                  </w:r>
                </w:p>
              </w:tc>
              <w:tc>
                <w:tcPr>
                  <w:tcW w:w="340" w:type="dxa"/>
                  <w:gridSpan w:val="3"/>
                  <w:vAlign w:val="center"/>
                </w:tcPr>
                <w:p w14:paraId="0B55EE8C">
                  <w:pPr>
                    <w:pStyle w:val="30"/>
                    <w:overflowPunct w:val="0"/>
                    <w:autoSpaceDE w:val="0"/>
                    <w:autoSpaceDN w:val="0"/>
                    <w:rPr>
                      <w:color w:val="auto"/>
                      <w:highlight w:val="none"/>
                    </w:rPr>
                  </w:pPr>
                  <w:r>
                    <w:rPr>
                      <w:color w:val="auto"/>
                      <w:highlight w:val="none"/>
                    </w:rPr>
                    <w:t>人经眼：140ppm（8小时），轻微刺激。</w:t>
                  </w:r>
                </w:p>
              </w:tc>
            </w:tr>
            <w:tr w14:paraId="516F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E977183">
                  <w:pPr>
                    <w:pStyle w:val="30"/>
                    <w:overflowPunct w:val="0"/>
                    <w:autoSpaceDE w:val="0"/>
                    <w:autoSpaceDN w:val="0"/>
                    <w:rPr>
                      <w:color w:val="auto"/>
                      <w:highlight w:val="none"/>
                    </w:rPr>
                  </w:pPr>
                  <w:r>
                    <w:rPr>
                      <w:color w:val="auto"/>
                      <w:highlight w:val="none"/>
                    </w:rPr>
                    <w:t>最高容许浓度</w:t>
                  </w:r>
                </w:p>
              </w:tc>
              <w:tc>
                <w:tcPr>
                  <w:tcW w:w="340" w:type="dxa"/>
                  <w:gridSpan w:val="3"/>
                  <w:vAlign w:val="center"/>
                </w:tcPr>
                <w:p w14:paraId="0A7CC3A4">
                  <w:pPr>
                    <w:pStyle w:val="30"/>
                    <w:overflowPunct w:val="0"/>
                    <w:autoSpaceDE w:val="0"/>
                    <w:autoSpaceDN w:val="0"/>
                    <w:rPr>
                      <w:color w:val="auto"/>
                      <w:highlight w:val="none"/>
                    </w:rPr>
                  </w:pPr>
                  <w:r>
                    <w:rPr>
                      <w:color w:val="auto"/>
                      <w:highlight w:val="none"/>
                    </w:rPr>
                    <w:t>300mg/m</w:t>
                  </w:r>
                  <w:r>
                    <w:rPr>
                      <w:color w:val="auto"/>
                      <w:highlight w:val="none"/>
                      <w:vertAlign w:val="superscript"/>
                    </w:rPr>
                    <w:t>3</w:t>
                  </w:r>
                </w:p>
              </w:tc>
            </w:tr>
          </w:tbl>
          <w:p w14:paraId="79974B6E">
            <w:pPr>
              <w:pStyle w:val="6"/>
              <w:overflowPunct w:val="0"/>
              <w:autoSpaceDE w:val="0"/>
              <w:autoSpaceDN w:val="0"/>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11</w:t>
            </w:r>
            <w:r>
              <w:rPr>
                <w:color w:val="auto"/>
                <w:highlight w:val="none"/>
              </w:rPr>
              <w:fldChar w:fldCharType="end"/>
            </w:r>
            <w:r>
              <w:rPr>
                <w:rFonts w:hint="eastAsia"/>
                <w:color w:val="auto"/>
                <w:highlight w:val="none"/>
              </w:rPr>
              <w:t xml:space="preserve"> 柴油理化性质和危险特性</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901"/>
              <w:gridCol w:w="2372"/>
              <w:gridCol w:w="1901"/>
            </w:tblGrid>
            <w:tr w14:paraId="15BF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35FBE500">
                  <w:pPr>
                    <w:pStyle w:val="30"/>
                    <w:overflowPunct w:val="0"/>
                    <w:autoSpaceDE w:val="0"/>
                    <w:autoSpaceDN w:val="0"/>
                    <w:rPr>
                      <w:color w:val="auto"/>
                      <w:highlight w:val="none"/>
                    </w:rPr>
                  </w:pPr>
                  <w:r>
                    <w:rPr>
                      <w:color w:val="auto"/>
                      <w:highlight w:val="none"/>
                    </w:rPr>
                    <w:t>第一部分</w:t>
                  </w:r>
                  <w:r>
                    <w:rPr>
                      <w:rFonts w:hint="eastAsia"/>
                      <w:color w:val="auto"/>
                      <w:highlight w:val="none"/>
                    </w:rPr>
                    <w:t xml:space="preserve">  </w:t>
                  </w:r>
                  <w:r>
                    <w:rPr>
                      <w:color w:val="auto"/>
                      <w:highlight w:val="none"/>
                    </w:rPr>
                    <w:t>危险性概述</w:t>
                  </w:r>
                </w:p>
              </w:tc>
            </w:tr>
            <w:tr w14:paraId="22C8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F746E54">
                  <w:pPr>
                    <w:pStyle w:val="30"/>
                    <w:overflowPunct w:val="0"/>
                    <w:autoSpaceDE w:val="0"/>
                    <w:autoSpaceDN w:val="0"/>
                    <w:rPr>
                      <w:color w:val="auto"/>
                      <w:highlight w:val="none"/>
                    </w:rPr>
                  </w:pPr>
                  <w:r>
                    <w:rPr>
                      <w:rFonts w:hint="eastAsia"/>
                      <w:color w:val="auto"/>
                      <w:highlight w:val="none"/>
                    </w:rPr>
                    <w:t>危险性类别</w:t>
                  </w:r>
                </w:p>
              </w:tc>
              <w:tc>
                <w:tcPr>
                  <w:tcW w:w="340" w:type="dxa"/>
                  <w:vAlign w:val="center"/>
                </w:tcPr>
                <w:p w14:paraId="414E166A">
                  <w:pPr>
                    <w:pStyle w:val="30"/>
                    <w:overflowPunct w:val="0"/>
                    <w:autoSpaceDE w:val="0"/>
                    <w:autoSpaceDN w:val="0"/>
                    <w:rPr>
                      <w:color w:val="auto"/>
                      <w:highlight w:val="none"/>
                    </w:rPr>
                  </w:pPr>
                  <w:r>
                    <w:rPr>
                      <w:rFonts w:hint="eastAsia"/>
                      <w:color w:val="auto"/>
                      <w:highlight w:val="none"/>
                    </w:rPr>
                    <w:t>第3.3类高闪点易燃液体</w:t>
                  </w:r>
                </w:p>
              </w:tc>
              <w:tc>
                <w:tcPr>
                  <w:tcW w:w="340" w:type="dxa"/>
                  <w:vAlign w:val="center"/>
                </w:tcPr>
                <w:p w14:paraId="369FFE0B">
                  <w:pPr>
                    <w:pStyle w:val="30"/>
                    <w:overflowPunct w:val="0"/>
                    <w:autoSpaceDE w:val="0"/>
                    <w:autoSpaceDN w:val="0"/>
                    <w:rPr>
                      <w:color w:val="auto"/>
                      <w:highlight w:val="none"/>
                    </w:rPr>
                  </w:pPr>
                  <w:r>
                    <w:rPr>
                      <w:rFonts w:hint="eastAsia"/>
                      <w:color w:val="auto"/>
                      <w:highlight w:val="none"/>
                    </w:rPr>
                    <w:t>燃爆危险</w:t>
                  </w:r>
                </w:p>
              </w:tc>
              <w:tc>
                <w:tcPr>
                  <w:tcW w:w="340" w:type="dxa"/>
                  <w:vAlign w:val="center"/>
                </w:tcPr>
                <w:p w14:paraId="2C89BA01">
                  <w:pPr>
                    <w:pStyle w:val="30"/>
                    <w:overflowPunct w:val="0"/>
                    <w:autoSpaceDE w:val="0"/>
                    <w:autoSpaceDN w:val="0"/>
                    <w:rPr>
                      <w:color w:val="auto"/>
                      <w:highlight w:val="none"/>
                    </w:rPr>
                  </w:pPr>
                  <w:r>
                    <w:rPr>
                      <w:rFonts w:hint="eastAsia"/>
                      <w:color w:val="auto"/>
                      <w:highlight w:val="none"/>
                    </w:rPr>
                    <w:t>易燃</w:t>
                  </w:r>
                </w:p>
              </w:tc>
            </w:tr>
            <w:tr w14:paraId="26D6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3954875">
                  <w:pPr>
                    <w:pStyle w:val="30"/>
                    <w:overflowPunct w:val="0"/>
                    <w:autoSpaceDE w:val="0"/>
                    <w:autoSpaceDN w:val="0"/>
                    <w:rPr>
                      <w:color w:val="auto"/>
                      <w:highlight w:val="none"/>
                    </w:rPr>
                  </w:pPr>
                  <w:r>
                    <w:rPr>
                      <w:rFonts w:hint="eastAsia"/>
                      <w:color w:val="auto"/>
                      <w:highlight w:val="none"/>
                    </w:rPr>
                    <w:t>侵入途径</w:t>
                  </w:r>
                </w:p>
              </w:tc>
              <w:tc>
                <w:tcPr>
                  <w:tcW w:w="340" w:type="dxa"/>
                  <w:vAlign w:val="center"/>
                </w:tcPr>
                <w:p w14:paraId="01E25BA9">
                  <w:pPr>
                    <w:pStyle w:val="30"/>
                    <w:overflowPunct w:val="0"/>
                    <w:autoSpaceDE w:val="0"/>
                    <w:autoSpaceDN w:val="0"/>
                    <w:rPr>
                      <w:color w:val="auto"/>
                      <w:highlight w:val="none"/>
                    </w:rPr>
                  </w:pPr>
                  <w:r>
                    <w:rPr>
                      <w:color w:val="auto"/>
                      <w:highlight w:val="none"/>
                    </w:rPr>
                    <w:t>吸入、食入、经皮肤吸收</w:t>
                  </w:r>
                </w:p>
              </w:tc>
              <w:tc>
                <w:tcPr>
                  <w:tcW w:w="340" w:type="dxa"/>
                  <w:vAlign w:val="center"/>
                </w:tcPr>
                <w:p w14:paraId="26ACC4D7">
                  <w:pPr>
                    <w:pStyle w:val="30"/>
                    <w:overflowPunct w:val="0"/>
                    <w:autoSpaceDE w:val="0"/>
                    <w:autoSpaceDN w:val="0"/>
                    <w:rPr>
                      <w:color w:val="auto"/>
                      <w:highlight w:val="none"/>
                    </w:rPr>
                  </w:pPr>
                  <w:r>
                    <w:rPr>
                      <w:color w:val="auto"/>
                      <w:highlight w:val="none"/>
                    </w:rPr>
                    <w:t>有害燃烧产物</w:t>
                  </w:r>
                </w:p>
              </w:tc>
              <w:tc>
                <w:tcPr>
                  <w:tcW w:w="340" w:type="dxa"/>
                  <w:vAlign w:val="center"/>
                </w:tcPr>
                <w:p w14:paraId="7C642BE4">
                  <w:pPr>
                    <w:pStyle w:val="30"/>
                    <w:overflowPunct w:val="0"/>
                    <w:autoSpaceDE w:val="0"/>
                    <w:autoSpaceDN w:val="0"/>
                    <w:rPr>
                      <w:rFonts w:hint="eastAsia" w:eastAsia="微软雅黑"/>
                      <w:color w:val="auto"/>
                      <w:highlight w:val="none"/>
                      <w:lang w:eastAsia="zh-CN"/>
                    </w:rPr>
                  </w:pPr>
                  <w:r>
                    <w:rPr>
                      <w:color w:val="auto"/>
                      <w:highlight w:val="none"/>
                    </w:rPr>
                    <w:t>一氧化碳、二氧化碳</w:t>
                  </w:r>
                </w:p>
              </w:tc>
            </w:tr>
            <w:tr w14:paraId="37D9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469E9F7">
                  <w:pPr>
                    <w:pStyle w:val="30"/>
                    <w:overflowPunct w:val="0"/>
                    <w:autoSpaceDE w:val="0"/>
                    <w:autoSpaceDN w:val="0"/>
                    <w:rPr>
                      <w:color w:val="auto"/>
                      <w:highlight w:val="none"/>
                    </w:rPr>
                  </w:pPr>
                  <w:r>
                    <w:rPr>
                      <w:color w:val="auto"/>
                      <w:highlight w:val="none"/>
                    </w:rPr>
                    <w:t>环境危害</w:t>
                  </w:r>
                </w:p>
              </w:tc>
              <w:tc>
                <w:tcPr>
                  <w:tcW w:w="340" w:type="dxa"/>
                  <w:gridSpan w:val="3"/>
                  <w:vAlign w:val="center"/>
                </w:tcPr>
                <w:p w14:paraId="2CA1A3B2">
                  <w:pPr>
                    <w:pStyle w:val="30"/>
                    <w:overflowPunct w:val="0"/>
                    <w:autoSpaceDE w:val="0"/>
                    <w:autoSpaceDN w:val="0"/>
                    <w:rPr>
                      <w:color w:val="auto"/>
                      <w:highlight w:val="none"/>
                    </w:rPr>
                  </w:pPr>
                  <w:r>
                    <w:rPr>
                      <w:rFonts w:hint="eastAsia"/>
                      <w:color w:val="auto"/>
                      <w:highlight w:val="none"/>
                    </w:rPr>
                    <w:t>该物质对环境有危害，应特别注意对地表水、土壤、大气和饮用水的污染。</w:t>
                  </w:r>
                </w:p>
              </w:tc>
            </w:tr>
            <w:tr w14:paraId="19A5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50FB9BB6">
                  <w:pPr>
                    <w:pStyle w:val="30"/>
                    <w:overflowPunct w:val="0"/>
                    <w:autoSpaceDE w:val="0"/>
                    <w:autoSpaceDN w:val="0"/>
                    <w:rPr>
                      <w:color w:val="auto"/>
                      <w:highlight w:val="none"/>
                    </w:rPr>
                  </w:pPr>
                  <w:r>
                    <w:rPr>
                      <w:rFonts w:hint="eastAsia"/>
                      <w:color w:val="auto"/>
                      <w:highlight w:val="none"/>
                    </w:rPr>
                    <w:t>第二部分  理化特性</w:t>
                  </w:r>
                </w:p>
              </w:tc>
            </w:tr>
            <w:tr w14:paraId="0927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C536CBB">
                  <w:pPr>
                    <w:pStyle w:val="30"/>
                    <w:overflowPunct w:val="0"/>
                    <w:autoSpaceDE w:val="0"/>
                    <w:autoSpaceDN w:val="0"/>
                    <w:rPr>
                      <w:color w:val="auto"/>
                      <w:highlight w:val="none"/>
                    </w:rPr>
                  </w:pPr>
                  <w:r>
                    <w:rPr>
                      <w:color w:val="auto"/>
                      <w:highlight w:val="none"/>
                    </w:rPr>
                    <w:t>外观及性状</w:t>
                  </w:r>
                </w:p>
              </w:tc>
              <w:tc>
                <w:tcPr>
                  <w:tcW w:w="340" w:type="dxa"/>
                  <w:vAlign w:val="center"/>
                </w:tcPr>
                <w:p w14:paraId="3A33765D">
                  <w:pPr>
                    <w:pStyle w:val="30"/>
                    <w:overflowPunct w:val="0"/>
                    <w:autoSpaceDE w:val="0"/>
                    <w:autoSpaceDN w:val="0"/>
                    <w:rPr>
                      <w:color w:val="auto"/>
                      <w:highlight w:val="none"/>
                    </w:rPr>
                  </w:pPr>
                  <w:r>
                    <w:rPr>
                      <w:rFonts w:hint="eastAsia"/>
                      <w:color w:val="auto"/>
                      <w:highlight w:val="none"/>
                    </w:rPr>
                    <w:t>稍有粘性的棕色液体。</w:t>
                  </w:r>
                </w:p>
              </w:tc>
              <w:tc>
                <w:tcPr>
                  <w:tcW w:w="340" w:type="dxa"/>
                  <w:vAlign w:val="center"/>
                </w:tcPr>
                <w:p w14:paraId="3A42E255">
                  <w:pPr>
                    <w:pStyle w:val="30"/>
                    <w:overflowPunct w:val="0"/>
                    <w:autoSpaceDE w:val="0"/>
                    <w:autoSpaceDN w:val="0"/>
                    <w:rPr>
                      <w:color w:val="auto"/>
                      <w:highlight w:val="none"/>
                    </w:rPr>
                  </w:pPr>
                  <w:r>
                    <w:rPr>
                      <w:color w:val="auto"/>
                      <w:highlight w:val="none"/>
                    </w:rPr>
                    <w:t>主要用途</w:t>
                  </w:r>
                </w:p>
              </w:tc>
              <w:tc>
                <w:tcPr>
                  <w:tcW w:w="340" w:type="dxa"/>
                  <w:vAlign w:val="center"/>
                </w:tcPr>
                <w:p w14:paraId="2DC1638A">
                  <w:pPr>
                    <w:pStyle w:val="30"/>
                    <w:overflowPunct w:val="0"/>
                    <w:autoSpaceDE w:val="0"/>
                    <w:autoSpaceDN w:val="0"/>
                    <w:rPr>
                      <w:color w:val="auto"/>
                      <w:highlight w:val="none"/>
                    </w:rPr>
                  </w:pPr>
                  <w:r>
                    <w:rPr>
                      <w:color w:val="auto"/>
                      <w:highlight w:val="none"/>
                    </w:rPr>
                    <w:t>用作柴油机的燃料等。</w:t>
                  </w:r>
                </w:p>
              </w:tc>
            </w:tr>
            <w:tr w14:paraId="0145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04BDE81">
                  <w:pPr>
                    <w:pStyle w:val="30"/>
                    <w:overflowPunct w:val="0"/>
                    <w:autoSpaceDE w:val="0"/>
                    <w:autoSpaceDN w:val="0"/>
                    <w:rPr>
                      <w:color w:val="auto"/>
                      <w:highlight w:val="none"/>
                    </w:rPr>
                  </w:pPr>
                  <w:r>
                    <w:rPr>
                      <w:color w:val="auto"/>
                      <w:highlight w:val="none"/>
                    </w:rPr>
                    <w:t>闪点（℃）</w:t>
                  </w:r>
                </w:p>
              </w:tc>
              <w:tc>
                <w:tcPr>
                  <w:tcW w:w="340" w:type="dxa"/>
                  <w:vAlign w:val="center"/>
                </w:tcPr>
                <w:p w14:paraId="2837CD86">
                  <w:pPr>
                    <w:pStyle w:val="30"/>
                    <w:overflowPunct w:val="0"/>
                    <w:autoSpaceDE w:val="0"/>
                    <w:autoSpaceDN w:val="0"/>
                    <w:rPr>
                      <w:color w:val="auto"/>
                      <w:highlight w:val="none"/>
                    </w:rPr>
                  </w:pPr>
                  <w:r>
                    <w:rPr>
                      <w:rFonts w:hint="eastAsia"/>
                      <w:color w:val="auto"/>
                      <w:highlight w:val="none"/>
                    </w:rPr>
                    <w:t>45~55</w:t>
                  </w:r>
                </w:p>
              </w:tc>
              <w:tc>
                <w:tcPr>
                  <w:tcW w:w="340" w:type="dxa"/>
                  <w:vAlign w:val="center"/>
                </w:tcPr>
                <w:p w14:paraId="2892E8CD">
                  <w:pPr>
                    <w:pStyle w:val="30"/>
                    <w:overflowPunct w:val="0"/>
                    <w:autoSpaceDE w:val="0"/>
                    <w:autoSpaceDN w:val="0"/>
                    <w:rPr>
                      <w:color w:val="auto"/>
                      <w:highlight w:val="none"/>
                    </w:rPr>
                  </w:pPr>
                  <w:r>
                    <w:rPr>
                      <w:color w:val="auto"/>
                      <w:highlight w:val="none"/>
                    </w:rPr>
                    <w:t>相对密度（水＝1）</w:t>
                  </w:r>
                </w:p>
              </w:tc>
              <w:tc>
                <w:tcPr>
                  <w:tcW w:w="340" w:type="dxa"/>
                  <w:vAlign w:val="center"/>
                </w:tcPr>
                <w:p w14:paraId="7EFCE265">
                  <w:pPr>
                    <w:pStyle w:val="30"/>
                    <w:overflowPunct w:val="0"/>
                    <w:autoSpaceDE w:val="0"/>
                    <w:autoSpaceDN w:val="0"/>
                    <w:rPr>
                      <w:color w:val="auto"/>
                      <w:highlight w:val="none"/>
                    </w:rPr>
                  </w:pPr>
                  <w:r>
                    <w:rPr>
                      <w:rFonts w:hint="eastAsia"/>
                      <w:color w:val="auto"/>
                      <w:highlight w:val="none"/>
                    </w:rPr>
                    <w:t>0.81~0.9</w:t>
                  </w:r>
                </w:p>
              </w:tc>
            </w:tr>
            <w:tr w14:paraId="4232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264EE65">
                  <w:pPr>
                    <w:pStyle w:val="30"/>
                    <w:overflowPunct w:val="0"/>
                    <w:autoSpaceDE w:val="0"/>
                    <w:autoSpaceDN w:val="0"/>
                    <w:rPr>
                      <w:color w:val="auto"/>
                      <w:highlight w:val="none"/>
                    </w:rPr>
                  </w:pPr>
                  <w:r>
                    <w:rPr>
                      <w:rFonts w:hint="eastAsia"/>
                      <w:color w:val="auto"/>
                      <w:highlight w:val="none"/>
                    </w:rPr>
                    <w:t>沸点</w:t>
                  </w:r>
                  <w:r>
                    <w:rPr>
                      <w:color w:val="auto"/>
                      <w:highlight w:val="none"/>
                    </w:rPr>
                    <w:t>（℃）</w:t>
                  </w:r>
                </w:p>
              </w:tc>
              <w:tc>
                <w:tcPr>
                  <w:tcW w:w="340" w:type="dxa"/>
                  <w:vAlign w:val="center"/>
                </w:tcPr>
                <w:p w14:paraId="5C9E84C5">
                  <w:pPr>
                    <w:pStyle w:val="30"/>
                    <w:overflowPunct w:val="0"/>
                    <w:autoSpaceDE w:val="0"/>
                    <w:autoSpaceDN w:val="0"/>
                    <w:rPr>
                      <w:color w:val="auto"/>
                      <w:highlight w:val="none"/>
                    </w:rPr>
                  </w:pPr>
                  <w:r>
                    <w:rPr>
                      <w:rFonts w:hint="eastAsia"/>
                      <w:color w:val="auto"/>
                      <w:highlight w:val="none"/>
                    </w:rPr>
                    <w:t>200~350</w:t>
                  </w:r>
                </w:p>
              </w:tc>
              <w:tc>
                <w:tcPr>
                  <w:tcW w:w="340" w:type="dxa"/>
                  <w:vAlign w:val="center"/>
                </w:tcPr>
                <w:p w14:paraId="238DAECE">
                  <w:pPr>
                    <w:pStyle w:val="30"/>
                    <w:overflowPunct w:val="0"/>
                    <w:autoSpaceDE w:val="0"/>
                    <w:autoSpaceDN w:val="0"/>
                    <w:rPr>
                      <w:color w:val="auto"/>
                      <w:highlight w:val="none"/>
                    </w:rPr>
                  </w:pPr>
                  <w:r>
                    <w:rPr>
                      <w:color w:val="auto"/>
                      <w:highlight w:val="none"/>
                    </w:rPr>
                    <w:t>爆炸上限％（V/V）：</w:t>
                  </w:r>
                </w:p>
              </w:tc>
              <w:tc>
                <w:tcPr>
                  <w:tcW w:w="340" w:type="dxa"/>
                  <w:vAlign w:val="center"/>
                </w:tcPr>
                <w:p w14:paraId="68D8DA69">
                  <w:pPr>
                    <w:pStyle w:val="30"/>
                    <w:overflowPunct w:val="0"/>
                    <w:autoSpaceDE w:val="0"/>
                    <w:autoSpaceDN w:val="0"/>
                    <w:rPr>
                      <w:color w:val="auto"/>
                      <w:highlight w:val="none"/>
                    </w:rPr>
                  </w:pPr>
                  <w:r>
                    <w:rPr>
                      <w:rFonts w:hint="eastAsia"/>
                      <w:color w:val="auto"/>
                      <w:highlight w:val="none"/>
                    </w:rPr>
                    <w:t>4.5</w:t>
                  </w:r>
                </w:p>
              </w:tc>
            </w:tr>
            <w:tr w14:paraId="32D1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F0C70D2">
                  <w:pPr>
                    <w:pStyle w:val="30"/>
                    <w:overflowPunct w:val="0"/>
                    <w:autoSpaceDE w:val="0"/>
                    <w:autoSpaceDN w:val="0"/>
                    <w:rPr>
                      <w:color w:val="auto"/>
                      <w:highlight w:val="none"/>
                    </w:rPr>
                  </w:pPr>
                  <w:r>
                    <w:rPr>
                      <w:rFonts w:hint="eastAsia"/>
                      <w:color w:val="auto"/>
                      <w:highlight w:val="none"/>
                    </w:rPr>
                    <w:t>自然点</w:t>
                  </w:r>
                  <w:r>
                    <w:rPr>
                      <w:color w:val="auto"/>
                      <w:highlight w:val="none"/>
                    </w:rPr>
                    <w:t>（℃）</w:t>
                  </w:r>
                </w:p>
              </w:tc>
              <w:tc>
                <w:tcPr>
                  <w:tcW w:w="340" w:type="dxa"/>
                  <w:vAlign w:val="center"/>
                </w:tcPr>
                <w:p w14:paraId="0833B475">
                  <w:pPr>
                    <w:pStyle w:val="30"/>
                    <w:overflowPunct w:val="0"/>
                    <w:autoSpaceDE w:val="0"/>
                    <w:autoSpaceDN w:val="0"/>
                    <w:rPr>
                      <w:color w:val="auto"/>
                      <w:highlight w:val="none"/>
                    </w:rPr>
                  </w:pPr>
                  <w:r>
                    <w:rPr>
                      <w:rFonts w:hint="eastAsia"/>
                      <w:color w:val="auto"/>
                      <w:highlight w:val="none"/>
                    </w:rPr>
                    <w:t>257</w:t>
                  </w:r>
                </w:p>
              </w:tc>
              <w:tc>
                <w:tcPr>
                  <w:tcW w:w="340" w:type="dxa"/>
                  <w:vAlign w:val="center"/>
                </w:tcPr>
                <w:p w14:paraId="07D76AC0">
                  <w:pPr>
                    <w:pStyle w:val="30"/>
                    <w:overflowPunct w:val="0"/>
                    <w:autoSpaceDE w:val="0"/>
                    <w:autoSpaceDN w:val="0"/>
                    <w:rPr>
                      <w:color w:val="auto"/>
                      <w:highlight w:val="none"/>
                    </w:rPr>
                  </w:pPr>
                  <w:r>
                    <w:rPr>
                      <w:color w:val="auto"/>
                      <w:highlight w:val="none"/>
                    </w:rPr>
                    <w:t>爆炸下限％（V/V）：</w:t>
                  </w:r>
                </w:p>
              </w:tc>
              <w:tc>
                <w:tcPr>
                  <w:tcW w:w="340" w:type="dxa"/>
                  <w:vAlign w:val="center"/>
                </w:tcPr>
                <w:p w14:paraId="6FD714C3">
                  <w:pPr>
                    <w:pStyle w:val="30"/>
                    <w:overflowPunct w:val="0"/>
                    <w:autoSpaceDE w:val="0"/>
                    <w:autoSpaceDN w:val="0"/>
                    <w:rPr>
                      <w:color w:val="auto"/>
                      <w:highlight w:val="none"/>
                    </w:rPr>
                  </w:pPr>
                  <w:r>
                    <w:rPr>
                      <w:rFonts w:hint="eastAsia"/>
                      <w:color w:val="auto"/>
                      <w:highlight w:val="none"/>
                    </w:rPr>
                    <w:t>1.5</w:t>
                  </w:r>
                </w:p>
              </w:tc>
            </w:tr>
            <w:tr w14:paraId="1B59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04E55C7">
                  <w:pPr>
                    <w:pStyle w:val="30"/>
                    <w:overflowPunct w:val="0"/>
                    <w:autoSpaceDE w:val="0"/>
                    <w:autoSpaceDN w:val="0"/>
                    <w:rPr>
                      <w:color w:val="auto"/>
                      <w:highlight w:val="none"/>
                    </w:rPr>
                  </w:pPr>
                  <w:r>
                    <w:rPr>
                      <w:color w:val="auto"/>
                      <w:highlight w:val="none"/>
                    </w:rPr>
                    <w:t>溶解性</w:t>
                  </w:r>
                </w:p>
              </w:tc>
              <w:tc>
                <w:tcPr>
                  <w:tcW w:w="340" w:type="dxa"/>
                  <w:gridSpan w:val="3"/>
                  <w:vAlign w:val="center"/>
                </w:tcPr>
                <w:p w14:paraId="1C24DE22">
                  <w:pPr>
                    <w:pStyle w:val="30"/>
                    <w:overflowPunct w:val="0"/>
                    <w:autoSpaceDE w:val="0"/>
                    <w:autoSpaceDN w:val="0"/>
                    <w:rPr>
                      <w:color w:val="auto"/>
                      <w:highlight w:val="none"/>
                    </w:rPr>
                  </w:pPr>
                  <w:r>
                    <w:rPr>
                      <w:rFonts w:hint="eastAsia"/>
                      <w:color w:val="auto"/>
                      <w:highlight w:val="none"/>
                    </w:rPr>
                    <w:t>不溶于水，易溶于苯、二硫化碳、醇，易溶于脂肪。</w:t>
                  </w:r>
                </w:p>
              </w:tc>
            </w:tr>
            <w:tr w14:paraId="3E15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27B3A90C">
                  <w:pPr>
                    <w:pStyle w:val="30"/>
                    <w:overflowPunct w:val="0"/>
                    <w:autoSpaceDE w:val="0"/>
                    <w:autoSpaceDN w:val="0"/>
                    <w:rPr>
                      <w:color w:val="auto"/>
                      <w:highlight w:val="none"/>
                    </w:rPr>
                  </w:pPr>
                  <w:r>
                    <w:rPr>
                      <w:rFonts w:hint="eastAsia"/>
                      <w:color w:val="auto"/>
                      <w:highlight w:val="none"/>
                    </w:rPr>
                    <w:t xml:space="preserve">第三部分  </w:t>
                  </w:r>
                  <w:r>
                    <w:rPr>
                      <w:color w:val="auto"/>
                      <w:highlight w:val="none"/>
                    </w:rPr>
                    <w:t>稳定性及化学活性</w:t>
                  </w:r>
                </w:p>
              </w:tc>
            </w:tr>
            <w:tr w14:paraId="1A8F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7305A15">
                  <w:pPr>
                    <w:pStyle w:val="30"/>
                    <w:overflowPunct w:val="0"/>
                    <w:autoSpaceDE w:val="0"/>
                    <w:autoSpaceDN w:val="0"/>
                    <w:rPr>
                      <w:color w:val="auto"/>
                      <w:highlight w:val="none"/>
                    </w:rPr>
                  </w:pPr>
                  <w:r>
                    <w:rPr>
                      <w:color w:val="auto"/>
                      <w:highlight w:val="none"/>
                    </w:rPr>
                    <w:t>稳定性</w:t>
                  </w:r>
                </w:p>
              </w:tc>
              <w:tc>
                <w:tcPr>
                  <w:tcW w:w="340" w:type="dxa"/>
                  <w:vAlign w:val="center"/>
                </w:tcPr>
                <w:p w14:paraId="202E5A18">
                  <w:pPr>
                    <w:pStyle w:val="30"/>
                    <w:overflowPunct w:val="0"/>
                    <w:autoSpaceDE w:val="0"/>
                    <w:autoSpaceDN w:val="0"/>
                    <w:rPr>
                      <w:color w:val="auto"/>
                      <w:highlight w:val="none"/>
                    </w:rPr>
                  </w:pPr>
                  <w:r>
                    <w:rPr>
                      <w:color w:val="auto"/>
                      <w:highlight w:val="none"/>
                    </w:rPr>
                    <w:t>稳定</w:t>
                  </w:r>
                </w:p>
              </w:tc>
              <w:tc>
                <w:tcPr>
                  <w:tcW w:w="340" w:type="dxa"/>
                  <w:vAlign w:val="center"/>
                </w:tcPr>
                <w:p w14:paraId="5B052471">
                  <w:pPr>
                    <w:pStyle w:val="30"/>
                    <w:overflowPunct w:val="0"/>
                    <w:autoSpaceDE w:val="0"/>
                    <w:autoSpaceDN w:val="0"/>
                    <w:rPr>
                      <w:color w:val="auto"/>
                      <w:highlight w:val="none"/>
                    </w:rPr>
                  </w:pPr>
                  <w:r>
                    <w:rPr>
                      <w:color w:val="auto"/>
                      <w:highlight w:val="none"/>
                    </w:rPr>
                    <w:t>避免接触的条件</w:t>
                  </w:r>
                </w:p>
              </w:tc>
              <w:tc>
                <w:tcPr>
                  <w:tcW w:w="340" w:type="dxa"/>
                  <w:vAlign w:val="center"/>
                </w:tcPr>
                <w:p w14:paraId="6AB5D951">
                  <w:pPr>
                    <w:pStyle w:val="30"/>
                    <w:overflowPunct w:val="0"/>
                    <w:autoSpaceDE w:val="0"/>
                    <w:autoSpaceDN w:val="0"/>
                    <w:rPr>
                      <w:color w:val="auto"/>
                      <w:highlight w:val="none"/>
                    </w:rPr>
                  </w:pPr>
                  <w:r>
                    <w:rPr>
                      <w:color w:val="auto"/>
                      <w:highlight w:val="none"/>
                    </w:rPr>
                    <w:t>明火、高热</w:t>
                  </w:r>
                </w:p>
              </w:tc>
            </w:tr>
            <w:tr w14:paraId="6D31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145E95D">
                  <w:pPr>
                    <w:pStyle w:val="30"/>
                    <w:overflowPunct w:val="0"/>
                    <w:autoSpaceDE w:val="0"/>
                    <w:autoSpaceDN w:val="0"/>
                    <w:rPr>
                      <w:color w:val="auto"/>
                      <w:highlight w:val="none"/>
                    </w:rPr>
                  </w:pPr>
                  <w:r>
                    <w:rPr>
                      <w:color w:val="auto"/>
                      <w:highlight w:val="none"/>
                    </w:rPr>
                    <w:t>禁配物</w:t>
                  </w:r>
                </w:p>
              </w:tc>
              <w:tc>
                <w:tcPr>
                  <w:tcW w:w="340" w:type="dxa"/>
                  <w:vAlign w:val="center"/>
                </w:tcPr>
                <w:p w14:paraId="6432182A">
                  <w:pPr>
                    <w:pStyle w:val="30"/>
                    <w:overflowPunct w:val="0"/>
                    <w:autoSpaceDE w:val="0"/>
                    <w:autoSpaceDN w:val="0"/>
                    <w:rPr>
                      <w:color w:val="auto"/>
                      <w:highlight w:val="none"/>
                    </w:rPr>
                  </w:pPr>
                  <w:r>
                    <w:rPr>
                      <w:color w:val="auto"/>
                      <w:highlight w:val="none"/>
                    </w:rPr>
                    <w:t>强氧化剂</w:t>
                  </w:r>
                  <w:r>
                    <w:rPr>
                      <w:rFonts w:hint="eastAsia"/>
                      <w:color w:val="auto"/>
                      <w:highlight w:val="none"/>
                    </w:rPr>
                    <w:t>、卤素</w:t>
                  </w:r>
                </w:p>
              </w:tc>
              <w:tc>
                <w:tcPr>
                  <w:tcW w:w="340" w:type="dxa"/>
                  <w:vAlign w:val="center"/>
                </w:tcPr>
                <w:p w14:paraId="13A76B37">
                  <w:pPr>
                    <w:pStyle w:val="30"/>
                    <w:overflowPunct w:val="0"/>
                    <w:autoSpaceDE w:val="0"/>
                    <w:autoSpaceDN w:val="0"/>
                    <w:rPr>
                      <w:color w:val="auto"/>
                      <w:highlight w:val="none"/>
                    </w:rPr>
                  </w:pPr>
                  <w:r>
                    <w:rPr>
                      <w:color w:val="auto"/>
                      <w:highlight w:val="none"/>
                    </w:rPr>
                    <w:t>聚合危害：</w:t>
                  </w:r>
                </w:p>
              </w:tc>
              <w:tc>
                <w:tcPr>
                  <w:tcW w:w="340" w:type="dxa"/>
                  <w:vAlign w:val="center"/>
                </w:tcPr>
                <w:p w14:paraId="0C4CE274">
                  <w:pPr>
                    <w:pStyle w:val="30"/>
                    <w:overflowPunct w:val="0"/>
                    <w:autoSpaceDE w:val="0"/>
                    <w:autoSpaceDN w:val="0"/>
                    <w:rPr>
                      <w:color w:val="auto"/>
                      <w:highlight w:val="none"/>
                    </w:rPr>
                  </w:pPr>
                  <w:r>
                    <w:rPr>
                      <w:color w:val="auto"/>
                      <w:highlight w:val="none"/>
                    </w:rPr>
                    <w:t>不聚合</w:t>
                  </w:r>
                </w:p>
              </w:tc>
            </w:tr>
            <w:tr w14:paraId="0175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0617AB1">
                  <w:pPr>
                    <w:pStyle w:val="30"/>
                    <w:overflowPunct w:val="0"/>
                    <w:autoSpaceDE w:val="0"/>
                    <w:autoSpaceDN w:val="0"/>
                    <w:rPr>
                      <w:color w:val="auto"/>
                      <w:highlight w:val="none"/>
                    </w:rPr>
                  </w:pPr>
                  <w:r>
                    <w:rPr>
                      <w:color w:val="auto"/>
                      <w:highlight w:val="none"/>
                    </w:rPr>
                    <w:t>分解产物</w:t>
                  </w:r>
                </w:p>
              </w:tc>
              <w:tc>
                <w:tcPr>
                  <w:tcW w:w="340" w:type="dxa"/>
                  <w:gridSpan w:val="3"/>
                  <w:vAlign w:val="center"/>
                </w:tcPr>
                <w:p w14:paraId="79734DA5">
                  <w:pPr>
                    <w:pStyle w:val="30"/>
                    <w:overflowPunct w:val="0"/>
                    <w:autoSpaceDE w:val="0"/>
                    <w:autoSpaceDN w:val="0"/>
                    <w:rPr>
                      <w:color w:val="auto"/>
                      <w:highlight w:val="none"/>
                    </w:rPr>
                  </w:pPr>
                  <w:r>
                    <w:rPr>
                      <w:color w:val="auto"/>
                      <w:highlight w:val="none"/>
                    </w:rPr>
                    <w:t>一氧化碳、二氧化碳。</w:t>
                  </w:r>
                </w:p>
              </w:tc>
            </w:tr>
            <w:tr w14:paraId="2AFD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4F5B1D43">
                  <w:pPr>
                    <w:pStyle w:val="30"/>
                    <w:overflowPunct w:val="0"/>
                    <w:autoSpaceDE w:val="0"/>
                    <w:autoSpaceDN w:val="0"/>
                    <w:rPr>
                      <w:color w:val="auto"/>
                      <w:highlight w:val="none"/>
                    </w:rPr>
                  </w:pPr>
                  <w:r>
                    <w:rPr>
                      <w:rFonts w:hint="eastAsia"/>
                      <w:color w:val="auto"/>
                      <w:highlight w:val="none"/>
                    </w:rPr>
                    <w:t xml:space="preserve">第四部分  </w:t>
                  </w:r>
                  <w:r>
                    <w:rPr>
                      <w:color w:val="auto"/>
                      <w:highlight w:val="none"/>
                    </w:rPr>
                    <w:t>毒理学资料</w:t>
                  </w:r>
                </w:p>
              </w:tc>
            </w:tr>
            <w:tr w14:paraId="2202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392D721">
                  <w:pPr>
                    <w:pStyle w:val="30"/>
                    <w:overflowPunct w:val="0"/>
                    <w:autoSpaceDE w:val="0"/>
                    <w:autoSpaceDN w:val="0"/>
                    <w:rPr>
                      <w:color w:val="auto"/>
                      <w:highlight w:val="none"/>
                    </w:rPr>
                  </w:pPr>
                  <w:r>
                    <w:rPr>
                      <w:rFonts w:hint="eastAsia"/>
                      <w:color w:val="auto"/>
                      <w:highlight w:val="none"/>
                    </w:rPr>
                    <w:t>急性毒性</w:t>
                  </w:r>
                </w:p>
              </w:tc>
              <w:tc>
                <w:tcPr>
                  <w:tcW w:w="340" w:type="dxa"/>
                  <w:gridSpan w:val="3"/>
                  <w:vAlign w:val="center"/>
                </w:tcPr>
                <w:p w14:paraId="2E46E758">
                  <w:pPr>
                    <w:pStyle w:val="30"/>
                    <w:overflowPunct w:val="0"/>
                    <w:autoSpaceDE w:val="0"/>
                    <w:autoSpaceDN w:val="0"/>
                    <w:rPr>
                      <w:color w:val="auto"/>
                      <w:highlight w:val="none"/>
                    </w:rPr>
                  </w:pPr>
                  <w:r>
                    <w:rPr>
                      <w:rFonts w:hint="eastAsia"/>
                      <w:color w:val="auto"/>
                      <w:highlight w:val="none"/>
                    </w:rPr>
                    <w:t>柴油的毒性相似煤油，但由于添加剂，如硫化酯类的影响，毒性略大于煤油。</w:t>
                  </w:r>
                </w:p>
              </w:tc>
            </w:tr>
            <w:tr w14:paraId="50A0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583A59A">
                  <w:pPr>
                    <w:pStyle w:val="30"/>
                    <w:overflowPunct w:val="0"/>
                    <w:autoSpaceDE w:val="0"/>
                    <w:autoSpaceDN w:val="0"/>
                    <w:rPr>
                      <w:color w:val="auto"/>
                      <w:highlight w:val="none"/>
                    </w:rPr>
                  </w:pPr>
                  <w:r>
                    <w:rPr>
                      <w:color w:val="auto"/>
                      <w:highlight w:val="none"/>
                    </w:rPr>
                    <w:t>急性中毒</w:t>
                  </w:r>
                </w:p>
              </w:tc>
              <w:tc>
                <w:tcPr>
                  <w:tcW w:w="340" w:type="dxa"/>
                  <w:gridSpan w:val="3"/>
                  <w:vAlign w:val="center"/>
                </w:tcPr>
                <w:p w14:paraId="7DEABCB6">
                  <w:pPr>
                    <w:pStyle w:val="30"/>
                    <w:overflowPunct w:val="0"/>
                    <w:autoSpaceDE w:val="0"/>
                    <w:autoSpaceDN w:val="0"/>
                    <w:rPr>
                      <w:color w:val="auto"/>
                      <w:highlight w:val="none"/>
                    </w:rPr>
                  </w:pPr>
                  <w:r>
                    <w:rPr>
                      <w:rFonts w:hint="eastAsia"/>
                      <w:color w:val="auto"/>
                      <w:highlight w:val="none"/>
                    </w:rPr>
                    <w:t>皮肤接触柴油可引起接触性皮炎、油性痤疮，吸入可引起吸入性肺炎，能经胎盘进入胎儿血中。</w:t>
                  </w:r>
                </w:p>
              </w:tc>
            </w:tr>
            <w:tr w14:paraId="297F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4062734">
                  <w:pPr>
                    <w:pStyle w:val="30"/>
                    <w:overflowPunct w:val="0"/>
                    <w:autoSpaceDE w:val="0"/>
                    <w:autoSpaceDN w:val="0"/>
                    <w:rPr>
                      <w:color w:val="auto"/>
                      <w:highlight w:val="none"/>
                    </w:rPr>
                  </w:pPr>
                  <w:r>
                    <w:rPr>
                      <w:color w:val="auto"/>
                      <w:highlight w:val="none"/>
                    </w:rPr>
                    <w:t>慢性中毒</w:t>
                  </w:r>
                </w:p>
              </w:tc>
              <w:tc>
                <w:tcPr>
                  <w:tcW w:w="340" w:type="dxa"/>
                  <w:gridSpan w:val="3"/>
                  <w:vAlign w:val="center"/>
                </w:tcPr>
                <w:p w14:paraId="481DF626">
                  <w:pPr>
                    <w:pStyle w:val="30"/>
                    <w:overflowPunct w:val="0"/>
                    <w:autoSpaceDE w:val="0"/>
                    <w:autoSpaceDN w:val="0"/>
                    <w:rPr>
                      <w:color w:val="auto"/>
                      <w:highlight w:val="none"/>
                    </w:rPr>
                  </w:pPr>
                  <w:r>
                    <w:rPr>
                      <w:rFonts w:hint="eastAsia"/>
                      <w:color w:val="auto"/>
                      <w:highlight w:val="none"/>
                    </w:rPr>
                    <w:t>柴油废气可引起眼、鼻刺激症状，头痛。</w:t>
                  </w:r>
                </w:p>
              </w:tc>
            </w:tr>
            <w:tr w14:paraId="5886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76028DD">
                  <w:pPr>
                    <w:pStyle w:val="30"/>
                    <w:overflowPunct w:val="0"/>
                    <w:autoSpaceDE w:val="0"/>
                    <w:autoSpaceDN w:val="0"/>
                    <w:rPr>
                      <w:color w:val="auto"/>
                      <w:highlight w:val="none"/>
                    </w:rPr>
                  </w:pPr>
                  <w:r>
                    <w:rPr>
                      <w:color w:val="auto"/>
                      <w:highlight w:val="none"/>
                    </w:rPr>
                    <w:t>刺激性</w:t>
                  </w:r>
                </w:p>
              </w:tc>
              <w:tc>
                <w:tcPr>
                  <w:tcW w:w="340" w:type="dxa"/>
                  <w:gridSpan w:val="3"/>
                  <w:vAlign w:val="center"/>
                </w:tcPr>
                <w:p w14:paraId="3F817C1C">
                  <w:pPr>
                    <w:pStyle w:val="30"/>
                    <w:overflowPunct w:val="0"/>
                    <w:autoSpaceDE w:val="0"/>
                    <w:autoSpaceDN w:val="0"/>
                    <w:rPr>
                      <w:color w:val="auto"/>
                      <w:highlight w:val="none"/>
                    </w:rPr>
                  </w:pPr>
                  <w:r>
                    <w:rPr>
                      <w:rFonts w:hint="eastAsia"/>
                      <w:color w:val="auto"/>
                      <w:highlight w:val="none"/>
                    </w:rPr>
                    <w:t>具有刺激作用</w:t>
                  </w:r>
                </w:p>
              </w:tc>
            </w:tr>
            <w:tr w14:paraId="6D19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40" w:type="dxa"/>
                  <w:vAlign w:val="center"/>
                </w:tcPr>
                <w:p w14:paraId="0429E900">
                  <w:pPr>
                    <w:pStyle w:val="30"/>
                    <w:overflowPunct w:val="0"/>
                    <w:autoSpaceDE w:val="0"/>
                    <w:autoSpaceDN w:val="0"/>
                    <w:rPr>
                      <w:color w:val="auto"/>
                      <w:highlight w:val="none"/>
                    </w:rPr>
                  </w:pPr>
                  <w:r>
                    <w:rPr>
                      <w:color w:val="auto"/>
                      <w:highlight w:val="none"/>
                    </w:rPr>
                    <w:t>最高容许浓度</w:t>
                  </w:r>
                </w:p>
              </w:tc>
              <w:tc>
                <w:tcPr>
                  <w:tcW w:w="340" w:type="dxa"/>
                  <w:gridSpan w:val="3"/>
                  <w:vAlign w:val="center"/>
                </w:tcPr>
                <w:p w14:paraId="31E64B14">
                  <w:pPr>
                    <w:pStyle w:val="30"/>
                    <w:overflowPunct w:val="0"/>
                    <w:autoSpaceDE w:val="0"/>
                    <w:autoSpaceDN w:val="0"/>
                    <w:rPr>
                      <w:color w:val="auto"/>
                      <w:highlight w:val="none"/>
                    </w:rPr>
                  </w:pPr>
                  <w:r>
                    <w:rPr>
                      <w:rFonts w:hint="eastAsia"/>
                      <w:color w:val="auto"/>
                      <w:highlight w:val="none"/>
                    </w:rPr>
                    <w:t>目前无标准</w:t>
                  </w:r>
                </w:p>
              </w:tc>
            </w:tr>
          </w:tbl>
          <w:p w14:paraId="194AC050">
            <w:pPr>
              <w:pStyle w:val="6"/>
              <w:rPr>
                <w:rFonts w:hint="eastAsia" w:eastAsia="宋体"/>
                <w:color w:val="auto"/>
                <w:highlight w:val="none"/>
                <w:lang w:val="en-US" w:eastAsia="zh-CN"/>
              </w:rPr>
            </w:pPr>
            <w:r>
              <w:rPr>
                <w:color w:val="auto"/>
                <w:highlight w:val="none"/>
              </w:rPr>
              <w:t xml:space="preserve">表 </w:t>
            </w:r>
            <w:r>
              <w:rPr>
                <w:rFonts w:hint="eastAsia"/>
                <w:color w:val="auto"/>
                <w:highlight w:val="none"/>
                <w:lang w:val="en-US" w:eastAsia="zh-CN"/>
              </w:rPr>
              <w:t>2</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lang w:val="en-US" w:eastAsia="zh-CN"/>
              </w:rPr>
              <w:t xml:space="preserve"> 车用尿素</w:t>
            </w:r>
            <w:r>
              <w:rPr>
                <w:rFonts w:hint="eastAsia"/>
                <w:color w:val="auto"/>
                <w:highlight w:val="none"/>
              </w:rPr>
              <w:t>理化性质和危险特性</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81"/>
              <w:gridCol w:w="2001"/>
              <w:gridCol w:w="1823"/>
              <w:gridCol w:w="2151"/>
            </w:tblGrid>
            <w:tr w14:paraId="5D0C0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1" w:type="dxa"/>
                  <w:gridSpan w:val="4"/>
                  <w:noWrap w:val="0"/>
                  <w:vAlign w:val="center"/>
                </w:tcPr>
                <w:p w14:paraId="12E90B7C">
                  <w:pPr>
                    <w:pStyle w:val="30"/>
                    <w:bidi w:val="0"/>
                    <w:jc w:val="both"/>
                    <w:rPr>
                      <w:rFonts w:hint="eastAsia" w:eastAsia="宋体"/>
                      <w:color w:val="auto"/>
                      <w:highlight w:val="none"/>
                      <w:lang w:eastAsia="zh-CN"/>
                    </w:rPr>
                  </w:pPr>
                  <w:r>
                    <w:rPr>
                      <w:rFonts w:hint="default"/>
                      <w:color w:val="auto"/>
                      <w:highlight w:val="none"/>
                    </w:rPr>
                    <w:t>物质名称：</w:t>
                  </w:r>
                  <w:r>
                    <w:rPr>
                      <w:rFonts w:hint="eastAsia"/>
                      <w:color w:val="auto"/>
                      <w:highlight w:val="none"/>
                      <w:lang w:eastAsia="zh-CN"/>
                    </w:rPr>
                    <w:t>车用尿素溶液</w:t>
                  </w:r>
                </w:p>
              </w:tc>
            </w:tr>
            <w:tr w14:paraId="1A912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66" w:type="dxa"/>
                  <w:shd w:val="clear" w:color="auto" w:fill="auto"/>
                  <w:noWrap w:val="0"/>
                  <w:vAlign w:val="center"/>
                </w:tcPr>
                <w:p w14:paraId="26132BA7">
                  <w:pPr>
                    <w:pStyle w:val="30"/>
                    <w:bidi w:val="0"/>
                    <w:jc w:val="center"/>
                    <w:rPr>
                      <w:rFonts w:hint="default" w:ascii="Times New Roman" w:hAnsi="Times New Roman" w:eastAsia="宋体" w:cs="Times New Roman"/>
                      <w:color w:val="auto"/>
                      <w:kern w:val="0"/>
                      <w:sz w:val="18"/>
                      <w:szCs w:val="18"/>
                      <w:highlight w:val="none"/>
                      <w:lang w:val="en-US" w:eastAsia="zh-CN" w:bidi="ar-SA"/>
                    </w:rPr>
                  </w:pPr>
                  <w:r>
                    <w:rPr>
                      <w:rFonts w:hint="default"/>
                      <w:color w:val="auto"/>
                      <w:highlight w:val="none"/>
                    </w:rPr>
                    <w:t>外观与气味</w:t>
                  </w:r>
                </w:p>
              </w:tc>
              <w:tc>
                <w:tcPr>
                  <w:tcW w:w="1984" w:type="dxa"/>
                  <w:shd w:val="clear" w:color="auto" w:fill="auto"/>
                  <w:noWrap w:val="0"/>
                  <w:vAlign w:val="center"/>
                </w:tcPr>
                <w:p w14:paraId="591EFA28">
                  <w:pPr>
                    <w:pStyle w:val="30"/>
                    <w:bidi w:val="0"/>
                    <w:jc w:val="center"/>
                    <w:rPr>
                      <w:rFonts w:hint="default" w:ascii="Times New Roman" w:hAnsi="Times New Roman" w:eastAsia="宋体" w:cs="Times New Roman"/>
                      <w:color w:val="auto"/>
                      <w:kern w:val="0"/>
                      <w:sz w:val="18"/>
                      <w:szCs w:val="18"/>
                      <w:highlight w:val="none"/>
                      <w:lang w:val="en-US" w:eastAsia="zh-CN" w:bidi="ar-SA"/>
                    </w:rPr>
                  </w:pPr>
                  <w:r>
                    <w:rPr>
                      <w:rFonts w:hint="default"/>
                      <w:color w:val="auto"/>
                      <w:highlight w:val="none"/>
                    </w:rPr>
                    <w:t>无色无味气体。</w:t>
                  </w:r>
                </w:p>
              </w:tc>
              <w:tc>
                <w:tcPr>
                  <w:tcW w:w="1808" w:type="dxa"/>
                  <w:noWrap w:val="0"/>
                  <w:vAlign w:val="center"/>
                </w:tcPr>
                <w:p w14:paraId="1FF20D1E">
                  <w:pPr>
                    <w:pStyle w:val="30"/>
                    <w:bidi w:val="0"/>
                    <w:jc w:val="center"/>
                    <w:rPr>
                      <w:rFonts w:hint="eastAsia" w:eastAsia="宋体"/>
                      <w:color w:val="auto"/>
                      <w:highlight w:val="none"/>
                      <w:lang w:eastAsia="zh-CN"/>
                    </w:rPr>
                  </w:pPr>
                  <w:r>
                    <w:rPr>
                      <w:rFonts w:hint="eastAsia"/>
                      <w:color w:val="auto"/>
                      <w:highlight w:val="none"/>
                      <w:lang w:eastAsia="zh-CN"/>
                    </w:rPr>
                    <w:t>含氮量</w:t>
                  </w:r>
                </w:p>
              </w:tc>
              <w:tc>
                <w:tcPr>
                  <w:tcW w:w="2133" w:type="dxa"/>
                  <w:noWrap w:val="0"/>
                  <w:vAlign w:val="center"/>
                </w:tcPr>
                <w:p w14:paraId="191D3D3D">
                  <w:pPr>
                    <w:pStyle w:val="30"/>
                    <w:bidi w:val="0"/>
                    <w:jc w:val="center"/>
                    <w:rPr>
                      <w:rFonts w:hint="default"/>
                      <w:color w:val="auto"/>
                      <w:highlight w:val="none"/>
                    </w:rPr>
                  </w:pPr>
                  <w:r>
                    <w:rPr>
                      <w:rFonts w:hint="eastAsia"/>
                      <w:bCs/>
                      <w:color w:val="auto"/>
                      <w:highlight w:val="none"/>
                    </w:rPr>
                    <w:t>约为46.67%</w:t>
                  </w:r>
                </w:p>
              </w:tc>
            </w:tr>
            <w:tr w14:paraId="6BB53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66" w:type="dxa"/>
                  <w:noWrap w:val="0"/>
                  <w:vAlign w:val="center"/>
                </w:tcPr>
                <w:p w14:paraId="4A52248E">
                  <w:pPr>
                    <w:pStyle w:val="30"/>
                    <w:bidi w:val="0"/>
                    <w:jc w:val="center"/>
                    <w:rPr>
                      <w:rFonts w:hint="default"/>
                      <w:color w:val="auto"/>
                      <w:highlight w:val="none"/>
                    </w:rPr>
                  </w:pPr>
                  <w:r>
                    <w:rPr>
                      <w:rFonts w:hint="eastAsia"/>
                      <w:bCs/>
                      <w:color w:val="auto"/>
                      <w:highlight w:val="none"/>
                    </w:rPr>
                    <w:t>密度</w:t>
                  </w:r>
                </w:p>
              </w:tc>
              <w:tc>
                <w:tcPr>
                  <w:tcW w:w="1984" w:type="dxa"/>
                  <w:noWrap w:val="0"/>
                  <w:vAlign w:val="center"/>
                </w:tcPr>
                <w:p w14:paraId="75D7F4E8">
                  <w:pPr>
                    <w:pStyle w:val="30"/>
                    <w:bidi w:val="0"/>
                    <w:jc w:val="center"/>
                    <w:rPr>
                      <w:rFonts w:hint="default"/>
                      <w:color w:val="auto"/>
                      <w:highlight w:val="none"/>
                    </w:rPr>
                  </w:pPr>
                  <w:r>
                    <w:rPr>
                      <w:rFonts w:hint="eastAsia"/>
                      <w:bCs/>
                      <w:color w:val="auto"/>
                      <w:highlight w:val="none"/>
                    </w:rPr>
                    <w:t>1.335g/cm</w:t>
                  </w:r>
                </w:p>
              </w:tc>
              <w:tc>
                <w:tcPr>
                  <w:tcW w:w="1808" w:type="dxa"/>
                  <w:noWrap w:val="0"/>
                  <w:vAlign w:val="center"/>
                </w:tcPr>
                <w:p w14:paraId="0F24BAA0">
                  <w:pPr>
                    <w:pStyle w:val="30"/>
                    <w:bidi w:val="0"/>
                    <w:jc w:val="center"/>
                    <w:rPr>
                      <w:rFonts w:hint="default"/>
                      <w:color w:val="auto"/>
                      <w:highlight w:val="none"/>
                    </w:rPr>
                  </w:pPr>
                  <w:r>
                    <w:rPr>
                      <w:rFonts w:hint="default"/>
                      <w:color w:val="auto"/>
                      <w:highlight w:val="none"/>
                    </w:rPr>
                    <w:t>熔点（℃）</w:t>
                  </w:r>
                </w:p>
              </w:tc>
              <w:tc>
                <w:tcPr>
                  <w:tcW w:w="2133" w:type="dxa"/>
                  <w:noWrap w:val="0"/>
                  <w:vAlign w:val="center"/>
                </w:tcPr>
                <w:p w14:paraId="07F78418">
                  <w:pPr>
                    <w:pStyle w:val="30"/>
                    <w:bidi w:val="0"/>
                    <w:jc w:val="center"/>
                    <w:rPr>
                      <w:rFonts w:hint="default" w:eastAsia="宋体"/>
                      <w:color w:val="auto"/>
                      <w:highlight w:val="none"/>
                      <w:lang w:val="en-US" w:eastAsia="zh-CN"/>
                    </w:rPr>
                  </w:pPr>
                  <w:r>
                    <w:rPr>
                      <w:rFonts w:hint="eastAsia"/>
                      <w:color w:val="auto"/>
                      <w:highlight w:val="none"/>
                      <w:lang w:val="en-US" w:eastAsia="zh-CN"/>
                    </w:rPr>
                    <w:t>132.7</w:t>
                  </w:r>
                </w:p>
              </w:tc>
            </w:tr>
            <w:tr w14:paraId="1FB14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66" w:type="dxa"/>
                  <w:shd w:val="clear" w:color="auto" w:fill="auto"/>
                  <w:noWrap w:val="0"/>
                  <w:vAlign w:val="center"/>
                </w:tcPr>
                <w:p w14:paraId="76B13F81">
                  <w:pPr>
                    <w:pStyle w:val="30"/>
                    <w:bidi w:val="0"/>
                    <w:jc w:val="center"/>
                    <w:rPr>
                      <w:rFonts w:hint="default" w:ascii="Times New Roman" w:hAnsi="Times New Roman" w:eastAsia="宋体" w:cs="Times New Roman"/>
                      <w:color w:val="auto"/>
                      <w:kern w:val="0"/>
                      <w:sz w:val="18"/>
                      <w:szCs w:val="18"/>
                      <w:highlight w:val="none"/>
                      <w:lang w:val="en-US" w:eastAsia="zh-CN" w:bidi="ar-SA"/>
                    </w:rPr>
                  </w:pPr>
                  <w:r>
                    <w:rPr>
                      <w:rFonts w:hint="default"/>
                      <w:color w:val="auto"/>
                      <w:highlight w:val="none"/>
                    </w:rPr>
                    <w:t>溶解性</w:t>
                  </w:r>
                </w:p>
              </w:tc>
              <w:tc>
                <w:tcPr>
                  <w:tcW w:w="5925" w:type="dxa"/>
                  <w:gridSpan w:val="3"/>
                  <w:shd w:val="clear" w:color="auto" w:fill="auto"/>
                  <w:noWrap w:val="0"/>
                  <w:vAlign w:val="center"/>
                </w:tcPr>
                <w:p w14:paraId="30B756F1">
                  <w:pPr>
                    <w:pStyle w:val="30"/>
                    <w:bidi w:val="0"/>
                    <w:jc w:val="center"/>
                    <w:rPr>
                      <w:rFonts w:hint="default"/>
                      <w:color w:val="auto"/>
                      <w:highlight w:val="none"/>
                    </w:rPr>
                  </w:pPr>
                  <w:r>
                    <w:rPr>
                      <w:rFonts w:hint="eastAsia"/>
                      <w:bCs/>
                      <w:color w:val="auto"/>
                      <w:highlight w:val="none"/>
                    </w:rPr>
                    <w:t>溶于水、醇，溶于乙醚、氯仿。</w:t>
                  </w:r>
                </w:p>
              </w:tc>
            </w:tr>
            <w:tr w14:paraId="24F9E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0" w:type="dxa"/>
                  <w:gridSpan w:val="2"/>
                  <w:shd w:val="clear" w:color="auto" w:fill="auto"/>
                  <w:noWrap w:val="0"/>
                  <w:vAlign w:val="center"/>
                </w:tcPr>
                <w:p w14:paraId="3CD4A32C">
                  <w:pPr>
                    <w:pStyle w:val="30"/>
                    <w:bidi w:val="0"/>
                    <w:jc w:val="center"/>
                    <w:rPr>
                      <w:rFonts w:hint="eastAsia" w:eastAsia="宋体"/>
                      <w:color w:val="auto"/>
                      <w:highlight w:val="none"/>
                      <w:lang w:eastAsia="zh-CN"/>
                    </w:rPr>
                  </w:pPr>
                  <w:r>
                    <w:rPr>
                      <w:rFonts w:hint="eastAsia"/>
                      <w:color w:val="auto"/>
                      <w:highlight w:val="none"/>
                      <w:lang w:eastAsia="zh-CN"/>
                    </w:rPr>
                    <w:t>操作储存</w:t>
                  </w:r>
                </w:p>
              </w:tc>
              <w:tc>
                <w:tcPr>
                  <w:tcW w:w="3941" w:type="dxa"/>
                  <w:gridSpan w:val="2"/>
                  <w:shd w:val="clear" w:color="auto" w:fill="auto"/>
                  <w:noWrap w:val="0"/>
                  <w:vAlign w:val="center"/>
                </w:tcPr>
                <w:p w14:paraId="5B97E302">
                  <w:pPr>
                    <w:pStyle w:val="30"/>
                    <w:bidi w:val="0"/>
                    <w:jc w:val="center"/>
                    <w:rPr>
                      <w:rFonts w:hint="eastAsia" w:eastAsia="宋体"/>
                      <w:bCs/>
                      <w:color w:val="auto"/>
                      <w:highlight w:val="none"/>
                      <w:lang w:eastAsia="zh-CN"/>
                    </w:rPr>
                  </w:pPr>
                  <w:r>
                    <w:rPr>
                      <w:rFonts w:hint="eastAsia"/>
                      <w:bCs/>
                      <w:color w:val="auto"/>
                      <w:highlight w:val="none"/>
                      <w:lang w:eastAsia="zh-CN"/>
                    </w:rPr>
                    <w:t>防护措施</w:t>
                  </w:r>
                </w:p>
              </w:tc>
            </w:tr>
            <w:tr w14:paraId="329DA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0" w:type="dxa"/>
                  <w:gridSpan w:val="2"/>
                  <w:shd w:val="clear" w:color="auto" w:fill="auto"/>
                  <w:noWrap w:val="0"/>
                  <w:vAlign w:val="center"/>
                </w:tcPr>
                <w:p w14:paraId="0D886E51">
                  <w:pPr>
                    <w:pStyle w:val="30"/>
                    <w:bidi w:val="0"/>
                    <w:jc w:val="center"/>
                    <w:rPr>
                      <w:rFonts w:hint="default"/>
                      <w:color w:val="auto"/>
                      <w:highlight w:val="none"/>
                    </w:rPr>
                  </w:pPr>
                  <w:r>
                    <w:rPr>
                      <w:rFonts w:hint="default"/>
                      <w:color w:val="auto"/>
                      <w:highlight w:val="none"/>
                    </w:rPr>
                    <w:t>阴凉通风干燥，</w:t>
                  </w:r>
                  <w:r>
                    <w:rPr>
                      <w:rFonts w:hint="eastAsia"/>
                      <w:color w:val="auto"/>
                      <w:highlight w:val="none"/>
                      <w:lang w:eastAsia="zh-CN"/>
                    </w:rPr>
                    <w:t>儿童</w:t>
                  </w:r>
                  <w:r>
                    <w:rPr>
                      <w:rFonts w:hint="default"/>
                      <w:color w:val="auto"/>
                      <w:highlight w:val="none"/>
                    </w:rPr>
                    <w:t>不易触之处，远离火源</w:t>
                  </w:r>
                </w:p>
              </w:tc>
              <w:tc>
                <w:tcPr>
                  <w:tcW w:w="3941" w:type="dxa"/>
                  <w:gridSpan w:val="2"/>
                  <w:shd w:val="clear" w:color="auto" w:fill="auto"/>
                  <w:noWrap w:val="0"/>
                  <w:vAlign w:val="center"/>
                </w:tcPr>
                <w:p w14:paraId="7861AD7B">
                  <w:pPr>
                    <w:pStyle w:val="30"/>
                    <w:bidi w:val="0"/>
                    <w:jc w:val="center"/>
                    <w:rPr>
                      <w:rFonts w:hint="eastAsia"/>
                      <w:bCs/>
                      <w:color w:val="auto"/>
                      <w:highlight w:val="none"/>
                    </w:rPr>
                  </w:pPr>
                  <w:r>
                    <w:rPr>
                      <w:rFonts w:hint="eastAsia"/>
                      <w:bCs/>
                      <w:color w:val="auto"/>
                      <w:highlight w:val="none"/>
                    </w:rPr>
                    <w:t>经常接触需佩戴手套、口罩、防护镜</w:t>
                  </w:r>
                </w:p>
              </w:tc>
            </w:tr>
            <w:tr w14:paraId="6B598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0" w:type="dxa"/>
                  <w:gridSpan w:val="2"/>
                  <w:shd w:val="clear" w:color="auto" w:fill="auto"/>
                  <w:noWrap w:val="0"/>
                  <w:vAlign w:val="center"/>
                </w:tcPr>
                <w:p w14:paraId="78E44F2B">
                  <w:pPr>
                    <w:pStyle w:val="30"/>
                    <w:bidi w:val="0"/>
                    <w:jc w:val="center"/>
                    <w:rPr>
                      <w:rFonts w:hint="eastAsia" w:eastAsia="宋体"/>
                      <w:color w:val="auto"/>
                      <w:highlight w:val="none"/>
                      <w:lang w:eastAsia="zh-CN"/>
                    </w:rPr>
                  </w:pPr>
                  <w:r>
                    <w:rPr>
                      <w:rFonts w:hint="eastAsia"/>
                      <w:color w:val="auto"/>
                      <w:highlight w:val="none"/>
                      <w:lang w:eastAsia="zh-CN"/>
                    </w:rPr>
                    <w:t>应急处理</w:t>
                  </w:r>
                </w:p>
              </w:tc>
              <w:tc>
                <w:tcPr>
                  <w:tcW w:w="3941" w:type="dxa"/>
                  <w:gridSpan w:val="2"/>
                  <w:shd w:val="clear" w:color="auto" w:fill="auto"/>
                  <w:noWrap w:val="0"/>
                  <w:vAlign w:val="center"/>
                </w:tcPr>
                <w:p w14:paraId="0CD7CDDB">
                  <w:pPr>
                    <w:pStyle w:val="30"/>
                    <w:bidi w:val="0"/>
                    <w:jc w:val="center"/>
                    <w:rPr>
                      <w:rFonts w:hint="eastAsia" w:eastAsia="宋体"/>
                      <w:bCs/>
                      <w:color w:val="auto"/>
                      <w:highlight w:val="none"/>
                      <w:lang w:eastAsia="zh-CN"/>
                    </w:rPr>
                  </w:pPr>
                  <w:r>
                    <w:rPr>
                      <w:rFonts w:hint="eastAsia"/>
                      <w:bCs/>
                      <w:color w:val="auto"/>
                      <w:highlight w:val="none"/>
                      <w:lang w:eastAsia="zh-CN"/>
                    </w:rPr>
                    <w:t>灭火处置</w:t>
                  </w:r>
                </w:p>
              </w:tc>
            </w:tr>
            <w:tr w14:paraId="7DB11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0" w:type="dxa"/>
                  <w:gridSpan w:val="2"/>
                  <w:shd w:val="clear" w:color="auto" w:fill="auto"/>
                  <w:noWrap w:val="0"/>
                  <w:vAlign w:val="center"/>
                </w:tcPr>
                <w:p w14:paraId="5E498AAE">
                  <w:pPr>
                    <w:pStyle w:val="30"/>
                    <w:bidi w:val="0"/>
                    <w:jc w:val="center"/>
                    <w:rPr>
                      <w:rFonts w:hint="eastAsia"/>
                      <w:color w:val="auto"/>
                      <w:highlight w:val="none"/>
                      <w:lang w:eastAsia="zh-CN"/>
                    </w:rPr>
                  </w:pPr>
                  <w:r>
                    <w:rPr>
                      <w:rFonts w:hint="eastAsia"/>
                      <w:color w:val="auto"/>
                      <w:highlight w:val="none"/>
                      <w:lang w:eastAsia="zh-CN"/>
                    </w:rPr>
                    <w:t>小量泄漏时用湿抹布擦洗或用大量水冲洗，大量泄漏时收集回收或运至废物处理场所处置</w:t>
                  </w:r>
                </w:p>
              </w:tc>
              <w:tc>
                <w:tcPr>
                  <w:tcW w:w="3941" w:type="dxa"/>
                  <w:gridSpan w:val="2"/>
                  <w:shd w:val="clear" w:color="auto" w:fill="auto"/>
                  <w:noWrap w:val="0"/>
                  <w:vAlign w:val="center"/>
                </w:tcPr>
                <w:p w14:paraId="0E7B48A7">
                  <w:pPr>
                    <w:pStyle w:val="30"/>
                    <w:bidi w:val="0"/>
                    <w:jc w:val="center"/>
                    <w:rPr>
                      <w:rFonts w:hint="eastAsia"/>
                      <w:bCs/>
                      <w:color w:val="auto"/>
                      <w:highlight w:val="none"/>
                    </w:rPr>
                  </w:pPr>
                  <w:r>
                    <w:rPr>
                      <w:rFonts w:hint="eastAsia"/>
                      <w:bCs/>
                      <w:color w:val="auto"/>
                      <w:highlight w:val="none"/>
                    </w:rPr>
                    <w:t>用CO</w:t>
                  </w:r>
                  <w:r>
                    <w:rPr>
                      <w:rFonts w:hint="eastAsia"/>
                      <w:bCs/>
                      <w:color w:val="auto"/>
                      <w:highlight w:val="none"/>
                      <w:vertAlign w:val="subscript"/>
                    </w:rPr>
                    <w:t>2</w:t>
                  </w:r>
                  <w:r>
                    <w:rPr>
                      <w:rFonts w:hint="eastAsia"/>
                      <w:bCs/>
                      <w:color w:val="auto"/>
                      <w:highlight w:val="none"/>
                    </w:rPr>
                    <w:t>灭火器，砂土</w:t>
                  </w:r>
                </w:p>
              </w:tc>
            </w:tr>
            <w:tr w14:paraId="013B9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0" w:type="dxa"/>
                  <w:gridSpan w:val="2"/>
                  <w:shd w:val="clear" w:color="auto" w:fill="auto"/>
                  <w:noWrap w:val="0"/>
                  <w:vAlign w:val="center"/>
                </w:tcPr>
                <w:p w14:paraId="5261EC54">
                  <w:pPr>
                    <w:pStyle w:val="30"/>
                    <w:bidi w:val="0"/>
                    <w:jc w:val="center"/>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健康危害</w:t>
                  </w:r>
                </w:p>
              </w:tc>
              <w:tc>
                <w:tcPr>
                  <w:tcW w:w="3941" w:type="dxa"/>
                  <w:gridSpan w:val="2"/>
                  <w:shd w:val="clear" w:color="auto" w:fill="auto"/>
                  <w:noWrap w:val="0"/>
                  <w:vAlign w:val="center"/>
                </w:tcPr>
                <w:p w14:paraId="6D0F8CB7">
                  <w:pPr>
                    <w:pStyle w:val="30"/>
                    <w:bidi w:val="0"/>
                    <w:jc w:val="center"/>
                    <w:rPr>
                      <w:rFonts w:hint="eastAsia" w:ascii="Times New Roman" w:hAnsi="Times New Roman" w:eastAsia="宋体" w:cs="Times New Roman"/>
                      <w:bCs/>
                      <w:color w:val="auto"/>
                      <w:kern w:val="0"/>
                      <w:sz w:val="18"/>
                      <w:szCs w:val="18"/>
                      <w:highlight w:val="none"/>
                      <w:lang w:val="en-US" w:eastAsia="zh-CN" w:bidi="ar-SA"/>
                    </w:rPr>
                  </w:pPr>
                  <w:r>
                    <w:rPr>
                      <w:rFonts w:hint="eastAsia"/>
                      <w:bCs/>
                      <w:color w:val="auto"/>
                      <w:highlight w:val="none"/>
                      <w:lang w:eastAsia="zh-CN"/>
                    </w:rPr>
                    <w:t>废弃处置</w:t>
                  </w:r>
                </w:p>
              </w:tc>
            </w:tr>
            <w:tr w14:paraId="11D8C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0" w:type="dxa"/>
                  <w:gridSpan w:val="2"/>
                  <w:shd w:val="clear" w:color="auto" w:fill="auto"/>
                  <w:noWrap w:val="0"/>
                  <w:vAlign w:val="center"/>
                </w:tcPr>
                <w:p w14:paraId="269A1CD0">
                  <w:pPr>
                    <w:pStyle w:val="30"/>
                    <w:bidi w:val="0"/>
                    <w:jc w:val="center"/>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长期接触对眼睛有刺激作用，误饮会造成胃部不适</w:t>
                  </w:r>
                </w:p>
              </w:tc>
              <w:tc>
                <w:tcPr>
                  <w:tcW w:w="3941" w:type="dxa"/>
                  <w:gridSpan w:val="2"/>
                  <w:shd w:val="clear" w:color="auto" w:fill="auto"/>
                  <w:noWrap w:val="0"/>
                  <w:vAlign w:val="center"/>
                </w:tcPr>
                <w:p w14:paraId="27C8900D">
                  <w:pPr>
                    <w:pStyle w:val="30"/>
                    <w:bidi w:val="0"/>
                    <w:jc w:val="center"/>
                    <w:rPr>
                      <w:rFonts w:hint="eastAsia" w:ascii="Times New Roman" w:hAnsi="Times New Roman" w:eastAsia="宋体" w:cs="Times New Roman"/>
                      <w:bCs/>
                      <w:color w:val="auto"/>
                      <w:kern w:val="0"/>
                      <w:sz w:val="18"/>
                      <w:szCs w:val="18"/>
                      <w:highlight w:val="none"/>
                      <w:lang w:val="en-US" w:eastAsia="zh-CN" w:bidi="ar-SA"/>
                    </w:rPr>
                  </w:pPr>
                  <w:r>
                    <w:rPr>
                      <w:rFonts w:hint="eastAsia"/>
                      <w:bCs/>
                      <w:color w:val="auto"/>
                      <w:highlight w:val="none"/>
                    </w:rPr>
                    <w:t>没有使用，过期的产品退回供应商。使用后残液用大量自来水稀释后放入废液处理系统</w:t>
                  </w:r>
                </w:p>
              </w:tc>
            </w:tr>
            <w:tr w14:paraId="3A74B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1" w:type="dxa"/>
                  <w:gridSpan w:val="4"/>
                  <w:shd w:val="clear" w:color="auto" w:fill="auto"/>
                  <w:noWrap w:val="0"/>
                  <w:vAlign w:val="center"/>
                </w:tcPr>
                <w:p w14:paraId="1AF679EC">
                  <w:pPr>
                    <w:pStyle w:val="30"/>
                    <w:bidi w:val="0"/>
                    <w:jc w:val="both"/>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急救措施：</w:t>
                  </w:r>
                </w:p>
              </w:tc>
            </w:tr>
            <w:tr w14:paraId="5D49E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1" w:type="dxa"/>
                  <w:gridSpan w:val="4"/>
                  <w:shd w:val="clear" w:color="auto" w:fill="auto"/>
                  <w:noWrap w:val="0"/>
                  <w:vAlign w:val="center"/>
                </w:tcPr>
                <w:p w14:paraId="0E4DC398">
                  <w:pPr>
                    <w:pStyle w:val="30"/>
                    <w:bidi w:val="0"/>
                    <w:jc w:val="both"/>
                    <w:rPr>
                      <w:rFonts w:hint="eastAsia"/>
                      <w:color w:val="auto"/>
                      <w:highlight w:val="none"/>
                      <w:lang w:eastAsia="zh-CN"/>
                    </w:rPr>
                  </w:pPr>
                  <w:r>
                    <w:rPr>
                      <w:rFonts w:hint="eastAsia"/>
                      <w:color w:val="auto"/>
                      <w:highlight w:val="none"/>
                      <w:lang w:eastAsia="zh-CN"/>
                    </w:rPr>
                    <w:t>眼接触：提起眼睑用流动清水冲洗，就医</w:t>
                  </w:r>
                </w:p>
                <w:p w14:paraId="053EF92C">
                  <w:pPr>
                    <w:pStyle w:val="30"/>
                    <w:bidi w:val="0"/>
                    <w:jc w:val="both"/>
                    <w:rPr>
                      <w:rFonts w:hint="eastAsia"/>
                      <w:color w:val="auto"/>
                      <w:highlight w:val="none"/>
                      <w:lang w:eastAsia="zh-CN"/>
                    </w:rPr>
                  </w:pPr>
                  <w:r>
                    <w:rPr>
                      <w:rFonts w:hint="eastAsia"/>
                      <w:color w:val="auto"/>
                      <w:highlight w:val="none"/>
                      <w:lang w:eastAsia="zh-CN"/>
                    </w:rPr>
                    <w:t>皮肤接触：脱去被污染的衣着，用肥皂水和清水彻底冲洗皮肤</w:t>
                  </w:r>
                </w:p>
                <w:p w14:paraId="4900640D">
                  <w:pPr>
                    <w:pStyle w:val="30"/>
                    <w:bidi w:val="0"/>
                    <w:jc w:val="both"/>
                    <w:rPr>
                      <w:rFonts w:hint="eastAsia"/>
                      <w:color w:val="auto"/>
                      <w:highlight w:val="none"/>
                      <w:lang w:eastAsia="zh-CN"/>
                    </w:rPr>
                  </w:pPr>
                  <w:r>
                    <w:rPr>
                      <w:rFonts w:hint="eastAsia"/>
                      <w:color w:val="auto"/>
                      <w:highlight w:val="none"/>
                      <w:lang w:eastAsia="zh-CN"/>
                    </w:rPr>
                    <w:t>吸入：迅速脱离现场至空气新鲜处，保持呼吸道通畅，如呼吸困难及时输氧就医</w:t>
                  </w:r>
                </w:p>
                <w:p w14:paraId="641CEBD0">
                  <w:pPr>
                    <w:pStyle w:val="30"/>
                    <w:bidi w:val="0"/>
                    <w:jc w:val="both"/>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食入：饮足温水，催吐，就医</w:t>
                  </w:r>
                </w:p>
              </w:tc>
            </w:tr>
          </w:tbl>
          <w:p w14:paraId="23C13D81">
            <w:pPr>
              <w:overflowPunct w:val="0"/>
              <w:autoSpaceDE w:val="0"/>
              <w:autoSpaceDN w:val="0"/>
              <w:ind w:firstLine="480" w:firstLineChars="200"/>
              <w:rPr>
                <w:color w:val="auto"/>
                <w:highlight w:val="none"/>
              </w:rPr>
            </w:pPr>
            <w:r>
              <w:rPr>
                <w:rFonts w:hint="eastAsia"/>
                <w:color w:val="auto"/>
                <w:highlight w:val="none"/>
              </w:rPr>
              <w:t>2.7劳动定员及工作制度</w:t>
            </w:r>
          </w:p>
          <w:p w14:paraId="112BDEF8">
            <w:pPr>
              <w:overflowPunct w:val="0"/>
              <w:autoSpaceDE w:val="0"/>
              <w:autoSpaceDN w:val="0"/>
              <w:ind w:firstLine="480" w:firstLineChars="200"/>
              <w:rPr>
                <w:color w:val="auto"/>
                <w:highlight w:val="none"/>
              </w:rPr>
            </w:pPr>
            <w:r>
              <w:rPr>
                <w:rFonts w:hint="eastAsia"/>
                <w:color w:val="auto"/>
                <w:highlight w:val="none"/>
              </w:rPr>
              <w:t>本项目劳动定员共30人，工作实行三班制，每班工作8h，年工作365天。项目</w:t>
            </w:r>
            <w:r>
              <w:rPr>
                <w:rFonts w:hint="eastAsia"/>
                <w:color w:val="auto"/>
                <w:highlight w:val="none"/>
                <w:lang w:eastAsia="zh-CN"/>
              </w:rPr>
              <w:t>不设置</w:t>
            </w:r>
            <w:r>
              <w:rPr>
                <w:rFonts w:hint="eastAsia"/>
                <w:color w:val="auto"/>
                <w:highlight w:val="none"/>
              </w:rPr>
              <w:t>住宿。</w:t>
            </w:r>
          </w:p>
          <w:p w14:paraId="03D860F6">
            <w:pPr>
              <w:overflowPunct w:val="0"/>
              <w:autoSpaceDE w:val="0"/>
              <w:autoSpaceDN w:val="0"/>
              <w:ind w:firstLine="480" w:firstLineChars="200"/>
              <w:rPr>
                <w:color w:val="auto"/>
                <w:highlight w:val="none"/>
              </w:rPr>
            </w:pPr>
            <w:r>
              <w:rPr>
                <w:rFonts w:hint="eastAsia"/>
                <w:color w:val="auto"/>
                <w:highlight w:val="none"/>
              </w:rPr>
              <w:t>2.8公用设施</w:t>
            </w:r>
          </w:p>
          <w:p w14:paraId="0582DD05">
            <w:pPr>
              <w:ind w:firstLine="480" w:firstLineChars="200"/>
              <w:rPr>
                <w:color w:val="auto"/>
                <w:highlight w:val="none"/>
              </w:rPr>
            </w:pPr>
            <w:r>
              <w:rPr>
                <w:rFonts w:hint="eastAsia"/>
                <w:color w:val="auto"/>
                <w:highlight w:val="none"/>
                <w:lang w:val="en-US" w:eastAsia="zh-CN"/>
              </w:rPr>
              <w:t>1、</w:t>
            </w:r>
            <w:r>
              <w:rPr>
                <w:rFonts w:hint="eastAsia"/>
                <w:color w:val="auto"/>
                <w:highlight w:val="none"/>
              </w:rPr>
              <w:t>供水：依托市政管网供水。</w:t>
            </w:r>
          </w:p>
          <w:p w14:paraId="063E2005">
            <w:pPr>
              <w:ind w:firstLine="480" w:firstLineChars="200"/>
              <w:rPr>
                <w:color w:val="auto"/>
                <w:highlight w:val="none"/>
              </w:rPr>
            </w:pPr>
            <w:r>
              <w:rPr>
                <w:rFonts w:hint="eastAsia"/>
                <w:color w:val="auto"/>
                <w:highlight w:val="none"/>
                <w:lang w:val="en-US" w:eastAsia="zh-CN"/>
              </w:rPr>
              <w:t>2、</w:t>
            </w:r>
            <w:r>
              <w:rPr>
                <w:color w:val="auto"/>
                <w:highlight w:val="none"/>
              </w:rPr>
              <w:t>排水：项目排水采用雨污分流</w:t>
            </w:r>
            <w:r>
              <w:rPr>
                <w:rFonts w:hint="eastAsia"/>
                <w:color w:val="auto"/>
                <w:highlight w:val="none"/>
              </w:rPr>
              <w:t>。雨水排入市政雨水管网</w:t>
            </w:r>
            <w:r>
              <w:rPr>
                <w:rFonts w:hint="eastAsia"/>
                <w:color w:val="auto"/>
                <w:highlight w:val="none"/>
                <w:lang w:eastAsia="zh-CN"/>
              </w:rPr>
              <w:t>；项目东、西侧地块各设置</w:t>
            </w:r>
            <w:r>
              <w:rPr>
                <w:rFonts w:hint="eastAsia"/>
                <w:color w:val="auto"/>
                <w:highlight w:val="none"/>
                <w:lang w:val="en-US" w:eastAsia="zh-CN"/>
              </w:rPr>
              <w:t>1个废水排口。</w:t>
            </w:r>
            <w:r>
              <w:rPr>
                <w:rFonts w:hint="eastAsia"/>
                <w:color w:val="auto"/>
                <w:highlight w:val="none"/>
              </w:rPr>
              <w:t>餐饮废水经隔油池处理后与生活污水一同汇入化粪池预处理，智慧货运维修中心地面冲洗废水和维修过程中产生的洗车废水经</w:t>
            </w:r>
            <w:r>
              <w:rPr>
                <w:rFonts w:hint="eastAsia"/>
                <w:color w:val="auto"/>
                <w:highlight w:val="none"/>
                <w:lang w:eastAsia="zh-CN"/>
              </w:rPr>
              <w:t>隔油池和沉淀池</w:t>
            </w:r>
            <w:r>
              <w:rPr>
                <w:rFonts w:hint="eastAsia"/>
                <w:color w:val="auto"/>
                <w:highlight w:val="none"/>
              </w:rPr>
              <w:t>处理达标后汇同</w:t>
            </w:r>
            <w:r>
              <w:rPr>
                <w:rFonts w:hint="eastAsia"/>
                <w:color w:val="auto"/>
                <w:highlight w:val="none"/>
                <w:lang w:eastAsia="zh-CN"/>
              </w:rPr>
              <w:t>西侧地块</w:t>
            </w:r>
            <w:r>
              <w:rPr>
                <w:rFonts w:hint="eastAsia"/>
                <w:color w:val="auto"/>
                <w:highlight w:val="none"/>
              </w:rPr>
              <w:t>生活污水（含餐饮废水）经由废水排口DW001进入市政污水管网；</w:t>
            </w:r>
            <w:r>
              <w:rPr>
                <w:rFonts w:hint="eastAsia"/>
                <w:color w:val="auto"/>
                <w:highlight w:val="none"/>
                <w:lang w:eastAsia="zh-CN"/>
              </w:rPr>
              <w:t>内部</w:t>
            </w:r>
            <w:r>
              <w:rPr>
                <w:rFonts w:hint="eastAsia"/>
                <w:color w:val="auto"/>
                <w:highlight w:val="none"/>
              </w:rPr>
              <w:t>综合能源站地面冲洗废水、初期雨水经三级油水分离池处理</w:t>
            </w:r>
            <w:r>
              <w:rPr>
                <w:rFonts w:hint="eastAsia"/>
                <w:color w:val="auto"/>
                <w:highlight w:val="none"/>
                <w:lang w:eastAsia="zh-CN"/>
              </w:rPr>
              <w:t>汇同经化粪池处理后的东侧地块生活污水一同</w:t>
            </w:r>
            <w:r>
              <w:rPr>
                <w:rFonts w:hint="eastAsia"/>
                <w:color w:val="auto"/>
                <w:highlight w:val="none"/>
              </w:rPr>
              <w:t>经废水排口DW002排入市政污水管网，进入石姚湾净水厂处理。</w:t>
            </w:r>
            <w:r>
              <w:rPr>
                <w:rFonts w:hint="eastAsia"/>
                <w:color w:val="auto"/>
                <w:kern w:val="0"/>
                <w:highlight w:val="none"/>
                <w:lang w:val="en-US" w:eastAsia="zh-CN"/>
              </w:rPr>
              <w:t>本项目</w:t>
            </w:r>
            <w:r>
              <w:rPr>
                <w:rFonts w:hint="eastAsia"/>
                <w:color w:val="auto"/>
                <w:highlight w:val="none"/>
              </w:rPr>
              <w:t>废水排口DW001</w:t>
            </w:r>
            <w:r>
              <w:rPr>
                <w:rFonts w:hint="eastAsia"/>
                <w:color w:val="auto"/>
                <w:kern w:val="0"/>
                <w:highlight w:val="none"/>
                <w:lang w:val="en-US" w:eastAsia="zh-CN"/>
              </w:rPr>
              <w:t>废水污染物</w:t>
            </w:r>
            <w:r>
              <w:rPr>
                <w:rFonts w:hint="eastAsia"/>
                <w:color w:val="auto"/>
                <w:kern w:val="0"/>
                <w:highlight w:val="none"/>
              </w:rPr>
              <w:t>排放从严执行《汽车维修业水污染物排放标准》（GB26877－2011）表2间接排放标准</w:t>
            </w:r>
            <w:r>
              <w:rPr>
                <w:rFonts w:hint="eastAsia"/>
                <w:color w:val="auto"/>
                <w:kern w:val="0"/>
                <w:highlight w:val="none"/>
                <w:lang w:eastAsia="zh-CN"/>
              </w:rPr>
              <w:t>、</w:t>
            </w:r>
            <w:r>
              <w:rPr>
                <w:rFonts w:hint="eastAsia"/>
                <w:color w:val="auto"/>
                <w:kern w:val="0"/>
                <w:highlight w:val="none"/>
              </w:rPr>
              <w:t>淮南</w:t>
            </w:r>
            <w:r>
              <w:rPr>
                <w:rFonts w:hint="eastAsia"/>
                <w:color w:val="auto"/>
                <w:kern w:val="0"/>
                <w:highlight w:val="none"/>
                <w:lang w:eastAsia="zh-CN"/>
              </w:rPr>
              <w:t>石姚湾净水厂</w:t>
            </w:r>
            <w:r>
              <w:rPr>
                <w:rFonts w:hint="eastAsia"/>
                <w:color w:val="auto"/>
                <w:kern w:val="0"/>
                <w:highlight w:val="none"/>
              </w:rPr>
              <w:t>接管标准、《污水综合排放标准》（GB8978-1996）表4中三级标准</w:t>
            </w:r>
            <w:r>
              <w:rPr>
                <w:rFonts w:hint="eastAsia"/>
                <w:color w:val="auto"/>
                <w:kern w:val="0"/>
                <w:highlight w:val="none"/>
                <w:lang w:eastAsia="zh-CN"/>
              </w:rPr>
              <w:t>，</w:t>
            </w:r>
            <w:r>
              <w:rPr>
                <w:rFonts w:hint="eastAsia"/>
                <w:color w:val="auto"/>
                <w:highlight w:val="none"/>
              </w:rPr>
              <w:t>废水排口DW00</w:t>
            </w:r>
            <w:r>
              <w:rPr>
                <w:rFonts w:hint="eastAsia"/>
                <w:color w:val="auto"/>
                <w:highlight w:val="none"/>
                <w:lang w:val="en-US" w:eastAsia="zh-CN"/>
              </w:rPr>
              <w:t>2</w:t>
            </w:r>
            <w:r>
              <w:rPr>
                <w:rFonts w:hint="eastAsia"/>
                <w:color w:val="auto"/>
                <w:kern w:val="0"/>
                <w:highlight w:val="none"/>
                <w:lang w:val="en-US" w:eastAsia="zh-CN"/>
              </w:rPr>
              <w:t>废水污染物</w:t>
            </w:r>
            <w:r>
              <w:rPr>
                <w:rFonts w:hint="eastAsia"/>
                <w:color w:val="auto"/>
                <w:kern w:val="0"/>
                <w:highlight w:val="none"/>
              </w:rPr>
              <w:t>排放从严执行淮南</w:t>
            </w:r>
            <w:r>
              <w:rPr>
                <w:rFonts w:hint="eastAsia"/>
                <w:color w:val="auto"/>
                <w:kern w:val="0"/>
                <w:highlight w:val="none"/>
                <w:lang w:eastAsia="zh-CN"/>
              </w:rPr>
              <w:t>石姚湾净水厂</w:t>
            </w:r>
            <w:r>
              <w:rPr>
                <w:rFonts w:hint="eastAsia"/>
                <w:color w:val="auto"/>
                <w:kern w:val="0"/>
                <w:highlight w:val="none"/>
              </w:rPr>
              <w:t>接管标准、《污水综合排放标准》（GB8978-1996）表4中三级标准。</w:t>
            </w:r>
          </w:p>
          <w:p w14:paraId="0B344B92">
            <w:pPr>
              <w:ind w:firstLine="480" w:firstLineChars="200"/>
              <w:rPr>
                <w:rFonts w:hint="eastAsia"/>
                <w:color w:val="auto"/>
                <w:highlight w:val="none"/>
              </w:rPr>
            </w:pPr>
            <w:r>
              <w:rPr>
                <w:rFonts w:hint="eastAsia"/>
                <w:color w:val="auto"/>
                <w:highlight w:val="none"/>
              </w:rPr>
              <w:t>本项目水平衡图见下图：</w:t>
            </w:r>
          </w:p>
          <w:p w14:paraId="03FCFD79">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794885" cy="3343275"/>
                  <wp:effectExtent l="0" t="0" r="0" b="0"/>
                  <wp:docPr id="8" name="ECB019B1-382A-4266-B25C-5B523AA43C14-1" descr="C:/Users/Administrator/AppData/Local/Temp/wps.SCWfH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Administrator/AppData/Local/Temp/wps.SCWfHCwps"/>
                          <pic:cNvPicPr>
                            <a:picLocks noChangeAspect="1"/>
                          </pic:cNvPicPr>
                        </pic:nvPicPr>
                        <pic:blipFill>
                          <a:blip r:embed="rId21"/>
                          <a:stretch>
                            <a:fillRect/>
                          </a:stretch>
                        </pic:blipFill>
                        <pic:spPr>
                          <a:xfrm>
                            <a:off x="0" y="0"/>
                            <a:ext cx="4794885" cy="3343275"/>
                          </a:xfrm>
                          <a:prstGeom prst="rect">
                            <a:avLst/>
                          </a:prstGeom>
                        </pic:spPr>
                      </pic:pic>
                    </a:graphicData>
                  </a:graphic>
                </wp:inline>
              </w:drawing>
            </w:r>
          </w:p>
          <w:p w14:paraId="7CF32BFD">
            <w:pPr>
              <w:pStyle w:val="6"/>
              <w:rPr>
                <w:rFonts w:hint="eastAsia" w:eastAsia="宋体"/>
                <w:color w:val="auto"/>
                <w:highlight w:val="none"/>
                <w:lang w:eastAsia="zh-CN"/>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 xml:space="preserve"> 项目水平衡图t/</w:t>
            </w:r>
            <w:r>
              <w:rPr>
                <w:rFonts w:hint="eastAsia"/>
                <w:color w:val="auto"/>
                <w:highlight w:val="none"/>
                <w:lang w:val="en-US" w:eastAsia="zh-CN"/>
              </w:rPr>
              <w:t>d</w:t>
            </w:r>
          </w:p>
          <w:p w14:paraId="1AF3B617">
            <w:pPr>
              <w:overflowPunct w:val="0"/>
              <w:autoSpaceDE w:val="0"/>
              <w:autoSpaceDN w:val="0"/>
              <w:ind w:firstLine="480" w:firstLineChars="200"/>
              <w:rPr>
                <w:color w:val="auto"/>
                <w:highlight w:val="none"/>
              </w:rPr>
            </w:pPr>
            <w:r>
              <w:rPr>
                <w:rFonts w:hint="eastAsia"/>
                <w:color w:val="auto"/>
                <w:highlight w:val="none"/>
                <w:lang w:val="en-US" w:eastAsia="zh-CN"/>
              </w:rPr>
              <w:t>3、</w:t>
            </w:r>
            <w:r>
              <w:rPr>
                <w:color w:val="auto"/>
                <w:highlight w:val="none"/>
              </w:rPr>
              <w:t>供电：由市政供电管网供应，年用电</w:t>
            </w:r>
            <w:r>
              <w:rPr>
                <w:rFonts w:hint="eastAsia"/>
                <w:color w:val="auto"/>
                <w:highlight w:val="none"/>
              </w:rPr>
              <w:t>296</w:t>
            </w:r>
            <w:r>
              <w:rPr>
                <w:color w:val="auto"/>
                <w:highlight w:val="none"/>
              </w:rPr>
              <w:t>万kwh。</w:t>
            </w:r>
          </w:p>
          <w:p w14:paraId="3D72C29F">
            <w:pPr>
              <w:overflowPunct w:val="0"/>
              <w:autoSpaceDE w:val="0"/>
              <w:autoSpaceDN w:val="0"/>
              <w:ind w:firstLine="480" w:firstLineChars="200"/>
              <w:rPr>
                <w:color w:val="auto"/>
                <w:highlight w:val="none"/>
              </w:rPr>
            </w:pPr>
            <w:r>
              <w:rPr>
                <w:rFonts w:hint="eastAsia"/>
                <w:color w:val="auto"/>
                <w:highlight w:val="none"/>
                <w:lang w:val="en-US" w:eastAsia="zh-CN"/>
              </w:rPr>
              <w:t>4、</w:t>
            </w:r>
            <w:r>
              <w:rPr>
                <w:color w:val="auto"/>
                <w:highlight w:val="none"/>
              </w:rPr>
              <w:t>消防工程：</w:t>
            </w:r>
          </w:p>
          <w:p w14:paraId="5E8CC268">
            <w:pPr>
              <w:overflowPunct w:val="0"/>
              <w:autoSpaceDE w:val="0"/>
              <w:autoSpaceDN w:val="0"/>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每2台加油机应设置不少于2只4kg手提式干粉灭火器。</w:t>
            </w:r>
          </w:p>
          <w:p w14:paraId="5A94936C">
            <w:pPr>
              <w:overflowPunct w:val="0"/>
              <w:autoSpaceDE w:val="0"/>
              <w:autoSpaceDN w:val="0"/>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地下储罐拟设置35kg推车式干粉灭火器1个。</w:t>
            </w:r>
          </w:p>
          <w:p w14:paraId="1FA72406">
            <w:pPr>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二级加油加气站应配置灭火毯5块，沙子2m</w:t>
            </w:r>
            <w:r>
              <w:rPr>
                <w:rFonts w:hint="eastAsia"/>
                <w:color w:val="auto"/>
                <w:highlight w:val="none"/>
                <w:vertAlign w:val="superscript"/>
              </w:rPr>
              <w:t>3</w:t>
            </w:r>
            <w:r>
              <w:rPr>
                <w:color w:val="auto"/>
                <w:highlight w:val="none"/>
              </w:rPr>
              <w:t>。</w:t>
            </w:r>
            <w:bookmarkStart w:id="17" w:name="_Toc315954078"/>
            <w:bookmarkStart w:id="18" w:name="_Toc272478764"/>
          </w:p>
          <w:bookmarkEnd w:id="17"/>
          <w:bookmarkEnd w:id="18"/>
          <w:p w14:paraId="622E53F1">
            <w:pPr>
              <w:overflowPunct w:val="0"/>
              <w:autoSpaceDE w:val="0"/>
              <w:autoSpaceDN w:val="0"/>
              <w:ind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其余建筑的灭火器材配置应符合现行国家标准《建筑灭火器配置设计规范》</w:t>
            </w:r>
            <w:r>
              <w:rPr>
                <w:rFonts w:hint="eastAsia"/>
                <w:color w:val="auto"/>
                <w:highlight w:val="none"/>
                <w:lang w:eastAsia="zh-CN"/>
              </w:rPr>
              <w:t>（</w:t>
            </w:r>
            <w:r>
              <w:rPr>
                <w:color w:val="auto"/>
                <w:highlight w:val="none"/>
              </w:rPr>
              <w:t>GB50140—2005</w:t>
            </w:r>
            <w:r>
              <w:rPr>
                <w:rFonts w:hint="eastAsia"/>
                <w:color w:val="auto"/>
                <w:highlight w:val="none"/>
                <w:lang w:eastAsia="zh-CN"/>
              </w:rPr>
              <w:t>）</w:t>
            </w:r>
            <w:r>
              <w:rPr>
                <w:color w:val="auto"/>
                <w:highlight w:val="none"/>
              </w:rPr>
              <w:t>的规定</w:t>
            </w:r>
            <w:r>
              <w:rPr>
                <w:rFonts w:hint="eastAsia"/>
                <w:color w:val="auto"/>
                <w:highlight w:val="none"/>
              </w:rPr>
              <w:t>。</w:t>
            </w:r>
          </w:p>
          <w:p w14:paraId="5F443C55">
            <w:pPr>
              <w:overflowPunct w:val="0"/>
              <w:autoSpaceDE w:val="0"/>
              <w:autoSpaceDN w:val="0"/>
              <w:ind w:firstLine="480" w:firstLineChars="200"/>
              <w:rPr>
                <w:color w:val="auto"/>
                <w:highlight w:val="none"/>
              </w:rPr>
            </w:pPr>
            <w:r>
              <w:rPr>
                <w:rFonts w:hint="eastAsia"/>
                <w:color w:val="auto"/>
                <w:highlight w:val="none"/>
              </w:rPr>
              <w:t>2.9 项目平面布置合理性分析</w:t>
            </w:r>
          </w:p>
          <w:p w14:paraId="25A7D0E9">
            <w:pPr>
              <w:ind w:firstLine="480" w:firstLineChars="200"/>
              <w:rPr>
                <w:rFonts w:hint="eastAsia"/>
                <w:color w:val="auto"/>
                <w:highlight w:val="none"/>
              </w:rPr>
            </w:pPr>
            <w:r>
              <w:rPr>
                <w:rFonts w:hint="eastAsia"/>
                <w:color w:val="auto"/>
                <w:highlight w:val="none"/>
              </w:rPr>
              <w:t>项目位于</w:t>
            </w:r>
            <w:r>
              <w:rPr>
                <w:rFonts w:hint="eastAsia"/>
                <w:color w:val="auto"/>
                <w:highlight w:val="none"/>
                <w:lang w:eastAsia="zh-CN"/>
              </w:rPr>
              <w:t>淮南市田家庵区安成镇王巷村和下陈社区境内淮潘公路南侧</w:t>
            </w:r>
            <w:r>
              <w:rPr>
                <w:rFonts w:hint="eastAsia"/>
                <w:color w:val="auto"/>
                <w:highlight w:val="none"/>
              </w:rPr>
              <w:t>，新建</w:t>
            </w:r>
            <w:r>
              <w:rPr>
                <w:rFonts w:hint="eastAsia"/>
                <w:color w:val="auto"/>
                <w:highlight w:val="none"/>
                <w:lang w:eastAsia="zh-CN"/>
              </w:rPr>
              <w:t>淮南市安成城市综合交通驿站项目</w:t>
            </w:r>
            <w:r>
              <w:rPr>
                <w:rFonts w:hint="eastAsia"/>
                <w:color w:val="auto"/>
                <w:highlight w:val="none"/>
              </w:rPr>
              <w:t>，项目分为东西两个地块</w:t>
            </w:r>
            <w:r>
              <w:rPr>
                <w:rFonts w:hint="eastAsia"/>
                <w:color w:val="auto"/>
                <w:highlight w:val="none"/>
                <w:lang w:eastAsia="zh-CN"/>
              </w:rPr>
              <w:t>，</w:t>
            </w:r>
            <w:r>
              <w:rPr>
                <w:rFonts w:hint="eastAsia"/>
                <w:color w:val="auto"/>
                <w:highlight w:val="none"/>
              </w:rPr>
              <w:t>西侧地块总用地面积约为</w:t>
            </w:r>
            <w:r>
              <w:rPr>
                <w:rFonts w:hint="eastAsia"/>
                <w:color w:val="auto"/>
                <w:highlight w:val="none"/>
                <w:lang w:val="en-US" w:eastAsia="zh-CN"/>
              </w:rPr>
              <w:t>30234m</w:t>
            </w:r>
            <w:r>
              <w:rPr>
                <w:rFonts w:hint="eastAsia"/>
                <w:color w:val="auto"/>
                <w:highlight w:val="none"/>
                <w:vertAlign w:val="superscript"/>
                <w:lang w:val="en-US" w:eastAsia="zh-CN"/>
              </w:rPr>
              <w:t>2</w:t>
            </w:r>
            <w:r>
              <w:rPr>
                <w:rFonts w:hint="eastAsia"/>
                <w:color w:val="auto"/>
                <w:highlight w:val="none"/>
              </w:rPr>
              <w:t>，总建筑面积约</w:t>
            </w:r>
            <w:r>
              <w:rPr>
                <w:rFonts w:hint="eastAsia"/>
                <w:color w:val="auto"/>
                <w:highlight w:val="none"/>
                <w:lang w:val="en-US" w:eastAsia="zh-CN"/>
              </w:rPr>
              <w:t>4854.27m</w:t>
            </w:r>
            <w:r>
              <w:rPr>
                <w:rFonts w:hint="eastAsia"/>
                <w:color w:val="auto"/>
                <w:highlight w:val="none"/>
                <w:vertAlign w:val="superscript"/>
                <w:lang w:val="en-US" w:eastAsia="zh-CN"/>
              </w:rPr>
              <w:t>2</w:t>
            </w:r>
            <w:r>
              <w:rPr>
                <w:rFonts w:hint="eastAsia"/>
                <w:color w:val="auto"/>
                <w:highlight w:val="none"/>
              </w:rPr>
              <w:t>，</w:t>
            </w:r>
            <w:r>
              <w:rPr>
                <w:rFonts w:hint="eastAsia"/>
                <w:color w:val="auto"/>
                <w:highlight w:val="none"/>
                <w:lang w:eastAsia="zh-CN"/>
              </w:rPr>
              <w:t>主要建设1座智慧货运维修中心、1座智慧货运服务中心</w:t>
            </w:r>
            <w:r>
              <w:rPr>
                <w:rFonts w:hint="eastAsia"/>
                <w:color w:val="auto"/>
                <w:highlight w:val="none"/>
              </w:rPr>
              <w:t>；东侧地块总用地面积约为</w:t>
            </w:r>
            <w:r>
              <w:rPr>
                <w:rFonts w:hint="eastAsia"/>
                <w:color w:val="auto"/>
                <w:highlight w:val="none"/>
                <w:lang w:val="en-US" w:eastAsia="zh-CN"/>
              </w:rPr>
              <w:t>24615m</w:t>
            </w:r>
            <w:r>
              <w:rPr>
                <w:rFonts w:hint="eastAsia"/>
                <w:color w:val="auto"/>
                <w:highlight w:val="none"/>
                <w:vertAlign w:val="superscript"/>
                <w:lang w:val="en-US" w:eastAsia="zh-CN"/>
              </w:rPr>
              <w:t>2</w:t>
            </w:r>
            <w:r>
              <w:rPr>
                <w:rFonts w:hint="eastAsia"/>
                <w:color w:val="auto"/>
                <w:highlight w:val="none"/>
              </w:rPr>
              <w:t>，总建筑面积约</w:t>
            </w:r>
            <w:r>
              <w:rPr>
                <w:rFonts w:hint="eastAsia"/>
                <w:color w:val="auto"/>
                <w:highlight w:val="none"/>
                <w:lang w:val="en-US" w:eastAsia="zh-CN"/>
              </w:rPr>
              <w:t>819.5m</w:t>
            </w:r>
            <w:r>
              <w:rPr>
                <w:rFonts w:hint="eastAsia"/>
                <w:color w:val="auto"/>
                <w:highlight w:val="none"/>
                <w:vertAlign w:val="superscript"/>
                <w:lang w:val="en-US" w:eastAsia="zh-CN"/>
              </w:rPr>
              <w:t>2</w:t>
            </w:r>
            <w:r>
              <w:rPr>
                <w:rFonts w:hint="eastAsia"/>
                <w:color w:val="auto"/>
                <w:highlight w:val="none"/>
              </w:rPr>
              <w:t>，</w:t>
            </w:r>
            <w:r>
              <w:rPr>
                <w:rFonts w:hint="eastAsia"/>
                <w:color w:val="auto"/>
                <w:highlight w:val="none"/>
                <w:lang w:eastAsia="zh-CN"/>
              </w:rPr>
              <w:t>主要建设1座综合能源站（内部自用）</w:t>
            </w:r>
            <w:r>
              <w:rPr>
                <w:rFonts w:hint="eastAsia"/>
                <w:color w:val="auto"/>
                <w:highlight w:val="none"/>
              </w:rPr>
              <w:t>。</w:t>
            </w:r>
            <w:r>
              <w:rPr>
                <w:rFonts w:hint="eastAsia"/>
                <w:color w:val="auto"/>
                <w:highlight w:val="none"/>
                <w:lang w:eastAsia="zh-CN"/>
              </w:rPr>
              <w:t>其余区域建设货运停车场及配套建设公用工程及附属设施。项目平面布置图如下，</w:t>
            </w:r>
            <w:r>
              <w:rPr>
                <w:rFonts w:hint="eastAsia"/>
                <w:color w:val="auto"/>
                <w:highlight w:val="none"/>
              </w:rPr>
              <w:t>详见附图3。</w:t>
            </w:r>
          </w:p>
          <w:p w14:paraId="4B4CEF58">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982210" cy="3522345"/>
                  <wp:effectExtent l="9525" t="9525" r="18415" b="11430"/>
                  <wp:docPr id="28" name="图片 28" descr="安成驿站-推荐方案-5.8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安成驿站-推荐方案-5.8 Model (1)_00"/>
                          <pic:cNvPicPr>
                            <a:picLocks noChangeAspect="1"/>
                          </pic:cNvPicPr>
                        </pic:nvPicPr>
                        <pic:blipFill>
                          <a:blip r:embed="rId22"/>
                          <a:stretch>
                            <a:fillRect/>
                          </a:stretch>
                        </pic:blipFill>
                        <pic:spPr>
                          <a:xfrm>
                            <a:off x="0" y="0"/>
                            <a:ext cx="4982210" cy="3522345"/>
                          </a:xfrm>
                          <a:prstGeom prst="rect">
                            <a:avLst/>
                          </a:prstGeom>
                          <a:ln>
                            <a:solidFill>
                              <a:schemeClr val="tx1"/>
                            </a:solidFill>
                          </a:ln>
                        </pic:spPr>
                      </pic:pic>
                    </a:graphicData>
                  </a:graphic>
                </wp:inline>
              </w:drawing>
            </w:r>
          </w:p>
          <w:p w14:paraId="173B1280">
            <w:pPr>
              <w:pStyle w:val="6"/>
              <w:rPr>
                <w:rFonts w:hint="eastAsia" w:eastAsia="宋体"/>
                <w:color w:val="auto"/>
                <w:highlight w:val="none"/>
                <w:lang w:val="en-US" w:eastAsia="zh-CN"/>
              </w:rPr>
            </w:pPr>
            <w:r>
              <w:rPr>
                <w:color w:val="auto"/>
                <w:highlight w:val="none"/>
              </w:rPr>
              <w:t xml:space="preserve">图 </w:t>
            </w:r>
            <w:r>
              <w:rPr>
                <w:rFonts w:hint="eastAsia"/>
                <w:color w:val="auto"/>
                <w:highlight w:val="none"/>
                <w:lang w:val="en-US" w:eastAsia="zh-CN"/>
              </w:rPr>
              <w:t>2</w:t>
            </w:r>
            <w:r>
              <w:rPr>
                <w:rFonts w:hint="eastAsia"/>
                <w:color w:val="auto"/>
                <w:highlight w:val="none"/>
                <w:lang w:eastAsia="zh-CN"/>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lang w:val="en-US" w:eastAsia="zh-CN"/>
              </w:rPr>
              <w:t xml:space="preserve"> 项目平面布置图</w:t>
            </w:r>
          </w:p>
          <w:p w14:paraId="50B5BC5B">
            <w:pPr>
              <w:overflowPunct w:val="0"/>
              <w:autoSpaceDE w:val="0"/>
              <w:autoSpaceDN w:val="0"/>
              <w:ind w:firstLine="480" w:firstLineChars="200"/>
              <w:rPr>
                <w:rFonts w:hint="eastAsia" w:ascii="宋体" w:hAnsi="宋体" w:cs="宋体"/>
                <w:color w:val="auto"/>
                <w:highlight w:val="none"/>
              </w:rPr>
            </w:pPr>
            <w:r>
              <w:rPr>
                <w:rFonts w:ascii="宋体" w:hAnsi="宋体" w:cs="宋体"/>
                <w:color w:val="auto"/>
                <w:highlight w:val="none"/>
              </w:rPr>
              <w:t>根据《汽车加油加气加氢站技术标准》</w:t>
            </w:r>
            <w:r>
              <w:rPr>
                <w:color w:val="auto"/>
                <w:highlight w:val="none"/>
              </w:rPr>
              <w:t>（GB50156-2021）中</w:t>
            </w:r>
            <w:r>
              <w:rPr>
                <w:rFonts w:ascii="宋体" w:hAnsi="宋体" w:cs="宋体"/>
                <w:color w:val="auto"/>
                <w:highlight w:val="none"/>
              </w:rPr>
              <w:t>关于加油站总平面布置标准要求，项目总平面布置与标准情况对比见下表。</w:t>
            </w:r>
          </w:p>
          <w:p w14:paraId="6DE0AD30">
            <w:pPr>
              <w:pStyle w:val="6"/>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13</w:t>
            </w:r>
            <w:r>
              <w:rPr>
                <w:color w:val="auto"/>
                <w:highlight w:val="none"/>
              </w:rPr>
              <w:fldChar w:fldCharType="end"/>
            </w:r>
            <w:r>
              <w:rPr>
                <w:color w:val="auto"/>
                <w:sz w:val="21"/>
                <w:szCs w:val="21"/>
                <w:highlight w:val="none"/>
              </w:rPr>
              <w:t>项目站区平面布置符合性</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3954"/>
              <w:gridCol w:w="2239"/>
              <w:gridCol w:w="757"/>
            </w:tblGrid>
            <w:tr w14:paraId="39D8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2C687010">
                  <w:pPr>
                    <w:pStyle w:val="30"/>
                    <w:rPr>
                      <w:color w:val="auto"/>
                      <w:highlight w:val="none"/>
                    </w:rPr>
                  </w:pPr>
                  <w:r>
                    <w:rPr>
                      <w:rFonts w:hint="eastAsia"/>
                      <w:color w:val="auto"/>
                      <w:highlight w:val="none"/>
                    </w:rPr>
                    <w:t>序号</w:t>
                  </w:r>
                </w:p>
              </w:tc>
              <w:tc>
                <w:tcPr>
                  <w:tcW w:w="3954" w:type="dxa"/>
                  <w:vAlign w:val="center"/>
                </w:tcPr>
                <w:p w14:paraId="58472B04">
                  <w:pPr>
                    <w:pStyle w:val="30"/>
                    <w:rPr>
                      <w:color w:val="auto"/>
                      <w:highlight w:val="none"/>
                    </w:rPr>
                  </w:pPr>
                  <w:r>
                    <w:rPr>
                      <w:rFonts w:hint="eastAsia"/>
                      <w:color w:val="auto"/>
                      <w:highlight w:val="none"/>
                    </w:rPr>
                    <w:t>标准要求</w:t>
                  </w:r>
                </w:p>
              </w:tc>
              <w:tc>
                <w:tcPr>
                  <w:tcW w:w="2239" w:type="dxa"/>
                  <w:vAlign w:val="center"/>
                </w:tcPr>
                <w:p w14:paraId="22143D92">
                  <w:pPr>
                    <w:pStyle w:val="30"/>
                    <w:rPr>
                      <w:color w:val="auto"/>
                      <w:highlight w:val="none"/>
                    </w:rPr>
                  </w:pPr>
                  <w:r>
                    <w:rPr>
                      <w:rFonts w:hint="eastAsia"/>
                      <w:color w:val="auto"/>
                      <w:highlight w:val="none"/>
                    </w:rPr>
                    <w:t>项目拟建设情况</w:t>
                  </w:r>
                </w:p>
              </w:tc>
              <w:tc>
                <w:tcPr>
                  <w:tcW w:w="757" w:type="dxa"/>
                  <w:vAlign w:val="center"/>
                </w:tcPr>
                <w:p w14:paraId="67D2A990">
                  <w:pPr>
                    <w:pStyle w:val="30"/>
                    <w:rPr>
                      <w:color w:val="auto"/>
                      <w:highlight w:val="none"/>
                    </w:rPr>
                  </w:pPr>
                  <w:r>
                    <w:rPr>
                      <w:rFonts w:hint="eastAsia"/>
                      <w:color w:val="auto"/>
                      <w:highlight w:val="none"/>
                    </w:rPr>
                    <w:t>符合性</w:t>
                  </w:r>
                </w:p>
              </w:tc>
            </w:tr>
            <w:tr w14:paraId="3C7A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5F481A54">
                  <w:pPr>
                    <w:pStyle w:val="30"/>
                    <w:rPr>
                      <w:color w:val="auto"/>
                      <w:highlight w:val="none"/>
                    </w:rPr>
                  </w:pPr>
                  <w:r>
                    <w:rPr>
                      <w:rFonts w:hint="eastAsia"/>
                      <w:color w:val="auto"/>
                      <w:highlight w:val="none"/>
                    </w:rPr>
                    <w:t>1</w:t>
                  </w:r>
                </w:p>
              </w:tc>
              <w:tc>
                <w:tcPr>
                  <w:tcW w:w="3954" w:type="dxa"/>
                  <w:vAlign w:val="center"/>
                </w:tcPr>
                <w:p w14:paraId="435541A2">
                  <w:pPr>
                    <w:pStyle w:val="30"/>
                    <w:rPr>
                      <w:color w:val="auto"/>
                      <w:highlight w:val="none"/>
                    </w:rPr>
                  </w:pPr>
                  <w:r>
                    <w:rPr>
                      <w:color w:val="auto"/>
                      <w:highlight w:val="none"/>
                    </w:rPr>
                    <w:t>车辆入口和出口应分开设置</w:t>
                  </w:r>
                </w:p>
              </w:tc>
              <w:tc>
                <w:tcPr>
                  <w:tcW w:w="2239" w:type="dxa"/>
                  <w:vAlign w:val="center"/>
                </w:tcPr>
                <w:p w14:paraId="6174E04C">
                  <w:pPr>
                    <w:pStyle w:val="30"/>
                    <w:rPr>
                      <w:color w:val="auto"/>
                      <w:highlight w:val="none"/>
                    </w:rPr>
                  </w:pPr>
                  <w:r>
                    <w:rPr>
                      <w:rFonts w:hint="eastAsia"/>
                      <w:color w:val="auto"/>
                      <w:highlight w:val="none"/>
                    </w:rPr>
                    <w:t>加油站</w:t>
                  </w:r>
                  <w:r>
                    <w:rPr>
                      <w:color w:val="auto"/>
                      <w:highlight w:val="none"/>
                    </w:rPr>
                    <w:t>进出口分开设置</w:t>
                  </w:r>
                </w:p>
              </w:tc>
              <w:tc>
                <w:tcPr>
                  <w:tcW w:w="757" w:type="dxa"/>
                  <w:vAlign w:val="center"/>
                </w:tcPr>
                <w:p w14:paraId="40AF3340">
                  <w:pPr>
                    <w:pStyle w:val="30"/>
                    <w:rPr>
                      <w:color w:val="auto"/>
                      <w:highlight w:val="none"/>
                    </w:rPr>
                  </w:pPr>
                  <w:r>
                    <w:rPr>
                      <w:rFonts w:hint="eastAsia"/>
                      <w:color w:val="auto"/>
                      <w:highlight w:val="none"/>
                    </w:rPr>
                    <w:t>相符</w:t>
                  </w:r>
                </w:p>
              </w:tc>
            </w:tr>
            <w:tr w14:paraId="0634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52AA098D">
                  <w:pPr>
                    <w:pStyle w:val="30"/>
                    <w:rPr>
                      <w:color w:val="auto"/>
                      <w:highlight w:val="none"/>
                    </w:rPr>
                  </w:pPr>
                  <w:r>
                    <w:rPr>
                      <w:rFonts w:hint="eastAsia"/>
                      <w:color w:val="auto"/>
                      <w:highlight w:val="none"/>
                    </w:rPr>
                    <w:t>2</w:t>
                  </w:r>
                </w:p>
              </w:tc>
              <w:tc>
                <w:tcPr>
                  <w:tcW w:w="3954" w:type="dxa"/>
                  <w:vAlign w:val="center"/>
                </w:tcPr>
                <w:p w14:paraId="2B9F8A7A">
                  <w:pPr>
                    <w:pStyle w:val="30"/>
                    <w:rPr>
                      <w:color w:val="auto"/>
                      <w:highlight w:val="none"/>
                    </w:rPr>
                  </w:pPr>
                  <w:r>
                    <w:rPr>
                      <w:color w:val="auto"/>
                      <w:highlight w:val="none"/>
                    </w:rPr>
                    <w:t>单车道宽度≥4m，双车道宽度≥6m</w:t>
                  </w:r>
                </w:p>
              </w:tc>
              <w:tc>
                <w:tcPr>
                  <w:tcW w:w="2239" w:type="dxa"/>
                  <w:vAlign w:val="center"/>
                </w:tcPr>
                <w:p w14:paraId="499AA7F2">
                  <w:pPr>
                    <w:pStyle w:val="30"/>
                    <w:rPr>
                      <w:color w:val="auto"/>
                      <w:highlight w:val="none"/>
                    </w:rPr>
                  </w:pPr>
                  <w:r>
                    <w:rPr>
                      <w:color w:val="auto"/>
                      <w:highlight w:val="none"/>
                    </w:rPr>
                    <w:t>单车停车道宽度</w:t>
                  </w:r>
                  <w:r>
                    <w:rPr>
                      <w:rFonts w:hint="eastAsia"/>
                      <w:color w:val="auto"/>
                      <w:highlight w:val="none"/>
                      <w:lang w:eastAsia="zh-CN"/>
                    </w:rPr>
                    <w:t>为</w:t>
                  </w:r>
                  <w:r>
                    <w:rPr>
                      <w:rFonts w:hint="eastAsia"/>
                      <w:color w:val="auto"/>
                      <w:highlight w:val="none"/>
                      <w:lang w:val="en-US" w:eastAsia="zh-CN"/>
                    </w:rPr>
                    <w:t>6</w:t>
                  </w:r>
                  <w:r>
                    <w:rPr>
                      <w:color w:val="auto"/>
                      <w:highlight w:val="none"/>
                    </w:rPr>
                    <w:t>m，双车停车位宽度</w:t>
                  </w:r>
                  <w:r>
                    <w:rPr>
                      <w:rFonts w:hint="eastAsia"/>
                      <w:color w:val="auto"/>
                      <w:highlight w:val="none"/>
                      <w:lang w:eastAsia="zh-CN"/>
                    </w:rPr>
                    <w:t>为</w:t>
                  </w:r>
                  <w:r>
                    <w:rPr>
                      <w:rFonts w:hint="eastAsia"/>
                      <w:color w:val="auto"/>
                      <w:highlight w:val="none"/>
                      <w:lang w:val="en-US" w:eastAsia="zh-CN"/>
                    </w:rPr>
                    <w:t>10</w:t>
                  </w:r>
                  <w:r>
                    <w:rPr>
                      <w:color w:val="auto"/>
                      <w:highlight w:val="none"/>
                    </w:rPr>
                    <w:t>m</w:t>
                  </w:r>
                </w:p>
              </w:tc>
              <w:tc>
                <w:tcPr>
                  <w:tcW w:w="757" w:type="dxa"/>
                  <w:vAlign w:val="center"/>
                </w:tcPr>
                <w:p w14:paraId="1473A2AB">
                  <w:pPr>
                    <w:pStyle w:val="30"/>
                    <w:rPr>
                      <w:color w:val="auto"/>
                      <w:highlight w:val="none"/>
                    </w:rPr>
                  </w:pPr>
                  <w:r>
                    <w:rPr>
                      <w:rFonts w:hint="eastAsia"/>
                      <w:color w:val="auto"/>
                      <w:highlight w:val="none"/>
                    </w:rPr>
                    <w:t>相符</w:t>
                  </w:r>
                </w:p>
              </w:tc>
            </w:tr>
            <w:tr w14:paraId="1222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19FD7FE1">
                  <w:pPr>
                    <w:pStyle w:val="30"/>
                    <w:rPr>
                      <w:color w:val="auto"/>
                      <w:highlight w:val="none"/>
                    </w:rPr>
                  </w:pPr>
                  <w:r>
                    <w:rPr>
                      <w:rFonts w:hint="eastAsia"/>
                      <w:color w:val="auto"/>
                      <w:highlight w:val="none"/>
                    </w:rPr>
                    <w:t>3</w:t>
                  </w:r>
                </w:p>
              </w:tc>
              <w:tc>
                <w:tcPr>
                  <w:tcW w:w="3954" w:type="dxa"/>
                  <w:vAlign w:val="center"/>
                </w:tcPr>
                <w:p w14:paraId="23F4A5C6">
                  <w:pPr>
                    <w:pStyle w:val="30"/>
                    <w:rPr>
                      <w:color w:val="auto"/>
                      <w:highlight w:val="none"/>
                    </w:rPr>
                  </w:pPr>
                  <w:r>
                    <w:rPr>
                      <w:color w:val="auto"/>
                      <w:highlight w:val="none"/>
                    </w:rPr>
                    <w:t>加油加气作业区内的停车位和道路路面不应采用沥青路面</w:t>
                  </w:r>
                </w:p>
              </w:tc>
              <w:tc>
                <w:tcPr>
                  <w:tcW w:w="2239" w:type="dxa"/>
                  <w:vAlign w:val="center"/>
                </w:tcPr>
                <w:p w14:paraId="652CC8BB">
                  <w:pPr>
                    <w:pStyle w:val="30"/>
                    <w:rPr>
                      <w:color w:val="auto"/>
                      <w:highlight w:val="none"/>
                    </w:rPr>
                  </w:pPr>
                  <w:r>
                    <w:rPr>
                      <w:color w:val="auto"/>
                      <w:highlight w:val="none"/>
                    </w:rPr>
                    <w:t>拟采用混凝土</w:t>
                  </w:r>
                  <w:r>
                    <w:rPr>
                      <w:rFonts w:hint="eastAsia"/>
                      <w:color w:val="auto"/>
                      <w:highlight w:val="none"/>
                      <w:lang w:val="en-US" w:eastAsia="zh-CN"/>
                    </w:rPr>
                    <w:t>浇筑</w:t>
                  </w:r>
                  <w:r>
                    <w:rPr>
                      <w:color w:val="auto"/>
                      <w:highlight w:val="none"/>
                    </w:rPr>
                    <w:t>路面</w:t>
                  </w:r>
                </w:p>
              </w:tc>
              <w:tc>
                <w:tcPr>
                  <w:tcW w:w="757" w:type="dxa"/>
                  <w:vAlign w:val="center"/>
                </w:tcPr>
                <w:p w14:paraId="350E63E0">
                  <w:pPr>
                    <w:pStyle w:val="30"/>
                    <w:rPr>
                      <w:color w:val="auto"/>
                      <w:highlight w:val="none"/>
                    </w:rPr>
                  </w:pPr>
                  <w:r>
                    <w:rPr>
                      <w:rFonts w:hint="eastAsia"/>
                      <w:color w:val="auto"/>
                      <w:highlight w:val="none"/>
                    </w:rPr>
                    <w:t>相符</w:t>
                  </w:r>
                </w:p>
              </w:tc>
            </w:tr>
            <w:tr w14:paraId="1310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378C004F">
                  <w:pPr>
                    <w:pStyle w:val="30"/>
                    <w:rPr>
                      <w:color w:val="auto"/>
                      <w:highlight w:val="none"/>
                    </w:rPr>
                  </w:pPr>
                  <w:r>
                    <w:rPr>
                      <w:rFonts w:hint="eastAsia"/>
                      <w:color w:val="auto"/>
                      <w:highlight w:val="none"/>
                    </w:rPr>
                    <w:t>4</w:t>
                  </w:r>
                </w:p>
              </w:tc>
              <w:tc>
                <w:tcPr>
                  <w:tcW w:w="3954" w:type="dxa"/>
                  <w:vAlign w:val="center"/>
                </w:tcPr>
                <w:p w14:paraId="60C05AD4">
                  <w:pPr>
                    <w:pStyle w:val="30"/>
                    <w:rPr>
                      <w:color w:val="auto"/>
                      <w:highlight w:val="none"/>
                    </w:rPr>
                  </w:pPr>
                  <w:r>
                    <w:rPr>
                      <w:color w:val="auto"/>
                      <w:highlight w:val="none"/>
                    </w:rPr>
                    <w:t>加油作业区与辅助服务区之间应有界线标识</w:t>
                  </w:r>
                </w:p>
              </w:tc>
              <w:tc>
                <w:tcPr>
                  <w:tcW w:w="2239" w:type="dxa"/>
                  <w:vAlign w:val="center"/>
                </w:tcPr>
                <w:p w14:paraId="15C8AC21">
                  <w:pPr>
                    <w:pStyle w:val="30"/>
                    <w:rPr>
                      <w:color w:val="auto"/>
                      <w:highlight w:val="none"/>
                    </w:rPr>
                  </w:pPr>
                  <w:r>
                    <w:rPr>
                      <w:color w:val="auto"/>
                      <w:highlight w:val="none"/>
                    </w:rPr>
                    <w:t>拟设置界线标识</w:t>
                  </w:r>
                </w:p>
              </w:tc>
              <w:tc>
                <w:tcPr>
                  <w:tcW w:w="757" w:type="dxa"/>
                  <w:vAlign w:val="center"/>
                </w:tcPr>
                <w:p w14:paraId="1D7D3FF8">
                  <w:pPr>
                    <w:pStyle w:val="30"/>
                    <w:rPr>
                      <w:color w:val="auto"/>
                      <w:highlight w:val="none"/>
                    </w:rPr>
                  </w:pPr>
                  <w:r>
                    <w:rPr>
                      <w:rFonts w:hint="eastAsia"/>
                      <w:color w:val="auto"/>
                      <w:highlight w:val="none"/>
                    </w:rPr>
                    <w:t>相符</w:t>
                  </w:r>
                </w:p>
              </w:tc>
            </w:tr>
            <w:tr w14:paraId="3520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65875238">
                  <w:pPr>
                    <w:pStyle w:val="30"/>
                    <w:rPr>
                      <w:color w:val="auto"/>
                      <w:highlight w:val="none"/>
                    </w:rPr>
                  </w:pPr>
                  <w:r>
                    <w:rPr>
                      <w:rFonts w:hint="eastAsia"/>
                      <w:color w:val="auto"/>
                      <w:highlight w:val="none"/>
                    </w:rPr>
                    <w:t>5</w:t>
                  </w:r>
                </w:p>
              </w:tc>
              <w:tc>
                <w:tcPr>
                  <w:tcW w:w="3954" w:type="dxa"/>
                  <w:vAlign w:val="center"/>
                </w:tcPr>
                <w:p w14:paraId="26676617">
                  <w:pPr>
                    <w:pStyle w:val="30"/>
                    <w:rPr>
                      <w:color w:val="auto"/>
                      <w:highlight w:val="none"/>
                    </w:rPr>
                  </w:pPr>
                  <w:r>
                    <w:rPr>
                      <w:color w:val="auto"/>
                      <w:highlight w:val="none"/>
                    </w:rPr>
                    <w:t>加油作业区内，不得有</w:t>
                  </w:r>
                  <w:r>
                    <w:rPr>
                      <w:rFonts w:hint="eastAsia"/>
                      <w:color w:val="auto"/>
                      <w:highlight w:val="none"/>
                    </w:rPr>
                    <w:t>“</w:t>
                  </w:r>
                  <w:r>
                    <w:rPr>
                      <w:color w:val="auto"/>
                      <w:highlight w:val="none"/>
                    </w:rPr>
                    <w:t>明火地点</w:t>
                  </w:r>
                  <w:r>
                    <w:rPr>
                      <w:rFonts w:hint="eastAsia"/>
                      <w:color w:val="auto"/>
                      <w:highlight w:val="none"/>
                    </w:rPr>
                    <w:t>”</w:t>
                  </w:r>
                  <w:r>
                    <w:rPr>
                      <w:color w:val="auto"/>
                      <w:highlight w:val="none"/>
                    </w:rPr>
                    <w:t>或</w:t>
                  </w:r>
                  <w:r>
                    <w:rPr>
                      <w:rFonts w:hint="eastAsia"/>
                      <w:color w:val="auto"/>
                      <w:highlight w:val="none"/>
                    </w:rPr>
                    <w:t>“</w:t>
                  </w:r>
                  <w:r>
                    <w:rPr>
                      <w:color w:val="auto"/>
                      <w:highlight w:val="none"/>
                    </w:rPr>
                    <w:t>散发火花地点</w:t>
                  </w:r>
                  <w:r>
                    <w:rPr>
                      <w:rFonts w:hint="eastAsia"/>
                      <w:color w:val="auto"/>
                      <w:highlight w:val="none"/>
                    </w:rPr>
                    <w:t>”</w:t>
                  </w:r>
                </w:p>
              </w:tc>
              <w:tc>
                <w:tcPr>
                  <w:tcW w:w="2239" w:type="dxa"/>
                  <w:vAlign w:val="center"/>
                </w:tcPr>
                <w:p w14:paraId="3FA61852">
                  <w:pPr>
                    <w:pStyle w:val="30"/>
                    <w:rPr>
                      <w:color w:val="auto"/>
                      <w:highlight w:val="none"/>
                    </w:rPr>
                  </w:pPr>
                  <w:r>
                    <w:rPr>
                      <w:color w:val="auto"/>
                      <w:highlight w:val="none"/>
                    </w:rPr>
                    <w:t>加油作业区内无明火地点和散发火花地点</w:t>
                  </w:r>
                </w:p>
              </w:tc>
              <w:tc>
                <w:tcPr>
                  <w:tcW w:w="757" w:type="dxa"/>
                  <w:vAlign w:val="center"/>
                </w:tcPr>
                <w:p w14:paraId="672093E7">
                  <w:pPr>
                    <w:pStyle w:val="30"/>
                    <w:rPr>
                      <w:color w:val="auto"/>
                      <w:highlight w:val="none"/>
                    </w:rPr>
                  </w:pPr>
                  <w:r>
                    <w:rPr>
                      <w:rFonts w:hint="eastAsia"/>
                      <w:color w:val="auto"/>
                      <w:highlight w:val="none"/>
                    </w:rPr>
                    <w:t>相符</w:t>
                  </w:r>
                </w:p>
              </w:tc>
            </w:tr>
            <w:tr w14:paraId="5D90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415BAB7D">
                  <w:pPr>
                    <w:pStyle w:val="30"/>
                    <w:rPr>
                      <w:color w:val="auto"/>
                      <w:highlight w:val="none"/>
                    </w:rPr>
                  </w:pPr>
                  <w:r>
                    <w:rPr>
                      <w:rFonts w:hint="eastAsia"/>
                      <w:color w:val="auto"/>
                      <w:highlight w:val="none"/>
                    </w:rPr>
                    <w:t>6</w:t>
                  </w:r>
                </w:p>
              </w:tc>
              <w:tc>
                <w:tcPr>
                  <w:tcW w:w="3954" w:type="dxa"/>
                  <w:vAlign w:val="center"/>
                </w:tcPr>
                <w:p w14:paraId="50A9172A">
                  <w:pPr>
                    <w:pStyle w:val="30"/>
                    <w:rPr>
                      <w:color w:val="auto"/>
                      <w:highlight w:val="none"/>
                    </w:rPr>
                  </w:pPr>
                  <w:r>
                    <w:rPr>
                      <w:color w:val="auto"/>
                      <w:highlight w:val="none"/>
                    </w:rPr>
                    <w:t>站房可布置在加油加气作业区内，但应符合相关规定</w:t>
                  </w:r>
                </w:p>
              </w:tc>
              <w:tc>
                <w:tcPr>
                  <w:tcW w:w="2239" w:type="dxa"/>
                  <w:vAlign w:val="center"/>
                </w:tcPr>
                <w:p w14:paraId="20CD3D95">
                  <w:pPr>
                    <w:pStyle w:val="30"/>
                    <w:rPr>
                      <w:color w:val="auto"/>
                      <w:highlight w:val="none"/>
                    </w:rPr>
                  </w:pPr>
                  <w:r>
                    <w:rPr>
                      <w:color w:val="auto"/>
                      <w:highlight w:val="none"/>
                    </w:rPr>
                    <w:t>站房布置在加油作业区外</w:t>
                  </w:r>
                </w:p>
              </w:tc>
              <w:tc>
                <w:tcPr>
                  <w:tcW w:w="757" w:type="dxa"/>
                  <w:vAlign w:val="center"/>
                </w:tcPr>
                <w:p w14:paraId="0602807C">
                  <w:pPr>
                    <w:pStyle w:val="30"/>
                    <w:rPr>
                      <w:color w:val="auto"/>
                      <w:highlight w:val="none"/>
                    </w:rPr>
                  </w:pPr>
                  <w:r>
                    <w:rPr>
                      <w:rFonts w:hint="eastAsia"/>
                      <w:color w:val="auto"/>
                      <w:highlight w:val="none"/>
                    </w:rPr>
                    <w:t>相符</w:t>
                  </w:r>
                </w:p>
              </w:tc>
            </w:tr>
            <w:tr w14:paraId="037B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61BCFAB8">
                  <w:pPr>
                    <w:pStyle w:val="30"/>
                    <w:rPr>
                      <w:color w:val="auto"/>
                      <w:highlight w:val="none"/>
                    </w:rPr>
                  </w:pPr>
                  <w:r>
                    <w:rPr>
                      <w:rFonts w:hint="eastAsia"/>
                      <w:color w:val="auto"/>
                      <w:highlight w:val="none"/>
                    </w:rPr>
                    <w:t>7</w:t>
                  </w:r>
                </w:p>
              </w:tc>
              <w:tc>
                <w:tcPr>
                  <w:tcW w:w="3954" w:type="dxa"/>
                  <w:vAlign w:val="center"/>
                </w:tcPr>
                <w:p w14:paraId="292484EA">
                  <w:pPr>
                    <w:pStyle w:val="30"/>
                    <w:rPr>
                      <w:color w:val="auto"/>
                      <w:highlight w:val="none"/>
                    </w:rPr>
                  </w:pPr>
                  <w:r>
                    <w:rPr>
                      <w:color w:val="auto"/>
                      <w:highlight w:val="none"/>
                    </w:rPr>
                    <w:t>加油加气站内设置的经营性餐饮、汽车服务等非站房所属建筑物或设施，不应布置在加油加气作业区内，其与站内可燃液体或可燃气体设备的防火间距，应符合相关规定。经营性餐饮、汽车服务等设施内设置明火设备时，则应视为</w:t>
                  </w:r>
                  <w:r>
                    <w:rPr>
                      <w:rFonts w:hint="eastAsia"/>
                      <w:color w:val="auto"/>
                      <w:highlight w:val="none"/>
                    </w:rPr>
                    <w:t>“</w:t>
                  </w:r>
                  <w:r>
                    <w:rPr>
                      <w:color w:val="auto"/>
                      <w:highlight w:val="none"/>
                    </w:rPr>
                    <w:t>明火地点</w:t>
                  </w:r>
                  <w:r>
                    <w:rPr>
                      <w:rFonts w:hint="eastAsia"/>
                      <w:color w:val="auto"/>
                      <w:highlight w:val="none"/>
                    </w:rPr>
                    <w:t>”</w:t>
                  </w:r>
                  <w:r>
                    <w:rPr>
                      <w:color w:val="auto"/>
                      <w:highlight w:val="none"/>
                    </w:rPr>
                    <w:t>或</w:t>
                  </w:r>
                  <w:r>
                    <w:rPr>
                      <w:rFonts w:hint="eastAsia"/>
                      <w:color w:val="auto"/>
                      <w:highlight w:val="none"/>
                    </w:rPr>
                    <w:t>“</w:t>
                  </w:r>
                  <w:r>
                    <w:rPr>
                      <w:color w:val="auto"/>
                      <w:highlight w:val="none"/>
                    </w:rPr>
                    <w:t>散发火花地点</w:t>
                  </w:r>
                  <w:r>
                    <w:rPr>
                      <w:rFonts w:hint="eastAsia"/>
                      <w:color w:val="auto"/>
                      <w:highlight w:val="none"/>
                    </w:rPr>
                    <w:t>”</w:t>
                  </w:r>
                </w:p>
              </w:tc>
              <w:tc>
                <w:tcPr>
                  <w:tcW w:w="2239" w:type="dxa"/>
                  <w:vAlign w:val="center"/>
                </w:tcPr>
                <w:p w14:paraId="1B62DA6C">
                  <w:pPr>
                    <w:pStyle w:val="30"/>
                    <w:rPr>
                      <w:color w:val="auto"/>
                      <w:highlight w:val="none"/>
                    </w:rPr>
                  </w:pPr>
                  <w:r>
                    <w:rPr>
                      <w:color w:val="auto"/>
                      <w:highlight w:val="none"/>
                    </w:rPr>
                    <w:t>加油</w:t>
                  </w:r>
                  <w:r>
                    <w:rPr>
                      <w:rFonts w:hint="eastAsia"/>
                      <w:color w:val="auto"/>
                      <w:highlight w:val="none"/>
                    </w:rPr>
                    <w:t>作业区</w:t>
                  </w:r>
                  <w:r>
                    <w:rPr>
                      <w:color w:val="auto"/>
                      <w:highlight w:val="none"/>
                    </w:rPr>
                    <w:t>内</w:t>
                  </w:r>
                  <w:r>
                    <w:rPr>
                      <w:rFonts w:hint="eastAsia"/>
                      <w:color w:val="auto"/>
                      <w:highlight w:val="none"/>
                    </w:rPr>
                    <w:t>未</w:t>
                  </w:r>
                  <w:r>
                    <w:rPr>
                      <w:color w:val="auto"/>
                      <w:highlight w:val="none"/>
                    </w:rPr>
                    <w:t>设置的经营性餐饮、汽车服务等非站房所属建筑物或设施</w:t>
                  </w:r>
                </w:p>
              </w:tc>
              <w:tc>
                <w:tcPr>
                  <w:tcW w:w="757" w:type="dxa"/>
                  <w:vAlign w:val="center"/>
                </w:tcPr>
                <w:p w14:paraId="2C4E5DE7">
                  <w:pPr>
                    <w:pStyle w:val="30"/>
                    <w:rPr>
                      <w:color w:val="auto"/>
                      <w:highlight w:val="none"/>
                    </w:rPr>
                  </w:pPr>
                  <w:r>
                    <w:rPr>
                      <w:rFonts w:hint="eastAsia"/>
                      <w:color w:val="auto"/>
                      <w:highlight w:val="none"/>
                    </w:rPr>
                    <w:t>相符</w:t>
                  </w:r>
                </w:p>
              </w:tc>
            </w:tr>
          </w:tbl>
          <w:p w14:paraId="4EA02046">
            <w:pPr>
              <w:overflowPunct w:val="0"/>
              <w:autoSpaceDE w:val="0"/>
              <w:autoSpaceDN w:val="0"/>
              <w:ind w:firstLine="480" w:firstLineChars="200"/>
              <w:rPr>
                <w:color w:val="auto"/>
                <w:highlight w:val="none"/>
              </w:rPr>
            </w:pPr>
          </w:p>
        </w:tc>
      </w:tr>
      <w:tr w14:paraId="70EA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580" w:type="dxa"/>
            <w:vAlign w:val="center"/>
          </w:tcPr>
          <w:p w14:paraId="41B671A4">
            <w:pPr>
              <w:overflowPunct w:val="0"/>
              <w:autoSpaceDE w:val="0"/>
              <w:autoSpaceDN w:val="0"/>
              <w:jc w:val="center"/>
              <w:rPr>
                <w:color w:val="auto"/>
                <w:highlight w:val="none"/>
              </w:rPr>
            </w:pPr>
            <w:r>
              <w:rPr>
                <w:rFonts w:hint="eastAsia"/>
                <w:color w:val="auto"/>
                <w:highlight w:val="none"/>
              </w:rPr>
              <w:t>工艺流程和产排污环节</w:t>
            </w:r>
          </w:p>
        </w:tc>
        <w:tc>
          <w:tcPr>
            <w:tcW w:w="7942" w:type="dxa"/>
          </w:tcPr>
          <w:p w14:paraId="4860641D">
            <w:pPr>
              <w:rPr>
                <w:color w:val="auto"/>
                <w:highlight w:val="none"/>
              </w:rPr>
            </w:pPr>
            <w:r>
              <w:rPr>
                <w:rFonts w:hint="eastAsia"/>
                <w:color w:val="auto"/>
                <w:highlight w:val="none"/>
              </w:rPr>
              <w:t>（一）施工期工艺流程</w:t>
            </w:r>
          </w:p>
          <w:p w14:paraId="74007A68">
            <w:pPr>
              <w:ind w:firstLine="480" w:firstLineChars="200"/>
              <w:rPr>
                <w:color w:val="auto"/>
                <w:highlight w:val="none"/>
              </w:rPr>
            </w:pPr>
            <w:r>
              <w:rPr>
                <w:rFonts w:hint="eastAsia"/>
                <w:color w:val="auto"/>
                <w:highlight w:val="none"/>
              </w:rPr>
              <w:t>本项目施工期主要内容包括：基础工程、主体工程、其他装饰工程等建设工序，施工过程中将产生噪声、扬尘、建筑垃圾、生活垃圾、</w:t>
            </w:r>
            <w:r>
              <w:rPr>
                <w:rFonts w:hint="eastAsia"/>
                <w:color w:val="auto"/>
                <w:highlight w:val="none"/>
                <w:lang w:eastAsia="zh-CN"/>
              </w:rPr>
              <w:t>生活污水、施工废水</w:t>
            </w:r>
            <w:r>
              <w:rPr>
                <w:rFonts w:hint="eastAsia"/>
                <w:color w:val="auto"/>
                <w:highlight w:val="none"/>
              </w:rPr>
              <w:t>等污染物。</w:t>
            </w:r>
          </w:p>
          <w:p w14:paraId="5CC6A0C4">
            <w:pPr>
              <w:ind w:firstLine="480" w:firstLineChars="200"/>
              <w:rPr>
                <w:color w:val="auto"/>
                <w:highlight w:val="none"/>
              </w:rPr>
            </w:pPr>
            <w:r>
              <w:rPr>
                <w:rFonts w:hint="eastAsia"/>
                <w:color w:val="auto"/>
                <w:highlight w:val="none"/>
              </w:rPr>
              <w:t>具体施工期的工艺流程及产污情况见下图。</w:t>
            </w:r>
          </w:p>
          <w:p w14:paraId="70CBAE9A">
            <w:pPr>
              <w:rPr>
                <w:color w:val="auto"/>
                <w:highlight w:val="none"/>
              </w:rPr>
            </w:pPr>
            <w:r>
              <w:rPr>
                <w:color w:val="auto"/>
                <w:highlight w:val="none"/>
              </w:rPr>
              <w:drawing>
                <wp:inline distT="0" distB="0" distL="114300" distR="114300">
                  <wp:extent cx="4824095" cy="1437005"/>
                  <wp:effectExtent l="0" t="0" r="0" b="0"/>
                  <wp:docPr id="2" name="图片 2" descr="加油站施工期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加油站施工期工艺"/>
                          <pic:cNvPicPr>
                            <a:picLocks noChangeAspect="1"/>
                          </pic:cNvPicPr>
                        </pic:nvPicPr>
                        <pic:blipFill>
                          <a:blip r:embed="rId23"/>
                          <a:stretch>
                            <a:fillRect/>
                          </a:stretch>
                        </pic:blipFill>
                        <pic:spPr>
                          <a:xfrm>
                            <a:off x="0" y="0"/>
                            <a:ext cx="4824095" cy="1437005"/>
                          </a:xfrm>
                          <a:prstGeom prst="rect">
                            <a:avLst/>
                          </a:prstGeom>
                        </pic:spPr>
                      </pic:pic>
                    </a:graphicData>
                  </a:graphic>
                </wp:inline>
              </w:drawing>
            </w:r>
          </w:p>
          <w:p w14:paraId="79330CC6">
            <w:pPr>
              <w:pStyle w:val="6"/>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 xml:space="preserve"> 施工期工艺流程及产污环节图（W-废水、G-废气、N-噪声、S-固废）</w:t>
            </w:r>
          </w:p>
          <w:p w14:paraId="47E31F5A">
            <w:pPr>
              <w:numPr>
                <w:ilvl w:val="0"/>
                <w:numId w:val="4"/>
              </w:numPr>
              <w:rPr>
                <w:color w:val="auto"/>
                <w:highlight w:val="none"/>
              </w:rPr>
            </w:pPr>
            <w:r>
              <w:rPr>
                <w:rFonts w:hint="eastAsia"/>
                <w:color w:val="auto"/>
                <w:highlight w:val="none"/>
              </w:rPr>
              <w:t>运营期工艺流程</w:t>
            </w:r>
          </w:p>
          <w:p w14:paraId="65325FC5">
            <w:pPr>
              <w:ind w:firstLine="480" w:firstLineChars="200"/>
              <w:rPr>
                <w:color w:val="auto"/>
                <w:highlight w:val="none"/>
              </w:rPr>
            </w:pPr>
            <w:r>
              <w:rPr>
                <w:rFonts w:hint="eastAsia"/>
                <w:color w:val="auto"/>
                <w:highlight w:val="none"/>
              </w:rPr>
              <w:t>项目主要建设货运停车场、</w:t>
            </w:r>
            <w:r>
              <w:rPr>
                <w:rFonts w:hint="eastAsia"/>
                <w:color w:val="auto"/>
                <w:highlight w:val="none"/>
                <w:lang w:eastAsia="zh-CN"/>
              </w:rPr>
              <w:t>智慧货运服务中心</w:t>
            </w:r>
            <w:r>
              <w:rPr>
                <w:rFonts w:hint="eastAsia"/>
                <w:color w:val="auto"/>
                <w:highlight w:val="none"/>
              </w:rPr>
              <w:t>、</w:t>
            </w:r>
            <w:r>
              <w:rPr>
                <w:rFonts w:hint="eastAsia"/>
                <w:color w:val="auto"/>
                <w:highlight w:val="none"/>
                <w:lang w:eastAsia="zh-CN"/>
              </w:rPr>
              <w:t>智慧货运维修中心</w:t>
            </w:r>
            <w:r>
              <w:rPr>
                <w:rFonts w:hint="eastAsia"/>
                <w:color w:val="auto"/>
                <w:highlight w:val="none"/>
              </w:rPr>
              <w:t>、</w:t>
            </w:r>
            <w:r>
              <w:rPr>
                <w:rFonts w:hint="eastAsia"/>
                <w:color w:val="auto"/>
                <w:highlight w:val="none"/>
                <w:lang w:eastAsia="zh-CN"/>
              </w:rPr>
              <w:t>内部</w:t>
            </w:r>
            <w:r>
              <w:rPr>
                <w:rFonts w:hint="eastAsia"/>
                <w:color w:val="auto"/>
                <w:highlight w:val="none"/>
              </w:rPr>
              <w:t>综合能源站，建成运行后产污环节主要为地面冲洗废水、工作人员及来往旅客产生的生活垃圾、生活污水及餐饮油烟、焊接烟尘，还有</w:t>
            </w:r>
            <w:r>
              <w:rPr>
                <w:rFonts w:hint="eastAsia"/>
                <w:color w:val="auto"/>
                <w:highlight w:val="none"/>
                <w:lang w:eastAsia="zh-CN"/>
              </w:rPr>
              <w:t>进出车辆</w:t>
            </w:r>
            <w:r>
              <w:rPr>
                <w:rFonts w:hint="eastAsia"/>
                <w:color w:val="auto"/>
                <w:highlight w:val="none"/>
              </w:rPr>
              <w:t>产生的噪声、尾气等。</w:t>
            </w:r>
          </w:p>
          <w:p w14:paraId="7ED47FE1">
            <w:pPr>
              <w:bidi w:val="0"/>
              <w:ind w:firstLine="482" w:firstLineChars="200"/>
              <w:rPr>
                <w:rFonts w:hint="eastAsia"/>
                <w:b/>
                <w:bCs/>
                <w:color w:val="auto"/>
                <w:highlight w:val="none"/>
                <w:lang w:eastAsia="zh-CN"/>
              </w:rPr>
            </w:pPr>
            <w:r>
              <w:rPr>
                <w:rFonts w:hint="eastAsia"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kern w:val="2"/>
                <w:sz w:val="24"/>
                <w:szCs w:val="24"/>
                <w:highlight w:val="none"/>
                <w:lang w:val="en-US" w:eastAsia="zh-CN" w:bidi="ar-SA"/>
              </w:rPr>
              <w:t>、</w:t>
            </w:r>
            <w:r>
              <w:rPr>
                <w:rFonts w:hint="eastAsia"/>
                <w:b/>
                <w:bCs/>
                <w:color w:val="auto"/>
                <w:highlight w:val="none"/>
              </w:rPr>
              <w:t>货运停车场</w:t>
            </w:r>
          </w:p>
          <w:p w14:paraId="63DA7D83">
            <w:pPr>
              <w:numPr>
                <w:ilvl w:val="0"/>
                <w:numId w:val="0"/>
              </w:numPr>
              <w:ind w:firstLine="480" w:firstLineChars="200"/>
              <w:rPr>
                <w:rFonts w:hint="eastAsia"/>
                <w:color w:val="auto"/>
                <w:highlight w:val="none"/>
                <w:lang w:val="en-US" w:eastAsia="zh-CN"/>
              </w:rPr>
            </w:pPr>
            <w:r>
              <w:rPr>
                <w:rFonts w:hint="eastAsia"/>
                <w:color w:val="auto"/>
                <w:highlight w:val="none"/>
                <w:lang w:eastAsia="zh-CN"/>
              </w:rPr>
              <w:t>项目设置货运停车场，运营过程中主要为进出车辆</w:t>
            </w:r>
            <w:r>
              <w:rPr>
                <w:rFonts w:hint="eastAsia"/>
                <w:color w:val="auto"/>
                <w:highlight w:val="none"/>
              </w:rPr>
              <w:t>产生</w:t>
            </w:r>
            <w:r>
              <w:rPr>
                <w:rFonts w:hint="eastAsia"/>
                <w:color w:val="auto"/>
                <w:highlight w:val="none"/>
                <w:lang w:eastAsia="zh-CN"/>
              </w:rPr>
              <w:t>的</w:t>
            </w:r>
            <w:r>
              <w:rPr>
                <w:rFonts w:hint="eastAsia"/>
                <w:color w:val="auto"/>
                <w:highlight w:val="none"/>
              </w:rPr>
              <w:t>少量</w:t>
            </w:r>
            <w:r>
              <w:rPr>
                <w:rFonts w:hint="eastAsia"/>
                <w:color w:val="auto"/>
                <w:highlight w:val="none"/>
                <w:lang w:eastAsia="zh-CN"/>
              </w:rPr>
              <w:t>汽车</w:t>
            </w:r>
            <w:r>
              <w:rPr>
                <w:rFonts w:hint="eastAsia"/>
                <w:color w:val="auto"/>
                <w:highlight w:val="none"/>
              </w:rPr>
              <w:t>尾气</w:t>
            </w:r>
            <w:r>
              <w:rPr>
                <w:rFonts w:hint="eastAsia"/>
                <w:color w:val="auto"/>
                <w:highlight w:val="none"/>
                <w:lang w:val="en-US" w:eastAsia="zh-CN"/>
              </w:rPr>
              <w:t>G5</w:t>
            </w:r>
            <w:r>
              <w:rPr>
                <w:rFonts w:hint="eastAsia"/>
                <w:color w:val="auto"/>
                <w:highlight w:val="none"/>
              </w:rPr>
              <w:t>。</w:t>
            </w:r>
          </w:p>
          <w:p w14:paraId="208B67B2">
            <w:pPr>
              <w:pStyle w:val="6"/>
              <w:ind w:firstLine="482" w:firstLineChars="200"/>
              <w:jc w:val="both"/>
              <w:rPr>
                <w:rFonts w:hint="eastAsia" w:eastAsia="宋体"/>
                <w:color w:val="auto"/>
                <w:highlight w:val="none"/>
                <w:lang w:eastAsia="zh-CN"/>
              </w:rPr>
            </w:pPr>
            <w:r>
              <w:rPr>
                <w:rFonts w:hint="eastAsia"/>
                <w:color w:val="auto"/>
                <w:highlight w:val="none"/>
                <w:lang w:val="en-US" w:eastAsia="zh-CN"/>
              </w:rPr>
              <w:t>2、</w:t>
            </w:r>
            <w:r>
              <w:rPr>
                <w:rFonts w:hint="eastAsia"/>
                <w:color w:val="auto"/>
                <w:highlight w:val="none"/>
                <w:lang w:eastAsia="zh-CN"/>
              </w:rPr>
              <w:t>智慧货运服务中心</w:t>
            </w:r>
          </w:p>
          <w:p w14:paraId="176B7CEA">
            <w:pPr>
              <w:ind w:firstLine="480" w:firstLineChars="200"/>
              <w:rPr>
                <w:rFonts w:hint="eastAsia"/>
                <w:color w:val="auto"/>
                <w:highlight w:val="none"/>
                <w:lang w:val="en-US" w:eastAsia="zh-CN"/>
              </w:rPr>
            </w:pPr>
            <w:r>
              <w:rPr>
                <w:rFonts w:hint="eastAsia"/>
                <w:color w:val="auto"/>
                <w:highlight w:val="none"/>
                <w:lang w:eastAsia="zh-CN"/>
              </w:rPr>
              <w:t>项目建设智慧货运服务中心，主要</w:t>
            </w:r>
            <w:r>
              <w:rPr>
                <w:rFonts w:hint="eastAsia"/>
                <w:color w:val="auto"/>
                <w:highlight w:val="none"/>
              </w:rPr>
              <w:t>位于项目</w:t>
            </w:r>
            <w:r>
              <w:rPr>
                <w:rFonts w:hint="eastAsia"/>
                <w:color w:val="auto"/>
                <w:highlight w:val="none"/>
                <w:lang w:eastAsia="zh-CN"/>
              </w:rPr>
              <w:t>西</w:t>
            </w:r>
            <w:r>
              <w:rPr>
                <w:rFonts w:hint="eastAsia"/>
                <w:color w:val="auto"/>
                <w:highlight w:val="none"/>
              </w:rPr>
              <w:t>侧</w:t>
            </w:r>
            <w:r>
              <w:rPr>
                <w:rFonts w:hint="eastAsia"/>
                <w:color w:val="auto"/>
                <w:highlight w:val="none"/>
                <w:lang w:eastAsia="zh-CN"/>
              </w:rPr>
              <w:t>地块内的西部</w:t>
            </w:r>
            <w:r>
              <w:rPr>
                <w:rFonts w:hint="eastAsia"/>
                <w:color w:val="auto"/>
                <w:highlight w:val="none"/>
              </w:rPr>
              <w:t>，共2层，建筑面积</w:t>
            </w:r>
            <w:r>
              <w:rPr>
                <w:rFonts w:hint="eastAsia"/>
                <w:color w:val="auto"/>
                <w:highlight w:val="none"/>
                <w:lang w:eastAsia="zh-CN"/>
              </w:rPr>
              <w:t>约</w:t>
            </w:r>
            <w:r>
              <w:rPr>
                <w:rFonts w:hint="eastAsia"/>
                <w:color w:val="auto"/>
                <w:highlight w:val="none"/>
              </w:rPr>
              <w:t>2167.</w:t>
            </w:r>
            <w:r>
              <w:rPr>
                <w:color w:val="auto"/>
                <w:highlight w:val="none"/>
              </w:rPr>
              <w:t>1</w:t>
            </w:r>
            <w:r>
              <w:rPr>
                <w:rFonts w:hint="eastAsia"/>
                <w:color w:val="auto"/>
                <w:highlight w:val="none"/>
              </w:rPr>
              <w:t>m</w:t>
            </w:r>
            <w:r>
              <w:rPr>
                <w:rFonts w:hint="eastAsia"/>
                <w:color w:val="auto"/>
                <w:highlight w:val="none"/>
                <w:vertAlign w:val="superscript"/>
              </w:rPr>
              <w:t>2</w:t>
            </w:r>
            <w:r>
              <w:rPr>
                <w:rFonts w:hint="eastAsia"/>
                <w:color w:val="auto"/>
                <w:highlight w:val="none"/>
              </w:rPr>
              <w:t>。主要建设</w:t>
            </w:r>
            <w:r>
              <w:rPr>
                <w:rFonts w:hint="eastAsia"/>
                <w:color w:val="auto"/>
                <w:highlight w:val="none"/>
                <w:lang w:val="en-US" w:eastAsia="zh-CN"/>
              </w:rPr>
              <w:t>内容为</w:t>
            </w:r>
            <w:r>
              <w:rPr>
                <w:rFonts w:hint="eastAsia"/>
                <w:color w:val="auto"/>
                <w:highlight w:val="none"/>
              </w:rPr>
              <w:t>厨房、</w:t>
            </w:r>
            <w:r>
              <w:rPr>
                <w:rFonts w:hint="eastAsia"/>
                <w:color w:val="auto"/>
                <w:highlight w:val="none"/>
                <w:lang w:eastAsia="zh-CN"/>
              </w:rPr>
              <w:t>餐厅</w:t>
            </w:r>
            <w:r>
              <w:rPr>
                <w:rFonts w:hint="eastAsia"/>
                <w:color w:val="auto"/>
                <w:highlight w:val="none"/>
              </w:rPr>
              <w:t>、</w:t>
            </w:r>
            <w:r>
              <w:rPr>
                <w:rFonts w:hint="eastAsia"/>
                <w:color w:val="auto"/>
                <w:highlight w:val="none"/>
                <w:lang w:eastAsia="zh-CN"/>
              </w:rPr>
              <w:t>卫生间</w:t>
            </w:r>
            <w:r>
              <w:rPr>
                <w:rFonts w:hint="eastAsia"/>
                <w:color w:val="auto"/>
                <w:highlight w:val="none"/>
              </w:rPr>
              <w:t>、商业服务大厅</w:t>
            </w:r>
            <w:r>
              <w:rPr>
                <w:rFonts w:hint="eastAsia"/>
                <w:color w:val="auto"/>
                <w:highlight w:val="none"/>
                <w:lang w:eastAsia="zh-CN"/>
              </w:rPr>
              <w:t>、</w:t>
            </w:r>
            <w:r>
              <w:rPr>
                <w:rFonts w:hint="eastAsia"/>
                <w:color w:val="auto"/>
                <w:highlight w:val="none"/>
              </w:rPr>
              <w:t>监控室、办公室、</w:t>
            </w:r>
            <w:r>
              <w:rPr>
                <w:rFonts w:hint="eastAsia"/>
                <w:color w:val="auto"/>
                <w:highlight w:val="none"/>
                <w:lang w:eastAsia="zh-CN"/>
              </w:rPr>
              <w:t>货运服务</w:t>
            </w:r>
            <w:r>
              <w:rPr>
                <w:rFonts w:hint="eastAsia"/>
                <w:color w:val="auto"/>
                <w:highlight w:val="none"/>
              </w:rPr>
              <w:t>、</w:t>
            </w:r>
            <w:r>
              <w:rPr>
                <w:color w:val="auto"/>
                <w:highlight w:val="none"/>
              </w:rPr>
              <w:t>货运</w:t>
            </w:r>
            <w:r>
              <w:rPr>
                <w:rFonts w:hint="eastAsia"/>
                <w:color w:val="auto"/>
                <w:highlight w:val="none"/>
              </w:rPr>
              <w:t>信息服务中心等内容。</w:t>
            </w:r>
            <w:r>
              <w:rPr>
                <w:rFonts w:hint="eastAsia"/>
                <w:color w:val="auto"/>
                <w:highlight w:val="none"/>
                <w:lang w:eastAsia="zh-CN"/>
              </w:rPr>
              <w:t>智慧货运服务中心</w:t>
            </w:r>
            <w:r>
              <w:rPr>
                <w:rFonts w:hint="eastAsia"/>
                <w:color w:val="auto"/>
                <w:highlight w:val="none"/>
                <w:lang w:val="en-US" w:eastAsia="zh-CN"/>
              </w:rPr>
              <w:t>产污环节</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餐饮油烟</w:t>
            </w:r>
            <w:r>
              <w:rPr>
                <w:rFonts w:hint="eastAsia"/>
                <w:color w:val="auto"/>
                <w:highlight w:val="none"/>
                <w:lang w:val="en-US" w:eastAsia="zh-CN"/>
              </w:rPr>
              <w:t>G3、</w:t>
            </w:r>
            <w:r>
              <w:rPr>
                <w:rFonts w:hint="eastAsia"/>
                <w:color w:val="auto"/>
                <w:highlight w:val="none"/>
              </w:rPr>
              <w:t>餐饮废水W2</w:t>
            </w:r>
            <w:r>
              <w:rPr>
                <w:rFonts w:hint="eastAsia"/>
                <w:color w:val="auto"/>
                <w:highlight w:val="none"/>
                <w:lang w:eastAsia="zh-CN"/>
              </w:rPr>
              <w:t>及生活污水</w:t>
            </w:r>
            <w:r>
              <w:rPr>
                <w:rFonts w:hint="eastAsia"/>
                <w:color w:val="auto"/>
                <w:highlight w:val="none"/>
                <w:lang w:val="en-US" w:eastAsia="zh-CN"/>
              </w:rPr>
              <w:t>W1。</w:t>
            </w:r>
          </w:p>
          <w:p w14:paraId="7F160E81">
            <w:pPr>
              <w:ind w:firstLine="482" w:firstLineChars="200"/>
              <w:rPr>
                <w:rFonts w:hint="eastAsia" w:eastAsia="宋体"/>
                <w:b/>
                <w:bCs/>
                <w:color w:val="auto"/>
                <w:highlight w:val="none"/>
                <w:lang w:eastAsia="zh-CN"/>
              </w:rPr>
            </w:pPr>
            <w:r>
              <w:rPr>
                <w:rFonts w:hint="eastAsia"/>
                <w:b/>
                <w:bCs/>
                <w:color w:val="auto"/>
                <w:highlight w:val="none"/>
                <w:lang w:val="en-US" w:eastAsia="zh-CN"/>
              </w:rPr>
              <w:t>3、</w:t>
            </w:r>
            <w:r>
              <w:rPr>
                <w:rFonts w:hint="eastAsia"/>
                <w:b/>
                <w:bCs/>
                <w:color w:val="auto"/>
                <w:highlight w:val="none"/>
                <w:lang w:eastAsia="zh-CN"/>
              </w:rPr>
              <w:t>智慧货运维修中心</w:t>
            </w:r>
          </w:p>
          <w:p w14:paraId="4C59F62A">
            <w:pPr>
              <w:rPr>
                <w:color w:val="auto"/>
                <w:highlight w:val="none"/>
              </w:rPr>
            </w:pPr>
            <w:r>
              <w:rPr>
                <w:rFonts w:hint="eastAsia"/>
                <w:color w:val="auto"/>
                <w:highlight w:val="none"/>
              </w:rPr>
              <w:drawing>
                <wp:inline distT="0" distB="0" distL="114300" distR="114300">
                  <wp:extent cx="4892040" cy="1418590"/>
                  <wp:effectExtent l="0" t="0" r="0" b="0"/>
                  <wp:docPr id="7" name="ECB019B1-382A-4266-B25C-5B523AA43C14-2" descr="C:/Users/Administrator/AppData/Local/Temp/wps.CcMHq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C:/Users/Administrator/AppData/Local/Temp/wps.CcMHqtwps"/>
                          <pic:cNvPicPr>
                            <a:picLocks noChangeAspect="1"/>
                          </pic:cNvPicPr>
                        </pic:nvPicPr>
                        <pic:blipFill>
                          <a:blip r:embed="rId24"/>
                          <a:stretch>
                            <a:fillRect/>
                          </a:stretch>
                        </pic:blipFill>
                        <pic:spPr>
                          <a:xfrm>
                            <a:off x="0" y="0"/>
                            <a:ext cx="4892040" cy="1418590"/>
                          </a:xfrm>
                          <a:prstGeom prst="rect">
                            <a:avLst/>
                          </a:prstGeom>
                        </pic:spPr>
                      </pic:pic>
                    </a:graphicData>
                  </a:graphic>
                </wp:inline>
              </w:drawing>
            </w:r>
          </w:p>
          <w:p w14:paraId="7627026B">
            <w:pPr>
              <w:ind w:left="0" w:leftChars="0" w:right="0" w:rightChars="0" w:firstLine="0" w:firstLineChars="0"/>
              <w:jc w:val="center"/>
              <w:rPr>
                <w:color w:val="auto"/>
                <w:highlight w:val="none"/>
              </w:rPr>
            </w:pPr>
            <w:r>
              <w:rPr>
                <w:rFonts w:hint="eastAsia"/>
                <w:color w:val="auto"/>
                <w:sz w:val="21"/>
                <w:szCs w:val="21"/>
                <w:highlight w:val="none"/>
              </w:rPr>
              <w:t>备注：噪声伴随车辆检修全过程</w:t>
            </w:r>
          </w:p>
          <w:p w14:paraId="74471179">
            <w:pPr>
              <w:pStyle w:val="6"/>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t xml:space="preserve"> </w:t>
            </w:r>
            <w:r>
              <w:rPr>
                <w:rFonts w:hint="eastAsia"/>
                <w:color w:val="auto"/>
                <w:highlight w:val="none"/>
                <w:lang w:eastAsia="zh-CN"/>
              </w:rPr>
              <w:t>货运</w:t>
            </w:r>
            <w:r>
              <w:rPr>
                <w:rFonts w:hint="eastAsia"/>
                <w:color w:val="auto"/>
                <w:highlight w:val="none"/>
              </w:rPr>
              <w:t>维修中心工艺流程及产污节点</w:t>
            </w:r>
          </w:p>
          <w:p w14:paraId="7D88E921">
            <w:pPr>
              <w:rPr>
                <w:color w:val="auto"/>
                <w:highlight w:val="none"/>
              </w:rPr>
            </w:pPr>
            <w:r>
              <w:rPr>
                <w:rFonts w:hint="eastAsia"/>
                <w:color w:val="auto"/>
                <w:highlight w:val="none"/>
              </w:rPr>
              <w:t>工艺流程简述：</w:t>
            </w:r>
          </w:p>
          <w:p w14:paraId="73C4469A">
            <w:pPr>
              <w:ind w:firstLine="420"/>
              <w:rPr>
                <w:color w:val="auto"/>
                <w:highlight w:val="none"/>
              </w:rPr>
            </w:pPr>
            <w:r>
              <w:rPr>
                <w:rFonts w:hint="eastAsia" w:ascii="宋体" w:hAnsi="宋体" w:cs="宋体"/>
                <w:color w:val="auto"/>
                <w:highlight w:val="none"/>
              </w:rPr>
              <w:t>①</w:t>
            </w:r>
            <w:r>
              <w:rPr>
                <w:color w:val="auto"/>
                <w:highlight w:val="none"/>
              </w:rPr>
              <w:t>检查：</w:t>
            </w:r>
            <w:r>
              <w:rPr>
                <w:rFonts w:hint="eastAsia"/>
                <w:color w:val="auto"/>
                <w:highlight w:val="none"/>
              </w:rPr>
              <w:t>车辆进厂后，首先根据客户反映的问题</w:t>
            </w:r>
            <w:r>
              <w:rPr>
                <w:color w:val="auto"/>
                <w:highlight w:val="none"/>
              </w:rPr>
              <w:t>对车辆进行检查</w:t>
            </w:r>
            <w:r>
              <w:rPr>
                <w:rFonts w:hint="eastAsia"/>
                <w:color w:val="auto"/>
                <w:highlight w:val="none"/>
              </w:rPr>
              <w:t>，然后根据客户需求对车辆进行维修</w:t>
            </w:r>
            <w:r>
              <w:rPr>
                <w:color w:val="auto"/>
                <w:highlight w:val="none"/>
              </w:rPr>
              <w:t>。</w:t>
            </w:r>
          </w:p>
          <w:p w14:paraId="4474C29D">
            <w:pPr>
              <w:ind w:firstLine="420"/>
              <w:rPr>
                <w:color w:val="auto"/>
                <w:highlight w:val="none"/>
              </w:rPr>
            </w:pPr>
            <w:r>
              <w:rPr>
                <w:rFonts w:hint="eastAsia" w:ascii="宋体" w:hAnsi="宋体" w:cs="宋体"/>
                <w:color w:val="auto"/>
                <w:highlight w:val="none"/>
              </w:rPr>
              <w:t>②</w:t>
            </w:r>
            <w:r>
              <w:rPr>
                <w:color w:val="auto"/>
                <w:highlight w:val="none"/>
              </w:rPr>
              <w:t>维修：包括更换零</w:t>
            </w:r>
            <w:r>
              <w:rPr>
                <w:rFonts w:hint="eastAsia"/>
                <w:color w:val="auto"/>
                <w:highlight w:val="none"/>
              </w:rPr>
              <w:t>部件</w:t>
            </w:r>
            <w:r>
              <w:rPr>
                <w:color w:val="auto"/>
                <w:highlight w:val="none"/>
              </w:rPr>
              <w:t>、轮胎平衡、更换轮胎</w:t>
            </w:r>
            <w:r>
              <w:rPr>
                <w:rFonts w:hint="eastAsia"/>
                <w:color w:val="auto"/>
                <w:highlight w:val="none"/>
              </w:rPr>
              <w:t>、钣金焊接修复</w:t>
            </w:r>
            <w:r>
              <w:rPr>
                <w:color w:val="auto"/>
                <w:highlight w:val="none"/>
              </w:rPr>
              <w:t>等，此过程会产生噪声、</w:t>
            </w:r>
            <w:r>
              <w:rPr>
                <w:rFonts w:hint="eastAsia"/>
                <w:color w:val="auto"/>
                <w:highlight w:val="none"/>
              </w:rPr>
              <w:t>焊接烟尘G</w:t>
            </w:r>
            <w:r>
              <w:rPr>
                <w:rFonts w:hint="eastAsia"/>
                <w:color w:val="auto"/>
                <w:highlight w:val="none"/>
                <w:lang w:val="en-US" w:eastAsia="zh-CN"/>
              </w:rPr>
              <w:t>4</w:t>
            </w:r>
            <w:r>
              <w:rPr>
                <w:rFonts w:hint="eastAsia"/>
                <w:color w:val="auto"/>
                <w:highlight w:val="none"/>
              </w:rPr>
              <w:t>、废零部件S2、废焊丝S3、废轮胎S4、含油抹布或手套S9、废机油S10、废机油桶S11、</w:t>
            </w:r>
            <w:r>
              <w:rPr>
                <w:rFonts w:hint="eastAsia"/>
                <w:color w:val="auto"/>
                <w:highlight w:val="none"/>
                <w:lang w:eastAsia="zh-CN"/>
              </w:rPr>
              <w:t>废电池</w:t>
            </w:r>
            <w:r>
              <w:rPr>
                <w:rFonts w:hint="eastAsia"/>
                <w:color w:val="auto"/>
                <w:highlight w:val="none"/>
              </w:rPr>
              <w:t>S12</w:t>
            </w:r>
            <w:r>
              <w:rPr>
                <w:color w:val="auto"/>
                <w:highlight w:val="none"/>
              </w:rPr>
              <w:t>等；</w:t>
            </w:r>
          </w:p>
          <w:p w14:paraId="7F3A621F">
            <w:pPr>
              <w:bidi w:val="0"/>
              <w:ind w:firstLine="480" w:firstLineChars="200"/>
              <w:rPr>
                <w:rFonts w:hint="eastAsia"/>
                <w:color w:val="auto"/>
                <w:highlight w:val="none"/>
                <w:lang w:val="en-US" w:eastAsia="zh-CN"/>
              </w:rPr>
            </w:pPr>
            <w:r>
              <w:rPr>
                <w:rFonts w:hint="eastAsia"/>
                <w:color w:val="auto"/>
                <w:highlight w:val="none"/>
              </w:rPr>
              <w:t>③清洗</w:t>
            </w:r>
            <w:r>
              <w:rPr>
                <w:color w:val="auto"/>
                <w:highlight w:val="none"/>
              </w:rPr>
              <w:t>：</w:t>
            </w:r>
            <w:r>
              <w:rPr>
                <w:rFonts w:hint="eastAsia"/>
                <w:color w:val="auto"/>
                <w:highlight w:val="none"/>
              </w:rPr>
              <w:t>用自来水对检查合格车辆进行简单清洗，清洗区</w:t>
            </w:r>
            <w:r>
              <w:rPr>
                <w:rFonts w:hint="eastAsia"/>
                <w:color w:val="auto"/>
                <w:highlight w:val="none"/>
                <w:lang w:val="en-US" w:eastAsia="zh-CN"/>
              </w:rPr>
              <w:t>设置</w:t>
            </w:r>
            <w:r>
              <w:rPr>
                <w:rFonts w:hint="eastAsia"/>
                <w:color w:val="auto"/>
                <w:highlight w:val="none"/>
              </w:rPr>
              <w:t>在钣金</w:t>
            </w:r>
            <w:r>
              <w:rPr>
                <w:rFonts w:hint="eastAsia"/>
                <w:color w:val="auto"/>
                <w:highlight w:val="none"/>
                <w:lang w:val="en-US" w:eastAsia="zh-CN"/>
              </w:rPr>
              <w:t>区</w:t>
            </w:r>
            <w:r>
              <w:rPr>
                <w:rFonts w:hint="eastAsia"/>
                <w:color w:val="auto"/>
                <w:highlight w:val="none"/>
              </w:rPr>
              <w:t>出口处，四周有引流渠道收集洗车废水。洗车废水经渠道收集</w:t>
            </w:r>
            <w:r>
              <w:rPr>
                <w:rFonts w:hint="eastAsia"/>
                <w:color w:val="auto"/>
                <w:highlight w:val="none"/>
                <w:lang w:val="en-US" w:eastAsia="zh-CN"/>
              </w:rPr>
              <w:t>至</w:t>
            </w:r>
            <w:r>
              <w:rPr>
                <w:rFonts w:hint="eastAsia"/>
                <w:color w:val="auto"/>
                <w:highlight w:val="none"/>
              </w:rPr>
              <w:t>隔油</w:t>
            </w:r>
            <w:r>
              <w:rPr>
                <w:rFonts w:hint="eastAsia"/>
                <w:color w:val="auto"/>
                <w:highlight w:val="none"/>
                <w:lang w:eastAsia="zh-CN"/>
              </w:rPr>
              <w:t>池和</w:t>
            </w:r>
            <w:r>
              <w:rPr>
                <w:rFonts w:hint="eastAsia"/>
                <w:color w:val="auto"/>
                <w:highlight w:val="none"/>
              </w:rPr>
              <w:t>沉淀池处理。本项目仅对维修车辆进行简单清洗，不对外设洗车服务。此过程产生洗车废水</w:t>
            </w:r>
            <w:bookmarkStart w:id="19" w:name="OLE_LINK12"/>
            <w:r>
              <w:rPr>
                <w:rFonts w:hint="eastAsia"/>
                <w:color w:val="auto"/>
                <w:highlight w:val="none"/>
              </w:rPr>
              <w:t>W4、洗车污泥及泥沙S5。</w:t>
            </w:r>
            <w:bookmarkEnd w:id="19"/>
          </w:p>
          <w:p w14:paraId="62CDAE60">
            <w:pPr>
              <w:pStyle w:val="6"/>
              <w:ind w:firstLine="482" w:firstLineChars="200"/>
              <w:jc w:val="both"/>
              <w:rPr>
                <w:color w:val="auto"/>
                <w:highlight w:val="none"/>
              </w:rPr>
            </w:pPr>
            <w:r>
              <w:rPr>
                <w:rFonts w:hint="eastAsia"/>
                <w:color w:val="auto"/>
                <w:highlight w:val="none"/>
                <w:lang w:val="en-US" w:eastAsia="zh-CN"/>
              </w:rPr>
              <w:t>4</w:t>
            </w:r>
            <w:r>
              <w:rPr>
                <w:rFonts w:hint="eastAsia"/>
                <w:color w:val="auto"/>
                <w:highlight w:val="none"/>
              </w:rPr>
              <w:t>、</w:t>
            </w:r>
            <w:r>
              <w:rPr>
                <w:rFonts w:hint="eastAsia"/>
                <w:color w:val="auto"/>
                <w:highlight w:val="none"/>
                <w:lang w:eastAsia="zh-CN"/>
              </w:rPr>
              <w:t>内部</w:t>
            </w:r>
            <w:r>
              <w:rPr>
                <w:rFonts w:hint="eastAsia"/>
                <w:color w:val="auto"/>
                <w:highlight w:val="none"/>
              </w:rPr>
              <w:t>综合能源站</w:t>
            </w:r>
          </w:p>
          <w:p w14:paraId="62EF8EB3">
            <w:pPr>
              <w:ind w:firstLine="480" w:firstLineChars="200"/>
              <w:rPr>
                <w:color w:val="auto"/>
                <w:highlight w:val="none"/>
              </w:rPr>
            </w:pPr>
            <w:r>
              <w:rPr>
                <w:rFonts w:hint="eastAsia"/>
                <w:color w:val="auto"/>
                <w:highlight w:val="none"/>
              </w:rPr>
              <w:t>（1）柴油加油工艺流程及产污环节</w:t>
            </w:r>
          </w:p>
          <w:p w14:paraId="38665295">
            <w:pPr>
              <w:rPr>
                <w:color w:val="auto"/>
                <w:highlight w:val="none"/>
              </w:rPr>
            </w:pPr>
            <w:r>
              <w:rPr>
                <w:rFonts w:hint="eastAsia"/>
                <w:color w:val="auto"/>
                <w:highlight w:val="none"/>
              </w:rPr>
              <w:drawing>
                <wp:inline distT="0" distB="0" distL="114300" distR="114300">
                  <wp:extent cx="4878070" cy="1534795"/>
                  <wp:effectExtent l="0" t="0" r="0" b="0"/>
                  <wp:docPr id="3" name="ECB019B1-382A-4266-B25C-5B523AA43C14-3" descr="C:/Users/Administrator/AppData/Local/Temp/wps.mMMQX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Administrator/AppData/Local/Temp/wps.mMMQXqwps"/>
                          <pic:cNvPicPr>
                            <a:picLocks noChangeAspect="1"/>
                          </pic:cNvPicPr>
                        </pic:nvPicPr>
                        <pic:blipFill>
                          <a:blip r:embed="rId25"/>
                          <a:stretch>
                            <a:fillRect/>
                          </a:stretch>
                        </pic:blipFill>
                        <pic:spPr>
                          <a:xfrm>
                            <a:off x="0" y="0"/>
                            <a:ext cx="4878070" cy="1534795"/>
                          </a:xfrm>
                          <a:prstGeom prst="rect">
                            <a:avLst/>
                          </a:prstGeom>
                        </pic:spPr>
                      </pic:pic>
                    </a:graphicData>
                  </a:graphic>
                </wp:inline>
              </w:drawing>
            </w:r>
          </w:p>
          <w:p w14:paraId="2825815B">
            <w:pPr>
              <w:pStyle w:val="6"/>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t xml:space="preserve"> 柴油加油工艺流程及产污节点图</w:t>
            </w:r>
          </w:p>
          <w:p w14:paraId="5EC9FC2B">
            <w:pPr>
              <w:rPr>
                <w:color w:val="auto"/>
                <w:highlight w:val="none"/>
              </w:rPr>
            </w:pPr>
            <w:r>
              <w:rPr>
                <w:rFonts w:hint="eastAsia"/>
                <w:color w:val="auto"/>
                <w:highlight w:val="none"/>
              </w:rPr>
              <w:t>工艺流程简述：</w:t>
            </w:r>
          </w:p>
          <w:p w14:paraId="05CE7D1A">
            <w:pPr>
              <w:bidi w:val="0"/>
              <w:ind w:firstLine="480" w:firstLineChars="200"/>
              <w:rPr>
                <w:color w:val="auto"/>
                <w:highlight w:val="none"/>
              </w:rPr>
            </w:pPr>
            <w:r>
              <w:rPr>
                <w:rFonts w:hint="eastAsia"/>
                <w:color w:val="auto"/>
                <w:highlight w:val="none"/>
              </w:rPr>
              <w:t>①卸油过程：由专用汽车槽罐车运输到达加油站卸油口附近，采用带有快接头的连接软管将油罐车卸油接口与埋地油罐卸油口连接，并接好静电接地装置，罐车静止稳油十五分钟以后，测量埋地油罐和油罐车的油品液位及埋地储油罐的可容量，然后开启罐车底部液相卸油阀门，慢开油罐进油阀（卸油阀），油品自流流入埋地油罐。卸油完成后，关闭油罐车卸油阀门，拆除连通软管及静电接地装置，人工封闭好油罐进油口和罐车卸油口，卸油结束。</w:t>
            </w:r>
          </w:p>
          <w:p w14:paraId="52114061">
            <w:pPr>
              <w:bidi w:val="0"/>
              <w:ind w:firstLine="480" w:firstLineChars="200"/>
              <w:rPr>
                <w:color w:val="auto"/>
                <w:highlight w:val="none"/>
              </w:rPr>
            </w:pPr>
            <w:r>
              <w:rPr>
                <w:rFonts w:hint="eastAsia"/>
                <w:color w:val="auto"/>
                <w:highlight w:val="none"/>
              </w:rPr>
              <w:t>②</w:t>
            </w:r>
            <w:r>
              <w:rPr>
                <w:color w:val="auto"/>
                <w:highlight w:val="none"/>
              </w:rPr>
              <w:t>加油过程：加油采用潜油泵式加油机，加油枪与潜油泵连锁。加油时启动潜油泵，将油品从罐内抽出，</w:t>
            </w:r>
            <w:r>
              <w:rPr>
                <w:rFonts w:hint="eastAsia"/>
                <w:color w:val="auto"/>
                <w:highlight w:val="none"/>
              </w:rPr>
              <w:t>经加油机计量</w:t>
            </w:r>
            <w:r>
              <w:rPr>
                <w:color w:val="auto"/>
                <w:highlight w:val="none"/>
              </w:rPr>
              <w:t>通过加油枪向车辆油箱加油。</w:t>
            </w:r>
          </w:p>
          <w:p w14:paraId="087B0AF4">
            <w:pPr>
              <w:ind w:firstLine="480" w:firstLineChars="200"/>
              <w:rPr>
                <w:color w:val="auto"/>
                <w:highlight w:val="none"/>
              </w:rPr>
            </w:pPr>
            <w:r>
              <w:rPr>
                <w:rFonts w:hint="eastAsia"/>
                <w:color w:val="auto"/>
                <w:highlight w:val="none"/>
              </w:rPr>
              <w:t>（2）汽油加油工艺流程及产污环节</w:t>
            </w:r>
          </w:p>
          <w:p w14:paraId="7F148553">
            <w:pPr>
              <w:rPr>
                <w:color w:val="auto"/>
                <w:highlight w:val="none"/>
              </w:rPr>
            </w:pPr>
            <w:r>
              <w:rPr>
                <w:color w:val="auto"/>
                <w:highlight w:val="none"/>
              </w:rPr>
              <w:drawing>
                <wp:inline distT="0" distB="0" distL="114300" distR="114300">
                  <wp:extent cx="4816475" cy="1605280"/>
                  <wp:effectExtent l="0" t="0" r="0" b="0"/>
                  <wp:docPr id="4" name="ECB019B1-382A-4266-B25C-5B523AA43C14-4" descr="C:/Users/Administrator/AppData/Local/Temp/wps.RFSAc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C:/Users/Administrator/AppData/Local/Temp/wps.RFSAcgwps"/>
                          <pic:cNvPicPr>
                            <a:picLocks noChangeAspect="1"/>
                          </pic:cNvPicPr>
                        </pic:nvPicPr>
                        <pic:blipFill>
                          <a:blip r:embed="rId26"/>
                          <a:stretch>
                            <a:fillRect/>
                          </a:stretch>
                        </pic:blipFill>
                        <pic:spPr>
                          <a:xfrm>
                            <a:off x="0" y="0"/>
                            <a:ext cx="4816475" cy="1605280"/>
                          </a:xfrm>
                          <a:prstGeom prst="rect">
                            <a:avLst/>
                          </a:prstGeom>
                        </pic:spPr>
                      </pic:pic>
                    </a:graphicData>
                  </a:graphic>
                </wp:inline>
              </w:drawing>
            </w:r>
          </w:p>
          <w:p w14:paraId="6DCBDBFC">
            <w:pPr>
              <w:pStyle w:val="6"/>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 xml:space="preserve"> 汽油加油工艺流程及产污节点图</w:t>
            </w:r>
          </w:p>
          <w:p w14:paraId="41587978">
            <w:pPr>
              <w:rPr>
                <w:color w:val="auto"/>
                <w:highlight w:val="none"/>
              </w:rPr>
            </w:pPr>
            <w:r>
              <w:rPr>
                <w:rFonts w:hint="eastAsia"/>
                <w:color w:val="auto"/>
                <w:highlight w:val="none"/>
              </w:rPr>
              <w:t>工艺流程简述：</w:t>
            </w:r>
          </w:p>
          <w:p w14:paraId="7423D546">
            <w:pPr>
              <w:ind w:firstLine="480" w:firstLineChars="200"/>
              <w:rPr>
                <w:color w:val="auto"/>
                <w:highlight w:val="none"/>
              </w:rPr>
            </w:pPr>
            <w:r>
              <w:rPr>
                <w:rFonts w:hint="eastAsia" w:ascii="宋体" w:hAnsi="宋体" w:cs="宋体"/>
                <w:color w:val="auto"/>
                <w:highlight w:val="none"/>
              </w:rPr>
              <w:t>①卸油</w:t>
            </w:r>
            <w:r>
              <w:rPr>
                <w:rFonts w:hint="eastAsia"/>
                <w:color w:val="auto"/>
                <w:highlight w:val="none"/>
              </w:rPr>
              <w:t>：汽油</w:t>
            </w:r>
            <w:r>
              <w:rPr>
                <w:color w:val="auto"/>
                <w:highlight w:val="none"/>
              </w:rPr>
              <w:t>由</w:t>
            </w:r>
            <w:r>
              <w:rPr>
                <w:rFonts w:hint="eastAsia"/>
                <w:color w:val="auto"/>
                <w:highlight w:val="none"/>
              </w:rPr>
              <w:t>专用</w:t>
            </w:r>
            <w:r>
              <w:rPr>
                <w:color w:val="auto"/>
                <w:highlight w:val="none"/>
              </w:rPr>
              <w:t>汽车槽罐车运输，槽罐车</w:t>
            </w:r>
            <w:r>
              <w:rPr>
                <w:rFonts w:hint="eastAsia"/>
                <w:color w:val="auto"/>
                <w:highlight w:val="none"/>
              </w:rPr>
              <w:t>在加油站安全管理人员引导下</w:t>
            </w:r>
            <w:r>
              <w:rPr>
                <w:color w:val="auto"/>
                <w:highlight w:val="none"/>
              </w:rPr>
              <w:t>到达</w:t>
            </w:r>
            <w:r>
              <w:rPr>
                <w:rFonts w:hint="eastAsia"/>
                <w:color w:val="auto"/>
                <w:highlight w:val="none"/>
              </w:rPr>
              <w:t>卸油指定位置</w:t>
            </w:r>
            <w:r>
              <w:rPr>
                <w:color w:val="auto"/>
                <w:highlight w:val="none"/>
              </w:rPr>
              <w:t>，停稳熄火，接好罐车防静电接地</w:t>
            </w:r>
            <w:r>
              <w:rPr>
                <w:rFonts w:hint="eastAsia"/>
                <w:color w:val="auto"/>
                <w:highlight w:val="none"/>
              </w:rPr>
              <w:t>确认完好；再将储油罐油气回收阀与油罐车的气相阀，油罐卸油口快接头与油罐车液相卸油口分别用专用软管连接；待油罐车稳定15分钟以后，并确认储油罐的油品可容量，然后打开油罐油气回收阀门和罐车气相阀门</w:t>
            </w:r>
            <w:r>
              <w:rPr>
                <w:rFonts w:hint="eastAsia"/>
                <w:color w:val="auto"/>
                <w:highlight w:val="none"/>
                <w:lang w:eastAsia="zh-CN"/>
              </w:rPr>
              <w:t>，</w:t>
            </w:r>
            <w:r>
              <w:rPr>
                <w:rFonts w:hint="eastAsia"/>
                <w:color w:val="auto"/>
                <w:highlight w:val="none"/>
              </w:rPr>
              <w:t>检查汽油罐气相管道控制阻火器放空阀属于关闭状态，再开启罐车底部液相卸油阀门，慢开油罐进油阀（卸油阀），油品自流流入埋地油罐；油罐上方油气通过气相连接管回收至油罐车罐内上方（称为一次油气回收），保持油罐与油罐车罐内压力平衡。如果油罐内液位达到90%时，液位报警仪报警，达到95%时油罐进油管道上安装的防溢阀自动关闭，操作人员应该立即关闭油罐车卸油阀，待罐车连接管内油品自流完后，再关闭油罐进油阀。正常卸油结束后，先关闭罐车卸油阀门，再关闭罐车油气回收阀门和油罐卸油油气回收阀门和油罐进油阀，最后拆除卸油和油气回收软管，回收至油罐车内的油气运到油库进行回收。</w:t>
            </w:r>
          </w:p>
          <w:p w14:paraId="3CFB7B5B">
            <w:pPr>
              <w:ind w:firstLine="480" w:firstLineChars="200"/>
              <w:rPr>
                <w:color w:val="auto"/>
                <w:highlight w:val="none"/>
              </w:rPr>
            </w:pPr>
            <w:r>
              <w:rPr>
                <w:rFonts w:hint="eastAsia"/>
                <w:color w:val="auto"/>
                <w:highlight w:val="none"/>
              </w:rPr>
              <w:t>②加油：</w:t>
            </w:r>
            <w:r>
              <w:rPr>
                <w:color w:val="auto"/>
                <w:highlight w:val="none"/>
              </w:rPr>
              <w:t>加油采用潜油泵式加油机，加油枪与潜油泵连锁。加油时启动潜油泵，将油品从罐内抽出，</w:t>
            </w:r>
            <w:r>
              <w:rPr>
                <w:rFonts w:hint="eastAsia"/>
                <w:color w:val="auto"/>
                <w:highlight w:val="none"/>
              </w:rPr>
              <w:t>经加油机计量</w:t>
            </w:r>
            <w:r>
              <w:rPr>
                <w:color w:val="auto"/>
                <w:highlight w:val="none"/>
              </w:rPr>
              <w:t>通过加油枪向车辆油箱加油。</w:t>
            </w:r>
            <w:r>
              <w:rPr>
                <w:rFonts w:hint="eastAsia"/>
                <w:color w:val="auto"/>
                <w:highlight w:val="none"/>
              </w:rPr>
              <w:t>汽油加油系统采用了油气回收系统（称为二次油气回收），加油时，汽车油箱挥发的油气通过加油枪外套管、加油机内的油气泵，收集送至地下油罐，减少加油时的油气挥发溢出。</w:t>
            </w:r>
          </w:p>
          <w:p w14:paraId="5FE80DF2">
            <w:pPr>
              <w:ind w:firstLine="480" w:firstLineChars="200"/>
              <w:rPr>
                <w:color w:val="auto"/>
                <w:highlight w:val="none"/>
              </w:rPr>
            </w:pPr>
            <w:r>
              <w:rPr>
                <w:rFonts w:hint="eastAsia" w:ascii="宋体" w:hAnsi="宋体" w:cs="宋体"/>
                <w:color w:val="auto"/>
                <w:highlight w:val="none"/>
              </w:rPr>
              <w:t>③</w:t>
            </w:r>
            <w:r>
              <w:rPr>
                <w:rFonts w:hint="eastAsia"/>
                <w:color w:val="auto"/>
                <w:highlight w:val="none"/>
              </w:rPr>
              <w:t>储油：对油罐车送来的油品在相应的油罐内进行储存，储存时间为5至7天，从而保证加油站不会出现脱销现象。本项目储罐采用卧式</w:t>
            </w:r>
            <w:r>
              <w:rPr>
                <w:color w:val="auto"/>
                <w:highlight w:val="none"/>
              </w:rPr>
              <w:t>埋地罐（双层罐）</w:t>
            </w:r>
            <w:r>
              <w:rPr>
                <w:rFonts w:hint="eastAsia"/>
                <w:color w:val="auto"/>
                <w:highlight w:val="none"/>
              </w:rPr>
              <w:t>，储罐环节出现泄露概率极低，且配置有液位仪、渗漏检测立管、泄露报警器，一旦储油罐出现泄露，泄露报警器会立即启动，迅速启动应急措施。</w:t>
            </w:r>
          </w:p>
          <w:p w14:paraId="396DE87E">
            <w:pPr>
              <w:ind w:firstLine="480" w:firstLineChars="200"/>
              <w:rPr>
                <w:color w:val="auto"/>
                <w:highlight w:val="none"/>
              </w:rPr>
            </w:pPr>
            <w:r>
              <w:rPr>
                <w:rFonts w:hint="eastAsia"/>
                <w:color w:val="auto"/>
                <w:highlight w:val="none"/>
              </w:rPr>
              <w:t>④油气回收</w:t>
            </w:r>
          </w:p>
          <w:p w14:paraId="628B8A53">
            <w:pPr>
              <w:ind w:firstLine="480" w:firstLineChars="200"/>
              <w:rPr>
                <w:color w:val="auto"/>
                <w:highlight w:val="none"/>
              </w:rPr>
            </w:pPr>
            <w:r>
              <w:rPr>
                <w:rFonts w:hint="default" w:ascii="Times New Roman" w:hAnsi="Times New Roman" w:eastAsia="微软雅黑" w:cs="Times New Roman"/>
                <w:color w:val="auto"/>
                <w:highlight w:val="none"/>
                <w:lang w:val="en-US" w:eastAsia="zh-CN"/>
              </w:rPr>
              <w:t>a.</w:t>
            </w:r>
            <w:r>
              <w:rPr>
                <w:rFonts w:hint="default" w:ascii="Times New Roman" w:hAnsi="Times New Roman" w:cs="Times New Roman"/>
                <w:color w:val="auto"/>
                <w:highlight w:val="none"/>
              </w:rPr>
              <w:t>卸</w:t>
            </w:r>
            <w:r>
              <w:rPr>
                <w:rFonts w:hint="eastAsia"/>
                <w:color w:val="auto"/>
                <w:highlight w:val="none"/>
              </w:rPr>
              <w:t>油油气回收（称为一次油气回收）：一次油气回收系统采用平衡式密闭油气回收工艺。在油罐车卸油过程中，油罐车内压力减小，地下储罐内压力增加，地下储罐内与油罐车内的压力差，使卸油过程中挥发的油气通过气管线回到油罐车内，达到油气收集目的。待卸油结束，地下储罐与油罐车内压力达到平衡状态，一次油气回收阶段结束。</w:t>
            </w:r>
          </w:p>
          <w:p w14:paraId="51E5B1E8">
            <w:pPr>
              <w:rPr>
                <w:color w:val="auto"/>
                <w:highlight w:val="none"/>
              </w:rPr>
            </w:pPr>
            <w:r>
              <w:rPr>
                <w:color w:val="auto"/>
                <w:highlight w:val="none"/>
              </w:rPr>
              <w:drawing>
                <wp:inline distT="0" distB="0" distL="114300" distR="114300">
                  <wp:extent cx="4925060" cy="2025650"/>
                  <wp:effectExtent l="0" t="0" r="889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tretch>
                            <a:fillRect/>
                          </a:stretch>
                        </pic:blipFill>
                        <pic:spPr>
                          <a:xfrm>
                            <a:off x="0" y="0"/>
                            <a:ext cx="4925060" cy="2025650"/>
                          </a:xfrm>
                          <a:prstGeom prst="rect">
                            <a:avLst/>
                          </a:prstGeom>
                          <a:noFill/>
                          <a:ln>
                            <a:noFill/>
                          </a:ln>
                        </pic:spPr>
                      </pic:pic>
                    </a:graphicData>
                  </a:graphic>
                </wp:inline>
              </w:drawing>
            </w:r>
          </w:p>
          <w:p w14:paraId="4B701C1D">
            <w:pPr>
              <w:pStyle w:val="6"/>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t xml:space="preserve"> 卸油油气回收系统基本原理图</w:t>
            </w:r>
          </w:p>
          <w:p w14:paraId="43E3DE31">
            <w:pPr>
              <w:ind w:firstLine="480" w:firstLineChars="200"/>
              <w:rPr>
                <w:color w:val="auto"/>
                <w:highlight w:val="none"/>
              </w:rPr>
            </w:pPr>
            <w:r>
              <w:rPr>
                <w:rFonts w:hint="default" w:ascii="Times New Roman" w:hAnsi="Times New Roman" w:eastAsia="微软雅黑" w:cs="Times New Roman"/>
                <w:color w:val="auto"/>
                <w:highlight w:val="none"/>
                <w:lang w:val="en-US" w:eastAsia="zh-CN"/>
              </w:rPr>
              <w:t>b.</w:t>
            </w:r>
            <w:r>
              <w:rPr>
                <w:rFonts w:hint="default" w:ascii="Times New Roman" w:hAnsi="Times New Roman" w:cs="Times New Roman"/>
                <w:color w:val="auto"/>
                <w:highlight w:val="none"/>
              </w:rPr>
              <w:t>加</w:t>
            </w:r>
            <w:r>
              <w:rPr>
                <w:rFonts w:hint="eastAsia"/>
                <w:color w:val="auto"/>
                <w:highlight w:val="none"/>
              </w:rPr>
              <w:t>油油气回收时（称为二次油气回收）：二次油气回收系统采用真空辅助式油气回收工艺。每台加油机内分别设置油气回收泵</w:t>
            </w:r>
            <w:r>
              <w:rPr>
                <w:rFonts w:hint="eastAsia"/>
                <w:color w:val="auto"/>
                <w:highlight w:val="none"/>
                <w:lang w:eastAsia="zh-CN"/>
              </w:rPr>
              <w:t>（</w:t>
            </w:r>
            <w:r>
              <w:rPr>
                <w:rFonts w:hint="eastAsia"/>
                <w:color w:val="auto"/>
                <w:highlight w:val="none"/>
              </w:rPr>
              <w:t>一泵一枪</w:t>
            </w:r>
            <w:r>
              <w:rPr>
                <w:rFonts w:hint="eastAsia"/>
                <w:color w:val="auto"/>
                <w:highlight w:val="none"/>
                <w:lang w:eastAsia="zh-CN"/>
              </w:rPr>
              <w:t>）</w:t>
            </w:r>
            <w:r>
              <w:rPr>
                <w:rFonts w:hint="eastAsia"/>
                <w:color w:val="auto"/>
                <w:highlight w:val="none"/>
              </w:rPr>
              <w:t>，又称“分散式”加油油气回收系统。在加油过程中，通过真空泵产生一定真空度，经过加油枪、油气回收管、真空泵等油气回收设备，按照气液比控制在10至12之间的要求，将加油过程中挥发的油气回收到油罐内。</w:t>
            </w:r>
          </w:p>
          <w:p w14:paraId="7D769FEF">
            <w:pPr>
              <w:rPr>
                <w:color w:val="auto"/>
                <w:highlight w:val="none"/>
              </w:rPr>
            </w:pPr>
            <w:r>
              <w:rPr>
                <w:color w:val="auto"/>
                <w:highlight w:val="none"/>
              </w:rPr>
              <w:drawing>
                <wp:inline distT="0" distB="0" distL="114300" distR="114300">
                  <wp:extent cx="4770755" cy="2362835"/>
                  <wp:effectExtent l="0" t="0" r="10795" b="184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stretch>
                            <a:fillRect/>
                          </a:stretch>
                        </pic:blipFill>
                        <pic:spPr>
                          <a:xfrm>
                            <a:off x="0" y="0"/>
                            <a:ext cx="4770755" cy="2362835"/>
                          </a:xfrm>
                          <a:prstGeom prst="rect">
                            <a:avLst/>
                          </a:prstGeom>
                          <a:noFill/>
                          <a:ln>
                            <a:noFill/>
                          </a:ln>
                        </pic:spPr>
                      </pic:pic>
                    </a:graphicData>
                  </a:graphic>
                </wp:inline>
              </w:drawing>
            </w:r>
          </w:p>
          <w:p w14:paraId="0C74FE12">
            <w:pPr>
              <w:pStyle w:val="6"/>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rPr>
              <w:t xml:space="preserve"> 加油油气回收系统基本原理图</w:t>
            </w:r>
          </w:p>
          <w:p w14:paraId="47D282D3">
            <w:pPr>
              <w:pStyle w:val="21"/>
              <w:shd w:val="clear" w:color="auto" w:fill="FFFFFF"/>
              <w:spacing w:before="0" w:beforeAutospacing="0" w:after="0" w:afterAutospacing="0"/>
              <w:ind w:firstLine="480" w:firstLineChars="200"/>
              <w:rPr>
                <w:rFonts w:hint="default"/>
                <w:color w:val="auto"/>
                <w:highlight w:val="none"/>
              </w:rPr>
            </w:pPr>
            <w:r>
              <w:rPr>
                <w:rFonts w:hint="default"/>
                <w:color w:val="auto"/>
                <w:highlight w:val="none"/>
                <w:lang w:val="en-US" w:eastAsia="zh-CN"/>
              </w:rPr>
              <w:t>c.</w:t>
            </w:r>
            <w:r>
              <w:rPr>
                <w:color w:val="auto"/>
                <w:highlight w:val="none"/>
              </w:rPr>
              <w:t>储油罐油气回收系统（</w:t>
            </w:r>
            <w:r>
              <w:rPr>
                <w:rFonts w:hint="default"/>
                <w:color w:val="auto"/>
                <w:highlight w:val="none"/>
              </w:rPr>
              <w:t>三次油气回收阶段</w:t>
            </w:r>
            <w:r>
              <w:rPr>
                <w:color w:val="auto"/>
                <w:highlight w:val="none"/>
              </w:rPr>
              <w:t>）</w:t>
            </w:r>
            <w:r>
              <w:rPr>
                <w:rFonts w:hint="default"/>
                <w:color w:val="auto"/>
                <w:highlight w:val="none"/>
              </w:rPr>
              <w:t>：</w:t>
            </w:r>
            <w:r>
              <w:rPr>
                <w:color w:val="auto"/>
                <w:highlight w:val="none"/>
              </w:rPr>
              <w:t>三次回收系统是指在常温下油气沿油气管道送入油气处理装置的冷凝单元，压缩机和装在油气主管上的压力传感器连锁，当地下储油罐内的气压升高到设定的压力值</w:t>
            </w:r>
            <w:r>
              <w:rPr>
                <w:rFonts w:hint="eastAsia"/>
                <w:color w:val="auto"/>
                <w:highlight w:val="none"/>
                <w:lang w:eastAsia="zh-CN"/>
              </w:rPr>
              <w:t>（</w:t>
            </w:r>
            <w:r>
              <w:rPr>
                <w:color w:val="auto"/>
                <w:highlight w:val="none"/>
              </w:rPr>
              <w:t>+150Pa或根据实际情况设定压力值</w:t>
            </w:r>
            <w:r>
              <w:rPr>
                <w:rFonts w:hint="eastAsia"/>
                <w:color w:val="auto"/>
                <w:highlight w:val="none"/>
                <w:lang w:eastAsia="zh-CN"/>
              </w:rPr>
              <w:t>）</w:t>
            </w:r>
            <w:r>
              <w:rPr>
                <w:color w:val="auto"/>
                <w:highlight w:val="none"/>
              </w:rPr>
              <w:t>并且持续10S，系统自动开始运行。</w:t>
            </w:r>
          </w:p>
          <w:p w14:paraId="64226EEC">
            <w:pPr>
              <w:pStyle w:val="21"/>
              <w:shd w:val="clear" w:color="auto" w:fill="FFFFFF"/>
              <w:spacing w:before="0" w:beforeAutospacing="0" w:after="0" w:afterAutospacing="0"/>
              <w:ind w:firstLine="480" w:firstLineChars="200"/>
              <w:rPr>
                <w:rFonts w:hint="default"/>
                <w:color w:val="auto"/>
                <w:highlight w:val="none"/>
              </w:rPr>
            </w:pPr>
            <w:r>
              <w:rPr>
                <w:color w:val="auto"/>
                <w:highlight w:val="none"/>
              </w:rPr>
              <w:t>油气直接进入冷凝单元进行多级冷凝：先经预冷器被冷却至3℃，冷凝出部分油和水，然后进入一级冷凝箱被冷却至-25℃，再析出一部分油，再进入第二级冷凝箱被冷却至-45℃，进一步析出一部分油，此时大部分的烃类组分被冷凝液化析出，进入设备的储油罐内。分离出油后的低温贫油气体再依次回到第一级冷凝箱、回热交换器进行回热交换，完成了气路的冷量回收利用。未被冷凝处理的低浓度油气，进入到</w:t>
            </w:r>
            <w:r>
              <w:rPr>
                <w:rFonts w:hint="eastAsia"/>
                <w:color w:val="auto"/>
                <w:highlight w:val="none"/>
                <w:lang w:eastAsia="zh-CN"/>
              </w:rPr>
              <w:t>膜</w:t>
            </w:r>
            <w:r>
              <w:rPr>
                <w:color w:val="auto"/>
                <w:highlight w:val="none"/>
              </w:rPr>
              <w:t>吸附系统，吸附系统由两吸附罐进行吸附—脱附—清扫过程，在常压下A罐吸附原料中的剩余油气组分、当吸附饱和后、系统自动切入B罐进行吸附处理，同时A罐进行真空脱附使吸附剂获得再生，脱附出的油气进入设备自带的集油罐进行吸收，未被吸收的少量油气进入下一个循环，经过吸附系统分离出来的达标尾气经阻火器安全排空。回收回来的汽油通过管道进出加油站低标号油罐内。</w:t>
            </w:r>
          </w:p>
          <w:p w14:paraId="785C0B8C">
            <w:pPr>
              <w:pStyle w:val="9"/>
              <w:spacing w:before="161" w:line="364" w:lineRule="auto"/>
              <w:ind w:right="230"/>
              <w:rPr>
                <w:color w:val="auto"/>
                <w:highlight w:val="none"/>
              </w:rPr>
            </w:pPr>
            <w:r>
              <w:rPr>
                <w:rFonts w:ascii="宋体" w:hAnsi="宋体" w:eastAsia="宋体" w:cs="宋体"/>
                <w:color w:val="auto"/>
                <w:sz w:val="24"/>
                <w:szCs w:val="24"/>
                <w:highlight w:val="none"/>
              </w:rPr>
              <w:drawing>
                <wp:inline distT="0" distB="0" distL="114300" distR="114300">
                  <wp:extent cx="5056505" cy="3379470"/>
                  <wp:effectExtent l="0" t="0" r="10795" b="11430"/>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29"/>
                          <a:stretch>
                            <a:fillRect/>
                          </a:stretch>
                        </pic:blipFill>
                        <pic:spPr>
                          <a:xfrm>
                            <a:off x="0" y="0"/>
                            <a:ext cx="5056505" cy="3379470"/>
                          </a:xfrm>
                          <a:prstGeom prst="rect">
                            <a:avLst/>
                          </a:prstGeom>
                          <a:noFill/>
                          <a:ln w="9525">
                            <a:noFill/>
                          </a:ln>
                        </pic:spPr>
                      </pic:pic>
                    </a:graphicData>
                  </a:graphic>
                </wp:inline>
              </w:drawing>
            </w:r>
          </w:p>
          <w:p w14:paraId="08A0342E">
            <w:pPr>
              <w:pStyle w:val="6"/>
              <w:spacing w:before="161" w:line="364" w:lineRule="auto"/>
              <w:ind w:right="230"/>
              <w:rPr>
                <w:color w:val="auto"/>
                <w:highlight w:val="none"/>
              </w:rPr>
            </w:pPr>
            <w:r>
              <w:rPr>
                <w:color w:val="auto"/>
                <w:highlight w:val="none"/>
              </w:rPr>
              <w:t xml:space="preserve">图 </w:t>
            </w:r>
            <w:r>
              <w:rPr>
                <w:rFonts w:hint="eastAsia"/>
                <w:color w:val="auto"/>
                <w:highlight w:val="none"/>
              </w:rPr>
              <w:t>2-</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rPr>
              <w:t xml:space="preserve"> 三次油气回收装置</w:t>
            </w:r>
          </w:p>
          <w:p w14:paraId="05171A7C">
            <w:pPr>
              <w:ind w:firstLine="480" w:firstLineChars="200"/>
              <w:rPr>
                <w:color w:val="auto"/>
                <w:highlight w:val="none"/>
              </w:rPr>
            </w:pPr>
            <w:r>
              <w:rPr>
                <w:color w:val="auto"/>
                <w:highlight w:val="none"/>
              </w:rPr>
              <w:t>⑤油罐维护</w:t>
            </w:r>
          </w:p>
          <w:p w14:paraId="003ADA0A">
            <w:pPr>
              <w:ind w:firstLine="480" w:firstLineChars="200"/>
              <w:rPr>
                <w:color w:val="auto"/>
                <w:highlight w:val="none"/>
              </w:rPr>
            </w:pPr>
            <w:r>
              <w:rPr>
                <w:color w:val="auto"/>
                <w:highlight w:val="none"/>
              </w:rPr>
              <w:t>加油站在下述情况下要进行油罐清洗维护：新建油罐装油之前；换装不同种类的油料、原储油料对新换装的油料有影响时；需要对油罐进行明火烧焊或清除油漆时；在装油时间较长，罐内较脏时要清洗。加油站每3~5年对油罐进行</w:t>
            </w:r>
            <w:r>
              <w:rPr>
                <w:rFonts w:hint="eastAsia"/>
                <w:color w:val="auto"/>
                <w:highlight w:val="none"/>
              </w:rPr>
              <w:t>清理</w:t>
            </w:r>
            <w:r>
              <w:rPr>
                <w:color w:val="auto"/>
                <w:highlight w:val="none"/>
              </w:rPr>
              <w:t>，建设单位委托</w:t>
            </w:r>
            <w:r>
              <w:rPr>
                <w:rFonts w:hint="eastAsia"/>
                <w:color w:val="auto"/>
                <w:highlight w:val="none"/>
                <w:lang w:val="en-US" w:eastAsia="zh-CN"/>
              </w:rPr>
              <w:t>具备清罐资质的</w:t>
            </w:r>
            <w:r>
              <w:rPr>
                <w:color w:val="auto"/>
                <w:highlight w:val="none"/>
              </w:rPr>
              <w:t>专业</w:t>
            </w:r>
            <w:r>
              <w:rPr>
                <w:rFonts w:hint="eastAsia"/>
                <w:color w:val="auto"/>
                <w:highlight w:val="none"/>
                <w:lang w:val="en-US" w:eastAsia="zh-CN"/>
              </w:rPr>
              <w:t>清理</w:t>
            </w:r>
            <w:r>
              <w:rPr>
                <w:color w:val="auto"/>
                <w:highlight w:val="none"/>
              </w:rPr>
              <w:t>公司进行清理，清理产生的废油渣及废油水由专业清理公司</w:t>
            </w:r>
            <w:r>
              <w:rPr>
                <w:rFonts w:hint="eastAsia"/>
                <w:color w:val="auto"/>
                <w:highlight w:val="none"/>
                <w:lang w:val="en-US" w:eastAsia="zh-CN"/>
              </w:rPr>
              <w:t>运输处置</w:t>
            </w:r>
            <w:r>
              <w:rPr>
                <w:color w:val="auto"/>
                <w:highlight w:val="none"/>
              </w:rPr>
              <w:t>，不在场地内贮存。</w:t>
            </w:r>
          </w:p>
          <w:p w14:paraId="6C4C8FD0">
            <w:pPr>
              <w:bidi w:val="0"/>
              <w:ind w:firstLine="480" w:firstLineChars="2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）尿素加注工艺</w:t>
            </w:r>
          </w:p>
          <w:p w14:paraId="19B2E893">
            <w:pPr>
              <w:bidi w:val="0"/>
              <w:rPr>
                <w:color w:val="auto"/>
                <w:highlight w:val="none"/>
              </w:rPr>
            </w:pPr>
            <w:r>
              <w:rPr>
                <w:color w:val="auto"/>
                <w:highlight w:val="none"/>
              </w:rPr>
              <w:drawing>
                <wp:inline distT="0" distB="0" distL="114300" distR="114300">
                  <wp:extent cx="4588510" cy="1602740"/>
                  <wp:effectExtent l="0" t="0" r="2540" b="165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0"/>
                          <a:stretch>
                            <a:fillRect/>
                          </a:stretch>
                        </pic:blipFill>
                        <pic:spPr>
                          <a:xfrm>
                            <a:off x="0" y="0"/>
                            <a:ext cx="4588510" cy="1602740"/>
                          </a:xfrm>
                          <a:prstGeom prst="rect">
                            <a:avLst/>
                          </a:prstGeom>
                          <a:noFill/>
                          <a:ln>
                            <a:noFill/>
                          </a:ln>
                        </pic:spPr>
                      </pic:pic>
                    </a:graphicData>
                  </a:graphic>
                </wp:inline>
              </w:drawing>
            </w:r>
          </w:p>
          <w:p w14:paraId="327192B8">
            <w:pPr>
              <w:pStyle w:val="6"/>
              <w:bidi w:val="0"/>
              <w:rPr>
                <w:rFonts w:hint="eastAsia"/>
                <w:color w:val="auto"/>
                <w:highlight w:val="none"/>
                <w:lang w:val="en-US" w:eastAsia="zh-CN"/>
              </w:rPr>
            </w:pPr>
            <w:r>
              <w:rPr>
                <w:color w:val="auto"/>
                <w:highlight w:val="none"/>
              </w:rPr>
              <w:t xml:space="preserve">图 </w:t>
            </w:r>
            <w:r>
              <w:rPr>
                <w:rFonts w:hint="eastAsia"/>
                <w:color w:val="auto"/>
                <w:highlight w:val="none"/>
                <w:lang w:val="en-US" w:eastAsia="zh-CN"/>
              </w:rPr>
              <w:t>2</w:t>
            </w:r>
            <w:r>
              <w:rPr>
                <w:rFonts w:hint="eastAsia"/>
                <w:color w:val="auto"/>
                <w:highlight w:val="none"/>
                <w:lang w:eastAsia="zh-CN"/>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11</w:t>
            </w:r>
            <w:r>
              <w:rPr>
                <w:color w:val="auto"/>
                <w:highlight w:val="none"/>
              </w:rPr>
              <w:fldChar w:fldCharType="end"/>
            </w:r>
            <w:r>
              <w:rPr>
                <w:rFonts w:hint="eastAsia"/>
                <w:color w:val="auto"/>
                <w:highlight w:val="none"/>
                <w:lang w:val="en-US" w:eastAsia="zh-CN"/>
              </w:rPr>
              <w:t xml:space="preserve"> 车用尿素加注工艺及污染流程图</w:t>
            </w:r>
          </w:p>
          <w:p w14:paraId="5F81604C">
            <w:pPr>
              <w:ind w:firstLine="480" w:firstLineChars="200"/>
              <w:rPr>
                <w:rFonts w:ascii="宋体" w:hAnsi="宋体" w:eastAsia="宋体" w:cs="宋体"/>
                <w:color w:val="auto"/>
                <w:sz w:val="24"/>
                <w:szCs w:val="24"/>
                <w:highlight w:val="none"/>
              </w:rPr>
            </w:pPr>
            <w:r>
              <w:rPr>
                <w:rFonts w:hint="eastAsia"/>
                <w:bCs/>
                <w:color w:val="auto"/>
                <w:sz w:val="24"/>
                <w:highlight w:val="none"/>
              </w:rPr>
              <w:t>本项目配置</w:t>
            </w:r>
            <w:r>
              <w:rPr>
                <w:rFonts w:hint="eastAsia"/>
                <w:bCs/>
                <w:color w:val="auto"/>
                <w:sz w:val="24"/>
                <w:highlight w:val="none"/>
                <w:lang w:val="en-US" w:eastAsia="zh-CN"/>
              </w:rPr>
              <w:t>2</w:t>
            </w:r>
            <w:r>
              <w:rPr>
                <w:rFonts w:hint="eastAsia"/>
                <w:bCs/>
                <w:color w:val="auto"/>
                <w:sz w:val="24"/>
                <w:highlight w:val="none"/>
              </w:rPr>
              <w:t>台尿素加注机，为柴油车辆提供尿素加注服务。车用尿素通过运输车辆将来料尿素打入尿素箱内，打开加注机体开关，捏动加注枪，并关注加注量。此过程产生的污染物主要为添加尿素时会产生氨、臭气</w:t>
            </w:r>
            <w:r>
              <w:rPr>
                <w:rFonts w:hint="eastAsia"/>
                <w:bCs/>
                <w:color w:val="auto"/>
                <w:sz w:val="24"/>
                <w:highlight w:val="none"/>
                <w:lang w:eastAsia="zh-CN"/>
              </w:rPr>
              <w:t>浓度</w:t>
            </w:r>
            <w:r>
              <w:rPr>
                <w:rFonts w:hint="eastAsia"/>
                <w:bCs/>
                <w:color w:val="auto"/>
                <w:sz w:val="24"/>
                <w:highlight w:val="none"/>
              </w:rPr>
              <w:t>。</w:t>
            </w:r>
          </w:p>
          <w:p w14:paraId="0461A9CC">
            <w:pPr>
              <w:numPr>
                <w:ilvl w:val="0"/>
                <w:numId w:val="0"/>
              </w:numPr>
              <w:bidi w:val="0"/>
              <w:ind w:firstLine="480" w:firstLineChars="200"/>
              <w:rPr>
                <w:rFonts w:hint="eastAsia"/>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highlight w:val="none"/>
                <w:lang w:eastAsia="zh-CN"/>
              </w:rPr>
              <w:t>充电工艺流程</w:t>
            </w:r>
          </w:p>
          <w:p w14:paraId="1913D860">
            <w:pPr>
              <w:ind w:firstLine="480" w:firstLineChars="200"/>
              <w:rPr>
                <w:color w:val="auto"/>
                <w:highlight w:val="none"/>
              </w:rPr>
            </w:pPr>
            <w:r>
              <w:rPr>
                <w:rFonts w:ascii="宋体" w:hAnsi="宋体" w:eastAsia="宋体" w:cs="宋体"/>
                <w:color w:val="auto"/>
                <w:sz w:val="24"/>
                <w:szCs w:val="24"/>
                <w:highlight w:val="none"/>
              </w:rPr>
              <w:t>充电桩由桩体、电气模块、计量模块等部分组成。充电桩包括交流充电桩和直流充电桩。充电桩通常以成组的型式进行设置，以提高其利用率。充电桩基本功能为供电或充电、计量和通信，扩展功能为计费。本项目依托优秀的产品设计理念和坚实的设计技术，为电动汽车快速充电提供安全、经济、便捷的解决方案。具有宽范围电压、单元化设计、智能化控制、精确化计量、多元化通讯、智能运维等特点。</w:t>
            </w:r>
          </w:p>
          <w:p w14:paraId="1C297000">
            <w:pPr>
              <w:pStyle w:val="6"/>
              <w:rPr>
                <w:color w:val="auto"/>
                <w:highlight w:val="none"/>
              </w:rPr>
            </w:pPr>
            <w:r>
              <w:rPr>
                <w:color w:val="auto"/>
                <w:highlight w:val="none"/>
              </w:rPr>
              <w:t xml:space="preserve">表 </w:t>
            </w:r>
            <w:r>
              <w:rPr>
                <w:rFonts w:hint="eastAsia"/>
                <w:color w:val="auto"/>
                <w:highlight w:val="none"/>
              </w:rPr>
              <w:t>2-</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t>营运期主要污染工序一览表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842"/>
              <w:gridCol w:w="1639"/>
              <w:gridCol w:w="2606"/>
              <w:gridCol w:w="1639"/>
            </w:tblGrid>
            <w:tr w14:paraId="2CA4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Align w:val="center"/>
                </w:tcPr>
                <w:p w14:paraId="5E9D5AA6">
                  <w:pPr>
                    <w:pStyle w:val="30"/>
                    <w:rPr>
                      <w:color w:val="auto"/>
                      <w:highlight w:val="none"/>
                    </w:rPr>
                  </w:pPr>
                  <w:r>
                    <w:rPr>
                      <w:rFonts w:hint="eastAsia"/>
                      <w:color w:val="auto"/>
                      <w:highlight w:val="none"/>
                    </w:rPr>
                    <w:t>污染类别</w:t>
                  </w:r>
                </w:p>
              </w:tc>
              <w:tc>
                <w:tcPr>
                  <w:tcW w:w="2481" w:type="dxa"/>
                  <w:gridSpan w:val="2"/>
                  <w:vAlign w:val="center"/>
                </w:tcPr>
                <w:p w14:paraId="78135C70">
                  <w:pPr>
                    <w:pStyle w:val="30"/>
                    <w:rPr>
                      <w:color w:val="auto"/>
                      <w:highlight w:val="none"/>
                    </w:rPr>
                  </w:pPr>
                  <w:r>
                    <w:rPr>
                      <w:rFonts w:hint="eastAsia"/>
                      <w:color w:val="auto"/>
                      <w:highlight w:val="none"/>
                    </w:rPr>
                    <w:t>产污环节</w:t>
                  </w:r>
                </w:p>
              </w:tc>
              <w:tc>
                <w:tcPr>
                  <w:tcW w:w="2606" w:type="dxa"/>
                  <w:vAlign w:val="center"/>
                </w:tcPr>
                <w:p w14:paraId="6125B0CB">
                  <w:pPr>
                    <w:pStyle w:val="30"/>
                    <w:rPr>
                      <w:color w:val="auto"/>
                      <w:highlight w:val="none"/>
                    </w:rPr>
                  </w:pPr>
                  <w:r>
                    <w:rPr>
                      <w:rFonts w:hint="eastAsia"/>
                      <w:color w:val="auto"/>
                      <w:highlight w:val="none"/>
                    </w:rPr>
                    <w:t>主要污染因子</w:t>
                  </w:r>
                </w:p>
              </w:tc>
              <w:tc>
                <w:tcPr>
                  <w:tcW w:w="1639" w:type="dxa"/>
                  <w:vAlign w:val="center"/>
                </w:tcPr>
                <w:p w14:paraId="466CDCE4">
                  <w:pPr>
                    <w:pStyle w:val="30"/>
                    <w:rPr>
                      <w:color w:val="auto"/>
                      <w:highlight w:val="none"/>
                    </w:rPr>
                  </w:pPr>
                  <w:r>
                    <w:rPr>
                      <w:rFonts w:hint="eastAsia"/>
                      <w:color w:val="auto"/>
                      <w:highlight w:val="none"/>
                    </w:rPr>
                    <w:t>治理措施</w:t>
                  </w:r>
                </w:p>
              </w:tc>
            </w:tr>
            <w:tr w14:paraId="218A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restart"/>
                  <w:vAlign w:val="center"/>
                </w:tcPr>
                <w:p w14:paraId="676C9697">
                  <w:pPr>
                    <w:pStyle w:val="30"/>
                    <w:rPr>
                      <w:color w:val="auto"/>
                      <w:highlight w:val="none"/>
                    </w:rPr>
                  </w:pPr>
                  <w:r>
                    <w:rPr>
                      <w:rFonts w:hint="eastAsia"/>
                      <w:color w:val="auto"/>
                      <w:highlight w:val="none"/>
                    </w:rPr>
                    <w:t>废水</w:t>
                  </w:r>
                </w:p>
              </w:tc>
              <w:tc>
                <w:tcPr>
                  <w:tcW w:w="2481" w:type="dxa"/>
                  <w:gridSpan w:val="2"/>
                  <w:vAlign w:val="center"/>
                </w:tcPr>
                <w:p w14:paraId="1776F45C">
                  <w:pPr>
                    <w:pStyle w:val="30"/>
                    <w:rPr>
                      <w:color w:val="auto"/>
                      <w:highlight w:val="none"/>
                    </w:rPr>
                  </w:pPr>
                  <w:r>
                    <w:rPr>
                      <w:rFonts w:hint="eastAsia"/>
                      <w:color w:val="auto"/>
                      <w:highlight w:val="none"/>
                    </w:rPr>
                    <w:t>员工及往来人员生活污水</w:t>
                  </w:r>
                </w:p>
              </w:tc>
              <w:tc>
                <w:tcPr>
                  <w:tcW w:w="2606" w:type="dxa"/>
                  <w:vAlign w:val="center"/>
                </w:tcPr>
                <w:p w14:paraId="39640577">
                  <w:pPr>
                    <w:pStyle w:val="30"/>
                    <w:rPr>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w:t>
                  </w:r>
                </w:p>
              </w:tc>
              <w:tc>
                <w:tcPr>
                  <w:tcW w:w="1639" w:type="dxa"/>
                  <w:vMerge w:val="restart"/>
                  <w:vAlign w:val="center"/>
                </w:tcPr>
                <w:p w14:paraId="0B9CE484">
                  <w:pPr>
                    <w:pStyle w:val="30"/>
                    <w:rPr>
                      <w:color w:val="auto"/>
                      <w:highlight w:val="none"/>
                    </w:rPr>
                  </w:pPr>
                  <w:r>
                    <w:rPr>
                      <w:rFonts w:hint="eastAsia"/>
                      <w:color w:val="auto"/>
                      <w:highlight w:val="none"/>
                    </w:rPr>
                    <w:t>隔油池+化粪池</w:t>
                  </w:r>
                </w:p>
              </w:tc>
            </w:tr>
            <w:tr w14:paraId="3CBB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60426775">
                  <w:pPr>
                    <w:pStyle w:val="30"/>
                    <w:rPr>
                      <w:color w:val="auto"/>
                      <w:highlight w:val="none"/>
                    </w:rPr>
                  </w:pPr>
                </w:p>
              </w:tc>
              <w:tc>
                <w:tcPr>
                  <w:tcW w:w="2481" w:type="dxa"/>
                  <w:gridSpan w:val="2"/>
                  <w:vAlign w:val="center"/>
                </w:tcPr>
                <w:p w14:paraId="111DA158">
                  <w:pPr>
                    <w:pStyle w:val="30"/>
                    <w:rPr>
                      <w:color w:val="auto"/>
                      <w:highlight w:val="none"/>
                    </w:rPr>
                  </w:pPr>
                  <w:r>
                    <w:rPr>
                      <w:rFonts w:hint="eastAsia"/>
                      <w:color w:val="auto"/>
                      <w:highlight w:val="none"/>
                    </w:rPr>
                    <w:t>餐饮废水</w:t>
                  </w:r>
                </w:p>
              </w:tc>
              <w:tc>
                <w:tcPr>
                  <w:tcW w:w="2606" w:type="dxa"/>
                  <w:vAlign w:val="center"/>
                </w:tcPr>
                <w:p w14:paraId="4195643D">
                  <w:pPr>
                    <w:pStyle w:val="30"/>
                    <w:rPr>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-N、动植物油</w:t>
                  </w:r>
                </w:p>
              </w:tc>
              <w:tc>
                <w:tcPr>
                  <w:tcW w:w="1639" w:type="dxa"/>
                  <w:vMerge w:val="continue"/>
                  <w:vAlign w:val="center"/>
                </w:tcPr>
                <w:p w14:paraId="7DB2B26A">
                  <w:pPr>
                    <w:pStyle w:val="30"/>
                    <w:rPr>
                      <w:color w:val="auto"/>
                      <w:highlight w:val="none"/>
                    </w:rPr>
                  </w:pPr>
                </w:p>
              </w:tc>
            </w:tr>
            <w:tr w14:paraId="5F9A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6B6CE77C">
                  <w:pPr>
                    <w:pStyle w:val="30"/>
                    <w:rPr>
                      <w:color w:val="auto"/>
                      <w:highlight w:val="none"/>
                    </w:rPr>
                  </w:pPr>
                </w:p>
              </w:tc>
              <w:tc>
                <w:tcPr>
                  <w:tcW w:w="842" w:type="dxa"/>
                  <w:vMerge w:val="restart"/>
                  <w:vAlign w:val="center"/>
                </w:tcPr>
                <w:p w14:paraId="75D4BE87">
                  <w:pPr>
                    <w:pStyle w:val="30"/>
                    <w:rPr>
                      <w:rFonts w:hint="eastAsia" w:eastAsia="宋体"/>
                      <w:color w:val="auto"/>
                      <w:highlight w:val="none"/>
                      <w:lang w:eastAsia="zh-CN"/>
                    </w:rPr>
                  </w:pPr>
                  <w:r>
                    <w:rPr>
                      <w:rFonts w:hint="eastAsia"/>
                      <w:color w:val="auto"/>
                      <w:highlight w:val="none"/>
                      <w:lang w:eastAsia="zh-CN"/>
                    </w:rPr>
                    <w:t>智慧货运维修中心</w:t>
                  </w:r>
                </w:p>
              </w:tc>
              <w:tc>
                <w:tcPr>
                  <w:tcW w:w="1639" w:type="dxa"/>
                  <w:vAlign w:val="center"/>
                </w:tcPr>
                <w:p w14:paraId="2DF62824">
                  <w:pPr>
                    <w:pStyle w:val="30"/>
                    <w:rPr>
                      <w:color w:val="auto"/>
                      <w:highlight w:val="none"/>
                    </w:rPr>
                  </w:pPr>
                  <w:r>
                    <w:rPr>
                      <w:rFonts w:hint="eastAsia"/>
                      <w:color w:val="auto"/>
                      <w:highlight w:val="none"/>
                    </w:rPr>
                    <w:t>地面冲洗废水</w:t>
                  </w:r>
                </w:p>
              </w:tc>
              <w:tc>
                <w:tcPr>
                  <w:tcW w:w="2606" w:type="dxa"/>
                  <w:vAlign w:val="center"/>
                </w:tcPr>
                <w:p w14:paraId="4EB56A5E">
                  <w:pPr>
                    <w:pStyle w:val="30"/>
                    <w:rPr>
                      <w:color w:val="auto"/>
                      <w:highlight w:val="none"/>
                    </w:rPr>
                  </w:pPr>
                  <w:r>
                    <w:rPr>
                      <w:rFonts w:hint="eastAsia"/>
                      <w:color w:val="auto"/>
                      <w:highlight w:val="none"/>
                    </w:rPr>
                    <w:t>CODcr、SS、石油类</w:t>
                  </w:r>
                </w:p>
              </w:tc>
              <w:tc>
                <w:tcPr>
                  <w:tcW w:w="1639" w:type="dxa"/>
                  <w:vMerge w:val="restart"/>
                  <w:vAlign w:val="center"/>
                </w:tcPr>
                <w:p w14:paraId="0230D513">
                  <w:pPr>
                    <w:pStyle w:val="30"/>
                    <w:rPr>
                      <w:rFonts w:hint="eastAsia" w:eastAsia="宋体"/>
                      <w:color w:val="auto"/>
                      <w:highlight w:val="none"/>
                      <w:lang w:eastAsia="zh-CN"/>
                    </w:rPr>
                  </w:pPr>
                  <w:r>
                    <w:rPr>
                      <w:rFonts w:hint="eastAsia"/>
                      <w:color w:val="auto"/>
                      <w:highlight w:val="none"/>
                      <w:lang w:eastAsia="zh-CN"/>
                    </w:rPr>
                    <w:t>隔油池和沉淀池</w:t>
                  </w:r>
                </w:p>
              </w:tc>
            </w:tr>
            <w:tr w14:paraId="7D27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1DD9DB87">
                  <w:pPr>
                    <w:pStyle w:val="30"/>
                    <w:rPr>
                      <w:color w:val="auto"/>
                      <w:highlight w:val="none"/>
                    </w:rPr>
                  </w:pPr>
                </w:p>
              </w:tc>
              <w:tc>
                <w:tcPr>
                  <w:tcW w:w="842" w:type="dxa"/>
                  <w:vMerge w:val="continue"/>
                  <w:shd w:val="clear" w:color="auto" w:fill="auto"/>
                  <w:vAlign w:val="center"/>
                </w:tcPr>
                <w:p w14:paraId="006A6CDD">
                  <w:pPr>
                    <w:pStyle w:val="30"/>
                    <w:rPr>
                      <w:color w:val="auto"/>
                      <w:highlight w:val="none"/>
                    </w:rPr>
                  </w:pPr>
                </w:p>
              </w:tc>
              <w:tc>
                <w:tcPr>
                  <w:tcW w:w="1639" w:type="dxa"/>
                  <w:shd w:val="clear" w:color="auto" w:fill="auto"/>
                  <w:vAlign w:val="center"/>
                </w:tcPr>
                <w:p w14:paraId="1BB6EE26">
                  <w:pPr>
                    <w:pStyle w:val="30"/>
                    <w:rPr>
                      <w:color w:val="auto"/>
                      <w:highlight w:val="none"/>
                    </w:rPr>
                  </w:pPr>
                  <w:r>
                    <w:rPr>
                      <w:rFonts w:hint="eastAsia"/>
                      <w:color w:val="auto"/>
                      <w:highlight w:val="none"/>
                    </w:rPr>
                    <w:t>洗车废水</w:t>
                  </w:r>
                </w:p>
              </w:tc>
              <w:tc>
                <w:tcPr>
                  <w:tcW w:w="2606" w:type="dxa"/>
                  <w:shd w:val="clear" w:color="auto" w:fill="auto"/>
                  <w:vAlign w:val="center"/>
                </w:tcPr>
                <w:p w14:paraId="10EAADB9">
                  <w:pPr>
                    <w:pStyle w:val="30"/>
                    <w:rPr>
                      <w:color w:val="auto"/>
                      <w:highlight w:val="none"/>
                    </w:rPr>
                  </w:pPr>
                  <w:r>
                    <w:rPr>
                      <w:rFonts w:hint="eastAsia"/>
                      <w:color w:val="auto"/>
                      <w:highlight w:val="none"/>
                    </w:rPr>
                    <w:t>CODcr、SS、石油类、LAS</w:t>
                  </w:r>
                </w:p>
              </w:tc>
              <w:tc>
                <w:tcPr>
                  <w:tcW w:w="1639" w:type="dxa"/>
                  <w:vMerge w:val="continue"/>
                  <w:vAlign w:val="center"/>
                </w:tcPr>
                <w:p w14:paraId="632FB1E9">
                  <w:pPr>
                    <w:pStyle w:val="30"/>
                    <w:rPr>
                      <w:color w:val="auto"/>
                      <w:highlight w:val="none"/>
                    </w:rPr>
                  </w:pPr>
                </w:p>
              </w:tc>
            </w:tr>
            <w:tr w14:paraId="34BE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3AF7C700">
                  <w:pPr>
                    <w:pStyle w:val="30"/>
                    <w:rPr>
                      <w:color w:val="auto"/>
                      <w:highlight w:val="none"/>
                    </w:rPr>
                  </w:pPr>
                </w:p>
              </w:tc>
              <w:tc>
                <w:tcPr>
                  <w:tcW w:w="2481" w:type="dxa"/>
                  <w:gridSpan w:val="2"/>
                  <w:shd w:val="clear" w:color="auto" w:fill="auto"/>
                  <w:vAlign w:val="center"/>
                </w:tcPr>
                <w:p w14:paraId="12FE347F">
                  <w:pPr>
                    <w:pStyle w:val="30"/>
                    <w:rPr>
                      <w:rFonts w:hint="eastAsia"/>
                      <w:color w:val="auto"/>
                      <w:highlight w:val="none"/>
                    </w:rPr>
                  </w:pPr>
                  <w:r>
                    <w:rPr>
                      <w:rFonts w:hint="eastAsia"/>
                      <w:color w:val="auto"/>
                      <w:highlight w:val="none"/>
                      <w:lang w:eastAsia="zh-CN"/>
                    </w:rPr>
                    <w:t>西侧地块生活污水</w:t>
                  </w:r>
                </w:p>
              </w:tc>
              <w:tc>
                <w:tcPr>
                  <w:tcW w:w="2606" w:type="dxa"/>
                  <w:shd w:val="clear" w:color="auto" w:fill="auto"/>
                  <w:vAlign w:val="center"/>
                </w:tcPr>
                <w:p w14:paraId="2E4CBD2A">
                  <w:pPr>
                    <w:pStyle w:val="30"/>
                    <w:rPr>
                      <w:rFonts w:hint="eastAsia"/>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w:t>
                  </w:r>
                </w:p>
              </w:tc>
              <w:tc>
                <w:tcPr>
                  <w:tcW w:w="1639" w:type="dxa"/>
                  <w:vAlign w:val="center"/>
                </w:tcPr>
                <w:p w14:paraId="1E88DEA3">
                  <w:pPr>
                    <w:pStyle w:val="30"/>
                    <w:rPr>
                      <w:rFonts w:hint="eastAsia" w:eastAsia="宋体"/>
                      <w:color w:val="auto"/>
                      <w:highlight w:val="none"/>
                      <w:lang w:eastAsia="zh-CN"/>
                    </w:rPr>
                  </w:pPr>
                  <w:r>
                    <w:rPr>
                      <w:rFonts w:hint="eastAsia"/>
                      <w:color w:val="auto"/>
                      <w:highlight w:val="none"/>
                      <w:lang w:eastAsia="zh-CN"/>
                    </w:rPr>
                    <w:t>化粪池</w:t>
                  </w:r>
                </w:p>
              </w:tc>
            </w:tr>
            <w:tr w14:paraId="402C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68B45D04">
                  <w:pPr>
                    <w:pStyle w:val="30"/>
                    <w:rPr>
                      <w:color w:val="auto"/>
                      <w:highlight w:val="none"/>
                    </w:rPr>
                  </w:pPr>
                </w:p>
              </w:tc>
              <w:tc>
                <w:tcPr>
                  <w:tcW w:w="842" w:type="dxa"/>
                  <w:vMerge w:val="restart"/>
                  <w:shd w:val="clear" w:color="auto" w:fill="auto"/>
                  <w:vAlign w:val="center"/>
                </w:tcPr>
                <w:p w14:paraId="73532532">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内部综合能源站</w:t>
                  </w:r>
                </w:p>
              </w:tc>
              <w:tc>
                <w:tcPr>
                  <w:tcW w:w="1639" w:type="dxa"/>
                  <w:shd w:val="clear" w:color="auto" w:fill="auto"/>
                  <w:vAlign w:val="center"/>
                </w:tcPr>
                <w:p w14:paraId="708CB61A">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地面冲洗废水</w:t>
                  </w:r>
                </w:p>
              </w:tc>
              <w:tc>
                <w:tcPr>
                  <w:tcW w:w="2606" w:type="dxa"/>
                  <w:shd w:val="clear" w:color="auto" w:fill="auto"/>
                  <w:vAlign w:val="center"/>
                </w:tcPr>
                <w:p w14:paraId="16339D4D">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CODcr、SS、石油类</w:t>
                  </w:r>
                </w:p>
              </w:tc>
              <w:tc>
                <w:tcPr>
                  <w:tcW w:w="1639" w:type="dxa"/>
                  <w:vMerge w:val="restart"/>
                  <w:vAlign w:val="center"/>
                </w:tcPr>
                <w:p w14:paraId="10CB0FBC">
                  <w:pPr>
                    <w:pStyle w:val="30"/>
                    <w:rPr>
                      <w:color w:val="auto"/>
                      <w:highlight w:val="none"/>
                    </w:rPr>
                  </w:pPr>
                  <w:r>
                    <w:rPr>
                      <w:rFonts w:hint="eastAsia"/>
                      <w:color w:val="auto"/>
                      <w:highlight w:val="none"/>
                    </w:rPr>
                    <w:t>三级油水分离池</w:t>
                  </w:r>
                </w:p>
              </w:tc>
            </w:tr>
            <w:tr w14:paraId="44B2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15C6E170">
                  <w:pPr>
                    <w:pStyle w:val="30"/>
                    <w:rPr>
                      <w:color w:val="auto"/>
                      <w:highlight w:val="none"/>
                    </w:rPr>
                  </w:pPr>
                </w:p>
              </w:tc>
              <w:tc>
                <w:tcPr>
                  <w:tcW w:w="842" w:type="dxa"/>
                  <w:vMerge w:val="continue"/>
                  <w:shd w:val="clear" w:color="auto" w:fill="auto"/>
                  <w:vAlign w:val="center"/>
                </w:tcPr>
                <w:p w14:paraId="3CFCFE4A">
                  <w:pPr>
                    <w:pStyle w:val="30"/>
                    <w:rPr>
                      <w:color w:val="auto"/>
                      <w:highlight w:val="none"/>
                    </w:rPr>
                  </w:pPr>
                </w:p>
              </w:tc>
              <w:tc>
                <w:tcPr>
                  <w:tcW w:w="1639" w:type="dxa"/>
                  <w:shd w:val="clear" w:color="auto" w:fill="auto"/>
                  <w:vAlign w:val="center"/>
                </w:tcPr>
                <w:p w14:paraId="17869A2B">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初期雨水</w:t>
                  </w:r>
                </w:p>
              </w:tc>
              <w:tc>
                <w:tcPr>
                  <w:tcW w:w="2606" w:type="dxa"/>
                  <w:shd w:val="clear" w:color="auto" w:fill="auto"/>
                  <w:vAlign w:val="center"/>
                </w:tcPr>
                <w:p w14:paraId="0004EBF2">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CODcr、SS、石油类</w:t>
                  </w:r>
                </w:p>
              </w:tc>
              <w:tc>
                <w:tcPr>
                  <w:tcW w:w="1639" w:type="dxa"/>
                  <w:vMerge w:val="continue"/>
                  <w:vAlign w:val="center"/>
                </w:tcPr>
                <w:p w14:paraId="01BCDC9A">
                  <w:pPr>
                    <w:pStyle w:val="30"/>
                    <w:rPr>
                      <w:color w:val="auto"/>
                      <w:highlight w:val="none"/>
                    </w:rPr>
                  </w:pPr>
                </w:p>
              </w:tc>
            </w:tr>
            <w:tr w14:paraId="6B6D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restart"/>
                  <w:vAlign w:val="center"/>
                </w:tcPr>
                <w:p w14:paraId="639253C5">
                  <w:pPr>
                    <w:pStyle w:val="30"/>
                    <w:rPr>
                      <w:color w:val="auto"/>
                      <w:highlight w:val="none"/>
                    </w:rPr>
                  </w:pPr>
                  <w:r>
                    <w:rPr>
                      <w:rFonts w:hint="eastAsia"/>
                      <w:color w:val="auto"/>
                      <w:highlight w:val="none"/>
                    </w:rPr>
                    <w:t>废气</w:t>
                  </w:r>
                </w:p>
              </w:tc>
              <w:tc>
                <w:tcPr>
                  <w:tcW w:w="2481" w:type="dxa"/>
                  <w:gridSpan w:val="2"/>
                  <w:vAlign w:val="center"/>
                </w:tcPr>
                <w:p w14:paraId="3E134429">
                  <w:pPr>
                    <w:pStyle w:val="30"/>
                    <w:rPr>
                      <w:color w:val="auto"/>
                      <w:highlight w:val="none"/>
                    </w:rPr>
                  </w:pPr>
                  <w:r>
                    <w:rPr>
                      <w:rFonts w:hint="eastAsia"/>
                      <w:color w:val="auto"/>
                      <w:highlight w:val="none"/>
                    </w:rPr>
                    <w:t>储罐大小呼吸废气、加油机作业废气</w:t>
                  </w:r>
                </w:p>
              </w:tc>
              <w:tc>
                <w:tcPr>
                  <w:tcW w:w="2606" w:type="dxa"/>
                  <w:vAlign w:val="center"/>
                </w:tcPr>
                <w:p w14:paraId="616B9361">
                  <w:pPr>
                    <w:pStyle w:val="30"/>
                    <w:rPr>
                      <w:color w:val="auto"/>
                      <w:highlight w:val="none"/>
                    </w:rPr>
                  </w:pPr>
                  <w:r>
                    <w:rPr>
                      <w:color w:val="auto"/>
                      <w:highlight w:val="none"/>
                    </w:rPr>
                    <w:t>非甲烷总烃</w:t>
                  </w:r>
                </w:p>
              </w:tc>
              <w:tc>
                <w:tcPr>
                  <w:tcW w:w="1639" w:type="dxa"/>
                  <w:vAlign w:val="center"/>
                </w:tcPr>
                <w:p w14:paraId="11C76DDB">
                  <w:pPr>
                    <w:pStyle w:val="30"/>
                    <w:rPr>
                      <w:color w:val="auto"/>
                      <w:highlight w:val="none"/>
                    </w:rPr>
                  </w:pPr>
                  <w:r>
                    <w:rPr>
                      <w:rFonts w:hint="eastAsia"/>
                      <w:color w:val="auto"/>
                      <w:highlight w:val="none"/>
                      <w:lang w:eastAsia="zh-CN"/>
                    </w:rPr>
                    <w:t>经一套三级</w:t>
                  </w:r>
                  <w:r>
                    <w:rPr>
                      <w:color w:val="auto"/>
                      <w:highlight w:val="none"/>
                    </w:rPr>
                    <w:t>油气回收系统</w:t>
                  </w:r>
                  <w:r>
                    <w:rPr>
                      <w:rFonts w:hint="eastAsia"/>
                      <w:color w:val="auto"/>
                      <w:highlight w:val="none"/>
                      <w:lang w:eastAsia="zh-CN"/>
                    </w:rPr>
                    <w:t>收集后通过不低于</w:t>
                  </w:r>
                  <w:r>
                    <w:rPr>
                      <w:rFonts w:hint="eastAsia"/>
                      <w:color w:val="auto"/>
                      <w:highlight w:val="none"/>
                      <w:lang w:val="en-US" w:eastAsia="zh-CN"/>
                    </w:rPr>
                    <w:t>4m的排气筒DA001排放</w:t>
                  </w:r>
                  <w:r>
                    <w:rPr>
                      <w:color w:val="auto"/>
                      <w:highlight w:val="none"/>
                    </w:rPr>
                    <w:t>。</w:t>
                  </w:r>
                </w:p>
              </w:tc>
            </w:tr>
            <w:tr w14:paraId="5E90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5B6E5168">
                  <w:pPr>
                    <w:pStyle w:val="30"/>
                    <w:rPr>
                      <w:color w:val="auto"/>
                      <w:highlight w:val="none"/>
                    </w:rPr>
                  </w:pPr>
                </w:p>
              </w:tc>
              <w:tc>
                <w:tcPr>
                  <w:tcW w:w="2481" w:type="dxa"/>
                  <w:gridSpan w:val="2"/>
                  <w:vAlign w:val="center"/>
                </w:tcPr>
                <w:p w14:paraId="17747828">
                  <w:pPr>
                    <w:pStyle w:val="30"/>
                    <w:rPr>
                      <w:rFonts w:hint="default" w:eastAsia="宋体"/>
                      <w:color w:val="auto"/>
                      <w:highlight w:val="none"/>
                      <w:lang w:val="en-US" w:eastAsia="zh-CN"/>
                    </w:rPr>
                  </w:pPr>
                  <w:r>
                    <w:rPr>
                      <w:rFonts w:hint="eastAsia"/>
                      <w:color w:val="auto"/>
                      <w:highlight w:val="none"/>
                      <w:lang w:eastAsia="zh-CN"/>
                    </w:rPr>
                    <w:t>加注尿素</w:t>
                  </w:r>
                  <w:r>
                    <w:rPr>
                      <w:rFonts w:hint="eastAsia"/>
                      <w:color w:val="auto"/>
                      <w:highlight w:val="none"/>
                      <w:lang w:val="en-US" w:eastAsia="zh-CN"/>
                    </w:rPr>
                    <w:t>废气</w:t>
                  </w:r>
                </w:p>
              </w:tc>
              <w:tc>
                <w:tcPr>
                  <w:tcW w:w="2606" w:type="dxa"/>
                  <w:vAlign w:val="center"/>
                </w:tcPr>
                <w:p w14:paraId="1B0D91FF">
                  <w:pPr>
                    <w:pStyle w:val="30"/>
                    <w:rPr>
                      <w:rFonts w:hint="eastAsia" w:eastAsia="宋体"/>
                      <w:color w:val="auto"/>
                      <w:highlight w:val="none"/>
                      <w:lang w:eastAsia="zh-CN"/>
                    </w:rPr>
                  </w:pPr>
                  <w:r>
                    <w:rPr>
                      <w:rFonts w:hint="eastAsia"/>
                      <w:color w:val="auto"/>
                      <w:highlight w:val="none"/>
                      <w:lang w:eastAsia="zh-CN"/>
                    </w:rPr>
                    <w:t>氨、臭气浓度</w:t>
                  </w:r>
                </w:p>
              </w:tc>
              <w:tc>
                <w:tcPr>
                  <w:tcW w:w="1639" w:type="dxa"/>
                  <w:vAlign w:val="center"/>
                </w:tcPr>
                <w:p w14:paraId="450DDD5A">
                  <w:pPr>
                    <w:pStyle w:val="30"/>
                    <w:rPr>
                      <w:rFonts w:hint="eastAsia" w:eastAsia="宋体"/>
                      <w:color w:val="auto"/>
                      <w:highlight w:val="none"/>
                      <w:lang w:eastAsia="zh-CN"/>
                    </w:rPr>
                  </w:pPr>
                  <w:r>
                    <w:rPr>
                      <w:rFonts w:hint="eastAsia"/>
                      <w:color w:val="auto"/>
                      <w:highlight w:val="none"/>
                      <w:lang w:val="en-US" w:eastAsia="zh-CN"/>
                    </w:rPr>
                    <w:t>/</w:t>
                  </w:r>
                </w:p>
              </w:tc>
            </w:tr>
            <w:tr w14:paraId="2AD2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5452494A">
                  <w:pPr>
                    <w:pStyle w:val="30"/>
                    <w:rPr>
                      <w:color w:val="auto"/>
                      <w:highlight w:val="none"/>
                    </w:rPr>
                  </w:pPr>
                </w:p>
              </w:tc>
              <w:tc>
                <w:tcPr>
                  <w:tcW w:w="2481" w:type="dxa"/>
                  <w:gridSpan w:val="2"/>
                  <w:vAlign w:val="center"/>
                </w:tcPr>
                <w:p w14:paraId="57E1A12B">
                  <w:pPr>
                    <w:pStyle w:val="30"/>
                    <w:rPr>
                      <w:rFonts w:hint="eastAsia" w:eastAsia="宋体"/>
                      <w:color w:val="auto"/>
                      <w:highlight w:val="none"/>
                      <w:lang w:eastAsia="zh-CN"/>
                    </w:rPr>
                  </w:pPr>
                  <w:r>
                    <w:rPr>
                      <w:rFonts w:hint="eastAsia"/>
                      <w:color w:val="auto"/>
                      <w:highlight w:val="none"/>
                    </w:rPr>
                    <w:t>餐饮油烟</w:t>
                  </w:r>
                </w:p>
              </w:tc>
              <w:tc>
                <w:tcPr>
                  <w:tcW w:w="2606" w:type="dxa"/>
                  <w:vAlign w:val="center"/>
                </w:tcPr>
                <w:p w14:paraId="45876426">
                  <w:pPr>
                    <w:pStyle w:val="30"/>
                    <w:rPr>
                      <w:color w:val="auto"/>
                      <w:highlight w:val="none"/>
                    </w:rPr>
                  </w:pPr>
                  <w:r>
                    <w:rPr>
                      <w:color w:val="auto"/>
                      <w:highlight w:val="none"/>
                    </w:rPr>
                    <w:t>油烟</w:t>
                  </w:r>
                </w:p>
              </w:tc>
              <w:tc>
                <w:tcPr>
                  <w:tcW w:w="1639" w:type="dxa"/>
                  <w:vAlign w:val="center"/>
                </w:tcPr>
                <w:p w14:paraId="6B99D36B">
                  <w:pPr>
                    <w:pStyle w:val="30"/>
                    <w:rPr>
                      <w:color w:val="auto"/>
                      <w:highlight w:val="none"/>
                    </w:rPr>
                  </w:pPr>
                  <w:r>
                    <w:rPr>
                      <w:rFonts w:hint="eastAsia"/>
                      <w:color w:val="auto"/>
                      <w:highlight w:val="none"/>
                    </w:rPr>
                    <w:t>油烟净化器+专用排气筒排放</w:t>
                  </w:r>
                </w:p>
              </w:tc>
            </w:tr>
            <w:tr w14:paraId="246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32C4D5B8">
                  <w:pPr>
                    <w:pStyle w:val="30"/>
                    <w:rPr>
                      <w:color w:val="auto"/>
                      <w:highlight w:val="none"/>
                    </w:rPr>
                  </w:pPr>
                </w:p>
              </w:tc>
              <w:tc>
                <w:tcPr>
                  <w:tcW w:w="2481" w:type="dxa"/>
                  <w:gridSpan w:val="2"/>
                  <w:vAlign w:val="center"/>
                </w:tcPr>
                <w:p w14:paraId="548D6694">
                  <w:pPr>
                    <w:pStyle w:val="30"/>
                    <w:rPr>
                      <w:rFonts w:hint="eastAsia" w:eastAsia="宋体"/>
                      <w:color w:val="auto"/>
                      <w:highlight w:val="none"/>
                      <w:lang w:eastAsia="zh-CN"/>
                    </w:rPr>
                  </w:pPr>
                  <w:r>
                    <w:rPr>
                      <w:rFonts w:hint="eastAsia"/>
                      <w:color w:val="auto"/>
                      <w:highlight w:val="none"/>
                    </w:rPr>
                    <w:t>焊接烟尘</w:t>
                  </w:r>
                </w:p>
              </w:tc>
              <w:tc>
                <w:tcPr>
                  <w:tcW w:w="2606" w:type="dxa"/>
                  <w:vAlign w:val="center"/>
                </w:tcPr>
                <w:p w14:paraId="2854E1C6">
                  <w:pPr>
                    <w:pStyle w:val="30"/>
                    <w:rPr>
                      <w:color w:val="auto"/>
                      <w:highlight w:val="none"/>
                    </w:rPr>
                  </w:pPr>
                  <w:r>
                    <w:rPr>
                      <w:rFonts w:hint="eastAsia"/>
                      <w:color w:val="auto"/>
                      <w:highlight w:val="none"/>
                    </w:rPr>
                    <w:t>颗粒物</w:t>
                  </w:r>
                </w:p>
              </w:tc>
              <w:tc>
                <w:tcPr>
                  <w:tcW w:w="1639" w:type="dxa"/>
                  <w:vAlign w:val="center"/>
                </w:tcPr>
                <w:p w14:paraId="28A65C2F">
                  <w:pPr>
                    <w:pStyle w:val="30"/>
                    <w:rPr>
                      <w:color w:val="auto"/>
                      <w:highlight w:val="none"/>
                    </w:rPr>
                  </w:pPr>
                  <w:r>
                    <w:rPr>
                      <w:rFonts w:hint="eastAsia"/>
                      <w:color w:val="auto"/>
                      <w:highlight w:val="none"/>
                      <w:lang w:eastAsia="zh-CN"/>
                    </w:rPr>
                    <w:t>移动式焊烟净化器</w:t>
                  </w:r>
                  <w:r>
                    <w:rPr>
                      <w:rFonts w:hint="eastAsia"/>
                      <w:color w:val="auto"/>
                      <w:highlight w:val="none"/>
                    </w:rPr>
                    <w:t>，加强车间内通风</w:t>
                  </w:r>
                </w:p>
              </w:tc>
            </w:tr>
            <w:tr w14:paraId="18B4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0906CD33">
                  <w:pPr>
                    <w:pStyle w:val="30"/>
                    <w:rPr>
                      <w:color w:val="auto"/>
                      <w:highlight w:val="none"/>
                    </w:rPr>
                  </w:pPr>
                </w:p>
              </w:tc>
              <w:tc>
                <w:tcPr>
                  <w:tcW w:w="2481" w:type="dxa"/>
                  <w:gridSpan w:val="2"/>
                  <w:shd w:val="clear" w:color="auto" w:fill="auto"/>
                  <w:vAlign w:val="center"/>
                </w:tcPr>
                <w:p w14:paraId="0F7CD6D8">
                  <w:pPr>
                    <w:pStyle w:val="30"/>
                    <w:rPr>
                      <w:rFonts w:hint="eastAsia" w:eastAsia="宋体"/>
                      <w:color w:val="auto"/>
                      <w:highlight w:val="none"/>
                      <w:lang w:eastAsia="zh-CN"/>
                    </w:rPr>
                  </w:pPr>
                  <w:r>
                    <w:rPr>
                      <w:rFonts w:hint="eastAsia"/>
                      <w:color w:val="auto"/>
                      <w:highlight w:val="none"/>
                    </w:rPr>
                    <w:t>汽车尾气</w:t>
                  </w:r>
                </w:p>
              </w:tc>
              <w:tc>
                <w:tcPr>
                  <w:tcW w:w="2606" w:type="dxa"/>
                  <w:shd w:val="clear" w:color="auto" w:fill="auto"/>
                  <w:vAlign w:val="center"/>
                </w:tcPr>
                <w:p w14:paraId="4EF75252">
                  <w:pPr>
                    <w:pStyle w:val="30"/>
                    <w:rPr>
                      <w:color w:val="auto"/>
                      <w:highlight w:val="none"/>
                    </w:rPr>
                  </w:pPr>
                  <w:r>
                    <w:rPr>
                      <w:rFonts w:hint="eastAsia"/>
                      <w:color w:val="auto"/>
                      <w:highlight w:val="none"/>
                    </w:rPr>
                    <w:t>CO、SO</w:t>
                  </w:r>
                  <w:r>
                    <w:rPr>
                      <w:rFonts w:hint="eastAsia"/>
                      <w:color w:val="auto"/>
                      <w:highlight w:val="none"/>
                      <w:vertAlign w:val="subscript"/>
                    </w:rPr>
                    <w:t>2</w:t>
                  </w:r>
                  <w:r>
                    <w:rPr>
                      <w:rFonts w:hint="eastAsia"/>
                      <w:color w:val="auto"/>
                      <w:highlight w:val="none"/>
                    </w:rPr>
                    <w:t>、THC、NO</w:t>
                  </w:r>
                  <w:r>
                    <w:rPr>
                      <w:rFonts w:hint="eastAsia"/>
                      <w:color w:val="auto"/>
                      <w:highlight w:val="none"/>
                      <w:vertAlign w:val="subscript"/>
                    </w:rPr>
                    <w:t>X</w:t>
                  </w:r>
                </w:p>
              </w:tc>
              <w:tc>
                <w:tcPr>
                  <w:tcW w:w="1639" w:type="dxa"/>
                  <w:shd w:val="clear" w:color="auto" w:fill="auto"/>
                  <w:vAlign w:val="center"/>
                </w:tcPr>
                <w:p w14:paraId="2329A92B">
                  <w:pPr>
                    <w:pStyle w:val="30"/>
                    <w:rPr>
                      <w:rFonts w:hint="eastAsia" w:eastAsia="宋体"/>
                      <w:color w:val="auto"/>
                      <w:highlight w:val="none"/>
                      <w:lang w:eastAsia="zh-CN"/>
                    </w:rPr>
                  </w:pPr>
                  <w:r>
                    <w:rPr>
                      <w:rFonts w:hint="eastAsia"/>
                      <w:color w:val="auto"/>
                      <w:highlight w:val="none"/>
                      <w:lang w:val="en-US" w:eastAsia="zh-CN"/>
                    </w:rPr>
                    <w:t>/</w:t>
                  </w:r>
                </w:p>
              </w:tc>
            </w:tr>
            <w:tr w14:paraId="7606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Align w:val="center"/>
                </w:tcPr>
                <w:p w14:paraId="44FFB7DE">
                  <w:pPr>
                    <w:pStyle w:val="30"/>
                    <w:rPr>
                      <w:color w:val="auto"/>
                      <w:highlight w:val="none"/>
                    </w:rPr>
                  </w:pPr>
                  <w:r>
                    <w:rPr>
                      <w:rFonts w:hint="eastAsia"/>
                      <w:color w:val="auto"/>
                      <w:highlight w:val="none"/>
                    </w:rPr>
                    <w:t>噪声</w:t>
                  </w:r>
                </w:p>
              </w:tc>
              <w:tc>
                <w:tcPr>
                  <w:tcW w:w="2481" w:type="dxa"/>
                  <w:gridSpan w:val="2"/>
                  <w:vAlign w:val="center"/>
                </w:tcPr>
                <w:p w14:paraId="1014C50F">
                  <w:pPr>
                    <w:pStyle w:val="30"/>
                    <w:rPr>
                      <w:rFonts w:hint="eastAsia" w:eastAsia="宋体"/>
                      <w:color w:val="auto"/>
                      <w:highlight w:val="none"/>
                      <w:lang w:eastAsia="zh-CN"/>
                    </w:rPr>
                  </w:pPr>
                  <w:r>
                    <w:rPr>
                      <w:rFonts w:hint="eastAsia"/>
                      <w:color w:val="auto"/>
                      <w:highlight w:val="none"/>
                      <w:lang w:eastAsia="zh-CN"/>
                    </w:rPr>
                    <w:t>进出车辆</w:t>
                  </w:r>
                </w:p>
              </w:tc>
              <w:tc>
                <w:tcPr>
                  <w:tcW w:w="2606" w:type="dxa"/>
                  <w:vAlign w:val="center"/>
                </w:tcPr>
                <w:p w14:paraId="55721178">
                  <w:pPr>
                    <w:pStyle w:val="30"/>
                    <w:rPr>
                      <w:color w:val="auto"/>
                      <w:highlight w:val="none"/>
                    </w:rPr>
                  </w:pPr>
                  <w:r>
                    <w:rPr>
                      <w:rFonts w:hint="eastAsia"/>
                      <w:color w:val="auto"/>
                      <w:highlight w:val="none"/>
                    </w:rPr>
                    <w:t>噪声</w:t>
                  </w:r>
                </w:p>
              </w:tc>
              <w:tc>
                <w:tcPr>
                  <w:tcW w:w="1639" w:type="dxa"/>
                  <w:vAlign w:val="center"/>
                </w:tcPr>
                <w:p w14:paraId="6483F797">
                  <w:pPr>
                    <w:pStyle w:val="30"/>
                    <w:rPr>
                      <w:color w:val="auto"/>
                      <w:highlight w:val="none"/>
                    </w:rPr>
                  </w:pPr>
                  <w:r>
                    <w:rPr>
                      <w:color w:val="auto"/>
                      <w:highlight w:val="none"/>
                    </w:rPr>
                    <w:t>加油机采用基础减震和维护保养，抽油泵增加减震，埋于地下</w:t>
                  </w:r>
                </w:p>
              </w:tc>
            </w:tr>
            <w:tr w14:paraId="4364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restart"/>
                  <w:vAlign w:val="center"/>
                </w:tcPr>
                <w:p w14:paraId="111E7DE7">
                  <w:pPr>
                    <w:pStyle w:val="30"/>
                    <w:rPr>
                      <w:color w:val="auto"/>
                      <w:highlight w:val="none"/>
                    </w:rPr>
                  </w:pPr>
                  <w:r>
                    <w:rPr>
                      <w:rFonts w:hint="eastAsia"/>
                      <w:color w:val="auto"/>
                      <w:highlight w:val="none"/>
                    </w:rPr>
                    <w:t>固废</w:t>
                  </w:r>
                </w:p>
              </w:tc>
              <w:tc>
                <w:tcPr>
                  <w:tcW w:w="842" w:type="dxa"/>
                  <w:vMerge w:val="restart"/>
                  <w:vAlign w:val="center"/>
                </w:tcPr>
                <w:p w14:paraId="552BD25F">
                  <w:pPr>
                    <w:pStyle w:val="30"/>
                    <w:rPr>
                      <w:color w:val="auto"/>
                      <w:highlight w:val="none"/>
                    </w:rPr>
                  </w:pPr>
                  <w:r>
                    <w:rPr>
                      <w:rFonts w:hint="eastAsia"/>
                      <w:color w:val="auto"/>
                      <w:highlight w:val="none"/>
                    </w:rPr>
                    <w:t>一般固废</w:t>
                  </w:r>
                </w:p>
              </w:tc>
              <w:tc>
                <w:tcPr>
                  <w:tcW w:w="1639" w:type="dxa"/>
                  <w:vAlign w:val="center"/>
                </w:tcPr>
                <w:p w14:paraId="7C88EF80">
                  <w:pPr>
                    <w:pStyle w:val="30"/>
                    <w:tabs>
                      <w:tab w:val="left" w:pos="404"/>
                    </w:tabs>
                    <w:rPr>
                      <w:color w:val="auto"/>
                      <w:highlight w:val="none"/>
                    </w:rPr>
                  </w:pPr>
                  <w:r>
                    <w:rPr>
                      <w:rFonts w:hint="eastAsia"/>
                      <w:color w:val="auto"/>
                      <w:highlight w:val="none"/>
                    </w:rPr>
                    <w:t>员工日常生活办公</w:t>
                  </w:r>
                </w:p>
              </w:tc>
              <w:tc>
                <w:tcPr>
                  <w:tcW w:w="2606" w:type="dxa"/>
                  <w:vAlign w:val="center"/>
                </w:tcPr>
                <w:p w14:paraId="19917593">
                  <w:pPr>
                    <w:pStyle w:val="30"/>
                    <w:rPr>
                      <w:color w:val="auto"/>
                      <w:highlight w:val="none"/>
                    </w:rPr>
                  </w:pPr>
                  <w:r>
                    <w:rPr>
                      <w:rFonts w:hint="eastAsia"/>
                      <w:color w:val="auto"/>
                      <w:highlight w:val="none"/>
                    </w:rPr>
                    <w:t>生活垃圾S1</w:t>
                  </w:r>
                </w:p>
              </w:tc>
              <w:tc>
                <w:tcPr>
                  <w:tcW w:w="1639" w:type="dxa"/>
                  <w:vAlign w:val="center"/>
                </w:tcPr>
                <w:p w14:paraId="1C417E79">
                  <w:pPr>
                    <w:pStyle w:val="30"/>
                    <w:rPr>
                      <w:color w:val="auto"/>
                      <w:highlight w:val="none"/>
                    </w:rPr>
                  </w:pPr>
                  <w:r>
                    <w:rPr>
                      <w:rFonts w:hint="eastAsia"/>
                      <w:color w:val="auto"/>
                      <w:highlight w:val="none"/>
                    </w:rPr>
                    <w:t>环卫部门清运</w:t>
                  </w:r>
                </w:p>
              </w:tc>
            </w:tr>
            <w:tr w14:paraId="69A1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1BCF5116">
                  <w:pPr>
                    <w:pStyle w:val="30"/>
                    <w:rPr>
                      <w:color w:val="auto"/>
                      <w:highlight w:val="none"/>
                    </w:rPr>
                  </w:pPr>
                </w:p>
              </w:tc>
              <w:tc>
                <w:tcPr>
                  <w:tcW w:w="842" w:type="dxa"/>
                  <w:vMerge w:val="continue"/>
                  <w:vAlign w:val="center"/>
                </w:tcPr>
                <w:p w14:paraId="6BDA222B">
                  <w:pPr>
                    <w:pStyle w:val="30"/>
                    <w:rPr>
                      <w:color w:val="auto"/>
                      <w:highlight w:val="none"/>
                    </w:rPr>
                  </w:pPr>
                </w:p>
              </w:tc>
              <w:tc>
                <w:tcPr>
                  <w:tcW w:w="1639" w:type="dxa"/>
                  <w:vMerge w:val="restart"/>
                  <w:vAlign w:val="center"/>
                </w:tcPr>
                <w:p w14:paraId="00CBA2E1">
                  <w:pPr>
                    <w:pStyle w:val="30"/>
                    <w:rPr>
                      <w:color w:val="auto"/>
                      <w:highlight w:val="none"/>
                    </w:rPr>
                  </w:pPr>
                  <w:r>
                    <w:rPr>
                      <w:rFonts w:hint="eastAsia"/>
                      <w:color w:val="auto"/>
                      <w:highlight w:val="none"/>
                    </w:rPr>
                    <w:t>车辆维修</w:t>
                  </w:r>
                </w:p>
              </w:tc>
              <w:tc>
                <w:tcPr>
                  <w:tcW w:w="2606" w:type="dxa"/>
                  <w:vAlign w:val="center"/>
                </w:tcPr>
                <w:p w14:paraId="5A9D2DF8">
                  <w:pPr>
                    <w:pStyle w:val="30"/>
                    <w:rPr>
                      <w:color w:val="auto"/>
                      <w:highlight w:val="none"/>
                    </w:rPr>
                  </w:pPr>
                  <w:r>
                    <w:rPr>
                      <w:rFonts w:hint="eastAsia"/>
                      <w:color w:val="auto"/>
                      <w:highlight w:val="none"/>
                    </w:rPr>
                    <w:t>废零部件S2</w:t>
                  </w:r>
                </w:p>
              </w:tc>
              <w:tc>
                <w:tcPr>
                  <w:tcW w:w="1639" w:type="dxa"/>
                  <w:vMerge w:val="restart"/>
                  <w:vAlign w:val="center"/>
                </w:tcPr>
                <w:p w14:paraId="0FB1E3BB">
                  <w:pPr>
                    <w:pStyle w:val="30"/>
                    <w:rPr>
                      <w:color w:val="auto"/>
                      <w:highlight w:val="none"/>
                    </w:rPr>
                  </w:pPr>
                  <w:r>
                    <w:rPr>
                      <w:rFonts w:hint="eastAsia"/>
                      <w:color w:val="auto"/>
                      <w:highlight w:val="none"/>
                    </w:rPr>
                    <w:t>收集后外售物资回收单位</w:t>
                  </w:r>
                </w:p>
              </w:tc>
            </w:tr>
            <w:tr w14:paraId="468E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661E241D">
                  <w:pPr>
                    <w:pStyle w:val="30"/>
                    <w:rPr>
                      <w:color w:val="auto"/>
                      <w:highlight w:val="none"/>
                    </w:rPr>
                  </w:pPr>
                </w:p>
              </w:tc>
              <w:tc>
                <w:tcPr>
                  <w:tcW w:w="842" w:type="dxa"/>
                  <w:vMerge w:val="continue"/>
                  <w:vAlign w:val="center"/>
                </w:tcPr>
                <w:p w14:paraId="0B8343CF">
                  <w:pPr>
                    <w:pStyle w:val="30"/>
                    <w:rPr>
                      <w:color w:val="auto"/>
                      <w:highlight w:val="none"/>
                    </w:rPr>
                  </w:pPr>
                </w:p>
              </w:tc>
              <w:tc>
                <w:tcPr>
                  <w:tcW w:w="1639" w:type="dxa"/>
                  <w:vMerge w:val="continue"/>
                  <w:vAlign w:val="center"/>
                </w:tcPr>
                <w:p w14:paraId="2961A40F">
                  <w:pPr>
                    <w:pStyle w:val="30"/>
                    <w:rPr>
                      <w:color w:val="auto"/>
                      <w:highlight w:val="none"/>
                    </w:rPr>
                  </w:pPr>
                </w:p>
              </w:tc>
              <w:tc>
                <w:tcPr>
                  <w:tcW w:w="2606" w:type="dxa"/>
                  <w:vAlign w:val="center"/>
                </w:tcPr>
                <w:p w14:paraId="33A81A6F">
                  <w:pPr>
                    <w:pStyle w:val="30"/>
                    <w:rPr>
                      <w:color w:val="auto"/>
                      <w:highlight w:val="none"/>
                    </w:rPr>
                  </w:pPr>
                  <w:r>
                    <w:rPr>
                      <w:rFonts w:hint="eastAsia"/>
                      <w:color w:val="auto"/>
                      <w:highlight w:val="none"/>
                    </w:rPr>
                    <w:t>废焊丝S3</w:t>
                  </w:r>
                </w:p>
              </w:tc>
              <w:tc>
                <w:tcPr>
                  <w:tcW w:w="1639" w:type="dxa"/>
                  <w:vMerge w:val="continue"/>
                  <w:vAlign w:val="center"/>
                </w:tcPr>
                <w:p w14:paraId="318F6D50">
                  <w:pPr>
                    <w:pStyle w:val="30"/>
                    <w:rPr>
                      <w:color w:val="auto"/>
                      <w:highlight w:val="none"/>
                    </w:rPr>
                  </w:pPr>
                </w:p>
              </w:tc>
            </w:tr>
            <w:tr w14:paraId="0315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5FDEE245">
                  <w:pPr>
                    <w:pStyle w:val="30"/>
                    <w:rPr>
                      <w:color w:val="auto"/>
                      <w:highlight w:val="none"/>
                    </w:rPr>
                  </w:pPr>
                </w:p>
              </w:tc>
              <w:tc>
                <w:tcPr>
                  <w:tcW w:w="842" w:type="dxa"/>
                  <w:vMerge w:val="continue"/>
                  <w:vAlign w:val="center"/>
                </w:tcPr>
                <w:p w14:paraId="2C7CA044">
                  <w:pPr>
                    <w:pStyle w:val="30"/>
                    <w:rPr>
                      <w:color w:val="auto"/>
                      <w:highlight w:val="none"/>
                    </w:rPr>
                  </w:pPr>
                </w:p>
              </w:tc>
              <w:tc>
                <w:tcPr>
                  <w:tcW w:w="1639" w:type="dxa"/>
                  <w:vMerge w:val="continue"/>
                  <w:vAlign w:val="center"/>
                </w:tcPr>
                <w:p w14:paraId="2CDFD944">
                  <w:pPr>
                    <w:pStyle w:val="30"/>
                    <w:rPr>
                      <w:color w:val="auto"/>
                      <w:highlight w:val="none"/>
                    </w:rPr>
                  </w:pPr>
                </w:p>
              </w:tc>
              <w:tc>
                <w:tcPr>
                  <w:tcW w:w="2606" w:type="dxa"/>
                  <w:vAlign w:val="center"/>
                </w:tcPr>
                <w:p w14:paraId="65709AE3">
                  <w:pPr>
                    <w:pStyle w:val="30"/>
                    <w:rPr>
                      <w:color w:val="auto"/>
                      <w:highlight w:val="none"/>
                    </w:rPr>
                  </w:pPr>
                  <w:r>
                    <w:rPr>
                      <w:rFonts w:hint="eastAsia"/>
                      <w:color w:val="auto"/>
                      <w:highlight w:val="none"/>
                    </w:rPr>
                    <w:t>废轮胎S4</w:t>
                  </w:r>
                </w:p>
              </w:tc>
              <w:tc>
                <w:tcPr>
                  <w:tcW w:w="1639" w:type="dxa"/>
                  <w:vMerge w:val="continue"/>
                  <w:vAlign w:val="center"/>
                </w:tcPr>
                <w:p w14:paraId="0FF61A8D">
                  <w:pPr>
                    <w:pStyle w:val="30"/>
                    <w:rPr>
                      <w:color w:val="auto"/>
                      <w:highlight w:val="none"/>
                    </w:rPr>
                  </w:pPr>
                </w:p>
              </w:tc>
            </w:tr>
            <w:tr w14:paraId="0F5D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1B151669">
                  <w:pPr>
                    <w:pStyle w:val="30"/>
                    <w:rPr>
                      <w:color w:val="auto"/>
                      <w:highlight w:val="none"/>
                    </w:rPr>
                  </w:pPr>
                </w:p>
              </w:tc>
              <w:tc>
                <w:tcPr>
                  <w:tcW w:w="842" w:type="dxa"/>
                  <w:vMerge w:val="continue"/>
                  <w:vAlign w:val="center"/>
                </w:tcPr>
                <w:p w14:paraId="6E095C1F">
                  <w:pPr>
                    <w:pStyle w:val="30"/>
                    <w:rPr>
                      <w:color w:val="auto"/>
                      <w:highlight w:val="none"/>
                    </w:rPr>
                  </w:pPr>
                </w:p>
              </w:tc>
              <w:tc>
                <w:tcPr>
                  <w:tcW w:w="1639" w:type="dxa"/>
                  <w:vMerge w:val="continue"/>
                  <w:vAlign w:val="center"/>
                </w:tcPr>
                <w:p w14:paraId="40AE1BD0">
                  <w:pPr>
                    <w:pStyle w:val="30"/>
                    <w:rPr>
                      <w:color w:val="auto"/>
                      <w:highlight w:val="none"/>
                    </w:rPr>
                  </w:pPr>
                </w:p>
              </w:tc>
              <w:tc>
                <w:tcPr>
                  <w:tcW w:w="2606" w:type="dxa"/>
                  <w:vAlign w:val="center"/>
                </w:tcPr>
                <w:p w14:paraId="71DADBE7">
                  <w:pPr>
                    <w:pStyle w:val="30"/>
                    <w:rPr>
                      <w:color w:val="auto"/>
                      <w:highlight w:val="none"/>
                    </w:rPr>
                  </w:pPr>
                  <w:r>
                    <w:rPr>
                      <w:rFonts w:hint="eastAsia"/>
                      <w:color w:val="auto"/>
                      <w:highlight w:val="none"/>
                    </w:rPr>
                    <w:t>洗车污泥及泥沙S5</w:t>
                  </w:r>
                </w:p>
              </w:tc>
              <w:tc>
                <w:tcPr>
                  <w:tcW w:w="1639" w:type="dxa"/>
                  <w:vAlign w:val="center"/>
                </w:tcPr>
                <w:p w14:paraId="069BCC8C">
                  <w:pPr>
                    <w:pStyle w:val="30"/>
                    <w:rPr>
                      <w:color w:val="auto"/>
                      <w:highlight w:val="none"/>
                    </w:rPr>
                  </w:pPr>
                  <w:r>
                    <w:rPr>
                      <w:rFonts w:hint="eastAsia"/>
                      <w:color w:val="auto"/>
                      <w:highlight w:val="none"/>
                    </w:rPr>
                    <w:t>环卫部门收集处理</w:t>
                  </w:r>
                </w:p>
              </w:tc>
            </w:tr>
            <w:tr w14:paraId="50F2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12F224D8">
                  <w:pPr>
                    <w:pStyle w:val="30"/>
                    <w:rPr>
                      <w:color w:val="auto"/>
                      <w:highlight w:val="none"/>
                    </w:rPr>
                  </w:pPr>
                </w:p>
              </w:tc>
              <w:tc>
                <w:tcPr>
                  <w:tcW w:w="842" w:type="dxa"/>
                  <w:vMerge w:val="restart"/>
                  <w:vAlign w:val="center"/>
                </w:tcPr>
                <w:p w14:paraId="6061E757">
                  <w:pPr>
                    <w:pStyle w:val="30"/>
                    <w:rPr>
                      <w:color w:val="auto"/>
                      <w:highlight w:val="none"/>
                    </w:rPr>
                  </w:pPr>
                  <w:r>
                    <w:rPr>
                      <w:rFonts w:hint="eastAsia"/>
                      <w:color w:val="auto"/>
                      <w:highlight w:val="none"/>
                    </w:rPr>
                    <w:t>危险废物</w:t>
                  </w:r>
                </w:p>
              </w:tc>
              <w:tc>
                <w:tcPr>
                  <w:tcW w:w="1639" w:type="dxa"/>
                  <w:vMerge w:val="restart"/>
                  <w:vAlign w:val="center"/>
                </w:tcPr>
                <w:p w14:paraId="1410BA71">
                  <w:pPr>
                    <w:pStyle w:val="30"/>
                    <w:rPr>
                      <w:color w:val="auto"/>
                      <w:highlight w:val="none"/>
                    </w:rPr>
                  </w:pPr>
                  <w:r>
                    <w:rPr>
                      <w:rFonts w:hint="eastAsia"/>
                      <w:color w:val="auto"/>
                      <w:highlight w:val="none"/>
                    </w:rPr>
                    <w:t>加油站运营</w:t>
                  </w:r>
                </w:p>
              </w:tc>
              <w:tc>
                <w:tcPr>
                  <w:tcW w:w="2606" w:type="dxa"/>
                  <w:vAlign w:val="center"/>
                </w:tcPr>
                <w:p w14:paraId="47C928DA">
                  <w:pPr>
                    <w:pStyle w:val="30"/>
                    <w:rPr>
                      <w:color w:val="auto"/>
                      <w:highlight w:val="none"/>
                    </w:rPr>
                  </w:pPr>
                  <w:r>
                    <w:rPr>
                      <w:rFonts w:hint="eastAsia"/>
                      <w:color w:val="auto"/>
                      <w:highlight w:val="none"/>
                    </w:rPr>
                    <w:t>清罐油泥S6</w:t>
                  </w:r>
                </w:p>
              </w:tc>
              <w:tc>
                <w:tcPr>
                  <w:tcW w:w="1639" w:type="dxa"/>
                  <w:vMerge w:val="restart"/>
                  <w:vAlign w:val="center"/>
                </w:tcPr>
                <w:p w14:paraId="0897F691">
                  <w:pPr>
                    <w:pStyle w:val="30"/>
                    <w:rPr>
                      <w:color w:val="auto"/>
                      <w:highlight w:val="none"/>
                    </w:rPr>
                  </w:pPr>
                  <w:r>
                    <w:rPr>
                      <w:rFonts w:hint="eastAsia"/>
                      <w:color w:val="auto"/>
                      <w:highlight w:val="none"/>
                    </w:rPr>
                    <w:t>由有资质单位及时清运处置</w:t>
                  </w:r>
                </w:p>
              </w:tc>
            </w:tr>
            <w:tr w14:paraId="1D4D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676E9EEB">
                  <w:pPr>
                    <w:pStyle w:val="30"/>
                    <w:rPr>
                      <w:color w:val="auto"/>
                      <w:highlight w:val="none"/>
                    </w:rPr>
                  </w:pPr>
                </w:p>
              </w:tc>
              <w:tc>
                <w:tcPr>
                  <w:tcW w:w="842" w:type="dxa"/>
                  <w:vMerge w:val="continue"/>
                  <w:vAlign w:val="center"/>
                </w:tcPr>
                <w:p w14:paraId="024D3400">
                  <w:pPr>
                    <w:pStyle w:val="30"/>
                    <w:rPr>
                      <w:color w:val="auto"/>
                      <w:highlight w:val="none"/>
                    </w:rPr>
                  </w:pPr>
                </w:p>
              </w:tc>
              <w:tc>
                <w:tcPr>
                  <w:tcW w:w="1639" w:type="dxa"/>
                  <w:vMerge w:val="continue"/>
                  <w:vAlign w:val="center"/>
                </w:tcPr>
                <w:p w14:paraId="628195FF">
                  <w:pPr>
                    <w:pStyle w:val="30"/>
                    <w:rPr>
                      <w:color w:val="auto"/>
                      <w:highlight w:val="none"/>
                    </w:rPr>
                  </w:pPr>
                </w:p>
              </w:tc>
              <w:tc>
                <w:tcPr>
                  <w:tcW w:w="2606" w:type="dxa"/>
                  <w:vAlign w:val="center"/>
                </w:tcPr>
                <w:p w14:paraId="1944CCA2">
                  <w:pPr>
                    <w:pStyle w:val="30"/>
                    <w:rPr>
                      <w:color w:val="auto"/>
                      <w:highlight w:val="none"/>
                    </w:rPr>
                  </w:pPr>
                  <w:r>
                    <w:rPr>
                      <w:rFonts w:hint="eastAsia"/>
                      <w:color w:val="auto"/>
                      <w:highlight w:val="none"/>
                    </w:rPr>
                    <w:t>清罐废液S7</w:t>
                  </w:r>
                </w:p>
              </w:tc>
              <w:tc>
                <w:tcPr>
                  <w:tcW w:w="1639" w:type="dxa"/>
                  <w:vMerge w:val="continue"/>
                  <w:vAlign w:val="center"/>
                </w:tcPr>
                <w:p w14:paraId="5B53A73D">
                  <w:pPr>
                    <w:pStyle w:val="30"/>
                    <w:rPr>
                      <w:color w:val="auto"/>
                      <w:highlight w:val="none"/>
                    </w:rPr>
                  </w:pPr>
                </w:p>
              </w:tc>
            </w:tr>
            <w:tr w14:paraId="587D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76E4A01B">
                  <w:pPr>
                    <w:pStyle w:val="30"/>
                    <w:rPr>
                      <w:color w:val="auto"/>
                      <w:highlight w:val="none"/>
                    </w:rPr>
                  </w:pPr>
                </w:p>
              </w:tc>
              <w:tc>
                <w:tcPr>
                  <w:tcW w:w="842" w:type="dxa"/>
                  <w:vMerge w:val="continue"/>
                  <w:vAlign w:val="center"/>
                </w:tcPr>
                <w:p w14:paraId="7F952138">
                  <w:pPr>
                    <w:pStyle w:val="30"/>
                    <w:rPr>
                      <w:color w:val="auto"/>
                      <w:highlight w:val="none"/>
                    </w:rPr>
                  </w:pPr>
                </w:p>
              </w:tc>
              <w:tc>
                <w:tcPr>
                  <w:tcW w:w="1639" w:type="dxa"/>
                  <w:vMerge w:val="continue"/>
                  <w:vAlign w:val="center"/>
                </w:tcPr>
                <w:p w14:paraId="34501729">
                  <w:pPr>
                    <w:pStyle w:val="30"/>
                    <w:rPr>
                      <w:color w:val="auto"/>
                      <w:highlight w:val="none"/>
                    </w:rPr>
                  </w:pPr>
                </w:p>
              </w:tc>
              <w:tc>
                <w:tcPr>
                  <w:tcW w:w="2606" w:type="dxa"/>
                  <w:vAlign w:val="center"/>
                </w:tcPr>
                <w:p w14:paraId="2BAAFDFB">
                  <w:pPr>
                    <w:pStyle w:val="30"/>
                    <w:rPr>
                      <w:color w:val="auto"/>
                      <w:highlight w:val="none"/>
                    </w:rPr>
                  </w:pPr>
                  <w:r>
                    <w:rPr>
                      <w:rFonts w:hint="eastAsia"/>
                      <w:color w:val="auto"/>
                      <w:highlight w:val="none"/>
                    </w:rPr>
                    <w:t>含油废沙S8</w:t>
                  </w:r>
                </w:p>
              </w:tc>
              <w:tc>
                <w:tcPr>
                  <w:tcW w:w="1639" w:type="dxa"/>
                  <w:vMerge w:val="restart"/>
                  <w:vAlign w:val="center"/>
                </w:tcPr>
                <w:p w14:paraId="6F010C13">
                  <w:pPr>
                    <w:pStyle w:val="30"/>
                    <w:rPr>
                      <w:color w:val="auto"/>
                      <w:highlight w:val="none"/>
                    </w:rPr>
                  </w:pPr>
                  <w:r>
                    <w:rPr>
                      <w:color w:val="auto"/>
                      <w:highlight w:val="none"/>
                    </w:rPr>
                    <w:t>分类暂存于危险废物暂存间，委托有资质的单位</w:t>
                  </w:r>
                  <w:r>
                    <w:rPr>
                      <w:rFonts w:hint="eastAsia"/>
                      <w:color w:val="auto"/>
                      <w:highlight w:val="none"/>
                    </w:rPr>
                    <w:t>定期</w:t>
                  </w:r>
                  <w:r>
                    <w:rPr>
                      <w:color w:val="auto"/>
                      <w:highlight w:val="none"/>
                    </w:rPr>
                    <w:t>清运</w:t>
                  </w:r>
                </w:p>
              </w:tc>
            </w:tr>
            <w:tr w14:paraId="75DF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25336A11">
                  <w:pPr>
                    <w:pStyle w:val="30"/>
                    <w:rPr>
                      <w:color w:val="auto"/>
                      <w:highlight w:val="none"/>
                    </w:rPr>
                  </w:pPr>
                </w:p>
              </w:tc>
              <w:tc>
                <w:tcPr>
                  <w:tcW w:w="842" w:type="dxa"/>
                  <w:vMerge w:val="continue"/>
                  <w:vAlign w:val="center"/>
                </w:tcPr>
                <w:p w14:paraId="045E9044">
                  <w:pPr>
                    <w:pStyle w:val="30"/>
                    <w:rPr>
                      <w:color w:val="auto"/>
                      <w:highlight w:val="none"/>
                    </w:rPr>
                  </w:pPr>
                </w:p>
              </w:tc>
              <w:tc>
                <w:tcPr>
                  <w:tcW w:w="1639" w:type="dxa"/>
                  <w:vMerge w:val="restart"/>
                  <w:vAlign w:val="center"/>
                </w:tcPr>
                <w:p w14:paraId="328AB2FA">
                  <w:pPr>
                    <w:pStyle w:val="30"/>
                    <w:rPr>
                      <w:color w:val="auto"/>
                      <w:highlight w:val="none"/>
                    </w:rPr>
                  </w:pPr>
                  <w:r>
                    <w:rPr>
                      <w:rFonts w:hint="eastAsia"/>
                      <w:color w:val="auto"/>
                      <w:highlight w:val="none"/>
                    </w:rPr>
                    <w:t>检查维修</w:t>
                  </w:r>
                </w:p>
              </w:tc>
              <w:tc>
                <w:tcPr>
                  <w:tcW w:w="2606" w:type="dxa"/>
                  <w:vAlign w:val="center"/>
                </w:tcPr>
                <w:p w14:paraId="5D50F902">
                  <w:pPr>
                    <w:pStyle w:val="30"/>
                    <w:rPr>
                      <w:color w:val="auto"/>
                      <w:highlight w:val="none"/>
                    </w:rPr>
                  </w:pPr>
                  <w:r>
                    <w:rPr>
                      <w:rFonts w:hint="eastAsia"/>
                      <w:color w:val="auto"/>
                      <w:highlight w:val="none"/>
                      <w:lang w:eastAsia="zh-CN"/>
                    </w:rPr>
                    <w:t>废含油抹布手套</w:t>
                  </w:r>
                  <w:r>
                    <w:rPr>
                      <w:rFonts w:hint="eastAsia"/>
                      <w:color w:val="auto"/>
                      <w:highlight w:val="none"/>
                    </w:rPr>
                    <w:t>S9</w:t>
                  </w:r>
                </w:p>
              </w:tc>
              <w:tc>
                <w:tcPr>
                  <w:tcW w:w="1639" w:type="dxa"/>
                  <w:vMerge w:val="continue"/>
                  <w:vAlign w:val="center"/>
                </w:tcPr>
                <w:p w14:paraId="310D65DA">
                  <w:pPr>
                    <w:pStyle w:val="30"/>
                    <w:rPr>
                      <w:color w:val="auto"/>
                      <w:highlight w:val="none"/>
                    </w:rPr>
                  </w:pPr>
                </w:p>
              </w:tc>
            </w:tr>
            <w:tr w14:paraId="1D0E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45E1AE55">
                  <w:pPr>
                    <w:pStyle w:val="30"/>
                    <w:rPr>
                      <w:color w:val="auto"/>
                      <w:highlight w:val="none"/>
                    </w:rPr>
                  </w:pPr>
                </w:p>
              </w:tc>
              <w:tc>
                <w:tcPr>
                  <w:tcW w:w="842" w:type="dxa"/>
                  <w:vMerge w:val="continue"/>
                  <w:vAlign w:val="center"/>
                </w:tcPr>
                <w:p w14:paraId="34CB2C43">
                  <w:pPr>
                    <w:pStyle w:val="30"/>
                    <w:rPr>
                      <w:color w:val="auto"/>
                      <w:highlight w:val="none"/>
                    </w:rPr>
                  </w:pPr>
                </w:p>
              </w:tc>
              <w:tc>
                <w:tcPr>
                  <w:tcW w:w="1639" w:type="dxa"/>
                  <w:vMerge w:val="continue"/>
                  <w:vAlign w:val="center"/>
                </w:tcPr>
                <w:p w14:paraId="422EA9C6">
                  <w:pPr>
                    <w:pStyle w:val="30"/>
                    <w:rPr>
                      <w:color w:val="auto"/>
                      <w:highlight w:val="none"/>
                    </w:rPr>
                  </w:pPr>
                </w:p>
              </w:tc>
              <w:tc>
                <w:tcPr>
                  <w:tcW w:w="2606" w:type="dxa"/>
                  <w:vAlign w:val="center"/>
                </w:tcPr>
                <w:p w14:paraId="4E394659">
                  <w:pPr>
                    <w:pStyle w:val="30"/>
                    <w:rPr>
                      <w:color w:val="auto"/>
                      <w:highlight w:val="none"/>
                    </w:rPr>
                  </w:pPr>
                  <w:r>
                    <w:rPr>
                      <w:rFonts w:hint="eastAsia"/>
                      <w:color w:val="auto"/>
                      <w:highlight w:val="none"/>
                    </w:rPr>
                    <w:t>废机油S10</w:t>
                  </w:r>
                </w:p>
              </w:tc>
              <w:tc>
                <w:tcPr>
                  <w:tcW w:w="1639" w:type="dxa"/>
                  <w:vMerge w:val="continue"/>
                  <w:vAlign w:val="center"/>
                </w:tcPr>
                <w:p w14:paraId="628D1092">
                  <w:pPr>
                    <w:pStyle w:val="30"/>
                    <w:rPr>
                      <w:color w:val="auto"/>
                      <w:highlight w:val="none"/>
                    </w:rPr>
                  </w:pPr>
                </w:p>
              </w:tc>
            </w:tr>
            <w:tr w14:paraId="2A8E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3F3A5BBD">
                  <w:pPr>
                    <w:pStyle w:val="30"/>
                    <w:rPr>
                      <w:color w:val="auto"/>
                      <w:highlight w:val="none"/>
                    </w:rPr>
                  </w:pPr>
                </w:p>
              </w:tc>
              <w:tc>
                <w:tcPr>
                  <w:tcW w:w="842" w:type="dxa"/>
                  <w:vMerge w:val="continue"/>
                  <w:vAlign w:val="center"/>
                </w:tcPr>
                <w:p w14:paraId="3E653757">
                  <w:pPr>
                    <w:pStyle w:val="30"/>
                    <w:rPr>
                      <w:color w:val="auto"/>
                      <w:highlight w:val="none"/>
                    </w:rPr>
                  </w:pPr>
                </w:p>
              </w:tc>
              <w:tc>
                <w:tcPr>
                  <w:tcW w:w="1639" w:type="dxa"/>
                  <w:vMerge w:val="continue"/>
                  <w:vAlign w:val="center"/>
                </w:tcPr>
                <w:p w14:paraId="2021C326">
                  <w:pPr>
                    <w:pStyle w:val="30"/>
                    <w:rPr>
                      <w:color w:val="auto"/>
                      <w:highlight w:val="none"/>
                    </w:rPr>
                  </w:pPr>
                </w:p>
              </w:tc>
              <w:tc>
                <w:tcPr>
                  <w:tcW w:w="2606" w:type="dxa"/>
                  <w:vAlign w:val="center"/>
                </w:tcPr>
                <w:p w14:paraId="4E5FABFF">
                  <w:pPr>
                    <w:pStyle w:val="30"/>
                    <w:rPr>
                      <w:color w:val="auto"/>
                      <w:highlight w:val="none"/>
                    </w:rPr>
                  </w:pPr>
                  <w:r>
                    <w:rPr>
                      <w:rFonts w:hint="eastAsia"/>
                      <w:color w:val="auto"/>
                      <w:highlight w:val="none"/>
                    </w:rPr>
                    <w:t>废机油桶S11</w:t>
                  </w:r>
                </w:p>
              </w:tc>
              <w:tc>
                <w:tcPr>
                  <w:tcW w:w="1639" w:type="dxa"/>
                  <w:vMerge w:val="continue"/>
                  <w:vAlign w:val="center"/>
                </w:tcPr>
                <w:p w14:paraId="7632C1DF">
                  <w:pPr>
                    <w:pStyle w:val="30"/>
                    <w:rPr>
                      <w:color w:val="auto"/>
                      <w:highlight w:val="none"/>
                    </w:rPr>
                  </w:pPr>
                </w:p>
              </w:tc>
            </w:tr>
            <w:tr w14:paraId="556D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7" w:type="dxa"/>
                  <w:vMerge w:val="continue"/>
                  <w:vAlign w:val="center"/>
                </w:tcPr>
                <w:p w14:paraId="10FF2BF8">
                  <w:pPr>
                    <w:pStyle w:val="30"/>
                    <w:rPr>
                      <w:color w:val="auto"/>
                      <w:highlight w:val="none"/>
                    </w:rPr>
                  </w:pPr>
                </w:p>
              </w:tc>
              <w:tc>
                <w:tcPr>
                  <w:tcW w:w="842" w:type="dxa"/>
                  <w:vMerge w:val="continue"/>
                  <w:vAlign w:val="center"/>
                </w:tcPr>
                <w:p w14:paraId="4FC29934">
                  <w:pPr>
                    <w:pStyle w:val="30"/>
                    <w:rPr>
                      <w:color w:val="auto"/>
                      <w:highlight w:val="none"/>
                    </w:rPr>
                  </w:pPr>
                </w:p>
              </w:tc>
              <w:tc>
                <w:tcPr>
                  <w:tcW w:w="1639" w:type="dxa"/>
                  <w:vMerge w:val="continue"/>
                  <w:vAlign w:val="center"/>
                </w:tcPr>
                <w:p w14:paraId="253CB76C">
                  <w:pPr>
                    <w:pStyle w:val="30"/>
                    <w:rPr>
                      <w:color w:val="auto"/>
                      <w:highlight w:val="none"/>
                    </w:rPr>
                  </w:pPr>
                </w:p>
              </w:tc>
              <w:tc>
                <w:tcPr>
                  <w:tcW w:w="2606" w:type="dxa"/>
                  <w:vAlign w:val="center"/>
                </w:tcPr>
                <w:p w14:paraId="3CB9FD98">
                  <w:pPr>
                    <w:pStyle w:val="30"/>
                    <w:rPr>
                      <w:color w:val="auto"/>
                      <w:highlight w:val="none"/>
                    </w:rPr>
                  </w:pPr>
                  <w:r>
                    <w:rPr>
                      <w:rFonts w:hint="eastAsia"/>
                      <w:color w:val="auto"/>
                      <w:highlight w:val="none"/>
                    </w:rPr>
                    <w:t>废电池S12</w:t>
                  </w:r>
                </w:p>
              </w:tc>
              <w:tc>
                <w:tcPr>
                  <w:tcW w:w="1639" w:type="dxa"/>
                  <w:vMerge w:val="continue"/>
                  <w:vAlign w:val="center"/>
                </w:tcPr>
                <w:p w14:paraId="4E026CFD">
                  <w:pPr>
                    <w:pStyle w:val="30"/>
                    <w:rPr>
                      <w:color w:val="auto"/>
                      <w:highlight w:val="none"/>
                    </w:rPr>
                  </w:pPr>
                </w:p>
              </w:tc>
            </w:tr>
          </w:tbl>
          <w:p w14:paraId="08F57CB3">
            <w:pPr>
              <w:rPr>
                <w:color w:val="auto"/>
                <w:highlight w:val="none"/>
              </w:rPr>
            </w:pPr>
          </w:p>
        </w:tc>
      </w:tr>
      <w:tr w14:paraId="169C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4" w:hRule="atLeast"/>
          <w:jc w:val="center"/>
        </w:trPr>
        <w:tc>
          <w:tcPr>
            <w:tcW w:w="580" w:type="dxa"/>
            <w:vAlign w:val="center"/>
          </w:tcPr>
          <w:p w14:paraId="4D1FE816">
            <w:pPr>
              <w:overflowPunct w:val="0"/>
              <w:autoSpaceDE w:val="0"/>
              <w:autoSpaceDN w:val="0"/>
              <w:spacing w:line="240" w:lineRule="auto"/>
              <w:jc w:val="center"/>
              <w:rPr>
                <w:color w:val="auto"/>
                <w:highlight w:val="none"/>
              </w:rPr>
            </w:pPr>
            <w:r>
              <w:rPr>
                <w:rFonts w:hint="eastAsia"/>
                <w:color w:val="auto"/>
                <w:highlight w:val="none"/>
              </w:rPr>
              <w:t>与</w:t>
            </w:r>
            <w:r>
              <w:rPr>
                <w:rFonts w:hint="eastAsia" w:cs="宋体"/>
                <w:bCs/>
                <w:color w:val="auto"/>
                <w:highlight w:val="none"/>
              </w:rPr>
              <w:t>项目有关的现有环境污染</w:t>
            </w:r>
          </w:p>
        </w:tc>
        <w:tc>
          <w:tcPr>
            <w:tcW w:w="7942" w:type="dxa"/>
            <w:vAlign w:val="center"/>
          </w:tcPr>
          <w:p w14:paraId="14A9A4AE">
            <w:pPr>
              <w:pStyle w:val="16"/>
              <w:spacing w:line="360" w:lineRule="auto"/>
              <w:rPr>
                <w:rFonts w:hint="eastAsia"/>
                <w:color w:val="auto"/>
                <w:highlight w:val="none"/>
                <w:lang w:val="en-US" w:eastAsia="zh-CN"/>
              </w:rPr>
            </w:pPr>
            <w:r>
              <w:rPr>
                <w:rFonts w:hint="eastAsia"/>
                <w:color w:val="auto"/>
                <w:highlight w:val="none"/>
              </w:rPr>
              <w:t>本项目为新建项目，</w:t>
            </w:r>
            <w:r>
              <w:rPr>
                <w:rFonts w:hint="eastAsia"/>
                <w:color w:val="auto"/>
                <w:highlight w:val="none"/>
                <w:lang w:eastAsia="zh-CN"/>
              </w:rPr>
              <w:t>根据</w:t>
            </w:r>
            <w:r>
              <w:rPr>
                <w:rFonts w:hint="eastAsia"/>
                <w:color w:val="auto"/>
                <w:highlight w:val="none"/>
                <w:lang w:val="en-US" w:eastAsia="zh-CN"/>
              </w:rPr>
              <w:t>现场踏勘及调查</w:t>
            </w:r>
            <w:r>
              <w:rPr>
                <w:rFonts w:hint="eastAsia"/>
                <w:color w:val="auto"/>
                <w:highlight w:val="none"/>
                <w:lang w:eastAsia="zh-CN"/>
              </w:rPr>
              <w:t>，</w:t>
            </w:r>
            <w:r>
              <w:rPr>
                <w:rFonts w:hint="eastAsia"/>
                <w:color w:val="auto"/>
                <w:highlight w:val="none"/>
                <w:lang w:val="en-US" w:eastAsia="zh-CN"/>
              </w:rPr>
              <w:t>项目所在区域</w:t>
            </w:r>
            <w:r>
              <w:rPr>
                <w:rFonts w:hint="eastAsia"/>
                <w:color w:val="auto"/>
                <w:highlight w:val="none"/>
              </w:rPr>
              <w:t>未发生过环境污染事件，</w:t>
            </w:r>
            <w:r>
              <w:rPr>
                <w:rFonts w:hint="eastAsia"/>
                <w:color w:val="auto"/>
                <w:highlight w:val="none"/>
                <w:lang w:eastAsia="zh-CN"/>
              </w:rPr>
              <w:t>项目地块</w:t>
            </w:r>
            <w:r>
              <w:rPr>
                <w:rFonts w:hint="eastAsia"/>
                <w:color w:val="auto"/>
                <w:highlight w:val="none"/>
                <w:lang w:val="en-US" w:eastAsia="zh-CN"/>
              </w:rPr>
              <w:t>目前用途单一，</w:t>
            </w:r>
            <w:r>
              <w:rPr>
                <w:rFonts w:hint="eastAsia"/>
                <w:color w:val="auto"/>
                <w:highlight w:val="none"/>
              </w:rPr>
              <w:t>主要</w:t>
            </w:r>
            <w:r>
              <w:rPr>
                <w:rFonts w:hint="eastAsia"/>
                <w:color w:val="auto"/>
                <w:highlight w:val="none"/>
                <w:lang w:val="en-US" w:eastAsia="zh-CN"/>
              </w:rPr>
              <w:t>作为临时停车场，用于</w:t>
            </w:r>
            <w:r>
              <w:rPr>
                <w:rFonts w:hint="eastAsia"/>
                <w:color w:val="auto"/>
                <w:highlight w:val="none"/>
              </w:rPr>
              <w:t>停放</w:t>
            </w:r>
            <w:r>
              <w:rPr>
                <w:rFonts w:hint="eastAsia"/>
                <w:color w:val="auto"/>
                <w:highlight w:val="none"/>
                <w:lang w:val="en-US" w:eastAsia="zh-CN"/>
              </w:rPr>
              <w:t>和</w:t>
            </w:r>
            <w:r>
              <w:rPr>
                <w:rFonts w:hint="eastAsia"/>
                <w:color w:val="auto"/>
                <w:highlight w:val="none"/>
              </w:rPr>
              <w:t>销售工程车辆</w:t>
            </w:r>
            <w:r>
              <w:rPr>
                <w:rFonts w:hint="eastAsia"/>
                <w:color w:val="auto"/>
                <w:highlight w:val="none"/>
                <w:lang w:eastAsia="zh-CN"/>
              </w:rPr>
              <w:t>，</w:t>
            </w:r>
            <w:r>
              <w:rPr>
                <w:rFonts w:hint="eastAsia"/>
                <w:color w:val="auto"/>
                <w:highlight w:val="none"/>
                <w:lang w:val="en-US" w:eastAsia="zh-CN"/>
              </w:rPr>
              <w:t>部分区域为未开发毛地，区域内无工业生产活动。地块现状用地性质为农用地和建设用地，</w:t>
            </w:r>
            <w:r>
              <w:rPr>
                <w:rFonts w:hint="eastAsia"/>
                <w:color w:val="auto"/>
                <w:highlight w:val="none"/>
              </w:rPr>
              <w:t>建设单位</w:t>
            </w:r>
            <w:r>
              <w:rPr>
                <w:rFonts w:hint="eastAsia"/>
                <w:color w:val="auto"/>
                <w:highlight w:val="none"/>
                <w:lang w:eastAsia="zh-CN"/>
              </w:rPr>
              <w:t>目前</w:t>
            </w:r>
            <w:r>
              <w:rPr>
                <w:rFonts w:hint="eastAsia"/>
                <w:color w:val="auto"/>
                <w:highlight w:val="none"/>
              </w:rPr>
              <w:t>正在进行土地性质变更</w:t>
            </w:r>
            <w:r>
              <w:rPr>
                <w:rFonts w:hint="eastAsia"/>
                <w:color w:val="auto"/>
                <w:highlight w:val="none"/>
                <w:lang w:eastAsia="zh-CN"/>
              </w:rPr>
              <w:t>，确保在项目开工建设前完成土地性质、土地权属相关手续流程</w:t>
            </w:r>
            <w:r>
              <w:rPr>
                <w:rFonts w:hint="eastAsia"/>
                <w:color w:val="auto"/>
                <w:highlight w:val="none"/>
              </w:rPr>
              <w:t>。</w:t>
            </w:r>
          </w:p>
          <w:p w14:paraId="5272C2AD">
            <w:pPr>
              <w:ind w:firstLine="480" w:firstLineChars="200"/>
              <w:jc w:val="left"/>
              <w:rPr>
                <w:color w:val="auto"/>
                <w:highlight w:val="none"/>
              </w:rPr>
            </w:pPr>
            <w:r>
              <w:rPr>
                <w:rFonts w:hint="eastAsia"/>
                <w:color w:val="auto"/>
                <w:highlight w:val="none"/>
                <w:lang w:val="en-US" w:eastAsia="zh-CN"/>
              </w:rPr>
              <w:t>为进一步解本项目所在区域环境污染现状，建设单位委托</w:t>
            </w:r>
            <w:r>
              <w:rPr>
                <w:rFonts w:hint="eastAsia"/>
                <w:color w:val="auto"/>
                <w:sz w:val="24"/>
                <w:szCs w:val="24"/>
                <w:highlight w:val="none"/>
              </w:rPr>
              <w:t>江苏国析检测技术有限公司</w:t>
            </w:r>
            <w:r>
              <w:rPr>
                <w:rFonts w:hint="eastAsia"/>
                <w:color w:val="auto"/>
                <w:highlight w:val="none"/>
                <w:lang w:val="en-US" w:eastAsia="zh-CN"/>
              </w:rPr>
              <w:t>于</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val="en-US" w:eastAsia="zh-CN"/>
              </w:rPr>
              <w:t>24</w:t>
            </w:r>
            <w:r>
              <w:rPr>
                <w:rFonts w:hint="eastAsia"/>
                <w:color w:val="auto"/>
                <w:sz w:val="24"/>
                <w:szCs w:val="24"/>
                <w:highlight w:val="none"/>
              </w:rPr>
              <w:t>日~202</w:t>
            </w:r>
            <w:r>
              <w:rPr>
                <w:rFonts w:hint="eastAsia"/>
                <w:color w:val="auto"/>
                <w:sz w:val="24"/>
                <w:szCs w:val="24"/>
                <w:highlight w:val="none"/>
                <w:lang w:val="en-US" w:eastAsia="zh-CN"/>
              </w:rPr>
              <w:t>5</w:t>
            </w:r>
            <w:r>
              <w:rPr>
                <w:rFonts w:hint="eastAsia"/>
                <w:color w:val="auto"/>
                <w:sz w:val="24"/>
                <w:szCs w:val="24"/>
                <w:highlight w:val="none"/>
              </w:rPr>
              <w:t>年</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val="en-US" w:eastAsia="zh-CN"/>
              </w:rPr>
              <w:t>26</w:t>
            </w:r>
            <w:r>
              <w:rPr>
                <w:rFonts w:hint="eastAsia"/>
                <w:color w:val="auto"/>
                <w:sz w:val="24"/>
                <w:szCs w:val="24"/>
                <w:highlight w:val="none"/>
              </w:rPr>
              <w:t>日</w:t>
            </w:r>
            <w:r>
              <w:rPr>
                <w:rFonts w:hint="eastAsia"/>
                <w:color w:val="auto"/>
                <w:highlight w:val="none"/>
                <w:lang w:val="en-US" w:eastAsia="zh-CN"/>
              </w:rPr>
              <w:t>对项目地块的地下水和土壤进行现状补充监测。</w:t>
            </w:r>
            <w:r>
              <w:rPr>
                <w:rFonts w:hint="eastAsia"/>
                <w:bCs/>
                <w:color w:val="auto"/>
                <w:highlight w:val="none"/>
                <w:lang w:val="en-US" w:eastAsia="zh-CN"/>
              </w:rPr>
              <w:t>由监测结果可知，本项目地下水水质各因子均满足《地下水环境质量标准》（GB/T14848-2017）中IV类水质标准限值要求；土壤各项监测因子均满足《土壤环境质量建设用地土壤污染风险管控标准（试行）》（GB36600-2018）中第二类建设用地筛选值管控标准。综上，项目所在区域地下水和土壤环境质量状况良好，不存在与原有项目有关的环境问题。</w:t>
            </w:r>
          </w:p>
        </w:tc>
      </w:tr>
    </w:tbl>
    <w:p w14:paraId="68D52F06">
      <w:pPr>
        <w:rPr>
          <w:color w:val="auto"/>
          <w:highlight w:val="none"/>
        </w:rPr>
        <w:sectPr>
          <w:footerReference r:id="rId11" w:type="default"/>
          <w:pgSz w:w="11906" w:h="16838"/>
          <w:pgMar w:top="1440" w:right="1800" w:bottom="1440" w:left="1800" w:header="851" w:footer="992" w:gutter="0"/>
          <w:pgNumType w:start="1"/>
          <w:cols w:space="425" w:num="1"/>
          <w:docGrid w:type="lines" w:linePitch="312" w:charSpace="0"/>
        </w:sectPr>
      </w:pPr>
    </w:p>
    <w:p w14:paraId="6436A5A0">
      <w:pPr>
        <w:pStyle w:val="2"/>
        <w:rPr>
          <w:color w:val="auto"/>
          <w:highlight w:val="none"/>
        </w:rPr>
      </w:pPr>
      <w:bookmarkStart w:id="20" w:name="_Toc10412"/>
      <w:r>
        <w:rPr>
          <w:rFonts w:hint="eastAsia"/>
          <w:color w:val="auto"/>
          <w:highlight w:val="none"/>
        </w:rPr>
        <w:t>三、区域环境质量现状、环境保护目标及评价标准</w:t>
      </w:r>
      <w:bookmarkEnd w:id="2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0"/>
      </w:tblGrid>
      <w:tr w14:paraId="12EB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dxa"/>
            <w:vAlign w:val="center"/>
          </w:tcPr>
          <w:p w14:paraId="09578F8A">
            <w:pPr>
              <w:rPr>
                <w:color w:val="auto"/>
                <w:highlight w:val="none"/>
              </w:rPr>
            </w:pPr>
            <w:r>
              <w:rPr>
                <w:rFonts w:hint="eastAsia"/>
                <w:color w:val="auto"/>
                <w:highlight w:val="none"/>
              </w:rPr>
              <w:t>区域环境质量现状</w:t>
            </w:r>
          </w:p>
        </w:tc>
        <w:tc>
          <w:tcPr>
            <w:tcW w:w="8070" w:type="dxa"/>
          </w:tcPr>
          <w:p w14:paraId="14078CE8">
            <w:pPr>
              <w:rPr>
                <w:color w:val="auto"/>
                <w:highlight w:val="none"/>
              </w:rPr>
            </w:pPr>
            <w:r>
              <w:rPr>
                <w:rFonts w:hint="eastAsia"/>
                <w:color w:val="auto"/>
                <w:highlight w:val="none"/>
              </w:rPr>
              <w:t>建设项目所在地区环境质量现状及主要环境问题</w:t>
            </w:r>
          </w:p>
          <w:p w14:paraId="5124B5EB">
            <w:pPr>
              <w:rPr>
                <w:color w:val="auto"/>
                <w:highlight w:val="none"/>
              </w:rPr>
            </w:pPr>
            <w:r>
              <w:rPr>
                <w:rFonts w:hint="eastAsia"/>
                <w:color w:val="auto"/>
                <w:highlight w:val="none"/>
              </w:rPr>
              <w:t>1、环境空气质量</w:t>
            </w:r>
          </w:p>
          <w:p w14:paraId="0F5D4D12">
            <w:pPr>
              <w:rPr>
                <w:color w:val="auto"/>
                <w:highlight w:val="none"/>
              </w:rPr>
            </w:pPr>
            <w:r>
              <w:rPr>
                <w:rFonts w:hint="eastAsia"/>
                <w:color w:val="auto"/>
                <w:highlight w:val="none"/>
              </w:rPr>
              <w:t>（1）基本污染物</w:t>
            </w:r>
          </w:p>
          <w:p w14:paraId="03C436D9">
            <w:pPr>
              <w:bidi w:val="0"/>
              <w:ind w:firstLine="480" w:firstLineChars="200"/>
              <w:rPr>
                <w:color w:val="auto"/>
                <w:highlight w:val="none"/>
              </w:rPr>
            </w:pPr>
            <w:r>
              <w:rPr>
                <w:rFonts w:hint="eastAsia"/>
                <w:color w:val="auto"/>
                <w:highlight w:val="none"/>
              </w:rPr>
              <w:t>本次评价引用《2024年淮南市生态环境质量状况公报》中环境空气质量部分内容，具体如下：</w:t>
            </w:r>
          </w:p>
          <w:p w14:paraId="3ADDEEBF">
            <w:pPr>
              <w:ind w:firstLine="480" w:firstLineChars="200"/>
              <w:rPr>
                <w:rFonts w:hint="eastAsia"/>
                <w:color w:val="auto"/>
                <w:highlight w:val="none"/>
              </w:rPr>
            </w:pPr>
            <w:r>
              <w:rPr>
                <w:rFonts w:hint="default"/>
                <w:color w:val="auto"/>
                <w:highlight w:val="none"/>
              </w:rPr>
              <w:t>2024</w:t>
            </w:r>
            <w:r>
              <w:rPr>
                <w:rFonts w:hint="eastAsia"/>
                <w:color w:val="auto"/>
                <w:highlight w:val="none"/>
              </w:rPr>
              <w:t>年，全市环境空气质量一级（优）</w:t>
            </w:r>
            <w:r>
              <w:rPr>
                <w:rFonts w:hint="default"/>
                <w:color w:val="auto"/>
                <w:highlight w:val="none"/>
              </w:rPr>
              <w:t>65</w:t>
            </w:r>
            <w:r>
              <w:rPr>
                <w:rFonts w:hint="eastAsia"/>
                <w:color w:val="auto"/>
                <w:highlight w:val="none"/>
              </w:rPr>
              <w:t>天，二级（良）</w:t>
            </w:r>
            <w:r>
              <w:rPr>
                <w:rFonts w:hint="default"/>
                <w:color w:val="auto"/>
                <w:highlight w:val="none"/>
              </w:rPr>
              <w:t>218</w:t>
            </w:r>
            <w:r>
              <w:rPr>
                <w:rFonts w:hint="eastAsia"/>
                <w:color w:val="auto"/>
                <w:highlight w:val="none"/>
              </w:rPr>
              <w:t>天，三级（轻度污染）</w:t>
            </w:r>
            <w:r>
              <w:rPr>
                <w:rFonts w:hint="default"/>
                <w:color w:val="auto"/>
                <w:highlight w:val="none"/>
              </w:rPr>
              <w:t>69</w:t>
            </w:r>
            <w:r>
              <w:rPr>
                <w:rFonts w:hint="eastAsia"/>
                <w:color w:val="auto"/>
                <w:highlight w:val="none"/>
              </w:rPr>
              <w:t>天，四级（中度污染）</w:t>
            </w:r>
            <w:r>
              <w:rPr>
                <w:rFonts w:hint="default"/>
                <w:color w:val="auto"/>
                <w:highlight w:val="none"/>
              </w:rPr>
              <w:t>13</w:t>
            </w:r>
            <w:r>
              <w:rPr>
                <w:rFonts w:hint="eastAsia"/>
                <w:color w:val="auto"/>
                <w:highlight w:val="none"/>
              </w:rPr>
              <w:t>天，五级（重度污染）</w:t>
            </w:r>
            <w:r>
              <w:rPr>
                <w:rFonts w:hint="default"/>
                <w:color w:val="auto"/>
                <w:highlight w:val="none"/>
              </w:rPr>
              <w:t>1</w:t>
            </w:r>
            <w:r>
              <w:rPr>
                <w:rFonts w:hint="eastAsia"/>
                <w:color w:val="auto"/>
                <w:highlight w:val="none"/>
              </w:rPr>
              <w:t>天；全市年度环境空气达标天数比例为</w:t>
            </w:r>
            <w:r>
              <w:rPr>
                <w:rFonts w:hint="default"/>
                <w:color w:val="auto"/>
                <w:highlight w:val="none"/>
              </w:rPr>
              <w:t>77.3%</w:t>
            </w:r>
            <w:r>
              <w:rPr>
                <w:rFonts w:hint="eastAsia"/>
                <w:color w:val="auto"/>
                <w:highlight w:val="none"/>
              </w:rPr>
              <w:t>，与上年相比下降了</w:t>
            </w:r>
            <w:r>
              <w:rPr>
                <w:rFonts w:hint="default"/>
                <w:color w:val="auto"/>
                <w:highlight w:val="none"/>
              </w:rPr>
              <w:t>3.2</w:t>
            </w:r>
            <w:r>
              <w:rPr>
                <w:rFonts w:hint="eastAsia"/>
                <w:color w:val="auto"/>
                <w:highlight w:val="none"/>
              </w:rPr>
              <w:t>个百分点；全市环境空气综合指数为</w:t>
            </w:r>
            <w:r>
              <w:rPr>
                <w:rFonts w:hint="default"/>
                <w:color w:val="auto"/>
                <w:highlight w:val="none"/>
              </w:rPr>
              <w:t>3.87</w:t>
            </w:r>
            <w:r>
              <w:rPr>
                <w:rFonts w:hint="eastAsia"/>
                <w:color w:val="auto"/>
                <w:highlight w:val="none"/>
              </w:rPr>
              <w:t>，首要污染物为细颗粒物。</w:t>
            </w:r>
          </w:p>
          <w:p w14:paraId="07793FCF">
            <w:pPr>
              <w:ind w:firstLine="480" w:firstLineChars="200"/>
              <w:rPr>
                <w:color w:val="auto"/>
                <w:highlight w:val="none"/>
              </w:rPr>
            </w:pPr>
            <w:r>
              <w:rPr>
                <w:rFonts w:hint="eastAsia"/>
                <w:color w:val="auto"/>
                <w:highlight w:val="none"/>
              </w:rPr>
              <w:t>细颗粒物（PM</w:t>
            </w:r>
            <w:r>
              <w:rPr>
                <w:rFonts w:hint="eastAsia"/>
                <w:color w:val="auto"/>
                <w:highlight w:val="none"/>
                <w:vertAlign w:val="subscript"/>
              </w:rPr>
              <w:t>2.5</w:t>
            </w:r>
            <w:r>
              <w:rPr>
                <w:rFonts w:hint="eastAsia"/>
                <w:color w:val="auto"/>
                <w:highlight w:val="none"/>
              </w:rPr>
              <w:t>）日均浓度范围为</w:t>
            </w: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156</w:t>
            </w:r>
            <w:r>
              <w:rPr>
                <w:rFonts w:hint="eastAsia"/>
                <w:color w:val="auto"/>
                <w:highlight w:val="none"/>
              </w:rPr>
              <w:t>微克/立方米，日均值达标率为</w:t>
            </w:r>
            <w:r>
              <w:rPr>
                <w:rFonts w:hint="eastAsia"/>
                <w:color w:val="auto"/>
                <w:highlight w:val="none"/>
                <w:lang w:val="en-US" w:eastAsia="zh-CN"/>
              </w:rPr>
              <w:t>87.6</w:t>
            </w:r>
            <w:r>
              <w:rPr>
                <w:rFonts w:hint="eastAsia"/>
                <w:color w:val="auto"/>
                <w:highlight w:val="none"/>
              </w:rPr>
              <w:t>%。年均值为</w:t>
            </w:r>
            <w:r>
              <w:rPr>
                <w:rFonts w:hint="eastAsia"/>
                <w:color w:val="auto"/>
                <w:highlight w:val="none"/>
                <w:lang w:val="en-US" w:eastAsia="zh-CN"/>
              </w:rPr>
              <w:t>40.0</w:t>
            </w:r>
            <w:r>
              <w:rPr>
                <w:rFonts w:hint="eastAsia"/>
                <w:color w:val="auto"/>
                <w:highlight w:val="none"/>
              </w:rPr>
              <w:t>微克/立方米，与上年相比</w:t>
            </w:r>
            <w:r>
              <w:rPr>
                <w:rFonts w:hint="eastAsia"/>
                <w:color w:val="auto"/>
                <w:highlight w:val="none"/>
                <w:lang w:eastAsia="zh-CN"/>
              </w:rPr>
              <w:t>上升</w:t>
            </w:r>
            <w:r>
              <w:rPr>
                <w:rFonts w:hint="eastAsia"/>
                <w:color w:val="auto"/>
                <w:highlight w:val="none"/>
              </w:rPr>
              <w:t>了</w:t>
            </w:r>
            <w:r>
              <w:rPr>
                <w:rFonts w:hint="eastAsia"/>
                <w:color w:val="auto"/>
                <w:highlight w:val="none"/>
                <w:lang w:val="en-US" w:eastAsia="zh-CN"/>
              </w:rPr>
              <w:t>3.4</w:t>
            </w:r>
            <w:r>
              <w:rPr>
                <w:rFonts w:hint="eastAsia"/>
                <w:color w:val="auto"/>
                <w:highlight w:val="none"/>
              </w:rPr>
              <w:t>个百分点。</w:t>
            </w:r>
          </w:p>
          <w:p w14:paraId="137691B4">
            <w:pPr>
              <w:ind w:firstLine="480" w:firstLineChars="200"/>
              <w:rPr>
                <w:color w:val="auto"/>
                <w:highlight w:val="none"/>
              </w:rPr>
            </w:pPr>
            <w:r>
              <w:rPr>
                <w:rFonts w:hint="eastAsia"/>
                <w:color w:val="auto"/>
                <w:highlight w:val="none"/>
              </w:rPr>
              <w:t>可吸入颗粒物（PM</w:t>
            </w:r>
            <w:r>
              <w:rPr>
                <w:rFonts w:hint="eastAsia"/>
                <w:color w:val="auto"/>
                <w:highlight w:val="none"/>
                <w:vertAlign w:val="subscript"/>
              </w:rPr>
              <w:t>10</w:t>
            </w:r>
            <w:r>
              <w:rPr>
                <w:rFonts w:hint="eastAsia"/>
                <w:color w:val="auto"/>
                <w:highlight w:val="none"/>
              </w:rPr>
              <w:t>）日均浓度范围为</w:t>
            </w:r>
            <w:r>
              <w:rPr>
                <w:rFonts w:hint="eastAsia"/>
                <w:color w:val="auto"/>
                <w:highlight w:val="none"/>
                <w:lang w:val="en-US" w:eastAsia="zh-CN"/>
              </w:rPr>
              <w:t>10</w:t>
            </w:r>
            <w:r>
              <w:rPr>
                <w:rFonts w:hint="eastAsia"/>
                <w:color w:val="auto"/>
                <w:highlight w:val="none"/>
              </w:rPr>
              <w:t>～</w:t>
            </w:r>
            <w:r>
              <w:rPr>
                <w:rFonts w:hint="eastAsia"/>
                <w:color w:val="auto"/>
                <w:highlight w:val="none"/>
                <w:lang w:val="en-US" w:eastAsia="zh-CN"/>
              </w:rPr>
              <w:t>262</w:t>
            </w:r>
            <w:r>
              <w:rPr>
                <w:rFonts w:hint="eastAsia"/>
                <w:color w:val="auto"/>
                <w:highlight w:val="none"/>
              </w:rPr>
              <w:t>微克/立方米，日均值达标率为</w:t>
            </w:r>
            <w:r>
              <w:rPr>
                <w:rFonts w:hint="eastAsia"/>
                <w:color w:val="auto"/>
                <w:highlight w:val="none"/>
                <w:lang w:val="en-US" w:eastAsia="zh-CN"/>
              </w:rPr>
              <w:t>96.0</w:t>
            </w:r>
            <w:r>
              <w:rPr>
                <w:rFonts w:hint="eastAsia"/>
                <w:color w:val="auto"/>
                <w:highlight w:val="none"/>
              </w:rPr>
              <w:t>%。年均值为</w:t>
            </w:r>
            <w:r>
              <w:rPr>
                <w:rFonts w:hint="eastAsia"/>
                <w:color w:val="auto"/>
                <w:highlight w:val="none"/>
                <w:lang w:val="en-US" w:eastAsia="zh-CN"/>
              </w:rPr>
              <w:t>65.0</w:t>
            </w:r>
            <w:r>
              <w:rPr>
                <w:rFonts w:hint="eastAsia"/>
                <w:color w:val="auto"/>
                <w:highlight w:val="none"/>
              </w:rPr>
              <w:t>微克/立方米，与上年相比下降了</w:t>
            </w:r>
            <w:r>
              <w:rPr>
                <w:rFonts w:hint="eastAsia"/>
                <w:color w:val="auto"/>
                <w:highlight w:val="none"/>
                <w:lang w:val="en-US" w:eastAsia="zh-CN"/>
              </w:rPr>
              <w:t>1.4</w:t>
            </w:r>
            <w:r>
              <w:rPr>
                <w:rFonts w:hint="eastAsia"/>
                <w:color w:val="auto"/>
                <w:highlight w:val="none"/>
              </w:rPr>
              <w:t>个百分点。</w:t>
            </w:r>
          </w:p>
          <w:p w14:paraId="18BA7981">
            <w:pPr>
              <w:ind w:firstLine="480" w:firstLineChars="200"/>
              <w:rPr>
                <w:color w:val="auto"/>
                <w:highlight w:val="none"/>
              </w:rPr>
            </w:pPr>
            <w:r>
              <w:rPr>
                <w:rFonts w:hint="eastAsia"/>
                <w:color w:val="auto"/>
                <w:highlight w:val="none"/>
              </w:rPr>
              <w:t>二氧化氮（NO</w:t>
            </w:r>
            <w:r>
              <w:rPr>
                <w:rFonts w:hint="eastAsia"/>
                <w:color w:val="auto"/>
                <w:highlight w:val="none"/>
                <w:vertAlign w:val="subscript"/>
              </w:rPr>
              <w:t>2</w:t>
            </w:r>
            <w:r>
              <w:rPr>
                <w:rFonts w:hint="eastAsia"/>
                <w:color w:val="auto"/>
                <w:highlight w:val="none"/>
              </w:rPr>
              <w:t>）日均浓度范围为</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47</w:t>
            </w:r>
            <w:r>
              <w:rPr>
                <w:rFonts w:hint="eastAsia"/>
                <w:color w:val="auto"/>
                <w:highlight w:val="none"/>
              </w:rPr>
              <w:t>微克/立方米，日均值达标率为100%。年均浓度为</w:t>
            </w:r>
            <w:r>
              <w:rPr>
                <w:rFonts w:hint="eastAsia"/>
                <w:color w:val="auto"/>
                <w:highlight w:val="none"/>
                <w:lang w:val="en-US" w:eastAsia="zh-CN"/>
              </w:rPr>
              <w:t>19</w:t>
            </w:r>
            <w:r>
              <w:rPr>
                <w:rFonts w:hint="eastAsia"/>
                <w:color w:val="auto"/>
                <w:highlight w:val="none"/>
              </w:rPr>
              <w:t>微克/立方米，与上年相比</w:t>
            </w:r>
            <w:r>
              <w:rPr>
                <w:rFonts w:hint="eastAsia"/>
                <w:color w:val="auto"/>
                <w:highlight w:val="none"/>
                <w:lang w:eastAsia="zh-CN"/>
              </w:rPr>
              <w:t>下降</w:t>
            </w:r>
            <w:r>
              <w:rPr>
                <w:rFonts w:hint="eastAsia"/>
                <w:color w:val="auto"/>
                <w:highlight w:val="none"/>
              </w:rPr>
              <w:t>了</w:t>
            </w:r>
            <w:r>
              <w:rPr>
                <w:rFonts w:hint="eastAsia"/>
                <w:color w:val="auto"/>
                <w:highlight w:val="none"/>
                <w:lang w:val="en-US" w:eastAsia="zh-CN"/>
              </w:rPr>
              <w:t>9</w:t>
            </w:r>
            <w:r>
              <w:rPr>
                <w:rFonts w:hint="eastAsia"/>
                <w:color w:val="auto"/>
                <w:highlight w:val="none"/>
              </w:rPr>
              <w:t>.5个百分点。</w:t>
            </w:r>
          </w:p>
          <w:p w14:paraId="23A6DEA1">
            <w:pPr>
              <w:ind w:firstLine="480" w:firstLineChars="200"/>
              <w:rPr>
                <w:color w:val="auto"/>
                <w:highlight w:val="none"/>
              </w:rPr>
            </w:pPr>
            <w:r>
              <w:rPr>
                <w:rFonts w:hint="eastAsia"/>
                <w:color w:val="auto"/>
                <w:highlight w:val="none"/>
              </w:rPr>
              <w:t>二氧化硫（SO</w:t>
            </w:r>
            <w:r>
              <w:rPr>
                <w:rFonts w:hint="eastAsia"/>
                <w:color w:val="auto"/>
                <w:highlight w:val="none"/>
                <w:vertAlign w:val="subscript"/>
              </w:rPr>
              <w:t>2</w:t>
            </w:r>
            <w:r>
              <w:rPr>
                <w:rFonts w:hint="eastAsia"/>
                <w:color w:val="auto"/>
                <w:highlight w:val="none"/>
              </w:rPr>
              <w:t>）日均浓度范围为</w:t>
            </w:r>
            <w:r>
              <w:rPr>
                <w:rFonts w:hint="eastAsia"/>
                <w:color w:val="auto"/>
                <w:highlight w:val="none"/>
                <w:lang w:val="en-US" w:eastAsia="zh-CN"/>
              </w:rPr>
              <w:t>2</w:t>
            </w:r>
            <w:r>
              <w:rPr>
                <w:rFonts w:hint="eastAsia"/>
                <w:color w:val="auto"/>
                <w:highlight w:val="none"/>
              </w:rPr>
              <w:t>～1</w:t>
            </w:r>
            <w:r>
              <w:rPr>
                <w:rFonts w:hint="eastAsia"/>
                <w:color w:val="auto"/>
                <w:highlight w:val="none"/>
                <w:lang w:val="en-US" w:eastAsia="zh-CN"/>
              </w:rPr>
              <w:t>3</w:t>
            </w:r>
            <w:r>
              <w:rPr>
                <w:rFonts w:hint="eastAsia"/>
                <w:color w:val="auto"/>
                <w:highlight w:val="none"/>
              </w:rPr>
              <w:t>微克/立方米，日均值达标率为100%。年均浓度为</w:t>
            </w:r>
            <w:r>
              <w:rPr>
                <w:rFonts w:hint="eastAsia"/>
                <w:color w:val="auto"/>
                <w:highlight w:val="none"/>
                <w:lang w:val="en-US" w:eastAsia="zh-CN"/>
              </w:rPr>
              <w:t>7</w:t>
            </w:r>
            <w:r>
              <w:rPr>
                <w:rFonts w:hint="eastAsia"/>
                <w:color w:val="auto"/>
                <w:highlight w:val="none"/>
              </w:rPr>
              <w:t>微克/立方米，与上年相比</w:t>
            </w:r>
            <w:r>
              <w:rPr>
                <w:rFonts w:hint="eastAsia"/>
                <w:color w:val="auto"/>
                <w:highlight w:val="none"/>
                <w:lang w:eastAsia="zh-CN"/>
              </w:rPr>
              <w:t>下降</w:t>
            </w:r>
            <w:r>
              <w:rPr>
                <w:rFonts w:hint="eastAsia"/>
                <w:color w:val="auto"/>
                <w:highlight w:val="none"/>
              </w:rPr>
              <w:t>了</w:t>
            </w:r>
            <w:r>
              <w:rPr>
                <w:rFonts w:hint="eastAsia"/>
                <w:color w:val="auto"/>
                <w:highlight w:val="none"/>
                <w:lang w:val="en-US" w:eastAsia="zh-CN"/>
              </w:rPr>
              <w:t>12</w:t>
            </w:r>
            <w:r>
              <w:rPr>
                <w:rFonts w:hint="eastAsia"/>
                <w:color w:val="auto"/>
                <w:highlight w:val="none"/>
              </w:rPr>
              <w:t>.5个百分点。</w:t>
            </w:r>
          </w:p>
          <w:p w14:paraId="2758A254">
            <w:pPr>
              <w:ind w:firstLine="480" w:firstLineChars="200"/>
              <w:rPr>
                <w:color w:val="auto"/>
                <w:highlight w:val="none"/>
              </w:rPr>
            </w:pPr>
            <w:r>
              <w:rPr>
                <w:rFonts w:hint="eastAsia"/>
                <w:color w:val="auto"/>
                <w:highlight w:val="none"/>
              </w:rPr>
              <w:t>一氧化碳（CO）日均浓度范围为0.2～1.</w:t>
            </w:r>
            <w:r>
              <w:rPr>
                <w:rFonts w:hint="eastAsia"/>
                <w:color w:val="auto"/>
                <w:highlight w:val="none"/>
                <w:lang w:val="en-US" w:eastAsia="zh-CN"/>
              </w:rPr>
              <w:t>1</w:t>
            </w:r>
            <w:r>
              <w:rPr>
                <w:rFonts w:hint="eastAsia"/>
                <w:color w:val="auto"/>
                <w:highlight w:val="none"/>
              </w:rPr>
              <w:t>毫克/立方米，日均值达标率为100%。日均值第95百分位数为0.</w:t>
            </w:r>
            <w:r>
              <w:rPr>
                <w:rFonts w:hint="eastAsia"/>
                <w:color w:val="auto"/>
                <w:highlight w:val="none"/>
                <w:lang w:val="en-US" w:eastAsia="zh-CN"/>
              </w:rPr>
              <w:t>8</w:t>
            </w:r>
            <w:r>
              <w:rPr>
                <w:rFonts w:hint="eastAsia"/>
                <w:color w:val="auto"/>
                <w:highlight w:val="none"/>
              </w:rPr>
              <w:t>毫克/立方米，与上年相比</w:t>
            </w:r>
            <w:r>
              <w:rPr>
                <w:rFonts w:hint="eastAsia"/>
                <w:color w:val="auto"/>
                <w:highlight w:val="none"/>
                <w:lang w:eastAsia="zh-CN"/>
              </w:rPr>
              <w:t>上升</w:t>
            </w:r>
            <w:r>
              <w:rPr>
                <w:rFonts w:hint="eastAsia"/>
                <w:color w:val="auto"/>
                <w:highlight w:val="none"/>
              </w:rPr>
              <w:t>了</w:t>
            </w:r>
            <w:r>
              <w:rPr>
                <w:rFonts w:hint="eastAsia"/>
                <w:color w:val="auto"/>
                <w:highlight w:val="none"/>
                <w:lang w:val="en-US" w:eastAsia="zh-CN"/>
              </w:rPr>
              <w:t>14.3</w:t>
            </w:r>
            <w:r>
              <w:rPr>
                <w:rFonts w:hint="eastAsia"/>
                <w:color w:val="auto"/>
                <w:highlight w:val="none"/>
              </w:rPr>
              <w:t>个百分点。</w:t>
            </w:r>
          </w:p>
          <w:p w14:paraId="63061537">
            <w:pPr>
              <w:ind w:firstLine="480" w:firstLineChars="200"/>
              <w:rPr>
                <w:color w:val="auto"/>
                <w:highlight w:val="none"/>
              </w:rPr>
            </w:pPr>
            <w:r>
              <w:rPr>
                <w:rFonts w:hint="eastAsia"/>
                <w:color w:val="auto"/>
                <w:highlight w:val="none"/>
              </w:rPr>
              <w:t>臭氧日最大8小时（O</w:t>
            </w:r>
            <w:r>
              <w:rPr>
                <w:rFonts w:hint="eastAsia"/>
                <w:color w:val="auto"/>
                <w:highlight w:val="none"/>
                <w:vertAlign w:val="subscript"/>
              </w:rPr>
              <w:t>3</w:t>
            </w:r>
            <w:r>
              <w:rPr>
                <w:rFonts w:hint="eastAsia"/>
                <w:color w:val="auto"/>
                <w:highlight w:val="none"/>
              </w:rPr>
              <w:t>-8h）滑动平均值范围为</w:t>
            </w:r>
            <w:r>
              <w:rPr>
                <w:rFonts w:hint="eastAsia"/>
                <w:color w:val="auto"/>
                <w:highlight w:val="none"/>
                <w:lang w:val="en-US" w:eastAsia="zh-CN"/>
              </w:rPr>
              <w:t>16</w:t>
            </w:r>
            <w:r>
              <w:rPr>
                <w:rFonts w:hint="eastAsia"/>
                <w:color w:val="auto"/>
                <w:highlight w:val="none"/>
              </w:rPr>
              <w:t>～</w:t>
            </w:r>
            <w:r>
              <w:rPr>
                <w:rFonts w:hint="eastAsia"/>
                <w:color w:val="auto"/>
                <w:highlight w:val="none"/>
                <w:lang w:val="en-US" w:eastAsia="zh-CN"/>
              </w:rPr>
              <w:t>227</w:t>
            </w:r>
            <w:r>
              <w:rPr>
                <w:rFonts w:hint="eastAsia"/>
                <w:color w:val="auto"/>
                <w:highlight w:val="none"/>
              </w:rPr>
              <w:t>微克/立方米，达标率为</w:t>
            </w:r>
            <w:r>
              <w:rPr>
                <w:rFonts w:hint="eastAsia"/>
                <w:color w:val="auto"/>
                <w:highlight w:val="none"/>
                <w:lang w:val="en-US" w:eastAsia="zh-CN"/>
              </w:rPr>
              <w:t>90.4</w:t>
            </w:r>
            <w:r>
              <w:rPr>
                <w:rFonts w:hint="eastAsia"/>
                <w:color w:val="auto"/>
                <w:highlight w:val="none"/>
              </w:rPr>
              <w:t>%。日最大8小时滑动平均值第90百分位数为</w:t>
            </w:r>
            <w:r>
              <w:rPr>
                <w:rFonts w:hint="eastAsia"/>
                <w:color w:val="auto"/>
                <w:highlight w:val="none"/>
                <w:lang w:val="en-US" w:eastAsia="zh-CN"/>
              </w:rPr>
              <w:t>160</w:t>
            </w:r>
            <w:r>
              <w:rPr>
                <w:rFonts w:hint="eastAsia"/>
                <w:color w:val="auto"/>
                <w:highlight w:val="none"/>
              </w:rPr>
              <w:t>微克/立方米，与上年相比上升了</w:t>
            </w:r>
            <w:r>
              <w:rPr>
                <w:rFonts w:hint="eastAsia"/>
                <w:color w:val="auto"/>
                <w:highlight w:val="none"/>
                <w:lang w:val="en-US" w:eastAsia="zh-CN"/>
              </w:rPr>
              <w:t>1.9</w:t>
            </w:r>
            <w:r>
              <w:rPr>
                <w:rFonts w:hint="eastAsia"/>
                <w:color w:val="auto"/>
                <w:highlight w:val="none"/>
              </w:rPr>
              <w:t>个百分点。</w:t>
            </w:r>
          </w:p>
          <w:p w14:paraId="225FC07F">
            <w:pPr>
              <w:ind w:firstLine="480" w:firstLineChars="200"/>
              <w:rPr>
                <w:rFonts w:hint="eastAsia"/>
                <w:color w:val="auto"/>
                <w:highlight w:val="none"/>
              </w:rPr>
            </w:pPr>
            <w:r>
              <w:rPr>
                <w:rFonts w:hint="eastAsia"/>
                <w:color w:val="auto"/>
                <w:highlight w:val="none"/>
              </w:rPr>
              <w:t>依据《202</w:t>
            </w:r>
            <w:r>
              <w:rPr>
                <w:rFonts w:hint="eastAsia"/>
                <w:color w:val="auto"/>
                <w:highlight w:val="none"/>
                <w:lang w:val="en-US" w:eastAsia="zh-CN"/>
              </w:rPr>
              <w:t>4</w:t>
            </w:r>
            <w:r>
              <w:rPr>
                <w:rFonts w:hint="eastAsia"/>
                <w:color w:val="auto"/>
                <w:highlight w:val="none"/>
              </w:rPr>
              <w:t>年淮南市环境质量状况公报》，区域空气质量现状如下表所示。</w:t>
            </w:r>
          </w:p>
          <w:p w14:paraId="36F1D705">
            <w:pPr>
              <w:ind w:firstLine="480" w:firstLineChars="200"/>
              <w:rPr>
                <w:rFonts w:hint="eastAsia"/>
                <w:color w:val="auto"/>
                <w:highlight w:val="none"/>
              </w:rPr>
            </w:pPr>
          </w:p>
          <w:p w14:paraId="441C6709">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 xml:space="preserve"> 区域空气质量现状评价表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7"/>
              <w:gridCol w:w="1307"/>
              <w:gridCol w:w="1307"/>
              <w:gridCol w:w="1307"/>
              <w:gridCol w:w="1307"/>
              <w:gridCol w:w="1309"/>
            </w:tblGrid>
            <w:tr w14:paraId="0A8F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67465FC2">
                  <w:pPr>
                    <w:pStyle w:val="30"/>
                    <w:rPr>
                      <w:b/>
                      <w:bCs/>
                      <w:color w:val="auto"/>
                      <w:highlight w:val="none"/>
                    </w:rPr>
                  </w:pPr>
                  <w:r>
                    <w:rPr>
                      <w:b/>
                      <w:bCs/>
                      <w:color w:val="auto"/>
                      <w:highlight w:val="none"/>
                    </w:rPr>
                    <w:t>污染物</w:t>
                  </w:r>
                </w:p>
              </w:tc>
              <w:tc>
                <w:tcPr>
                  <w:tcW w:w="1307" w:type="dxa"/>
                  <w:vAlign w:val="center"/>
                </w:tcPr>
                <w:p w14:paraId="6A9245F0">
                  <w:pPr>
                    <w:pStyle w:val="30"/>
                    <w:rPr>
                      <w:b/>
                      <w:bCs/>
                      <w:color w:val="auto"/>
                      <w:highlight w:val="none"/>
                    </w:rPr>
                  </w:pPr>
                  <w:r>
                    <w:rPr>
                      <w:b/>
                      <w:bCs/>
                      <w:color w:val="auto"/>
                      <w:highlight w:val="none"/>
                    </w:rPr>
                    <w:t>年评价指标</w:t>
                  </w:r>
                </w:p>
              </w:tc>
              <w:tc>
                <w:tcPr>
                  <w:tcW w:w="1307" w:type="dxa"/>
                  <w:vAlign w:val="center"/>
                </w:tcPr>
                <w:p w14:paraId="7264D9D4">
                  <w:pPr>
                    <w:pStyle w:val="30"/>
                    <w:rPr>
                      <w:b/>
                      <w:bCs/>
                      <w:color w:val="auto"/>
                      <w:highlight w:val="none"/>
                    </w:rPr>
                  </w:pPr>
                  <w:r>
                    <w:rPr>
                      <w:b/>
                      <w:bCs/>
                      <w:color w:val="auto"/>
                      <w:highlight w:val="none"/>
                    </w:rPr>
                    <w:t>现状浓度</w:t>
                  </w:r>
                </w:p>
                <w:p w14:paraId="671603AC">
                  <w:pPr>
                    <w:pStyle w:val="30"/>
                    <w:rPr>
                      <w:b/>
                      <w:bCs/>
                      <w:color w:val="auto"/>
                      <w:highlight w:val="none"/>
                    </w:rPr>
                  </w:pPr>
                  <w:r>
                    <w:rPr>
                      <w:b/>
                      <w:bCs/>
                      <w:color w:val="auto"/>
                      <w:highlight w:val="none"/>
                    </w:rPr>
                    <w:t>（μg/m</w:t>
                  </w:r>
                  <w:r>
                    <w:rPr>
                      <w:b/>
                      <w:bCs/>
                      <w:color w:val="auto"/>
                      <w:highlight w:val="none"/>
                      <w:vertAlign w:val="superscript"/>
                    </w:rPr>
                    <w:t>3</w:t>
                  </w:r>
                  <w:r>
                    <w:rPr>
                      <w:b/>
                      <w:bCs/>
                      <w:color w:val="auto"/>
                      <w:highlight w:val="none"/>
                    </w:rPr>
                    <w:t>）</w:t>
                  </w:r>
                </w:p>
              </w:tc>
              <w:tc>
                <w:tcPr>
                  <w:tcW w:w="1307" w:type="dxa"/>
                  <w:vAlign w:val="center"/>
                </w:tcPr>
                <w:p w14:paraId="23A110BA">
                  <w:pPr>
                    <w:pStyle w:val="30"/>
                    <w:rPr>
                      <w:b/>
                      <w:bCs/>
                      <w:color w:val="auto"/>
                      <w:highlight w:val="none"/>
                    </w:rPr>
                  </w:pPr>
                  <w:r>
                    <w:rPr>
                      <w:b/>
                      <w:bCs/>
                      <w:color w:val="auto"/>
                      <w:highlight w:val="none"/>
                    </w:rPr>
                    <w:t>标准值</w:t>
                  </w:r>
                </w:p>
                <w:p w14:paraId="0DCDBFAF">
                  <w:pPr>
                    <w:pStyle w:val="30"/>
                    <w:rPr>
                      <w:b/>
                      <w:bCs/>
                      <w:color w:val="auto"/>
                      <w:highlight w:val="none"/>
                    </w:rPr>
                  </w:pPr>
                  <w:r>
                    <w:rPr>
                      <w:b/>
                      <w:bCs/>
                      <w:color w:val="auto"/>
                      <w:highlight w:val="none"/>
                    </w:rPr>
                    <w:t>（μg/m</w:t>
                  </w:r>
                  <w:r>
                    <w:rPr>
                      <w:b/>
                      <w:bCs/>
                      <w:color w:val="auto"/>
                      <w:highlight w:val="none"/>
                      <w:vertAlign w:val="superscript"/>
                    </w:rPr>
                    <w:t>3</w:t>
                  </w:r>
                  <w:r>
                    <w:rPr>
                      <w:b/>
                      <w:bCs/>
                      <w:color w:val="auto"/>
                      <w:highlight w:val="none"/>
                    </w:rPr>
                    <w:t>）</w:t>
                  </w:r>
                </w:p>
              </w:tc>
              <w:tc>
                <w:tcPr>
                  <w:tcW w:w="1307" w:type="dxa"/>
                  <w:vAlign w:val="center"/>
                </w:tcPr>
                <w:p w14:paraId="1B38FB42">
                  <w:pPr>
                    <w:pStyle w:val="30"/>
                    <w:rPr>
                      <w:b/>
                      <w:bCs/>
                      <w:color w:val="auto"/>
                      <w:highlight w:val="none"/>
                    </w:rPr>
                  </w:pPr>
                  <w:r>
                    <w:rPr>
                      <w:b/>
                      <w:bCs/>
                      <w:color w:val="auto"/>
                      <w:highlight w:val="none"/>
                    </w:rPr>
                    <w:t>占标率（%）</w:t>
                  </w:r>
                </w:p>
              </w:tc>
              <w:tc>
                <w:tcPr>
                  <w:tcW w:w="1309" w:type="dxa"/>
                  <w:vAlign w:val="center"/>
                </w:tcPr>
                <w:p w14:paraId="27630026">
                  <w:pPr>
                    <w:pStyle w:val="30"/>
                    <w:rPr>
                      <w:b/>
                      <w:bCs/>
                      <w:color w:val="auto"/>
                      <w:highlight w:val="none"/>
                    </w:rPr>
                  </w:pPr>
                  <w:r>
                    <w:rPr>
                      <w:b/>
                      <w:bCs/>
                      <w:color w:val="auto"/>
                      <w:highlight w:val="none"/>
                    </w:rPr>
                    <w:t>达标情况</w:t>
                  </w:r>
                </w:p>
              </w:tc>
            </w:tr>
            <w:tr w14:paraId="5FAF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2B803808">
                  <w:pPr>
                    <w:pStyle w:val="30"/>
                    <w:rPr>
                      <w:color w:val="auto"/>
                      <w:highlight w:val="none"/>
                    </w:rPr>
                  </w:pPr>
                  <w:r>
                    <w:rPr>
                      <w:color w:val="auto"/>
                      <w:highlight w:val="none"/>
                    </w:rPr>
                    <w:t>SO</w:t>
                  </w:r>
                  <w:r>
                    <w:rPr>
                      <w:color w:val="auto"/>
                      <w:highlight w:val="none"/>
                      <w:vertAlign w:val="subscript"/>
                    </w:rPr>
                    <w:t>2</w:t>
                  </w:r>
                </w:p>
              </w:tc>
              <w:tc>
                <w:tcPr>
                  <w:tcW w:w="1307" w:type="dxa"/>
                  <w:vAlign w:val="center"/>
                </w:tcPr>
                <w:p w14:paraId="2D7F06D2">
                  <w:pPr>
                    <w:pStyle w:val="30"/>
                    <w:rPr>
                      <w:color w:val="auto"/>
                      <w:highlight w:val="none"/>
                    </w:rPr>
                  </w:pPr>
                  <w:r>
                    <w:rPr>
                      <w:color w:val="auto"/>
                      <w:highlight w:val="none"/>
                    </w:rPr>
                    <w:t>年平均质量浓度</w:t>
                  </w:r>
                </w:p>
              </w:tc>
              <w:tc>
                <w:tcPr>
                  <w:tcW w:w="1307" w:type="dxa"/>
                  <w:vAlign w:val="center"/>
                </w:tcPr>
                <w:p w14:paraId="59619319">
                  <w:pPr>
                    <w:pStyle w:val="30"/>
                    <w:rPr>
                      <w:rFonts w:hint="eastAsia" w:eastAsia="宋体"/>
                      <w:color w:val="auto"/>
                      <w:highlight w:val="none"/>
                      <w:lang w:eastAsia="zh-CN"/>
                    </w:rPr>
                  </w:pPr>
                  <w:r>
                    <w:rPr>
                      <w:rFonts w:hint="eastAsia"/>
                      <w:color w:val="auto"/>
                      <w:highlight w:val="none"/>
                      <w:lang w:val="en-US" w:eastAsia="zh-CN"/>
                    </w:rPr>
                    <w:t>7</w:t>
                  </w:r>
                </w:p>
              </w:tc>
              <w:tc>
                <w:tcPr>
                  <w:tcW w:w="1307" w:type="dxa"/>
                  <w:vAlign w:val="center"/>
                </w:tcPr>
                <w:p w14:paraId="4D625A79">
                  <w:pPr>
                    <w:pStyle w:val="30"/>
                    <w:rPr>
                      <w:color w:val="auto"/>
                      <w:highlight w:val="none"/>
                    </w:rPr>
                  </w:pPr>
                  <w:r>
                    <w:rPr>
                      <w:rFonts w:hint="eastAsia"/>
                      <w:color w:val="auto"/>
                      <w:highlight w:val="none"/>
                    </w:rPr>
                    <w:t>60</w:t>
                  </w:r>
                </w:p>
              </w:tc>
              <w:tc>
                <w:tcPr>
                  <w:tcW w:w="1307" w:type="dxa"/>
                  <w:vAlign w:val="center"/>
                </w:tcPr>
                <w:p w14:paraId="2F3F9BB9">
                  <w:pPr>
                    <w:pStyle w:val="30"/>
                    <w:rPr>
                      <w:rFonts w:hint="default" w:eastAsia="宋体"/>
                      <w:color w:val="auto"/>
                      <w:highlight w:val="none"/>
                      <w:lang w:val="en-US" w:eastAsia="zh-CN"/>
                    </w:rPr>
                  </w:pPr>
                  <w:r>
                    <w:rPr>
                      <w:rFonts w:hint="eastAsia"/>
                      <w:color w:val="auto"/>
                      <w:highlight w:val="none"/>
                      <w:lang w:val="en-US" w:eastAsia="zh-CN"/>
                    </w:rPr>
                    <w:t>11.7</w:t>
                  </w:r>
                </w:p>
              </w:tc>
              <w:tc>
                <w:tcPr>
                  <w:tcW w:w="1309" w:type="dxa"/>
                  <w:vAlign w:val="center"/>
                </w:tcPr>
                <w:p w14:paraId="2CF52E97">
                  <w:pPr>
                    <w:pStyle w:val="30"/>
                    <w:rPr>
                      <w:color w:val="auto"/>
                      <w:highlight w:val="none"/>
                    </w:rPr>
                  </w:pPr>
                  <w:r>
                    <w:rPr>
                      <w:color w:val="auto"/>
                      <w:highlight w:val="none"/>
                    </w:rPr>
                    <w:t>达标</w:t>
                  </w:r>
                </w:p>
              </w:tc>
            </w:tr>
            <w:tr w14:paraId="7AAE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590CB628">
                  <w:pPr>
                    <w:pStyle w:val="30"/>
                    <w:rPr>
                      <w:color w:val="auto"/>
                      <w:highlight w:val="none"/>
                    </w:rPr>
                  </w:pPr>
                  <w:r>
                    <w:rPr>
                      <w:color w:val="auto"/>
                      <w:highlight w:val="none"/>
                    </w:rPr>
                    <w:t>NO</w:t>
                  </w:r>
                  <w:r>
                    <w:rPr>
                      <w:color w:val="auto"/>
                      <w:highlight w:val="none"/>
                      <w:vertAlign w:val="subscript"/>
                    </w:rPr>
                    <w:t>2</w:t>
                  </w:r>
                </w:p>
              </w:tc>
              <w:tc>
                <w:tcPr>
                  <w:tcW w:w="1307" w:type="dxa"/>
                  <w:vAlign w:val="center"/>
                </w:tcPr>
                <w:p w14:paraId="4E175885">
                  <w:pPr>
                    <w:pStyle w:val="30"/>
                    <w:rPr>
                      <w:color w:val="auto"/>
                      <w:highlight w:val="none"/>
                    </w:rPr>
                  </w:pPr>
                  <w:r>
                    <w:rPr>
                      <w:color w:val="auto"/>
                      <w:highlight w:val="none"/>
                    </w:rPr>
                    <w:t>年平均质量浓度</w:t>
                  </w:r>
                </w:p>
              </w:tc>
              <w:tc>
                <w:tcPr>
                  <w:tcW w:w="1307" w:type="dxa"/>
                  <w:vAlign w:val="center"/>
                </w:tcPr>
                <w:p w14:paraId="4971F480">
                  <w:pPr>
                    <w:pStyle w:val="30"/>
                    <w:rPr>
                      <w:rFonts w:hint="default" w:eastAsia="宋体"/>
                      <w:color w:val="auto"/>
                      <w:highlight w:val="none"/>
                      <w:lang w:val="en-US" w:eastAsia="zh-CN"/>
                    </w:rPr>
                  </w:pPr>
                  <w:r>
                    <w:rPr>
                      <w:rFonts w:hint="eastAsia"/>
                      <w:color w:val="auto"/>
                      <w:highlight w:val="none"/>
                      <w:lang w:val="en-US" w:eastAsia="zh-CN"/>
                    </w:rPr>
                    <w:t>19</w:t>
                  </w:r>
                </w:p>
              </w:tc>
              <w:tc>
                <w:tcPr>
                  <w:tcW w:w="1307" w:type="dxa"/>
                  <w:vAlign w:val="center"/>
                </w:tcPr>
                <w:p w14:paraId="181FA89C">
                  <w:pPr>
                    <w:pStyle w:val="30"/>
                    <w:rPr>
                      <w:color w:val="auto"/>
                      <w:highlight w:val="none"/>
                    </w:rPr>
                  </w:pPr>
                  <w:r>
                    <w:rPr>
                      <w:rFonts w:hint="eastAsia"/>
                      <w:color w:val="auto"/>
                      <w:highlight w:val="none"/>
                    </w:rPr>
                    <w:t>40</w:t>
                  </w:r>
                </w:p>
              </w:tc>
              <w:tc>
                <w:tcPr>
                  <w:tcW w:w="1307" w:type="dxa"/>
                  <w:vAlign w:val="center"/>
                </w:tcPr>
                <w:p w14:paraId="34A5B068">
                  <w:pPr>
                    <w:pStyle w:val="30"/>
                    <w:rPr>
                      <w:rFonts w:hint="default" w:eastAsia="宋体"/>
                      <w:color w:val="auto"/>
                      <w:highlight w:val="none"/>
                      <w:lang w:val="en-US" w:eastAsia="zh-CN"/>
                    </w:rPr>
                  </w:pPr>
                  <w:r>
                    <w:rPr>
                      <w:rFonts w:hint="eastAsia"/>
                      <w:color w:val="auto"/>
                      <w:highlight w:val="none"/>
                      <w:lang w:val="en-US" w:eastAsia="zh-CN"/>
                    </w:rPr>
                    <w:t>47.5</w:t>
                  </w:r>
                </w:p>
              </w:tc>
              <w:tc>
                <w:tcPr>
                  <w:tcW w:w="1309" w:type="dxa"/>
                  <w:vAlign w:val="center"/>
                </w:tcPr>
                <w:p w14:paraId="3B889557">
                  <w:pPr>
                    <w:pStyle w:val="30"/>
                    <w:rPr>
                      <w:color w:val="auto"/>
                      <w:highlight w:val="none"/>
                    </w:rPr>
                  </w:pPr>
                  <w:r>
                    <w:rPr>
                      <w:color w:val="auto"/>
                      <w:highlight w:val="none"/>
                    </w:rPr>
                    <w:t>达标</w:t>
                  </w:r>
                </w:p>
              </w:tc>
            </w:tr>
            <w:tr w14:paraId="2D9F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72D91876">
                  <w:pPr>
                    <w:pStyle w:val="30"/>
                    <w:rPr>
                      <w:color w:val="auto"/>
                      <w:highlight w:val="none"/>
                    </w:rPr>
                  </w:pPr>
                  <w:r>
                    <w:rPr>
                      <w:color w:val="auto"/>
                      <w:highlight w:val="none"/>
                    </w:rPr>
                    <w:t>PM</w:t>
                  </w:r>
                  <w:r>
                    <w:rPr>
                      <w:color w:val="auto"/>
                      <w:highlight w:val="none"/>
                      <w:vertAlign w:val="subscript"/>
                    </w:rPr>
                    <w:t>10</w:t>
                  </w:r>
                </w:p>
              </w:tc>
              <w:tc>
                <w:tcPr>
                  <w:tcW w:w="1307" w:type="dxa"/>
                  <w:vAlign w:val="center"/>
                </w:tcPr>
                <w:p w14:paraId="06A0650D">
                  <w:pPr>
                    <w:pStyle w:val="30"/>
                    <w:rPr>
                      <w:color w:val="auto"/>
                      <w:highlight w:val="none"/>
                    </w:rPr>
                  </w:pPr>
                  <w:r>
                    <w:rPr>
                      <w:color w:val="auto"/>
                      <w:highlight w:val="none"/>
                    </w:rPr>
                    <w:t>年平均质量浓度</w:t>
                  </w:r>
                </w:p>
              </w:tc>
              <w:tc>
                <w:tcPr>
                  <w:tcW w:w="1307" w:type="dxa"/>
                  <w:vAlign w:val="center"/>
                </w:tcPr>
                <w:p w14:paraId="676D8F14">
                  <w:pPr>
                    <w:pStyle w:val="30"/>
                    <w:rPr>
                      <w:rFonts w:hint="default" w:eastAsia="宋体"/>
                      <w:color w:val="auto"/>
                      <w:highlight w:val="none"/>
                      <w:lang w:val="en-US" w:eastAsia="zh-CN"/>
                    </w:rPr>
                  </w:pPr>
                  <w:r>
                    <w:rPr>
                      <w:rFonts w:hint="eastAsia"/>
                      <w:color w:val="auto"/>
                      <w:highlight w:val="none"/>
                      <w:lang w:val="en-US" w:eastAsia="zh-CN"/>
                    </w:rPr>
                    <w:t>65.0</w:t>
                  </w:r>
                </w:p>
              </w:tc>
              <w:tc>
                <w:tcPr>
                  <w:tcW w:w="1307" w:type="dxa"/>
                  <w:vAlign w:val="center"/>
                </w:tcPr>
                <w:p w14:paraId="0434BDAB">
                  <w:pPr>
                    <w:pStyle w:val="30"/>
                    <w:rPr>
                      <w:color w:val="auto"/>
                      <w:highlight w:val="none"/>
                    </w:rPr>
                  </w:pPr>
                  <w:r>
                    <w:rPr>
                      <w:rFonts w:hint="eastAsia"/>
                      <w:color w:val="auto"/>
                      <w:highlight w:val="none"/>
                    </w:rPr>
                    <w:t>70</w:t>
                  </w:r>
                </w:p>
              </w:tc>
              <w:tc>
                <w:tcPr>
                  <w:tcW w:w="1307" w:type="dxa"/>
                  <w:vAlign w:val="center"/>
                </w:tcPr>
                <w:p w14:paraId="700C05A4">
                  <w:pPr>
                    <w:pStyle w:val="30"/>
                    <w:rPr>
                      <w:rFonts w:hint="default" w:eastAsia="宋体"/>
                      <w:color w:val="auto"/>
                      <w:highlight w:val="none"/>
                      <w:lang w:val="en-US" w:eastAsia="zh-CN"/>
                    </w:rPr>
                  </w:pPr>
                  <w:r>
                    <w:rPr>
                      <w:rFonts w:hint="eastAsia"/>
                      <w:color w:val="auto"/>
                      <w:highlight w:val="none"/>
                      <w:lang w:val="en-US" w:eastAsia="zh-CN"/>
                    </w:rPr>
                    <w:t>92.9</w:t>
                  </w:r>
                </w:p>
              </w:tc>
              <w:tc>
                <w:tcPr>
                  <w:tcW w:w="1309" w:type="dxa"/>
                  <w:vAlign w:val="center"/>
                </w:tcPr>
                <w:p w14:paraId="12AB34B1">
                  <w:pPr>
                    <w:pStyle w:val="30"/>
                    <w:rPr>
                      <w:color w:val="auto"/>
                      <w:highlight w:val="none"/>
                    </w:rPr>
                  </w:pPr>
                  <w:r>
                    <w:rPr>
                      <w:rFonts w:hint="eastAsia"/>
                      <w:color w:val="auto"/>
                      <w:highlight w:val="none"/>
                    </w:rPr>
                    <w:t>达标</w:t>
                  </w:r>
                </w:p>
              </w:tc>
            </w:tr>
            <w:tr w14:paraId="5462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3A2D4DB0">
                  <w:pPr>
                    <w:pStyle w:val="30"/>
                    <w:rPr>
                      <w:color w:val="auto"/>
                      <w:highlight w:val="none"/>
                    </w:rPr>
                  </w:pPr>
                  <w:r>
                    <w:rPr>
                      <w:color w:val="auto"/>
                      <w:highlight w:val="none"/>
                    </w:rPr>
                    <w:t>PM</w:t>
                  </w:r>
                  <w:r>
                    <w:rPr>
                      <w:color w:val="auto"/>
                      <w:highlight w:val="none"/>
                      <w:vertAlign w:val="subscript"/>
                    </w:rPr>
                    <w:t>2.5</w:t>
                  </w:r>
                </w:p>
              </w:tc>
              <w:tc>
                <w:tcPr>
                  <w:tcW w:w="1307" w:type="dxa"/>
                  <w:vAlign w:val="center"/>
                </w:tcPr>
                <w:p w14:paraId="5A54A968">
                  <w:pPr>
                    <w:pStyle w:val="30"/>
                    <w:rPr>
                      <w:color w:val="auto"/>
                      <w:highlight w:val="none"/>
                    </w:rPr>
                  </w:pPr>
                  <w:r>
                    <w:rPr>
                      <w:color w:val="auto"/>
                      <w:highlight w:val="none"/>
                    </w:rPr>
                    <w:t>年平均质量浓度</w:t>
                  </w:r>
                </w:p>
              </w:tc>
              <w:tc>
                <w:tcPr>
                  <w:tcW w:w="1307" w:type="dxa"/>
                  <w:vAlign w:val="center"/>
                </w:tcPr>
                <w:p w14:paraId="155CC08F">
                  <w:pPr>
                    <w:pStyle w:val="30"/>
                    <w:rPr>
                      <w:rFonts w:hint="default" w:eastAsia="宋体"/>
                      <w:color w:val="auto"/>
                      <w:highlight w:val="none"/>
                      <w:lang w:val="en-US" w:eastAsia="zh-CN"/>
                    </w:rPr>
                  </w:pPr>
                  <w:r>
                    <w:rPr>
                      <w:rFonts w:hint="eastAsia"/>
                      <w:color w:val="auto"/>
                      <w:highlight w:val="none"/>
                      <w:lang w:val="en-US" w:eastAsia="zh-CN"/>
                    </w:rPr>
                    <w:t>40</w:t>
                  </w:r>
                </w:p>
              </w:tc>
              <w:tc>
                <w:tcPr>
                  <w:tcW w:w="1307" w:type="dxa"/>
                  <w:vAlign w:val="center"/>
                </w:tcPr>
                <w:p w14:paraId="448E5833">
                  <w:pPr>
                    <w:pStyle w:val="30"/>
                    <w:rPr>
                      <w:color w:val="auto"/>
                      <w:highlight w:val="none"/>
                    </w:rPr>
                  </w:pPr>
                  <w:r>
                    <w:rPr>
                      <w:rFonts w:hint="eastAsia"/>
                      <w:color w:val="auto"/>
                      <w:highlight w:val="none"/>
                    </w:rPr>
                    <w:t>35</w:t>
                  </w:r>
                </w:p>
              </w:tc>
              <w:tc>
                <w:tcPr>
                  <w:tcW w:w="1307" w:type="dxa"/>
                  <w:vAlign w:val="center"/>
                </w:tcPr>
                <w:p w14:paraId="6EF6C057">
                  <w:pPr>
                    <w:pStyle w:val="30"/>
                    <w:rPr>
                      <w:rFonts w:hint="default" w:eastAsia="宋体"/>
                      <w:color w:val="auto"/>
                      <w:highlight w:val="none"/>
                      <w:lang w:val="en-US" w:eastAsia="zh-CN"/>
                    </w:rPr>
                  </w:pPr>
                  <w:r>
                    <w:rPr>
                      <w:rFonts w:hint="eastAsia"/>
                      <w:color w:val="auto"/>
                      <w:highlight w:val="none"/>
                      <w:lang w:val="en-US" w:eastAsia="zh-CN"/>
                    </w:rPr>
                    <w:t>114.3</w:t>
                  </w:r>
                </w:p>
              </w:tc>
              <w:tc>
                <w:tcPr>
                  <w:tcW w:w="1309" w:type="dxa"/>
                  <w:vAlign w:val="center"/>
                </w:tcPr>
                <w:p w14:paraId="329581E2">
                  <w:pPr>
                    <w:pStyle w:val="30"/>
                    <w:rPr>
                      <w:color w:val="auto"/>
                      <w:highlight w:val="none"/>
                    </w:rPr>
                  </w:pPr>
                  <w:r>
                    <w:rPr>
                      <w:rFonts w:hint="eastAsia"/>
                      <w:color w:val="auto"/>
                      <w:highlight w:val="none"/>
                    </w:rPr>
                    <w:t>超</w:t>
                  </w:r>
                  <w:r>
                    <w:rPr>
                      <w:color w:val="auto"/>
                      <w:highlight w:val="none"/>
                    </w:rPr>
                    <w:t>标</w:t>
                  </w:r>
                </w:p>
              </w:tc>
            </w:tr>
            <w:tr w14:paraId="1CAC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72E40A0A">
                  <w:pPr>
                    <w:pStyle w:val="30"/>
                    <w:rPr>
                      <w:color w:val="auto"/>
                      <w:highlight w:val="none"/>
                    </w:rPr>
                  </w:pPr>
                  <w:r>
                    <w:rPr>
                      <w:color w:val="auto"/>
                      <w:highlight w:val="none"/>
                    </w:rPr>
                    <w:t>CO</w:t>
                  </w:r>
                </w:p>
              </w:tc>
              <w:tc>
                <w:tcPr>
                  <w:tcW w:w="1307" w:type="dxa"/>
                  <w:vAlign w:val="center"/>
                </w:tcPr>
                <w:p w14:paraId="36CDA15C">
                  <w:pPr>
                    <w:pStyle w:val="30"/>
                    <w:rPr>
                      <w:color w:val="auto"/>
                      <w:highlight w:val="none"/>
                    </w:rPr>
                  </w:pPr>
                  <w:r>
                    <w:rPr>
                      <w:color w:val="auto"/>
                      <w:highlight w:val="none"/>
                    </w:rPr>
                    <w:t>第95百分位数日平均质量浓度</w:t>
                  </w:r>
                </w:p>
              </w:tc>
              <w:tc>
                <w:tcPr>
                  <w:tcW w:w="1307" w:type="dxa"/>
                  <w:vAlign w:val="center"/>
                </w:tcPr>
                <w:p w14:paraId="349DD1BE">
                  <w:pPr>
                    <w:pStyle w:val="30"/>
                    <w:rPr>
                      <w:rFonts w:hint="default" w:eastAsia="宋体"/>
                      <w:color w:val="auto"/>
                      <w:highlight w:val="none"/>
                      <w:lang w:val="en-US" w:eastAsia="zh-CN"/>
                    </w:rPr>
                  </w:pPr>
                  <w:r>
                    <w:rPr>
                      <w:rFonts w:hint="eastAsia"/>
                      <w:color w:val="auto"/>
                      <w:highlight w:val="none"/>
                      <w:lang w:val="en-US" w:eastAsia="zh-CN"/>
                    </w:rPr>
                    <w:t>800</w:t>
                  </w:r>
                </w:p>
              </w:tc>
              <w:tc>
                <w:tcPr>
                  <w:tcW w:w="1307" w:type="dxa"/>
                  <w:vAlign w:val="center"/>
                </w:tcPr>
                <w:p w14:paraId="0BC0BB27">
                  <w:pPr>
                    <w:pStyle w:val="30"/>
                    <w:rPr>
                      <w:color w:val="auto"/>
                      <w:highlight w:val="none"/>
                    </w:rPr>
                  </w:pPr>
                  <w:r>
                    <w:rPr>
                      <w:rFonts w:hint="eastAsia"/>
                      <w:color w:val="auto"/>
                      <w:highlight w:val="none"/>
                    </w:rPr>
                    <w:t>4000</w:t>
                  </w:r>
                </w:p>
              </w:tc>
              <w:tc>
                <w:tcPr>
                  <w:tcW w:w="1307" w:type="dxa"/>
                  <w:vAlign w:val="center"/>
                </w:tcPr>
                <w:p w14:paraId="45AD5765">
                  <w:pPr>
                    <w:pStyle w:val="30"/>
                    <w:rPr>
                      <w:rFonts w:hint="default" w:eastAsia="宋体"/>
                      <w:color w:val="auto"/>
                      <w:highlight w:val="none"/>
                      <w:lang w:val="en-US" w:eastAsia="zh-CN"/>
                    </w:rPr>
                  </w:pPr>
                  <w:r>
                    <w:rPr>
                      <w:rFonts w:hint="eastAsia"/>
                      <w:color w:val="auto"/>
                      <w:highlight w:val="none"/>
                      <w:lang w:val="en-US" w:eastAsia="zh-CN"/>
                    </w:rPr>
                    <w:t>20</w:t>
                  </w:r>
                </w:p>
              </w:tc>
              <w:tc>
                <w:tcPr>
                  <w:tcW w:w="1309" w:type="dxa"/>
                  <w:vAlign w:val="center"/>
                </w:tcPr>
                <w:p w14:paraId="136505C7">
                  <w:pPr>
                    <w:pStyle w:val="30"/>
                    <w:rPr>
                      <w:color w:val="auto"/>
                      <w:highlight w:val="none"/>
                    </w:rPr>
                  </w:pPr>
                  <w:r>
                    <w:rPr>
                      <w:color w:val="auto"/>
                      <w:highlight w:val="none"/>
                    </w:rPr>
                    <w:t>达标</w:t>
                  </w:r>
                </w:p>
              </w:tc>
            </w:tr>
            <w:tr w14:paraId="5A53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56780590">
                  <w:pPr>
                    <w:pStyle w:val="30"/>
                    <w:rPr>
                      <w:color w:val="auto"/>
                      <w:highlight w:val="none"/>
                    </w:rPr>
                  </w:pPr>
                  <w:r>
                    <w:rPr>
                      <w:color w:val="auto"/>
                      <w:highlight w:val="none"/>
                    </w:rPr>
                    <w:t>O</w:t>
                  </w:r>
                  <w:r>
                    <w:rPr>
                      <w:color w:val="auto"/>
                      <w:highlight w:val="none"/>
                      <w:vertAlign w:val="subscript"/>
                    </w:rPr>
                    <w:t>3</w:t>
                  </w:r>
                </w:p>
              </w:tc>
              <w:tc>
                <w:tcPr>
                  <w:tcW w:w="1307" w:type="dxa"/>
                  <w:vAlign w:val="center"/>
                </w:tcPr>
                <w:p w14:paraId="1DCD6C35">
                  <w:pPr>
                    <w:pStyle w:val="30"/>
                    <w:rPr>
                      <w:color w:val="auto"/>
                      <w:highlight w:val="none"/>
                    </w:rPr>
                  </w:pPr>
                  <w:r>
                    <w:rPr>
                      <w:color w:val="auto"/>
                      <w:highlight w:val="none"/>
                    </w:rPr>
                    <w:t>第90百分位</w:t>
                  </w:r>
                  <w:r>
                    <w:rPr>
                      <w:rFonts w:hint="eastAsia"/>
                      <w:color w:val="auto"/>
                      <w:highlight w:val="none"/>
                    </w:rPr>
                    <w:t>数日</w:t>
                  </w:r>
                  <w:r>
                    <w:rPr>
                      <w:color w:val="auto"/>
                      <w:highlight w:val="none"/>
                    </w:rPr>
                    <w:t>平均质量浓度</w:t>
                  </w:r>
                </w:p>
              </w:tc>
              <w:tc>
                <w:tcPr>
                  <w:tcW w:w="1307" w:type="dxa"/>
                  <w:vAlign w:val="center"/>
                </w:tcPr>
                <w:p w14:paraId="5B68B6A3">
                  <w:pPr>
                    <w:pStyle w:val="30"/>
                    <w:rPr>
                      <w:rFonts w:hint="default" w:eastAsia="宋体"/>
                      <w:color w:val="auto"/>
                      <w:highlight w:val="none"/>
                      <w:lang w:val="en-US" w:eastAsia="zh-CN"/>
                    </w:rPr>
                  </w:pPr>
                  <w:r>
                    <w:rPr>
                      <w:rFonts w:hint="eastAsia"/>
                      <w:color w:val="auto"/>
                      <w:highlight w:val="none"/>
                      <w:lang w:val="en-US" w:eastAsia="zh-CN"/>
                    </w:rPr>
                    <w:t>160</w:t>
                  </w:r>
                </w:p>
              </w:tc>
              <w:tc>
                <w:tcPr>
                  <w:tcW w:w="1307" w:type="dxa"/>
                  <w:vAlign w:val="center"/>
                </w:tcPr>
                <w:p w14:paraId="2569DAF8">
                  <w:pPr>
                    <w:pStyle w:val="30"/>
                    <w:rPr>
                      <w:color w:val="auto"/>
                      <w:highlight w:val="none"/>
                    </w:rPr>
                  </w:pPr>
                  <w:r>
                    <w:rPr>
                      <w:rFonts w:hint="eastAsia"/>
                      <w:color w:val="auto"/>
                      <w:highlight w:val="none"/>
                    </w:rPr>
                    <w:t>160</w:t>
                  </w:r>
                </w:p>
              </w:tc>
              <w:tc>
                <w:tcPr>
                  <w:tcW w:w="1307" w:type="dxa"/>
                  <w:vAlign w:val="center"/>
                </w:tcPr>
                <w:p w14:paraId="33541C66">
                  <w:pPr>
                    <w:pStyle w:val="30"/>
                    <w:rPr>
                      <w:rFonts w:hint="default" w:eastAsia="宋体"/>
                      <w:color w:val="auto"/>
                      <w:highlight w:val="none"/>
                      <w:lang w:val="en-US" w:eastAsia="zh-CN"/>
                    </w:rPr>
                  </w:pPr>
                  <w:r>
                    <w:rPr>
                      <w:rFonts w:hint="eastAsia"/>
                      <w:color w:val="auto"/>
                      <w:highlight w:val="none"/>
                      <w:lang w:val="en-US" w:eastAsia="zh-CN"/>
                    </w:rPr>
                    <w:t>100</w:t>
                  </w:r>
                </w:p>
              </w:tc>
              <w:tc>
                <w:tcPr>
                  <w:tcW w:w="1309" w:type="dxa"/>
                  <w:vAlign w:val="center"/>
                </w:tcPr>
                <w:p w14:paraId="44220789">
                  <w:pPr>
                    <w:pStyle w:val="30"/>
                    <w:rPr>
                      <w:color w:val="auto"/>
                      <w:highlight w:val="none"/>
                    </w:rPr>
                  </w:pPr>
                  <w:r>
                    <w:rPr>
                      <w:rFonts w:hint="eastAsia"/>
                      <w:color w:val="auto"/>
                      <w:highlight w:val="none"/>
                    </w:rPr>
                    <w:t>达标</w:t>
                  </w:r>
                </w:p>
              </w:tc>
            </w:tr>
          </w:tbl>
          <w:p w14:paraId="544A05EC">
            <w:pPr>
              <w:ind w:firstLine="480" w:firstLineChars="200"/>
              <w:rPr>
                <w:color w:val="auto"/>
                <w:highlight w:val="none"/>
              </w:rPr>
            </w:pPr>
            <w:r>
              <w:rPr>
                <w:rFonts w:hint="eastAsia"/>
                <w:color w:val="auto"/>
                <w:highlight w:val="none"/>
              </w:rPr>
              <w:t>根据质量状况公报结果，淮南市属于环境空气质量不达标区域，超标污染物为细颗粒物（PM</w:t>
            </w:r>
            <w:r>
              <w:rPr>
                <w:rFonts w:hint="eastAsia"/>
                <w:color w:val="auto"/>
                <w:highlight w:val="none"/>
                <w:vertAlign w:val="subscript"/>
              </w:rPr>
              <w:t>2.5</w:t>
            </w:r>
            <w:r>
              <w:rPr>
                <w:rFonts w:hint="eastAsia"/>
                <w:color w:val="auto"/>
                <w:highlight w:val="none"/>
              </w:rPr>
              <w:t>）。</w:t>
            </w:r>
          </w:p>
          <w:p w14:paraId="532BC8C1">
            <w:pPr>
              <w:ind w:firstLine="480" w:firstLineChars="200"/>
              <w:rPr>
                <w:color w:val="auto"/>
                <w:highlight w:val="none"/>
              </w:rPr>
            </w:pPr>
            <w:r>
              <w:rPr>
                <w:rFonts w:hint="eastAsia"/>
                <w:color w:val="auto"/>
                <w:highlight w:val="none"/>
              </w:rPr>
              <w:t>目前，淮南市已制订《淮南市“十四五”大气污染防治规划（2021-2025）年》，围绕工业大气污染治理、扬（烟）尘污染防治等开展专项治理活动，进一步削减大气污染物排放。</w:t>
            </w:r>
          </w:p>
          <w:p w14:paraId="200BFA8F">
            <w:pPr>
              <w:rPr>
                <w:color w:val="auto"/>
                <w:highlight w:val="none"/>
              </w:rPr>
            </w:pPr>
            <w:r>
              <w:rPr>
                <w:rFonts w:hint="eastAsia"/>
                <w:color w:val="auto"/>
                <w:highlight w:val="none"/>
              </w:rPr>
              <w:t>（</w:t>
            </w:r>
            <w:r>
              <w:rPr>
                <w:color w:val="auto"/>
                <w:highlight w:val="none"/>
              </w:rPr>
              <w:t>2</w:t>
            </w:r>
            <w:r>
              <w:rPr>
                <w:rFonts w:hint="eastAsia"/>
                <w:color w:val="auto"/>
                <w:highlight w:val="none"/>
              </w:rPr>
              <w:t>）其他污染物补充监测结果</w:t>
            </w:r>
          </w:p>
          <w:p w14:paraId="5A7307E2">
            <w:pPr>
              <w:ind w:firstLine="480" w:firstLineChars="200"/>
              <w:rPr>
                <w:rFonts w:hint="eastAsia"/>
                <w:color w:val="auto"/>
                <w:sz w:val="24"/>
                <w:szCs w:val="24"/>
                <w:highlight w:val="none"/>
              </w:rPr>
            </w:pPr>
            <w:r>
              <w:rPr>
                <w:rFonts w:hint="eastAsia" w:ascii="宋体" w:hAnsi="宋体" w:cs="宋体"/>
                <w:color w:val="auto"/>
                <w:kern w:val="0"/>
                <w:highlight w:val="none"/>
                <w:lang w:bidi="ar"/>
              </w:rPr>
              <w:t>本</w:t>
            </w:r>
            <w:r>
              <w:rPr>
                <w:rFonts w:hint="eastAsia"/>
                <w:color w:val="auto"/>
                <w:highlight w:val="none"/>
                <w:shd w:val="clear" w:color="auto" w:fill="FFFFFF"/>
              </w:rPr>
              <w:t>项目涉及的其他污染物为</w:t>
            </w:r>
            <w:r>
              <w:rPr>
                <w:color w:val="auto"/>
                <w:highlight w:val="none"/>
                <w:shd w:val="clear" w:color="auto" w:fill="FFFFFF"/>
              </w:rPr>
              <w:t>TSP</w:t>
            </w:r>
            <w:r>
              <w:rPr>
                <w:rFonts w:hint="eastAsia"/>
                <w:color w:val="auto"/>
                <w:highlight w:val="none"/>
                <w:shd w:val="clear" w:color="auto" w:fill="FFFFFF"/>
              </w:rPr>
              <w:t>、非甲烷总烃。为了解区域大气环境中</w:t>
            </w:r>
            <w:r>
              <w:rPr>
                <w:color w:val="auto"/>
                <w:highlight w:val="none"/>
                <w:shd w:val="clear" w:color="auto" w:fill="FFFFFF"/>
              </w:rPr>
              <w:t>TSP</w:t>
            </w:r>
            <w:r>
              <w:rPr>
                <w:rFonts w:hint="eastAsia"/>
                <w:color w:val="auto"/>
                <w:highlight w:val="none"/>
                <w:shd w:val="clear" w:color="auto" w:fill="FFFFFF"/>
              </w:rPr>
              <w:t>、非甲</w:t>
            </w:r>
            <w:r>
              <w:rPr>
                <w:rFonts w:hint="eastAsia" w:ascii="宋体" w:hAnsi="宋体" w:cs="宋体"/>
                <w:color w:val="auto"/>
                <w:kern w:val="0"/>
                <w:highlight w:val="none"/>
                <w:lang w:bidi="ar"/>
              </w:rPr>
              <w:t>烷总烃现状，</w:t>
            </w:r>
            <w:r>
              <w:rPr>
                <w:rFonts w:hint="eastAsia"/>
                <w:color w:val="auto"/>
                <w:sz w:val="24"/>
                <w:szCs w:val="24"/>
                <w:highlight w:val="none"/>
                <w:lang w:val="en-US" w:eastAsia="zh-CN"/>
              </w:rPr>
              <w:t>建设单位</w:t>
            </w:r>
            <w:r>
              <w:rPr>
                <w:color w:val="auto"/>
                <w:sz w:val="24"/>
                <w:szCs w:val="24"/>
                <w:highlight w:val="none"/>
              </w:rPr>
              <w:t>委托</w:t>
            </w:r>
            <w:r>
              <w:rPr>
                <w:rFonts w:hint="eastAsia"/>
                <w:color w:val="auto"/>
                <w:sz w:val="24"/>
                <w:szCs w:val="24"/>
                <w:highlight w:val="none"/>
              </w:rPr>
              <w:t>江苏国析检测技术有限公司</w:t>
            </w:r>
            <w:r>
              <w:rPr>
                <w:color w:val="auto"/>
                <w:sz w:val="24"/>
                <w:szCs w:val="24"/>
                <w:highlight w:val="none"/>
              </w:rPr>
              <w:t>于</w:t>
            </w:r>
            <w:r>
              <w:rPr>
                <w:rFonts w:hint="eastAsia"/>
                <w:color w:val="auto"/>
                <w:sz w:val="24"/>
                <w:szCs w:val="24"/>
                <w:highlight w:val="none"/>
              </w:rPr>
              <w:t>202</w:t>
            </w:r>
            <w:r>
              <w:rPr>
                <w:rFonts w:hint="eastAsia"/>
                <w:color w:val="auto"/>
                <w:sz w:val="24"/>
                <w:szCs w:val="24"/>
                <w:highlight w:val="none"/>
                <w:lang w:val="en-US" w:eastAsia="zh-CN"/>
              </w:rPr>
              <w:t>5</w:t>
            </w:r>
            <w:r>
              <w:rPr>
                <w:rFonts w:hint="eastAsia"/>
                <w:color w:val="auto"/>
                <w:sz w:val="24"/>
                <w:szCs w:val="24"/>
                <w:highlight w:val="none"/>
              </w:rPr>
              <w:t>年</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val="en-US" w:eastAsia="zh-CN"/>
              </w:rPr>
              <w:t>24</w:t>
            </w:r>
            <w:r>
              <w:rPr>
                <w:rFonts w:hint="eastAsia"/>
                <w:color w:val="auto"/>
                <w:sz w:val="24"/>
                <w:szCs w:val="24"/>
                <w:highlight w:val="none"/>
              </w:rPr>
              <w:t>日~202</w:t>
            </w:r>
            <w:r>
              <w:rPr>
                <w:rFonts w:hint="eastAsia"/>
                <w:color w:val="auto"/>
                <w:sz w:val="24"/>
                <w:szCs w:val="24"/>
                <w:highlight w:val="none"/>
                <w:lang w:val="en-US" w:eastAsia="zh-CN"/>
              </w:rPr>
              <w:t>5</w:t>
            </w:r>
            <w:r>
              <w:rPr>
                <w:rFonts w:hint="eastAsia"/>
                <w:color w:val="auto"/>
                <w:sz w:val="24"/>
                <w:szCs w:val="24"/>
                <w:highlight w:val="none"/>
              </w:rPr>
              <w:t>年</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val="en-US" w:eastAsia="zh-CN"/>
              </w:rPr>
              <w:t>26</w:t>
            </w:r>
            <w:r>
              <w:rPr>
                <w:rFonts w:hint="eastAsia"/>
                <w:color w:val="auto"/>
                <w:sz w:val="24"/>
                <w:szCs w:val="24"/>
                <w:highlight w:val="none"/>
              </w:rPr>
              <w:t>日对项目</w:t>
            </w:r>
            <w:r>
              <w:rPr>
                <w:rFonts w:hint="eastAsia"/>
                <w:color w:val="auto"/>
                <w:sz w:val="24"/>
                <w:szCs w:val="24"/>
                <w:highlight w:val="none"/>
                <w:lang w:eastAsia="zh-CN"/>
              </w:rPr>
              <w:t>所在地</w:t>
            </w:r>
            <w:r>
              <w:rPr>
                <w:rFonts w:hint="eastAsia"/>
                <w:color w:val="auto"/>
                <w:sz w:val="24"/>
                <w:szCs w:val="24"/>
                <w:highlight w:val="none"/>
              </w:rPr>
              <w:t>进行环境质量现状监测。监测结果见下表。</w:t>
            </w:r>
          </w:p>
          <w:p w14:paraId="7B5DDB17">
            <w:pPr>
              <w:pStyle w:val="6"/>
              <w:bidi w:val="0"/>
              <w:rPr>
                <w:rFonts w:hint="eastAsia" w:eastAsia="宋体"/>
                <w:color w:val="auto"/>
                <w:highlight w:val="none"/>
                <w:lang w:val="en-US" w:eastAsia="zh-CN"/>
              </w:rPr>
            </w:pPr>
            <w:r>
              <w:rPr>
                <w:color w:val="auto"/>
                <w:highlight w:val="none"/>
              </w:rPr>
              <w:t xml:space="preserve">表 </w:t>
            </w:r>
            <w:r>
              <w:rPr>
                <w:rFonts w:hint="eastAsia"/>
                <w:color w:val="auto"/>
                <w:highlight w:val="none"/>
                <w:lang w:val="en-US" w:eastAsia="zh-CN"/>
              </w:rPr>
              <w:t>3</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w:t>
            </w:r>
            <w:r>
              <w:rPr>
                <w:rFonts w:hint="eastAsia"/>
                <w:color w:val="auto"/>
                <w:highlight w:val="none"/>
                <w:lang w:eastAsia="zh-CN"/>
              </w:rPr>
              <w:t>环境质量现状</w:t>
            </w:r>
            <w:r>
              <w:rPr>
                <w:color w:val="auto"/>
                <w:highlight w:val="none"/>
              </w:rPr>
              <w:t>监测</w:t>
            </w:r>
            <w:r>
              <w:rPr>
                <w:rFonts w:hint="eastAsia"/>
                <w:color w:val="auto"/>
                <w:highlight w:val="none"/>
              </w:rPr>
              <w:t>结果一览表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826"/>
              <w:gridCol w:w="974"/>
              <w:gridCol w:w="928"/>
              <w:gridCol w:w="582"/>
              <w:gridCol w:w="695"/>
              <w:gridCol w:w="913"/>
              <w:gridCol w:w="742"/>
              <w:gridCol w:w="557"/>
              <w:gridCol w:w="701"/>
            </w:tblGrid>
            <w:tr w14:paraId="27F9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Merge w:val="restart"/>
                  <w:vAlign w:val="center"/>
                </w:tcPr>
                <w:p w14:paraId="04F4D59E">
                  <w:pPr>
                    <w:pStyle w:val="30"/>
                    <w:rPr>
                      <w:color w:val="auto"/>
                      <w:highlight w:val="none"/>
                    </w:rPr>
                  </w:pPr>
                  <w:r>
                    <w:rPr>
                      <w:color w:val="auto"/>
                      <w:highlight w:val="none"/>
                    </w:rPr>
                    <w:t>监测点位</w:t>
                  </w:r>
                </w:p>
              </w:tc>
              <w:tc>
                <w:tcPr>
                  <w:tcW w:w="527" w:type="pct"/>
                  <w:vMerge w:val="restart"/>
                  <w:vAlign w:val="center"/>
                </w:tcPr>
                <w:p w14:paraId="4BD77CF6">
                  <w:pPr>
                    <w:pStyle w:val="30"/>
                    <w:rPr>
                      <w:color w:val="auto"/>
                      <w:highlight w:val="none"/>
                    </w:rPr>
                  </w:pPr>
                  <w:r>
                    <w:rPr>
                      <w:color w:val="auto"/>
                      <w:highlight w:val="none"/>
                    </w:rPr>
                    <w:t>检测项目</w:t>
                  </w:r>
                </w:p>
              </w:tc>
              <w:tc>
                <w:tcPr>
                  <w:tcW w:w="2027" w:type="pct"/>
                  <w:gridSpan w:val="4"/>
                  <w:vAlign w:val="center"/>
                </w:tcPr>
                <w:p w14:paraId="75DCD553">
                  <w:pPr>
                    <w:pStyle w:val="30"/>
                    <w:rPr>
                      <w:color w:val="auto"/>
                      <w:highlight w:val="none"/>
                    </w:rPr>
                  </w:pPr>
                  <w:r>
                    <w:rPr>
                      <w:color w:val="auto"/>
                      <w:highlight w:val="none"/>
                    </w:rPr>
                    <w:t>小时值/一次值</w:t>
                  </w:r>
                </w:p>
              </w:tc>
              <w:tc>
                <w:tcPr>
                  <w:tcW w:w="1854" w:type="pct"/>
                  <w:gridSpan w:val="4"/>
                  <w:vAlign w:val="center"/>
                </w:tcPr>
                <w:p w14:paraId="7DF995F9">
                  <w:pPr>
                    <w:pStyle w:val="30"/>
                    <w:rPr>
                      <w:color w:val="auto"/>
                      <w:highlight w:val="none"/>
                    </w:rPr>
                  </w:pPr>
                  <w:r>
                    <w:rPr>
                      <w:color w:val="auto"/>
                      <w:highlight w:val="none"/>
                    </w:rPr>
                    <w:t>日均值</w:t>
                  </w:r>
                </w:p>
              </w:tc>
            </w:tr>
            <w:tr w14:paraId="220C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Merge w:val="continue"/>
                  <w:vAlign w:val="center"/>
                </w:tcPr>
                <w:p w14:paraId="6AB28E58">
                  <w:pPr>
                    <w:pStyle w:val="30"/>
                    <w:rPr>
                      <w:color w:val="auto"/>
                      <w:highlight w:val="none"/>
                    </w:rPr>
                  </w:pPr>
                </w:p>
              </w:tc>
              <w:tc>
                <w:tcPr>
                  <w:tcW w:w="527" w:type="pct"/>
                  <w:vMerge w:val="continue"/>
                  <w:vAlign w:val="center"/>
                </w:tcPr>
                <w:p w14:paraId="7A092BF7">
                  <w:pPr>
                    <w:pStyle w:val="30"/>
                    <w:rPr>
                      <w:color w:val="auto"/>
                      <w:highlight w:val="none"/>
                    </w:rPr>
                  </w:pPr>
                </w:p>
              </w:tc>
              <w:tc>
                <w:tcPr>
                  <w:tcW w:w="621" w:type="pct"/>
                  <w:vAlign w:val="center"/>
                </w:tcPr>
                <w:p w14:paraId="7DE97AAB">
                  <w:pPr>
                    <w:pStyle w:val="30"/>
                    <w:rPr>
                      <w:color w:val="auto"/>
                      <w:highlight w:val="none"/>
                    </w:rPr>
                  </w:pPr>
                  <w:r>
                    <w:rPr>
                      <w:color w:val="auto"/>
                      <w:highlight w:val="none"/>
                    </w:rPr>
                    <w:t>浓度范围mg/m</w:t>
                  </w:r>
                  <w:r>
                    <w:rPr>
                      <w:color w:val="auto"/>
                      <w:highlight w:val="none"/>
                      <w:vertAlign w:val="superscript"/>
                    </w:rPr>
                    <w:t>3</w:t>
                  </w:r>
                </w:p>
              </w:tc>
              <w:tc>
                <w:tcPr>
                  <w:tcW w:w="592" w:type="pct"/>
                  <w:vAlign w:val="center"/>
                </w:tcPr>
                <w:p w14:paraId="615FF1D2">
                  <w:pPr>
                    <w:pStyle w:val="30"/>
                    <w:rPr>
                      <w:color w:val="auto"/>
                      <w:highlight w:val="none"/>
                    </w:rPr>
                  </w:pPr>
                  <w:r>
                    <w:rPr>
                      <w:color w:val="auto"/>
                      <w:highlight w:val="none"/>
                    </w:rPr>
                    <w:t>最大浓度占标率%</w:t>
                  </w:r>
                </w:p>
              </w:tc>
              <w:tc>
                <w:tcPr>
                  <w:tcW w:w="371" w:type="pct"/>
                  <w:vAlign w:val="center"/>
                </w:tcPr>
                <w:p w14:paraId="2D0014A1">
                  <w:pPr>
                    <w:pStyle w:val="30"/>
                    <w:rPr>
                      <w:color w:val="auto"/>
                      <w:highlight w:val="none"/>
                    </w:rPr>
                  </w:pPr>
                  <w:r>
                    <w:rPr>
                      <w:color w:val="auto"/>
                      <w:highlight w:val="none"/>
                    </w:rPr>
                    <w:t>超标率%</w:t>
                  </w:r>
                </w:p>
              </w:tc>
              <w:tc>
                <w:tcPr>
                  <w:tcW w:w="443" w:type="pct"/>
                  <w:vAlign w:val="center"/>
                </w:tcPr>
                <w:p w14:paraId="27D832AE">
                  <w:pPr>
                    <w:pStyle w:val="30"/>
                    <w:rPr>
                      <w:b/>
                      <w:bCs/>
                      <w:color w:val="auto"/>
                      <w:highlight w:val="none"/>
                    </w:rPr>
                  </w:pPr>
                  <w:r>
                    <w:rPr>
                      <w:color w:val="auto"/>
                      <w:highlight w:val="none"/>
                    </w:rPr>
                    <w:t>标准值mg/m</w:t>
                  </w:r>
                  <w:r>
                    <w:rPr>
                      <w:color w:val="auto"/>
                      <w:highlight w:val="none"/>
                      <w:vertAlign w:val="superscript"/>
                    </w:rPr>
                    <w:t>3</w:t>
                  </w:r>
                </w:p>
              </w:tc>
              <w:tc>
                <w:tcPr>
                  <w:tcW w:w="582" w:type="pct"/>
                  <w:vAlign w:val="center"/>
                </w:tcPr>
                <w:p w14:paraId="49D79CCA">
                  <w:pPr>
                    <w:pStyle w:val="30"/>
                    <w:rPr>
                      <w:color w:val="auto"/>
                      <w:highlight w:val="none"/>
                    </w:rPr>
                  </w:pPr>
                  <w:r>
                    <w:rPr>
                      <w:color w:val="auto"/>
                      <w:highlight w:val="none"/>
                    </w:rPr>
                    <w:t>浓度范围mg/m</w:t>
                  </w:r>
                  <w:r>
                    <w:rPr>
                      <w:color w:val="auto"/>
                      <w:highlight w:val="none"/>
                      <w:vertAlign w:val="superscript"/>
                    </w:rPr>
                    <w:t>3</w:t>
                  </w:r>
                </w:p>
              </w:tc>
              <w:tc>
                <w:tcPr>
                  <w:tcW w:w="473" w:type="pct"/>
                  <w:vAlign w:val="center"/>
                </w:tcPr>
                <w:p w14:paraId="26A0D1CB">
                  <w:pPr>
                    <w:pStyle w:val="30"/>
                    <w:rPr>
                      <w:color w:val="auto"/>
                      <w:highlight w:val="none"/>
                    </w:rPr>
                  </w:pPr>
                  <w:r>
                    <w:rPr>
                      <w:color w:val="auto"/>
                      <w:highlight w:val="none"/>
                    </w:rPr>
                    <w:t>最大浓度占标率%</w:t>
                  </w:r>
                </w:p>
              </w:tc>
              <w:tc>
                <w:tcPr>
                  <w:tcW w:w="355" w:type="pct"/>
                  <w:vAlign w:val="center"/>
                </w:tcPr>
                <w:p w14:paraId="45B71F9A">
                  <w:pPr>
                    <w:pStyle w:val="30"/>
                    <w:rPr>
                      <w:color w:val="auto"/>
                      <w:highlight w:val="none"/>
                    </w:rPr>
                  </w:pPr>
                  <w:r>
                    <w:rPr>
                      <w:color w:val="auto"/>
                      <w:highlight w:val="none"/>
                    </w:rPr>
                    <w:t>超标率%</w:t>
                  </w:r>
                </w:p>
              </w:tc>
              <w:tc>
                <w:tcPr>
                  <w:tcW w:w="444" w:type="pct"/>
                  <w:vAlign w:val="center"/>
                </w:tcPr>
                <w:p w14:paraId="504C2D15">
                  <w:pPr>
                    <w:pStyle w:val="30"/>
                    <w:rPr>
                      <w:color w:val="auto"/>
                      <w:highlight w:val="none"/>
                    </w:rPr>
                  </w:pPr>
                  <w:r>
                    <w:rPr>
                      <w:color w:val="auto"/>
                      <w:highlight w:val="none"/>
                    </w:rPr>
                    <w:t>标准值mg/m</w:t>
                  </w:r>
                  <w:r>
                    <w:rPr>
                      <w:color w:val="auto"/>
                      <w:highlight w:val="none"/>
                      <w:vertAlign w:val="superscript"/>
                    </w:rPr>
                    <w:t>3</w:t>
                  </w:r>
                </w:p>
              </w:tc>
            </w:tr>
            <w:tr w14:paraId="30A4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Merge w:val="restart"/>
                  <w:vAlign w:val="center"/>
                </w:tcPr>
                <w:p w14:paraId="12E53118">
                  <w:pPr>
                    <w:pStyle w:val="30"/>
                    <w:rPr>
                      <w:color w:val="auto"/>
                      <w:highlight w:val="none"/>
                    </w:rPr>
                  </w:pPr>
                  <w:r>
                    <w:rPr>
                      <w:rFonts w:hint="eastAsia"/>
                      <w:color w:val="auto"/>
                      <w:highlight w:val="none"/>
                      <w:lang w:val="en-US" w:eastAsia="zh-CN"/>
                    </w:rPr>
                    <w:t>1#</w:t>
                  </w:r>
                  <w:r>
                    <w:rPr>
                      <w:color w:val="auto"/>
                      <w:highlight w:val="none"/>
                    </w:rPr>
                    <w:t>（</w:t>
                  </w:r>
                  <w:r>
                    <w:rPr>
                      <w:rFonts w:hint="eastAsia"/>
                      <w:color w:val="auto"/>
                      <w:highlight w:val="none"/>
                      <w:lang w:eastAsia="zh-CN"/>
                    </w:rPr>
                    <w:t>项目所在地</w:t>
                  </w:r>
                  <w:r>
                    <w:rPr>
                      <w:color w:val="auto"/>
                      <w:highlight w:val="none"/>
                    </w:rPr>
                    <w:t>）</w:t>
                  </w:r>
                </w:p>
              </w:tc>
              <w:tc>
                <w:tcPr>
                  <w:tcW w:w="527" w:type="pct"/>
                  <w:vAlign w:val="center"/>
                </w:tcPr>
                <w:p w14:paraId="3FF047B3">
                  <w:pPr>
                    <w:pStyle w:val="30"/>
                    <w:rPr>
                      <w:color w:val="auto"/>
                      <w:highlight w:val="none"/>
                    </w:rPr>
                  </w:pPr>
                  <w:r>
                    <w:rPr>
                      <w:color w:val="auto"/>
                      <w:highlight w:val="none"/>
                    </w:rPr>
                    <w:t>TSP</w:t>
                  </w:r>
                </w:p>
              </w:tc>
              <w:tc>
                <w:tcPr>
                  <w:tcW w:w="621" w:type="pct"/>
                  <w:vAlign w:val="center"/>
                </w:tcPr>
                <w:p w14:paraId="1AADA5AC">
                  <w:pPr>
                    <w:pStyle w:val="30"/>
                    <w:rPr>
                      <w:color w:val="auto"/>
                      <w:highlight w:val="none"/>
                    </w:rPr>
                  </w:pPr>
                  <w:r>
                    <w:rPr>
                      <w:color w:val="auto"/>
                      <w:highlight w:val="none"/>
                    </w:rPr>
                    <w:t>/</w:t>
                  </w:r>
                </w:p>
              </w:tc>
              <w:tc>
                <w:tcPr>
                  <w:tcW w:w="592" w:type="pct"/>
                  <w:vAlign w:val="center"/>
                </w:tcPr>
                <w:p w14:paraId="2B3A1A8E">
                  <w:pPr>
                    <w:pStyle w:val="30"/>
                    <w:rPr>
                      <w:color w:val="auto"/>
                      <w:highlight w:val="none"/>
                    </w:rPr>
                  </w:pPr>
                  <w:r>
                    <w:rPr>
                      <w:color w:val="auto"/>
                      <w:highlight w:val="none"/>
                    </w:rPr>
                    <w:t>/</w:t>
                  </w:r>
                </w:p>
              </w:tc>
              <w:tc>
                <w:tcPr>
                  <w:tcW w:w="371" w:type="pct"/>
                  <w:vAlign w:val="center"/>
                </w:tcPr>
                <w:p w14:paraId="4CD19F3D">
                  <w:pPr>
                    <w:pStyle w:val="30"/>
                    <w:rPr>
                      <w:color w:val="auto"/>
                      <w:highlight w:val="none"/>
                    </w:rPr>
                  </w:pPr>
                  <w:r>
                    <w:rPr>
                      <w:color w:val="auto"/>
                      <w:highlight w:val="none"/>
                    </w:rPr>
                    <w:t>/</w:t>
                  </w:r>
                </w:p>
              </w:tc>
              <w:tc>
                <w:tcPr>
                  <w:tcW w:w="443" w:type="pct"/>
                  <w:vAlign w:val="center"/>
                </w:tcPr>
                <w:p w14:paraId="6E0F3FD1">
                  <w:pPr>
                    <w:pStyle w:val="30"/>
                    <w:rPr>
                      <w:color w:val="auto"/>
                      <w:highlight w:val="none"/>
                    </w:rPr>
                  </w:pPr>
                  <w:r>
                    <w:rPr>
                      <w:color w:val="auto"/>
                      <w:highlight w:val="none"/>
                    </w:rPr>
                    <w:t>/</w:t>
                  </w:r>
                </w:p>
              </w:tc>
              <w:tc>
                <w:tcPr>
                  <w:tcW w:w="582" w:type="pct"/>
                  <w:vAlign w:val="center"/>
                </w:tcPr>
                <w:p w14:paraId="646E196D">
                  <w:pPr>
                    <w:pStyle w:val="30"/>
                    <w:rPr>
                      <w:rFonts w:hint="default" w:eastAsia="宋体"/>
                      <w:color w:val="auto"/>
                      <w:highlight w:val="none"/>
                      <w:lang w:val="en-US" w:eastAsia="zh-CN"/>
                    </w:rPr>
                  </w:pPr>
                  <w:r>
                    <w:rPr>
                      <w:rFonts w:hint="eastAsia"/>
                      <w:color w:val="auto"/>
                      <w:highlight w:val="none"/>
                      <w:lang w:val="en-US" w:eastAsia="zh-CN"/>
                    </w:rPr>
                    <w:t>＜0.007</w:t>
                  </w:r>
                </w:p>
              </w:tc>
              <w:tc>
                <w:tcPr>
                  <w:tcW w:w="473" w:type="pct"/>
                  <w:vAlign w:val="center"/>
                </w:tcPr>
                <w:p w14:paraId="7925CEEE">
                  <w:pPr>
                    <w:pStyle w:val="30"/>
                    <w:rPr>
                      <w:rFonts w:hint="default" w:eastAsia="宋体"/>
                      <w:color w:val="auto"/>
                      <w:highlight w:val="none"/>
                      <w:lang w:val="en-US" w:eastAsia="zh-CN"/>
                    </w:rPr>
                  </w:pPr>
                  <w:r>
                    <w:rPr>
                      <w:rFonts w:hint="eastAsia"/>
                      <w:color w:val="auto"/>
                      <w:highlight w:val="none"/>
                      <w:lang w:val="en-US" w:eastAsia="zh-CN"/>
                    </w:rPr>
                    <w:t>＜2.3</w:t>
                  </w:r>
                </w:p>
              </w:tc>
              <w:tc>
                <w:tcPr>
                  <w:tcW w:w="355" w:type="pct"/>
                  <w:vAlign w:val="center"/>
                </w:tcPr>
                <w:p w14:paraId="470BA0F8">
                  <w:pPr>
                    <w:pStyle w:val="30"/>
                    <w:rPr>
                      <w:color w:val="auto"/>
                      <w:highlight w:val="none"/>
                    </w:rPr>
                  </w:pPr>
                  <w:r>
                    <w:rPr>
                      <w:color w:val="auto"/>
                      <w:highlight w:val="none"/>
                    </w:rPr>
                    <w:t>0</w:t>
                  </w:r>
                </w:p>
              </w:tc>
              <w:tc>
                <w:tcPr>
                  <w:tcW w:w="444" w:type="pct"/>
                  <w:vAlign w:val="center"/>
                </w:tcPr>
                <w:p w14:paraId="4A083769">
                  <w:pPr>
                    <w:pStyle w:val="30"/>
                    <w:rPr>
                      <w:color w:val="auto"/>
                      <w:highlight w:val="none"/>
                    </w:rPr>
                  </w:pPr>
                  <w:r>
                    <w:rPr>
                      <w:color w:val="auto"/>
                      <w:highlight w:val="none"/>
                    </w:rPr>
                    <w:t>0.3</w:t>
                  </w:r>
                </w:p>
              </w:tc>
            </w:tr>
            <w:tr w14:paraId="30F6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Merge w:val="continue"/>
                  <w:vAlign w:val="center"/>
                </w:tcPr>
                <w:p w14:paraId="06E236BC">
                  <w:pPr>
                    <w:pStyle w:val="30"/>
                    <w:rPr>
                      <w:color w:val="auto"/>
                      <w:highlight w:val="none"/>
                    </w:rPr>
                  </w:pPr>
                </w:p>
              </w:tc>
              <w:tc>
                <w:tcPr>
                  <w:tcW w:w="527" w:type="pct"/>
                  <w:vAlign w:val="center"/>
                </w:tcPr>
                <w:p w14:paraId="335BBCB1">
                  <w:pPr>
                    <w:pStyle w:val="30"/>
                    <w:rPr>
                      <w:color w:val="auto"/>
                      <w:highlight w:val="none"/>
                    </w:rPr>
                  </w:pPr>
                  <w:r>
                    <w:rPr>
                      <w:color w:val="auto"/>
                      <w:highlight w:val="none"/>
                    </w:rPr>
                    <w:t>非甲烷总烃</w:t>
                  </w:r>
                </w:p>
              </w:tc>
              <w:tc>
                <w:tcPr>
                  <w:tcW w:w="621" w:type="pct"/>
                  <w:vAlign w:val="center"/>
                </w:tcPr>
                <w:p w14:paraId="7F3387F6">
                  <w:pPr>
                    <w:pStyle w:val="30"/>
                    <w:rPr>
                      <w:rFonts w:hint="default" w:eastAsia="宋体"/>
                      <w:color w:val="auto"/>
                      <w:highlight w:val="none"/>
                      <w:lang w:val="en-US" w:eastAsia="zh-CN"/>
                    </w:rPr>
                  </w:pPr>
                  <w:r>
                    <w:rPr>
                      <w:color w:val="auto"/>
                      <w:highlight w:val="none"/>
                    </w:rPr>
                    <w:t>0.</w:t>
                  </w:r>
                  <w:r>
                    <w:rPr>
                      <w:rFonts w:hint="eastAsia"/>
                      <w:color w:val="auto"/>
                      <w:highlight w:val="none"/>
                      <w:lang w:val="en-US" w:eastAsia="zh-CN"/>
                    </w:rPr>
                    <w:t>33-0.48</w:t>
                  </w:r>
                </w:p>
              </w:tc>
              <w:tc>
                <w:tcPr>
                  <w:tcW w:w="592" w:type="pct"/>
                  <w:vAlign w:val="center"/>
                </w:tcPr>
                <w:p w14:paraId="0B9417C4">
                  <w:pPr>
                    <w:pStyle w:val="30"/>
                    <w:rPr>
                      <w:rFonts w:hint="default" w:eastAsia="宋体"/>
                      <w:color w:val="auto"/>
                      <w:highlight w:val="none"/>
                      <w:lang w:val="en-US" w:eastAsia="zh-CN"/>
                    </w:rPr>
                  </w:pPr>
                  <w:r>
                    <w:rPr>
                      <w:rFonts w:hint="eastAsia"/>
                      <w:color w:val="auto"/>
                      <w:highlight w:val="none"/>
                      <w:lang w:val="en-US" w:eastAsia="zh-CN"/>
                    </w:rPr>
                    <w:t>24</w:t>
                  </w:r>
                </w:p>
              </w:tc>
              <w:tc>
                <w:tcPr>
                  <w:tcW w:w="371" w:type="pct"/>
                  <w:vAlign w:val="center"/>
                </w:tcPr>
                <w:p w14:paraId="5C7084BC">
                  <w:pPr>
                    <w:pStyle w:val="30"/>
                    <w:rPr>
                      <w:color w:val="auto"/>
                      <w:highlight w:val="none"/>
                    </w:rPr>
                  </w:pPr>
                  <w:r>
                    <w:rPr>
                      <w:color w:val="auto"/>
                      <w:highlight w:val="none"/>
                    </w:rPr>
                    <w:t>0</w:t>
                  </w:r>
                </w:p>
              </w:tc>
              <w:tc>
                <w:tcPr>
                  <w:tcW w:w="443" w:type="pct"/>
                  <w:vAlign w:val="center"/>
                </w:tcPr>
                <w:p w14:paraId="1C9D27AB">
                  <w:pPr>
                    <w:pStyle w:val="30"/>
                    <w:rPr>
                      <w:color w:val="auto"/>
                      <w:highlight w:val="none"/>
                    </w:rPr>
                  </w:pPr>
                  <w:r>
                    <w:rPr>
                      <w:color w:val="auto"/>
                      <w:highlight w:val="none"/>
                    </w:rPr>
                    <w:t>2.0</w:t>
                  </w:r>
                </w:p>
              </w:tc>
              <w:tc>
                <w:tcPr>
                  <w:tcW w:w="582" w:type="pct"/>
                  <w:vAlign w:val="center"/>
                </w:tcPr>
                <w:p w14:paraId="3476F137">
                  <w:pPr>
                    <w:pStyle w:val="30"/>
                    <w:rPr>
                      <w:color w:val="auto"/>
                      <w:highlight w:val="none"/>
                    </w:rPr>
                  </w:pPr>
                  <w:r>
                    <w:rPr>
                      <w:color w:val="auto"/>
                      <w:highlight w:val="none"/>
                    </w:rPr>
                    <w:t>/</w:t>
                  </w:r>
                </w:p>
              </w:tc>
              <w:tc>
                <w:tcPr>
                  <w:tcW w:w="473" w:type="pct"/>
                  <w:vAlign w:val="center"/>
                </w:tcPr>
                <w:p w14:paraId="132EE4B5">
                  <w:pPr>
                    <w:pStyle w:val="30"/>
                    <w:rPr>
                      <w:color w:val="auto"/>
                      <w:highlight w:val="none"/>
                    </w:rPr>
                  </w:pPr>
                  <w:r>
                    <w:rPr>
                      <w:color w:val="auto"/>
                      <w:highlight w:val="none"/>
                    </w:rPr>
                    <w:t>/</w:t>
                  </w:r>
                </w:p>
              </w:tc>
              <w:tc>
                <w:tcPr>
                  <w:tcW w:w="355" w:type="pct"/>
                  <w:vAlign w:val="center"/>
                </w:tcPr>
                <w:p w14:paraId="1ECCD63A">
                  <w:pPr>
                    <w:pStyle w:val="30"/>
                    <w:rPr>
                      <w:color w:val="auto"/>
                      <w:highlight w:val="none"/>
                    </w:rPr>
                  </w:pPr>
                  <w:r>
                    <w:rPr>
                      <w:color w:val="auto"/>
                      <w:highlight w:val="none"/>
                    </w:rPr>
                    <w:t>/</w:t>
                  </w:r>
                </w:p>
              </w:tc>
              <w:tc>
                <w:tcPr>
                  <w:tcW w:w="444" w:type="pct"/>
                  <w:vAlign w:val="center"/>
                </w:tcPr>
                <w:p w14:paraId="0C1008D5">
                  <w:pPr>
                    <w:pStyle w:val="30"/>
                    <w:rPr>
                      <w:color w:val="auto"/>
                      <w:highlight w:val="none"/>
                    </w:rPr>
                  </w:pPr>
                  <w:r>
                    <w:rPr>
                      <w:color w:val="auto"/>
                      <w:highlight w:val="none"/>
                    </w:rPr>
                    <w:t>/</w:t>
                  </w:r>
                </w:p>
              </w:tc>
            </w:tr>
            <w:tr w14:paraId="6483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0"/>
                  <w:vAlign w:val="center"/>
                </w:tcPr>
                <w:p w14:paraId="018D7DB3">
                  <w:pPr>
                    <w:pStyle w:val="30"/>
                    <w:jc w:val="both"/>
                    <w:rPr>
                      <w:rFonts w:hint="eastAsia" w:eastAsia="宋体"/>
                      <w:color w:val="auto"/>
                      <w:highlight w:val="none"/>
                      <w:lang w:eastAsia="zh-CN"/>
                    </w:rPr>
                  </w:pPr>
                  <w:r>
                    <w:rPr>
                      <w:rFonts w:hint="eastAsia"/>
                      <w:color w:val="auto"/>
                      <w:sz w:val="16"/>
                      <w:szCs w:val="16"/>
                      <w:highlight w:val="none"/>
                      <w:lang w:eastAsia="zh-CN"/>
                    </w:rPr>
                    <w:t>注：未检出数值以“＜检出限”计。</w:t>
                  </w:r>
                </w:p>
              </w:tc>
            </w:tr>
          </w:tbl>
          <w:p w14:paraId="0E468D42">
            <w:pPr>
              <w:ind w:firstLine="480" w:firstLineChars="200"/>
              <w:rPr>
                <w:color w:val="auto"/>
                <w:highlight w:val="none"/>
              </w:rPr>
            </w:pPr>
            <w:r>
              <w:rPr>
                <w:color w:val="auto"/>
                <w:highlight w:val="none"/>
              </w:rPr>
              <w:t>综上，评价区域内评价因子非甲烷总烃浓度能够满足《大气</w:t>
            </w:r>
            <w:r>
              <w:rPr>
                <w:rFonts w:hint="eastAsia"/>
                <w:color w:val="auto"/>
                <w:highlight w:val="none"/>
              </w:rPr>
              <w:t>污染物</w:t>
            </w:r>
            <w:r>
              <w:rPr>
                <w:color w:val="auto"/>
                <w:highlight w:val="none"/>
              </w:rPr>
              <w:t>综合排放标准详解》相关浓度限值，TSP浓度满足《环境空气质量标准》</w:t>
            </w:r>
            <w:r>
              <w:rPr>
                <w:rFonts w:hint="eastAsia"/>
                <w:color w:val="auto"/>
                <w:highlight w:val="none"/>
                <w:lang w:eastAsia="zh-CN"/>
              </w:rPr>
              <w:t>（</w:t>
            </w:r>
            <w:r>
              <w:rPr>
                <w:color w:val="auto"/>
                <w:highlight w:val="none"/>
              </w:rPr>
              <w:t>GB3095-2012</w:t>
            </w:r>
            <w:r>
              <w:rPr>
                <w:rFonts w:hint="eastAsia"/>
                <w:color w:val="auto"/>
                <w:highlight w:val="none"/>
                <w:lang w:eastAsia="zh-CN"/>
              </w:rPr>
              <w:t>）</w:t>
            </w:r>
            <w:r>
              <w:rPr>
                <w:color w:val="auto"/>
                <w:highlight w:val="none"/>
              </w:rPr>
              <w:t>中二级标准限值，说明评价区域内环境空气质量现状总体良好。</w:t>
            </w:r>
          </w:p>
          <w:p w14:paraId="1FD56BCE">
            <w:pPr>
              <w:rPr>
                <w:color w:val="auto"/>
                <w:highlight w:val="none"/>
              </w:rPr>
            </w:pPr>
            <w:r>
              <w:rPr>
                <w:rFonts w:hint="eastAsia"/>
                <w:color w:val="auto"/>
                <w:highlight w:val="none"/>
              </w:rPr>
              <w:t>2、地表水环境质量</w:t>
            </w:r>
          </w:p>
          <w:p w14:paraId="67365661">
            <w:pPr>
              <w:ind w:firstLine="480" w:firstLineChars="200"/>
              <w:rPr>
                <w:color w:val="auto"/>
                <w:highlight w:val="none"/>
              </w:rPr>
            </w:pPr>
            <w:r>
              <w:rPr>
                <w:rFonts w:hint="eastAsia"/>
                <w:color w:val="auto"/>
                <w:highlight w:val="none"/>
              </w:rPr>
              <w:t>根据《建设项目环境影响报告表编制技术指南（污染影响类）（试行）》，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72D95F0D">
            <w:pPr>
              <w:bidi w:val="0"/>
              <w:ind w:firstLine="480" w:firstLineChars="200"/>
              <w:rPr>
                <w:color w:val="auto"/>
                <w:highlight w:val="none"/>
              </w:rPr>
            </w:pPr>
            <w:r>
              <w:rPr>
                <w:rFonts w:hint="eastAsia"/>
                <w:color w:val="auto"/>
                <w:highlight w:val="none"/>
              </w:rPr>
              <w:t>2024年，全市地表水24个监测断面中优良水质比例为91.7%，比上年下降了4.1个百分点，IV类水质比例8.3%，总体水质状况优。</w:t>
            </w:r>
          </w:p>
          <w:p w14:paraId="10284166">
            <w:pPr>
              <w:bidi w:val="0"/>
              <w:ind w:firstLine="480" w:firstLineChars="200"/>
              <w:rPr>
                <w:rFonts w:hint="eastAsia"/>
                <w:color w:val="auto"/>
                <w:highlight w:val="none"/>
              </w:rPr>
            </w:pPr>
            <w:r>
              <w:rPr>
                <w:rFonts w:hint="eastAsia"/>
                <w:color w:val="auto"/>
                <w:highlight w:val="none"/>
              </w:rPr>
              <w:t>8个国控断面中优良水质比例为87.5%，IV类水质比例12.5%，水质总体状况良好</w:t>
            </w:r>
            <w:r>
              <w:rPr>
                <w:rFonts w:hint="eastAsia"/>
                <w:color w:val="auto"/>
                <w:highlight w:val="none"/>
                <w:lang w:eastAsia="zh-CN"/>
              </w:rPr>
              <w:t>；</w:t>
            </w:r>
            <w:r>
              <w:rPr>
                <w:rFonts w:hint="eastAsia"/>
                <w:color w:val="auto"/>
                <w:highlight w:val="none"/>
              </w:rPr>
              <w:t>11个省控断面中优良水质比例为90.9%，水质总体状况优。</w:t>
            </w:r>
          </w:p>
          <w:p w14:paraId="51CEDF98">
            <w:pPr>
              <w:bidi w:val="0"/>
              <w:ind w:firstLine="480" w:firstLineChars="200"/>
              <w:rPr>
                <w:rFonts w:hint="eastAsia"/>
                <w:color w:val="auto"/>
                <w:highlight w:val="none"/>
              </w:rPr>
            </w:pPr>
            <w:r>
              <w:rPr>
                <w:rFonts w:hint="eastAsia"/>
                <w:color w:val="auto"/>
                <w:highlight w:val="none"/>
              </w:rPr>
              <w:t>河流</w:t>
            </w:r>
            <w:r>
              <w:rPr>
                <w:rFonts w:hint="eastAsia"/>
                <w:color w:val="auto"/>
                <w:highlight w:val="none"/>
                <w:lang w:eastAsia="zh-CN"/>
              </w:rPr>
              <w:t>：</w:t>
            </w:r>
            <w:r>
              <w:rPr>
                <w:rFonts w:hint="eastAsia"/>
                <w:color w:val="auto"/>
                <w:highlight w:val="none"/>
              </w:rPr>
              <w:t>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w:t>
            </w:r>
            <w:r>
              <w:rPr>
                <w:rFonts w:hint="eastAsia"/>
                <w:color w:val="auto"/>
                <w:highlight w:val="none"/>
                <w:lang w:eastAsia="zh-CN"/>
              </w:rPr>
              <w:t>（</w:t>
            </w:r>
            <w:r>
              <w:rPr>
                <w:rFonts w:hint="eastAsia"/>
                <w:color w:val="auto"/>
                <w:highlight w:val="none"/>
              </w:rPr>
              <w:t>Ⅲ类→Ⅱ类</w:t>
            </w:r>
            <w:r>
              <w:rPr>
                <w:rFonts w:hint="eastAsia"/>
                <w:color w:val="auto"/>
                <w:highlight w:val="none"/>
                <w:lang w:eastAsia="zh-CN"/>
              </w:rPr>
              <w:t>）</w:t>
            </w:r>
            <w:r>
              <w:rPr>
                <w:rFonts w:hint="eastAsia"/>
                <w:color w:val="auto"/>
                <w:highlight w:val="none"/>
              </w:rPr>
              <w:t>，五里闸</w:t>
            </w:r>
            <w:r>
              <w:rPr>
                <w:rFonts w:hint="eastAsia"/>
                <w:color w:val="auto"/>
                <w:highlight w:val="none"/>
                <w:lang w:eastAsia="zh-CN"/>
              </w:rPr>
              <w:t>（</w:t>
            </w:r>
            <w:r>
              <w:rPr>
                <w:rFonts w:hint="eastAsia"/>
                <w:color w:val="auto"/>
                <w:highlight w:val="none"/>
              </w:rPr>
              <w:t>II类→Ⅲ类</w:t>
            </w:r>
            <w:r>
              <w:rPr>
                <w:rFonts w:hint="eastAsia"/>
                <w:color w:val="auto"/>
                <w:highlight w:val="none"/>
                <w:lang w:eastAsia="zh-CN"/>
              </w:rPr>
              <w:t>）</w:t>
            </w:r>
            <w:r>
              <w:rPr>
                <w:rFonts w:hint="eastAsia"/>
                <w:color w:val="auto"/>
                <w:highlight w:val="none"/>
              </w:rPr>
              <w:t>和西淝河闸下</w:t>
            </w:r>
            <w:r>
              <w:rPr>
                <w:rFonts w:hint="eastAsia"/>
                <w:color w:val="auto"/>
                <w:highlight w:val="none"/>
                <w:lang w:eastAsia="zh-CN"/>
              </w:rPr>
              <w:t>（</w:t>
            </w:r>
            <w:r>
              <w:rPr>
                <w:rFonts w:hint="eastAsia"/>
                <w:color w:val="auto"/>
                <w:highlight w:val="none"/>
              </w:rPr>
              <w:t>II类→Ⅲ类</w:t>
            </w:r>
            <w:r>
              <w:rPr>
                <w:rFonts w:hint="eastAsia"/>
                <w:color w:val="auto"/>
                <w:highlight w:val="none"/>
                <w:lang w:eastAsia="zh-CN"/>
              </w:rPr>
              <w:t>）</w:t>
            </w:r>
            <w:r>
              <w:rPr>
                <w:rFonts w:hint="eastAsia"/>
                <w:color w:val="auto"/>
                <w:highlight w:val="none"/>
              </w:rPr>
              <w:t>水质均有所下降，其他断面水质保持稳定。</w:t>
            </w:r>
          </w:p>
          <w:p w14:paraId="01FB70AB">
            <w:pPr>
              <w:bidi w:val="0"/>
              <w:ind w:firstLine="480" w:firstLineChars="200"/>
              <w:rPr>
                <w:rFonts w:hint="eastAsia"/>
                <w:color w:val="auto"/>
                <w:highlight w:val="none"/>
              </w:rPr>
            </w:pPr>
            <w:r>
              <w:rPr>
                <w:rFonts w:hint="eastAsia"/>
                <w:color w:val="auto"/>
                <w:highlight w:val="none"/>
              </w:rPr>
              <w:t>湖库</w:t>
            </w:r>
            <w:r>
              <w:rPr>
                <w:rFonts w:hint="eastAsia"/>
                <w:color w:val="auto"/>
                <w:highlight w:val="none"/>
                <w:lang w:eastAsia="zh-CN"/>
              </w:rPr>
              <w:t>：</w:t>
            </w:r>
            <w:r>
              <w:rPr>
                <w:rFonts w:hint="eastAsia"/>
                <w:color w:val="auto"/>
                <w:highlight w:val="none"/>
              </w:rPr>
              <w:t>瓦埠湖和焦岗湖点位水质年均值符合Ⅲ类标准，水质状况为良好;高塘湖和安丰塘点位水质年均值符合IV类标准，水质轻度污染，主要污染指标为总磷。安丰塘营养状态为中营养，焦岗湖、高塘湖和瓦埠湖营养状态均为轻度富营养。与上年相比，安丰塘点位水质类别由Ⅲ类下降为IV类，瓦埠湖、高塘湖和焦岗湖点位水质类别保持稳定。</w:t>
            </w:r>
          </w:p>
          <w:p w14:paraId="3FC28069">
            <w:pPr>
              <w:rPr>
                <w:color w:val="auto"/>
                <w:highlight w:val="none"/>
              </w:rPr>
            </w:pPr>
            <w:r>
              <w:rPr>
                <w:rFonts w:hint="eastAsia"/>
                <w:color w:val="auto"/>
                <w:highlight w:val="none"/>
              </w:rPr>
              <w:t>3、声环境</w:t>
            </w:r>
          </w:p>
          <w:p w14:paraId="27A69CD0">
            <w:pPr>
              <w:ind w:firstLine="480" w:firstLineChars="200"/>
              <w:rPr>
                <w:color w:val="auto"/>
                <w:highlight w:val="none"/>
              </w:rPr>
            </w:pPr>
            <w:r>
              <w:rPr>
                <w:rFonts w:hint="eastAsia"/>
                <w:color w:val="auto"/>
                <w:highlight w:val="none"/>
              </w:rPr>
              <w:t>本项目位于</w:t>
            </w:r>
            <w:r>
              <w:rPr>
                <w:rFonts w:hint="eastAsia"/>
                <w:color w:val="auto"/>
                <w:highlight w:val="none"/>
                <w:lang w:eastAsia="zh-CN"/>
              </w:rPr>
              <w:t>淮南市田家庵区安成镇王巷村和下陈社区境内淮潘公路南侧</w:t>
            </w:r>
            <w:r>
              <w:rPr>
                <w:rFonts w:hint="eastAsia"/>
                <w:color w:val="auto"/>
                <w:highlight w:val="none"/>
              </w:rPr>
              <w:t>，</w:t>
            </w:r>
            <w:r>
              <w:rPr>
                <w:color w:val="auto"/>
                <w:highlight w:val="none"/>
              </w:rPr>
              <w:t>项目厂界外50米范围内</w:t>
            </w:r>
            <w:r>
              <w:rPr>
                <w:rFonts w:hint="eastAsia"/>
                <w:color w:val="auto"/>
                <w:highlight w:val="none"/>
              </w:rPr>
              <w:t>存在</w:t>
            </w:r>
            <w:r>
              <w:rPr>
                <w:color w:val="auto"/>
                <w:highlight w:val="none"/>
              </w:rPr>
              <w:t>声环境保护目标</w:t>
            </w:r>
            <w:r>
              <w:rPr>
                <w:rFonts w:hint="eastAsia"/>
                <w:color w:val="auto"/>
                <w:highlight w:val="none"/>
              </w:rPr>
              <w:t>，为</w:t>
            </w:r>
            <w:r>
              <w:rPr>
                <w:rFonts w:hint="eastAsia"/>
                <w:color w:val="auto"/>
                <w:highlight w:val="none"/>
                <w:lang w:eastAsia="zh-CN"/>
              </w:rPr>
              <w:t>项目东</w:t>
            </w:r>
            <w:r>
              <w:rPr>
                <w:rFonts w:hint="eastAsia"/>
                <w:color w:val="auto"/>
                <w:highlight w:val="none"/>
              </w:rPr>
              <w:t>侧的</w:t>
            </w:r>
            <w:r>
              <w:rPr>
                <w:rFonts w:hint="eastAsia"/>
                <w:color w:val="auto"/>
                <w:highlight w:val="none"/>
                <w:lang w:eastAsia="zh-CN"/>
              </w:rPr>
              <w:t>下陈村（距离</w:t>
            </w:r>
            <w:r>
              <w:rPr>
                <w:rFonts w:hint="eastAsia"/>
                <w:color w:val="auto"/>
                <w:highlight w:val="none"/>
                <w:lang w:val="en-US" w:eastAsia="zh-CN"/>
              </w:rPr>
              <w:t>5m</w:t>
            </w:r>
            <w:r>
              <w:rPr>
                <w:rFonts w:hint="eastAsia"/>
                <w:color w:val="auto"/>
                <w:highlight w:val="none"/>
                <w:lang w:eastAsia="zh-CN"/>
              </w:rPr>
              <w:t>）</w:t>
            </w:r>
            <w:r>
              <w:rPr>
                <w:rFonts w:hint="eastAsia"/>
                <w:color w:val="auto"/>
                <w:highlight w:val="none"/>
              </w:rPr>
              <w:t>，本项目</w:t>
            </w:r>
            <w:r>
              <w:rPr>
                <w:color w:val="auto"/>
                <w:highlight w:val="none"/>
              </w:rPr>
              <w:t>委托</w:t>
            </w:r>
            <w:r>
              <w:rPr>
                <w:rFonts w:hint="eastAsia"/>
                <w:color w:val="auto"/>
                <w:sz w:val="24"/>
                <w:szCs w:val="24"/>
                <w:highlight w:val="none"/>
              </w:rPr>
              <w:t>江苏国析检测技术有限公司</w:t>
            </w:r>
            <w:r>
              <w:rPr>
                <w:color w:val="auto"/>
                <w:highlight w:val="none"/>
              </w:rPr>
              <w:t>于</w:t>
            </w:r>
            <w:r>
              <w:rPr>
                <w:rFonts w:hint="eastAsia"/>
                <w:color w:val="auto"/>
                <w:highlight w:val="none"/>
                <w:lang w:val="en-US" w:eastAsia="zh-CN"/>
              </w:rPr>
              <w:t>2025</w:t>
            </w:r>
            <w:r>
              <w:rPr>
                <w:color w:val="auto"/>
                <w:highlight w:val="none"/>
              </w:rPr>
              <w:t>年</w:t>
            </w:r>
            <w:r>
              <w:rPr>
                <w:rFonts w:hint="eastAsia"/>
                <w:color w:val="auto"/>
                <w:highlight w:val="none"/>
                <w:lang w:val="en-US" w:eastAsia="zh-CN"/>
              </w:rPr>
              <w:t>5</w:t>
            </w:r>
            <w:r>
              <w:rPr>
                <w:color w:val="auto"/>
                <w:highlight w:val="none"/>
              </w:rPr>
              <w:t>月</w:t>
            </w:r>
            <w:r>
              <w:rPr>
                <w:rFonts w:hint="eastAsia"/>
                <w:color w:val="auto"/>
                <w:highlight w:val="none"/>
                <w:lang w:val="en-US" w:eastAsia="zh-CN"/>
              </w:rPr>
              <w:t>25</w:t>
            </w:r>
            <w:r>
              <w:rPr>
                <w:color w:val="auto"/>
                <w:highlight w:val="none"/>
              </w:rPr>
              <w:t>日对</w:t>
            </w:r>
            <w:r>
              <w:rPr>
                <w:rFonts w:hint="eastAsia"/>
                <w:color w:val="auto"/>
                <w:highlight w:val="none"/>
                <w:lang w:eastAsia="zh-CN"/>
              </w:rPr>
              <w:t>厂界及</w:t>
            </w:r>
            <w:r>
              <w:rPr>
                <w:rFonts w:hint="eastAsia"/>
                <w:color w:val="auto"/>
                <w:highlight w:val="none"/>
              </w:rPr>
              <w:t>环境保护目标</w:t>
            </w:r>
            <w:r>
              <w:rPr>
                <w:color w:val="auto"/>
                <w:highlight w:val="none"/>
              </w:rPr>
              <w:t>进行</w:t>
            </w:r>
            <w:r>
              <w:rPr>
                <w:rFonts w:hint="eastAsia"/>
                <w:color w:val="auto"/>
                <w:highlight w:val="none"/>
                <w:lang w:eastAsia="zh-CN"/>
              </w:rPr>
              <w:t>噪声</w:t>
            </w:r>
            <w:r>
              <w:rPr>
                <w:color w:val="auto"/>
                <w:highlight w:val="none"/>
              </w:rPr>
              <w:t>监测</w:t>
            </w:r>
            <w:r>
              <w:rPr>
                <w:rFonts w:hint="eastAsia"/>
                <w:color w:val="auto"/>
                <w:highlight w:val="none"/>
              </w:rPr>
              <w:t>，</w:t>
            </w:r>
            <w:r>
              <w:rPr>
                <w:color w:val="auto"/>
                <w:highlight w:val="none"/>
              </w:rPr>
              <w:t>监测结果如下表</w:t>
            </w:r>
            <w:r>
              <w:rPr>
                <w:rFonts w:hint="eastAsia"/>
                <w:color w:val="auto"/>
                <w:highlight w:val="none"/>
              </w:rPr>
              <w:t>：</w:t>
            </w:r>
          </w:p>
          <w:p w14:paraId="4D35B816">
            <w:pPr>
              <w:pStyle w:val="6"/>
              <w:rPr>
                <w:color w:val="auto"/>
                <w:highlight w:val="none"/>
              </w:rPr>
            </w:pPr>
            <w:bookmarkStart w:id="21" w:name="OLE_LINK27"/>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 xml:space="preserve"> 噪声监测结果统计表</w:t>
            </w:r>
            <w:bookmarkEnd w:id="21"/>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2784"/>
              <w:gridCol w:w="2785"/>
            </w:tblGrid>
            <w:tr w14:paraId="3BCC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1" w:type="dxa"/>
                  <w:vMerge w:val="restart"/>
                  <w:vAlign w:val="center"/>
                </w:tcPr>
                <w:p w14:paraId="1028B85B">
                  <w:pPr>
                    <w:pStyle w:val="30"/>
                    <w:rPr>
                      <w:color w:val="auto"/>
                      <w:highlight w:val="none"/>
                    </w:rPr>
                  </w:pPr>
                  <w:r>
                    <w:rPr>
                      <w:rFonts w:hint="eastAsia"/>
                      <w:color w:val="auto"/>
                      <w:highlight w:val="none"/>
                      <w:lang w:eastAsia="zh-CN"/>
                    </w:rPr>
                    <w:t>检</w:t>
                  </w:r>
                  <w:r>
                    <w:rPr>
                      <w:rFonts w:hint="eastAsia"/>
                      <w:color w:val="auto"/>
                      <w:highlight w:val="none"/>
                    </w:rPr>
                    <w:t>测点名称</w:t>
                  </w:r>
                </w:p>
              </w:tc>
              <w:tc>
                <w:tcPr>
                  <w:tcW w:w="5566" w:type="dxa"/>
                  <w:gridSpan w:val="2"/>
                  <w:vAlign w:val="center"/>
                </w:tcPr>
                <w:p w14:paraId="0058770A">
                  <w:pPr>
                    <w:pStyle w:val="30"/>
                    <w:rPr>
                      <w:color w:val="auto"/>
                      <w:highlight w:val="none"/>
                    </w:rPr>
                  </w:pPr>
                  <w:r>
                    <w:rPr>
                      <w:rFonts w:hint="eastAsia"/>
                      <w:color w:val="auto"/>
                      <w:highlight w:val="none"/>
                    </w:rPr>
                    <w:t>测量时间：</w:t>
                  </w:r>
                  <w:r>
                    <w:rPr>
                      <w:rFonts w:hint="eastAsia"/>
                      <w:color w:val="auto"/>
                      <w:highlight w:val="none"/>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25</w:t>
                  </w:r>
                  <w:r>
                    <w:rPr>
                      <w:rFonts w:hint="eastAsia"/>
                      <w:color w:val="auto"/>
                      <w:highlight w:val="none"/>
                    </w:rPr>
                    <w:t>日</w:t>
                  </w:r>
                </w:p>
              </w:tc>
            </w:tr>
            <w:tr w14:paraId="4F3B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1" w:type="dxa"/>
                  <w:vMerge w:val="continue"/>
                  <w:vAlign w:val="center"/>
                </w:tcPr>
                <w:p w14:paraId="6A0C0575">
                  <w:pPr>
                    <w:pStyle w:val="30"/>
                    <w:rPr>
                      <w:color w:val="auto"/>
                      <w:highlight w:val="none"/>
                    </w:rPr>
                  </w:pPr>
                </w:p>
              </w:tc>
              <w:tc>
                <w:tcPr>
                  <w:tcW w:w="2783" w:type="dxa"/>
                  <w:vAlign w:val="center"/>
                </w:tcPr>
                <w:p w14:paraId="45738150">
                  <w:pPr>
                    <w:pStyle w:val="30"/>
                    <w:rPr>
                      <w:color w:val="auto"/>
                      <w:highlight w:val="none"/>
                    </w:rPr>
                  </w:pPr>
                  <w:r>
                    <w:rPr>
                      <w:rFonts w:hint="eastAsia"/>
                      <w:color w:val="auto"/>
                      <w:highlight w:val="none"/>
                    </w:rPr>
                    <w:t>昼间dB（A）</w:t>
                  </w:r>
                </w:p>
              </w:tc>
              <w:tc>
                <w:tcPr>
                  <w:tcW w:w="2783" w:type="dxa"/>
                  <w:vAlign w:val="center"/>
                </w:tcPr>
                <w:p w14:paraId="5938F358">
                  <w:pPr>
                    <w:pStyle w:val="30"/>
                    <w:rPr>
                      <w:color w:val="auto"/>
                      <w:highlight w:val="none"/>
                    </w:rPr>
                  </w:pPr>
                  <w:r>
                    <w:rPr>
                      <w:rFonts w:hint="eastAsia"/>
                      <w:color w:val="auto"/>
                      <w:highlight w:val="none"/>
                    </w:rPr>
                    <w:t>夜间dB（A）</w:t>
                  </w:r>
                </w:p>
              </w:tc>
            </w:tr>
            <w:tr w14:paraId="6F4D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1" w:type="dxa"/>
                  <w:vAlign w:val="center"/>
                </w:tcPr>
                <w:p w14:paraId="4A42B6F5">
                  <w:pPr>
                    <w:pStyle w:val="30"/>
                    <w:rPr>
                      <w:rFonts w:hint="default" w:eastAsia="宋体"/>
                      <w:color w:val="auto"/>
                      <w:highlight w:val="none"/>
                      <w:lang w:val="en-US" w:eastAsia="zh-CN"/>
                    </w:rPr>
                  </w:pPr>
                  <w:r>
                    <w:rPr>
                      <w:rFonts w:hint="eastAsia"/>
                      <w:color w:val="auto"/>
                      <w:highlight w:val="none"/>
                      <w:lang w:eastAsia="zh-CN"/>
                    </w:rPr>
                    <w:t>项目东厂界</w:t>
                  </w:r>
                </w:p>
              </w:tc>
              <w:tc>
                <w:tcPr>
                  <w:tcW w:w="2783" w:type="dxa"/>
                  <w:vAlign w:val="center"/>
                </w:tcPr>
                <w:p w14:paraId="34231FC4">
                  <w:pPr>
                    <w:pStyle w:val="30"/>
                    <w:rPr>
                      <w:rFonts w:hint="default" w:eastAsia="宋体"/>
                      <w:color w:val="auto"/>
                      <w:highlight w:val="none"/>
                      <w:lang w:val="en-US" w:eastAsia="zh-CN"/>
                    </w:rPr>
                  </w:pPr>
                  <w:r>
                    <w:rPr>
                      <w:rFonts w:hint="eastAsia"/>
                      <w:color w:val="auto"/>
                      <w:highlight w:val="none"/>
                      <w:lang w:val="en-US" w:eastAsia="zh-CN"/>
                    </w:rPr>
                    <w:t>52.0</w:t>
                  </w:r>
                </w:p>
              </w:tc>
              <w:tc>
                <w:tcPr>
                  <w:tcW w:w="2783" w:type="dxa"/>
                  <w:vAlign w:val="center"/>
                </w:tcPr>
                <w:p w14:paraId="6143AAFE">
                  <w:pPr>
                    <w:pStyle w:val="30"/>
                    <w:rPr>
                      <w:rFonts w:hint="default" w:eastAsia="宋体"/>
                      <w:color w:val="auto"/>
                      <w:highlight w:val="none"/>
                      <w:lang w:val="en-US" w:eastAsia="zh-CN"/>
                    </w:rPr>
                  </w:pPr>
                  <w:r>
                    <w:rPr>
                      <w:rFonts w:hint="eastAsia"/>
                      <w:color w:val="auto"/>
                      <w:highlight w:val="none"/>
                      <w:lang w:val="en-US" w:eastAsia="zh-CN"/>
                    </w:rPr>
                    <w:t>45.9</w:t>
                  </w:r>
                </w:p>
              </w:tc>
            </w:tr>
            <w:tr w14:paraId="5B9C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1" w:type="dxa"/>
                  <w:vAlign w:val="center"/>
                </w:tcPr>
                <w:p w14:paraId="4ABA7C7B">
                  <w:pPr>
                    <w:pStyle w:val="30"/>
                    <w:rPr>
                      <w:rFonts w:hint="default" w:eastAsia="宋体"/>
                      <w:color w:val="auto"/>
                      <w:highlight w:val="none"/>
                      <w:lang w:val="en-US" w:eastAsia="zh-CN"/>
                    </w:rPr>
                  </w:pPr>
                  <w:r>
                    <w:rPr>
                      <w:rFonts w:hint="eastAsia"/>
                      <w:color w:val="auto"/>
                      <w:highlight w:val="none"/>
                      <w:lang w:eastAsia="zh-CN"/>
                    </w:rPr>
                    <w:t>项目南厂界</w:t>
                  </w:r>
                </w:p>
              </w:tc>
              <w:tc>
                <w:tcPr>
                  <w:tcW w:w="2783" w:type="dxa"/>
                  <w:vAlign w:val="center"/>
                </w:tcPr>
                <w:p w14:paraId="6A7C6659">
                  <w:pPr>
                    <w:pStyle w:val="30"/>
                    <w:rPr>
                      <w:rFonts w:hint="default" w:eastAsia="宋体"/>
                      <w:color w:val="auto"/>
                      <w:highlight w:val="none"/>
                      <w:lang w:val="en-US" w:eastAsia="zh-CN"/>
                    </w:rPr>
                  </w:pPr>
                  <w:r>
                    <w:rPr>
                      <w:rFonts w:hint="eastAsia"/>
                      <w:color w:val="auto"/>
                      <w:highlight w:val="none"/>
                      <w:lang w:val="en-US" w:eastAsia="zh-CN"/>
                    </w:rPr>
                    <w:t>50.0</w:t>
                  </w:r>
                </w:p>
              </w:tc>
              <w:tc>
                <w:tcPr>
                  <w:tcW w:w="2783" w:type="dxa"/>
                  <w:vAlign w:val="center"/>
                </w:tcPr>
                <w:p w14:paraId="4FF42165">
                  <w:pPr>
                    <w:pStyle w:val="30"/>
                    <w:rPr>
                      <w:rFonts w:hint="default" w:eastAsia="宋体"/>
                      <w:color w:val="auto"/>
                      <w:highlight w:val="none"/>
                      <w:lang w:val="en-US" w:eastAsia="zh-CN"/>
                    </w:rPr>
                  </w:pPr>
                  <w:r>
                    <w:rPr>
                      <w:rFonts w:hint="eastAsia"/>
                      <w:color w:val="auto"/>
                      <w:highlight w:val="none"/>
                    </w:rPr>
                    <w:t>45</w:t>
                  </w:r>
                  <w:r>
                    <w:rPr>
                      <w:rFonts w:hint="eastAsia"/>
                      <w:color w:val="auto"/>
                      <w:highlight w:val="none"/>
                      <w:lang w:val="en-US" w:eastAsia="zh-CN"/>
                    </w:rPr>
                    <w:t>.0</w:t>
                  </w:r>
                </w:p>
              </w:tc>
            </w:tr>
            <w:tr w14:paraId="110F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1" w:type="dxa"/>
                  <w:vAlign w:val="center"/>
                </w:tcPr>
                <w:p w14:paraId="02B079D6">
                  <w:pPr>
                    <w:pStyle w:val="30"/>
                    <w:rPr>
                      <w:color w:val="auto"/>
                      <w:highlight w:val="none"/>
                    </w:rPr>
                  </w:pPr>
                  <w:r>
                    <w:rPr>
                      <w:rFonts w:hint="eastAsia"/>
                      <w:color w:val="auto"/>
                      <w:highlight w:val="none"/>
                      <w:lang w:eastAsia="zh-CN"/>
                    </w:rPr>
                    <w:t>项目西厂界</w:t>
                  </w:r>
                </w:p>
              </w:tc>
              <w:tc>
                <w:tcPr>
                  <w:tcW w:w="2783" w:type="dxa"/>
                  <w:vAlign w:val="center"/>
                </w:tcPr>
                <w:p w14:paraId="2C8FD5EA">
                  <w:pPr>
                    <w:pStyle w:val="30"/>
                    <w:rPr>
                      <w:rFonts w:hint="default" w:eastAsia="宋体"/>
                      <w:color w:val="auto"/>
                      <w:highlight w:val="none"/>
                      <w:lang w:val="en-US" w:eastAsia="zh-CN"/>
                    </w:rPr>
                  </w:pPr>
                  <w:r>
                    <w:rPr>
                      <w:rFonts w:hint="eastAsia"/>
                      <w:color w:val="auto"/>
                      <w:highlight w:val="none"/>
                      <w:lang w:val="en-US" w:eastAsia="zh-CN"/>
                    </w:rPr>
                    <w:t>52.3</w:t>
                  </w:r>
                </w:p>
              </w:tc>
              <w:tc>
                <w:tcPr>
                  <w:tcW w:w="2783" w:type="dxa"/>
                  <w:vAlign w:val="center"/>
                </w:tcPr>
                <w:p w14:paraId="55384934">
                  <w:pPr>
                    <w:pStyle w:val="30"/>
                    <w:rPr>
                      <w:rFonts w:hint="default" w:eastAsia="宋体"/>
                      <w:color w:val="auto"/>
                      <w:highlight w:val="none"/>
                      <w:lang w:val="en-US" w:eastAsia="zh-CN"/>
                    </w:rPr>
                  </w:pPr>
                  <w:r>
                    <w:rPr>
                      <w:rFonts w:hint="eastAsia"/>
                      <w:color w:val="auto"/>
                      <w:highlight w:val="none"/>
                      <w:lang w:val="en-US" w:eastAsia="zh-CN"/>
                    </w:rPr>
                    <w:t>44.0</w:t>
                  </w:r>
                </w:p>
              </w:tc>
            </w:tr>
            <w:tr w14:paraId="047D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1" w:type="dxa"/>
                  <w:vAlign w:val="center"/>
                </w:tcPr>
                <w:p w14:paraId="1D936731">
                  <w:pPr>
                    <w:pStyle w:val="30"/>
                    <w:rPr>
                      <w:color w:val="auto"/>
                      <w:highlight w:val="none"/>
                    </w:rPr>
                  </w:pPr>
                  <w:r>
                    <w:rPr>
                      <w:rFonts w:hint="eastAsia"/>
                      <w:color w:val="auto"/>
                      <w:highlight w:val="none"/>
                      <w:lang w:eastAsia="zh-CN"/>
                    </w:rPr>
                    <w:t>项目北厂界</w:t>
                  </w:r>
                </w:p>
              </w:tc>
              <w:tc>
                <w:tcPr>
                  <w:tcW w:w="2783" w:type="dxa"/>
                  <w:vAlign w:val="center"/>
                </w:tcPr>
                <w:p w14:paraId="0F6CD947">
                  <w:pPr>
                    <w:pStyle w:val="30"/>
                    <w:rPr>
                      <w:rFonts w:hint="default" w:eastAsia="宋体"/>
                      <w:color w:val="auto"/>
                      <w:highlight w:val="none"/>
                      <w:lang w:val="en-US" w:eastAsia="zh-CN"/>
                    </w:rPr>
                  </w:pPr>
                  <w:r>
                    <w:rPr>
                      <w:rFonts w:hint="eastAsia"/>
                      <w:color w:val="auto"/>
                      <w:highlight w:val="none"/>
                      <w:lang w:val="en-US" w:eastAsia="zh-CN"/>
                    </w:rPr>
                    <w:t>52.3</w:t>
                  </w:r>
                </w:p>
              </w:tc>
              <w:tc>
                <w:tcPr>
                  <w:tcW w:w="2783" w:type="dxa"/>
                  <w:vAlign w:val="center"/>
                </w:tcPr>
                <w:p w14:paraId="594E4A19">
                  <w:pPr>
                    <w:pStyle w:val="30"/>
                    <w:rPr>
                      <w:rFonts w:hint="default" w:eastAsia="宋体"/>
                      <w:color w:val="auto"/>
                      <w:highlight w:val="none"/>
                      <w:lang w:val="en-US" w:eastAsia="zh-CN"/>
                    </w:rPr>
                  </w:pPr>
                  <w:r>
                    <w:rPr>
                      <w:rFonts w:hint="eastAsia"/>
                      <w:color w:val="auto"/>
                      <w:highlight w:val="none"/>
                      <w:lang w:val="en-US" w:eastAsia="zh-CN"/>
                    </w:rPr>
                    <w:t>45.4</w:t>
                  </w:r>
                </w:p>
              </w:tc>
            </w:tr>
            <w:tr w14:paraId="0D4B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1" w:type="dxa"/>
                  <w:vAlign w:val="center"/>
                </w:tcPr>
                <w:p w14:paraId="14AFDDF1">
                  <w:pPr>
                    <w:pStyle w:val="30"/>
                    <w:rPr>
                      <w:rFonts w:hint="eastAsia" w:eastAsia="宋体"/>
                      <w:color w:val="auto"/>
                      <w:highlight w:val="none"/>
                      <w:lang w:eastAsia="zh-CN"/>
                    </w:rPr>
                  </w:pPr>
                  <w:r>
                    <w:rPr>
                      <w:rFonts w:hint="eastAsia"/>
                      <w:color w:val="auto"/>
                      <w:highlight w:val="none"/>
                      <w:lang w:eastAsia="zh-CN"/>
                    </w:rPr>
                    <w:t>下陈村</w:t>
                  </w:r>
                </w:p>
              </w:tc>
              <w:tc>
                <w:tcPr>
                  <w:tcW w:w="2783" w:type="dxa"/>
                  <w:vAlign w:val="center"/>
                </w:tcPr>
                <w:p w14:paraId="4227DEBA">
                  <w:pPr>
                    <w:pStyle w:val="30"/>
                    <w:rPr>
                      <w:rFonts w:hint="default" w:eastAsia="宋体"/>
                      <w:color w:val="auto"/>
                      <w:highlight w:val="none"/>
                      <w:lang w:val="en-US" w:eastAsia="zh-CN"/>
                    </w:rPr>
                  </w:pPr>
                  <w:r>
                    <w:rPr>
                      <w:rFonts w:hint="eastAsia"/>
                      <w:color w:val="auto"/>
                      <w:highlight w:val="none"/>
                      <w:lang w:val="en-US" w:eastAsia="zh-CN"/>
                    </w:rPr>
                    <w:t>52.0</w:t>
                  </w:r>
                </w:p>
              </w:tc>
              <w:tc>
                <w:tcPr>
                  <w:tcW w:w="2783" w:type="dxa"/>
                  <w:vAlign w:val="center"/>
                </w:tcPr>
                <w:p w14:paraId="44D8D4C4">
                  <w:pPr>
                    <w:pStyle w:val="30"/>
                    <w:rPr>
                      <w:rFonts w:hint="default" w:eastAsia="宋体"/>
                      <w:color w:val="auto"/>
                      <w:highlight w:val="none"/>
                      <w:lang w:val="en-US" w:eastAsia="zh-CN"/>
                    </w:rPr>
                  </w:pPr>
                  <w:r>
                    <w:rPr>
                      <w:rFonts w:hint="eastAsia"/>
                      <w:color w:val="auto"/>
                      <w:highlight w:val="none"/>
                      <w:lang w:val="en-US" w:eastAsia="zh-CN"/>
                    </w:rPr>
                    <w:t>43.0</w:t>
                  </w:r>
                </w:p>
              </w:tc>
            </w:tr>
          </w:tbl>
          <w:p w14:paraId="0DE0CC0B">
            <w:pPr>
              <w:ind w:firstLine="480" w:firstLineChars="200"/>
              <w:rPr>
                <w:color w:val="auto"/>
                <w:highlight w:val="none"/>
              </w:rPr>
            </w:pPr>
            <w:r>
              <w:rPr>
                <w:color w:val="auto"/>
                <w:highlight w:val="none"/>
              </w:rPr>
              <w:t>根据</w:t>
            </w:r>
            <w:r>
              <w:rPr>
                <w:rFonts w:hint="eastAsia"/>
                <w:color w:val="auto"/>
                <w:highlight w:val="none"/>
              </w:rPr>
              <w:t>监测</w:t>
            </w:r>
            <w:r>
              <w:rPr>
                <w:color w:val="auto"/>
                <w:highlight w:val="none"/>
              </w:rPr>
              <w:t>数据</w:t>
            </w:r>
            <w:r>
              <w:rPr>
                <w:rFonts w:hint="eastAsia"/>
                <w:color w:val="auto"/>
                <w:highlight w:val="none"/>
                <w:lang w:eastAsia="zh-CN"/>
              </w:rPr>
              <w:t>结果，结合淮南市中心城区声环境功能区划图</w:t>
            </w:r>
            <w:r>
              <w:rPr>
                <w:color w:val="auto"/>
                <w:highlight w:val="none"/>
              </w:rPr>
              <w:t>，</w:t>
            </w:r>
            <w:r>
              <w:rPr>
                <w:rFonts w:hint="eastAsia"/>
                <w:color w:val="auto"/>
                <w:highlight w:val="none"/>
              </w:rPr>
              <w:t>本项目</w:t>
            </w:r>
            <w:r>
              <w:rPr>
                <w:color w:val="auto"/>
                <w:highlight w:val="none"/>
              </w:rPr>
              <w:t>厂界</w:t>
            </w:r>
            <w:r>
              <w:rPr>
                <w:rFonts w:hint="eastAsia"/>
                <w:color w:val="auto"/>
                <w:highlight w:val="none"/>
                <w:lang w:eastAsia="zh-CN"/>
              </w:rPr>
              <w:t>东、</w:t>
            </w:r>
            <w:r>
              <w:rPr>
                <w:rFonts w:hint="eastAsia"/>
                <w:color w:val="auto"/>
                <w:highlight w:val="none"/>
              </w:rPr>
              <w:t>西、南</w:t>
            </w:r>
            <w:r>
              <w:rPr>
                <w:color w:val="auto"/>
                <w:highlight w:val="none"/>
              </w:rPr>
              <w:t>侧噪声</w:t>
            </w:r>
            <w:r>
              <w:rPr>
                <w:rFonts w:hint="eastAsia"/>
                <w:color w:val="auto"/>
                <w:highlight w:val="none"/>
                <w:lang w:eastAsia="zh-CN"/>
              </w:rPr>
              <w:t>满足</w:t>
            </w:r>
            <w:r>
              <w:rPr>
                <w:rFonts w:hint="eastAsia"/>
                <w:color w:val="auto"/>
                <w:highlight w:val="none"/>
              </w:rPr>
              <w:t>《声环境质量标准》（GB3096-2008）中</w:t>
            </w:r>
            <w:r>
              <w:rPr>
                <w:rFonts w:hint="eastAsia"/>
                <w:color w:val="auto"/>
                <w:highlight w:val="none"/>
                <w:lang w:val="en-US" w:eastAsia="zh-CN"/>
              </w:rPr>
              <w:t>3</w:t>
            </w:r>
            <w:r>
              <w:rPr>
                <w:rFonts w:hint="eastAsia"/>
                <w:color w:val="auto"/>
                <w:highlight w:val="none"/>
              </w:rPr>
              <w:t>类标准要求</w:t>
            </w:r>
            <w:r>
              <w:rPr>
                <w:color w:val="auto"/>
                <w:highlight w:val="none"/>
              </w:rPr>
              <w:t>；</w:t>
            </w:r>
            <w:r>
              <w:rPr>
                <w:rFonts w:hint="eastAsia"/>
                <w:color w:val="auto"/>
                <w:highlight w:val="none"/>
                <w:lang w:eastAsia="zh-CN"/>
              </w:rPr>
              <w:t>北侧噪声满足</w:t>
            </w:r>
            <w:r>
              <w:rPr>
                <w:rFonts w:hint="eastAsia"/>
                <w:color w:val="auto"/>
                <w:highlight w:val="none"/>
              </w:rPr>
              <w:t>《声环境质量标准》（GB3096-2008）中</w:t>
            </w:r>
            <w:r>
              <w:rPr>
                <w:color w:val="auto"/>
                <w:highlight w:val="none"/>
              </w:rPr>
              <w:t>4</w:t>
            </w:r>
            <w:r>
              <w:rPr>
                <w:rFonts w:hint="eastAsia"/>
                <w:color w:val="auto"/>
                <w:highlight w:val="none"/>
                <w:lang w:val="en-US" w:eastAsia="zh-CN"/>
              </w:rPr>
              <w:t>a</w:t>
            </w:r>
            <w:r>
              <w:rPr>
                <w:color w:val="auto"/>
                <w:highlight w:val="none"/>
              </w:rPr>
              <w:t>类标准</w:t>
            </w:r>
            <w:r>
              <w:rPr>
                <w:rFonts w:hint="eastAsia"/>
                <w:color w:val="auto"/>
                <w:highlight w:val="none"/>
                <w:lang w:eastAsia="zh-CN"/>
              </w:rPr>
              <w:t>，</w:t>
            </w:r>
            <w:r>
              <w:rPr>
                <w:rFonts w:hint="eastAsia"/>
                <w:color w:val="auto"/>
                <w:highlight w:val="none"/>
              </w:rPr>
              <w:t>环境保护目标昼、夜间声环境质量符合《声环境质量标准》（GB3096-2008）中2类标准要求。</w:t>
            </w:r>
          </w:p>
          <w:p w14:paraId="0B6462DD">
            <w:pPr>
              <w:rPr>
                <w:color w:val="auto"/>
                <w:highlight w:val="none"/>
              </w:rPr>
            </w:pPr>
            <w:r>
              <w:rPr>
                <w:rFonts w:hint="eastAsia"/>
                <w:color w:val="auto"/>
                <w:highlight w:val="none"/>
              </w:rPr>
              <w:t>4、生态环境质量现状</w:t>
            </w:r>
          </w:p>
          <w:p w14:paraId="63147B4F">
            <w:pPr>
              <w:ind w:firstLine="480" w:firstLineChars="200"/>
              <w:rPr>
                <w:color w:val="auto"/>
                <w:highlight w:val="none"/>
              </w:rPr>
            </w:pPr>
            <w:r>
              <w:rPr>
                <w:rFonts w:hint="eastAsia"/>
                <w:color w:val="auto"/>
                <w:highlight w:val="none"/>
              </w:rPr>
              <w:t>本项目位于</w:t>
            </w:r>
            <w:r>
              <w:rPr>
                <w:rFonts w:hint="eastAsia"/>
                <w:color w:val="auto"/>
                <w:highlight w:val="none"/>
                <w:lang w:eastAsia="zh-CN"/>
              </w:rPr>
              <w:t>淮南市田家庵区安成镇王巷村和下陈社区境内淮潘公路南侧</w:t>
            </w:r>
            <w:r>
              <w:rPr>
                <w:rFonts w:hint="eastAsia"/>
                <w:color w:val="auto"/>
                <w:highlight w:val="none"/>
              </w:rPr>
              <w:t>，用地范围内不涉及生态环境保护目标，故不进行生态现状调查。</w:t>
            </w:r>
          </w:p>
          <w:p w14:paraId="3371CD6C">
            <w:pPr>
              <w:rPr>
                <w:color w:val="auto"/>
                <w:highlight w:val="none"/>
              </w:rPr>
            </w:pPr>
            <w:r>
              <w:rPr>
                <w:rFonts w:hint="eastAsia"/>
                <w:color w:val="auto"/>
                <w:highlight w:val="none"/>
              </w:rPr>
              <w:t>5、电磁辐射</w:t>
            </w:r>
          </w:p>
          <w:p w14:paraId="48A4D2C7">
            <w:pPr>
              <w:ind w:firstLine="480" w:firstLineChars="200"/>
              <w:rPr>
                <w:color w:val="auto"/>
                <w:highlight w:val="none"/>
              </w:rPr>
            </w:pPr>
            <w:r>
              <w:rPr>
                <w:rFonts w:hint="eastAsia"/>
                <w:color w:val="auto"/>
                <w:highlight w:val="none"/>
              </w:rPr>
              <w:t>本项目不涉及。</w:t>
            </w:r>
          </w:p>
          <w:p w14:paraId="5A35AC87">
            <w:pPr>
              <w:rPr>
                <w:color w:val="auto"/>
                <w:highlight w:val="none"/>
              </w:rPr>
            </w:pPr>
            <w:r>
              <w:rPr>
                <w:rFonts w:hint="eastAsia"/>
                <w:color w:val="auto"/>
                <w:highlight w:val="none"/>
              </w:rPr>
              <w:t>6、地下水、土壤环境</w:t>
            </w:r>
          </w:p>
          <w:p w14:paraId="52D21F20">
            <w:pPr>
              <w:ind w:firstLine="480" w:firstLineChars="200"/>
              <w:rPr>
                <w:color w:val="auto"/>
                <w:highlight w:val="none"/>
              </w:rPr>
            </w:pPr>
            <w:r>
              <w:rPr>
                <w:rFonts w:hint="eastAsia"/>
                <w:color w:val="auto"/>
                <w:highlight w:val="none"/>
              </w:rPr>
              <w:t>根据《建设项目环境影响报告表编制技术指南（污染影响类）（试行）》规定：“原则上不开展环境质量现状调查。建设项目存在土壤地下水环境污染途径的，应结合污染源途径的，应结合污染源、保护目标分布情况开展现状调查以留作背景值”。</w:t>
            </w:r>
          </w:p>
          <w:p w14:paraId="5CD8793F">
            <w:pPr>
              <w:wordWrap w:val="0"/>
              <w:autoSpaceDE w:val="0"/>
              <w:autoSpaceDN w:val="0"/>
              <w:spacing w:line="360" w:lineRule="auto"/>
              <w:ind w:firstLine="480" w:firstLineChars="200"/>
              <w:jc w:val="left"/>
              <w:rPr>
                <w:rFonts w:hAnsi="宋体"/>
                <w:bCs/>
                <w:color w:val="auto"/>
                <w:sz w:val="24"/>
                <w:highlight w:val="none"/>
              </w:rPr>
            </w:pPr>
            <w:r>
              <w:rPr>
                <w:rFonts w:hint="eastAsia"/>
                <w:color w:val="auto"/>
                <w:highlight w:val="none"/>
              </w:rPr>
              <w:t>本项目</w:t>
            </w:r>
            <w:r>
              <w:rPr>
                <w:rFonts w:hint="eastAsia"/>
                <w:color w:val="auto"/>
                <w:highlight w:val="none"/>
                <w:lang w:eastAsia="zh-CN"/>
              </w:rPr>
              <w:t>涉及埋地储油罐，且距离东侧居民区距离较近，为防范特征污染因子可能带来的影响，</w:t>
            </w:r>
            <w:r>
              <w:rPr>
                <w:rFonts w:hint="eastAsia" w:hAnsi="宋体"/>
                <w:bCs/>
                <w:color w:val="auto"/>
                <w:sz w:val="24"/>
                <w:highlight w:val="none"/>
                <w:lang w:eastAsia="zh-CN"/>
              </w:rPr>
              <w:t>本项目委托</w:t>
            </w:r>
            <w:r>
              <w:rPr>
                <w:rFonts w:hint="eastAsia"/>
                <w:color w:val="auto"/>
                <w:sz w:val="24"/>
                <w:szCs w:val="24"/>
                <w:highlight w:val="none"/>
              </w:rPr>
              <w:t>江苏国析检测技术有限公司</w:t>
            </w:r>
            <w:r>
              <w:rPr>
                <w:rFonts w:hint="eastAsia" w:hAnsi="宋体"/>
                <w:bCs/>
                <w:color w:val="auto"/>
                <w:sz w:val="24"/>
                <w:highlight w:val="none"/>
              </w:rPr>
              <w:t>对区域土壤、地下水进行现状环境监测</w:t>
            </w:r>
            <w:r>
              <w:rPr>
                <w:rFonts w:hint="eastAsia" w:hAnsi="宋体"/>
                <w:bCs/>
                <w:color w:val="auto"/>
                <w:sz w:val="24"/>
                <w:highlight w:val="none"/>
                <w:lang w:eastAsia="zh-CN"/>
              </w:rPr>
              <w:t>留作背景值，</w:t>
            </w:r>
            <w:r>
              <w:rPr>
                <w:rFonts w:hint="eastAsia"/>
                <w:bCs/>
                <w:color w:val="auto"/>
                <w:highlight w:val="none"/>
                <w:lang w:val="en-US" w:eastAsia="zh-CN"/>
              </w:rPr>
              <w:t>由监测结果可知，本项目地下水水质各因子均满足《地下水环境质量标准》（GB/T14848-2017）中IV类水质标准限值要求；土壤各项监测因子均满足《土壤环境质量建设用地土壤污染风险管控标准（试行）》（GB36600-2018）中第二类建设用地筛选值管控标准</w:t>
            </w:r>
            <w:r>
              <w:rPr>
                <w:rFonts w:hint="eastAsia" w:hAnsi="宋体"/>
                <w:bCs/>
                <w:color w:val="auto"/>
                <w:sz w:val="24"/>
                <w:highlight w:val="none"/>
              </w:rPr>
              <w:t>。</w:t>
            </w:r>
          </w:p>
          <w:p w14:paraId="5AAB13CF">
            <w:pPr>
              <w:wordWrap w:val="0"/>
              <w:autoSpaceDE w:val="0"/>
              <w:autoSpaceDN w:val="0"/>
              <w:spacing w:line="360" w:lineRule="auto"/>
              <w:ind w:firstLine="482" w:firstLineChars="200"/>
              <w:jc w:val="left"/>
              <w:rPr>
                <w:rFonts w:hAnsi="宋体"/>
                <w:b/>
                <w:bCs/>
                <w:color w:val="auto"/>
                <w:sz w:val="24"/>
                <w:highlight w:val="none"/>
              </w:rPr>
            </w:pPr>
            <w:r>
              <w:rPr>
                <w:rFonts w:hint="eastAsia" w:hAnsi="宋体"/>
                <w:b/>
                <w:bCs/>
                <w:color w:val="auto"/>
                <w:sz w:val="24"/>
                <w:highlight w:val="none"/>
              </w:rPr>
              <w:t>（1）地下水环境质量现状</w:t>
            </w:r>
          </w:p>
          <w:p w14:paraId="632651C9">
            <w:pPr>
              <w:autoSpaceDE w:val="0"/>
              <w:autoSpaceDN w:val="0"/>
              <w:spacing w:line="360" w:lineRule="auto"/>
              <w:ind w:firstLine="480" w:firstLineChars="200"/>
              <w:rPr>
                <w:rFonts w:hAnsi="黑体" w:eastAsia="黑体"/>
                <w:color w:val="auto"/>
                <w:sz w:val="24"/>
                <w:szCs w:val="24"/>
                <w:highlight w:val="none"/>
              </w:rPr>
            </w:pPr>
            <w:r>
              <w:rPr>
                <w:color w:val="auto"/>
                <w:sz w:val="24"/>
                <w:szCs w:val="24"/>
                <w:highlight w:val="none"/>
              </w:rPr>
              <w:t>本项目委托</w:t>
            </w:r>
            <w:r>
              <w:rPr>
                <w:rFonts w:hint="eastAsia"/>
                <w:color w:val="auto"/>
                <w:sz w:val="24"/>
                <w:szCs w:val="24"/>
                <w:highlight w:val="none"/>
                <w:lang w:eastAsia="zh-CN"/>
              </w:rPr>
              <w:t>江苏国析检测技术有限公司</w:t>
            </w:r>
            <w:r>
              <w:rPr>
                <w:color w:val="auto"/>
                <w:sz w:val="24"/>
                <w:szCs w:val="24"/>
                <w:highlight w:val="none"/>
              </w:rPr>
              <w:t>于</w:t>
            </w:r>
            <w:r>
              <w:rPr>
                <w:rFonts w:hint="eastAsia"/>
                <w:color w:val="auto"/>
                <w:sz w:val="24"/>
                <w:szCs w:val="24"/>
                <w:highlight w:val="none"/>
                <w:lang w:val="en-US" w:eastAsia="zh-CN"/>
              </w:rPr>
              <w:t>2025</w:t>
            </w:r>
            <w:r>
              <w:rPr>
                <w:rFonts w:hint="eastAsia"/>
                <w:color w:val="auto"/>
                <w:sz w:val="24"/>
                <w:szCs w:val="24"/>
                <w:highlight w:val="none"/>
              </w:rPr>
              <w:t>年</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val="en-US" w:eastAsia="zh-CN"/>
              </w:rPr>
              <w:t>26</w:t>
            </w:r>
            <w:r>
              <w:rPr>
                <w:rFonts w:hint="eastAsia"/>
                <w:color w:val="auto"/>
                <w:sz w:val="24"/>
                <w:szCs w:val="24"/>
                <w:highlight w:val="none"/>
              </w:rPr>
              <w:t>日对本项目地下水环境进行现状监测，监测结果见下表：</w:t>
            </w:r>
          </w:p>
          <w:p w14:paraId="1420AFBB">
            <w:pPr>
              <w:pStyle w:val="6"/>
              <w:bidi w:val="0"/>
              <w:rPr>
                <w:color w:val="auto"/>
                <w:highlight w:val="none"/>
              </w:rPr>
            </w:pPr>
            <w:r>
              <w:rPr>
                <w:color w:val="auto"/>
                <w:highlight w:val="none"/>
              </w:rPr>
              <w:t xml:space="preserve">表 </w:t>
            </w:r>
            <w:r>
              <w:rPr>
                <w:rFonts w:hint="eastAsia"/>
                <w:color w:val="auto"/>
                <w:highlight w:val="none"/>
                <w:lang w:val="en-US" w:eastAsia="zh-CN"/>
              </w:rPr>
              <w:t>3</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地下水</w:t>
            </w:r>
            <w:r>
              <w:rPr>
                <w:color w:val="auto"/>
                <w:highlight w:val="none"/>
              </w:rPr>
              <w:t>环境质量监测结果一览表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4"/>
              <w:gridCol w:w="1369"/>
              <w:gridCol w:w="1473"/>
              <w:gridCol w:w="1485"/>
            </w:tblGrid>
            <w:tr w14:paraId="7F09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2241" w:type="pct"/>
                  <w:tcBorders>
                    <w:tl2br w:val="single" w:color="auto" w:sz="4" w:space="0"/>
                  </w:tcBorders>
                  <w:noWrap w:val="0"/>
                  <w:vAlign w:val="center"/>
                </w:tcPr>
                <w:p w14:paraId="612A37FF">
                  <w:pPr>
                    <w:pStyle w:val="30"/>
                    <w:bidi w:val="0"/>
                    <w:rPr>
                      <w:color w:val="auto"/>
                      <w:highlight w:val="none"/>
                    </w:rPr>
                  </w:pPr>
                  <w:r>
                    <w:rPr>
                      <w:rFonts w:hint="eastAsia"/>
                      <w:color w:val="auto"/>
                      <w:highlight w:val="none"/>
                      <w:lang w:val="en-US" w:eastAsia="zh-CN"/>
                    </w:rPr>
                    <w:t xml:space="preserve">         </w:t>
                  </w:r>
                  <w:r>
                    <w:rPr>
                      <w:color w:val="auto"/>
                      <w:highlight w:val="none"/>
                    </w:rPr>
                    <w:t>监测点位</w:t>
                  </w:r>
                </w:p>
                <w:p w14:paraId="1B52F7FA">
                  <w:pPr>
                    <w:pStyle w:val="30"/>
                    <w:bidi w:val="0"/>
                    <w:jc w:val="both"/>
                    <w:rPr>
                      <w:rFonts w:cs="Times New Roman"/>
                      <w:color w:val="auto"/>
                      <w:highlight w:val="none"/>
                    </w:rPr>
                  </w:pPr>
                  <w:r>
                    <w:rPr>
                      <w:color w:val="auto"/>
                      <w:highlight w:val="none"/>
                    </w:rPr>
                    <w:t>监测因子</w:t>
                  </w:r>
                </w:p>
              </w:tc>
              <w:tc>
                <w:tcPr>
                  <w:tcW w:w="873" w:type="pct"/>
                  <w:noWrap w:val="0"/>
                  <w:vAlign w:val="center"/>
                </w:tcPr>
                <w:p w14:paraId="68847B46">
                  <w:pPr>
                    <w:pStyle w:val="30"/>
                    <w:bidi w:val="0"/>
                    <w:rPr>
                      <w:rFonts w:hint="default" w:eastAsia="宋体" w:cs="Times New Roman"/>
                      <w:color w:val="auto"/>
                      <w:highlight w:val="none"/>
                      <w:lang w:val="en-US" w:eastAsia="zh-CN"/>
                    </w:rPr>
                  </w:pPr>
                  <w:r>
                    <w:rPr>
                      <w:rFonts w:hint="eastAsia"/>
                      <w:color w:val="auto"/>
                      <w:highlight w:val="none"/>
                      <w:lang w:val="en-US" w:eastAsia="zh-CN"/>
                    </w:rPr>
                    <w:t>W1</w:t>
                  </w:r>
                </w:p>
              </w:tc>
              <w:tc>
                <w:tcPr>
                  <w:tcW w:w="939" w:type="pct"/>
                  <w:noWrap w:val="0"/>
                  <w:vAlign w:val="center"/>
                </w:tcPr>
                <w:p w14:paraId="12A6D103">
                  <w:pPr>
                    <w:pStyle w:val="30"/>
                    <w:bidi w:val="0"/>
                    <w:rPr>
                      <w:rFonts w:cs="Times New Roman"/>
                      <w:color w:val="auto"/>
                      <w:highlight w:val="none"/>
                    </w:rPr>
                  </w:pPr>
                  <w:r>
                    <w:rPr>
                      <w:rFonts w:hint="eastAsia"/>
                      <w:color w:val="auto"/>
                      <w:highlight w:val="none"/>
                      <w:lang w:val="en-US" w:eastAsia="zh-CN"/>
                    </w:rPr>
                    <w:t>W</w:t>
                  </w:r>
                  <w:r>
                    <w:rPr>
                      <w:color w:val="auto"/>
                      <w:highlight w:val="none"/>
                    </w:rPr>
                    <w:t>2</w:t>
                  </w:r>
                </w:p>
              </w:tc>
              <w:tc>
                <w:tcPr>
                  <w:tcW w:w="945" w:type="pct"/>
                  <w:noWrap w:val="0"/>
                  <w:vAlign w:val="center"/>
                </w:tcPr>
                <w:p w14:paraId="0E3EF472">
                  <w:pPr>
                    <w:pStyle w:val="30"/>
                    <w:bidi w:val="0"/>
                    <w:rPr>
                      <w:rFonts w:cs="Times New Roman"/>
                      <w:color w:val="auto"/>
                      <w:highlight w:val="none"/>
                    </w:rPr>
                  </w:pPr>
                  <w:r>
                    <w:rPr>
                      <w:rFonts w:hint="eastAsia"/>
                      <w:color w:val="auto"/>
                      <w:highlight w:val="none"/>
                      <w:lang w:val="en-US" w:eastAsia="zh-CN"/>
                    </w:rPr>
                    <w:t>W</w:t>
                  </w:r>
                  <w:r>
                    <w:rPr>
                      <w:color w:val="auto"/>
                      <w:highlight w:val="none"/>
                    </w:rPr>
                    <w:t>3</w:t>
                  </w:r>
                </w:p>
              </w:tc>
            </w:tr>
            <w:tr w14:paraId="7F8C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1" w:type="pct"/>
                  <w:noWrap w:val="0"/>
                  <w:vAlign w:val="center"/>
                </w:tcPr>
                <w:p w14:paraId="135FE6A4">
                  <w:pPr>
                    <w:pStyle w:val="30"/>
                    <w:bidi w:val="0"/>
                    <w:rPr>
                      <w:rFonts w:cs="Times New Roman"/>
                      <w:color w:val="auto"/>
                      <w:highlight w:val="none"/>
                    </w:rPr>
                  </w:pPr>
                  <w:r>
                    <w:rPr>
                      <w:color w:val="auto"/>
                      <w:highlight w:val="none"/>
                    </w:rPr>
                    <w:t>pH（无量纲）</w:t>
                  </w:r>
                </w:p>
              </w:tc>
              <w:tc>
                <w:tcPr>
                  <w:tcW w:w="873" w:type="pct"/>
                  <w:noWrap w:val="0"/>
                  <w:vAlign w:val="center"/>
                </w:tcPr>
                <w:p w14:paraId="35DF42F5">
                  <w:pPr>
                    <w:pStyle w:val="30"/>
                    <w:bidi w:val="0"/>
                    <w:rPr>
                      <w:rFonts w:hint="default" w:eastAsia="宋体" w:cs="Times New Roman"/>
                      <w:color w:val="auto"/>
                      <w:highlight w:val="none"/>
                      <w:lang w:val="en-US" w:eastAsia="zh-CN"/>
                    </w:rPr>
                  </w:pPr>
                  <w:r>
                    <w:rPr>
                      <w:rFonts w:hint="eastAsia"/>
                      <w:color w:val="auto"/>
                      <w:highlight w:val="none"/>
                      <w:lang w:val="en-US" w:eastAsia="zh-CN"/>
                    </w:rPr>
                    <w:t>7.4</w:t>
                  </w:r>
                </w:p>
              </w:tc>
              <w:tc>
                <w:tcPr>
                  <w:tcW w:w="939" w:type="pct"/>
                  <w:noWrap w:val="0"/>
                  <w:vAlign w:val="center"/>
                </w:tcPr>
                <w:p w14:paraId="417A00DA">
                  <w:pPr>
                    <w:pStyle w:val="30"/>
                    <w:bidi w:val="0"/>
                    <w:rPr>
                      <w:rFonts w:hint="default" w:eastAsia="宋体" w:cs="Times New Roman"/>
                      <w:color w:val="auto"/>
                      <w:highlight w:val="none"/>
                      <w:lang w:val="en-US" w:eastAsia="zh-CN"/>
                    </w:rPr>
                  </w:pPr>
                  <w:r>
                    <w:rPr>
                      <w:rFonts w:hint="eastAsia"/>
                      <w:color w:val="auto"/>
                      <w:highlight w:val="none"/>
                      <w:lang w:val="en-US" w:eastAsia="zh-CN"/>
                    </w:rPr>
                    <w:t>7.3</w:t>
                  </w:r>
                </w:p>
              </w:tc>
              <w:tc>
                <w:tcPr>
                  <w:tcW w:w="945" w:type="pct"/>
                  <w:noWrap w:val="0"/>
                  <w:vAlign w:val="center"/>
                </w:tcPr>
                <w:p w14:paraId="36CCAE6B">
                  <w:pPr>
                    <w:pStyle w:val="30"/>
                    <w:bidi w:val="0"/>
                    <w:rPr>
                      <w:rFonts w:hint="default" w:eastAsia="宋体" w:cs="Times New Roman"/>
                      <w:color w:val="auto"/>
                      <w:highlight w:val="none"/>
                      <w:lang w:val="en-US" w:eastAsia="zh-CN"/>
                    </w:rPr>
                  </w:pPr>
                  <w:r>
                    <w:rPr>
                      <w:rFonts w:hint="eastAsia"/>
                      <w:color w:val="auto"/>
                      <w:highlight w:val="none"/>
                      <w:lang w:val="en-US" w:eastAsia="zh-CN"/>
                    </w:rPr>
                    <w:t>7.3</w:t>
                  </w:r>
                </w:p>
              </w:tc>
            </w:tr>
            <w:tr w14:paraId="5F1D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241" w:type="pct"/>
                  <w:noWrap w:val="0"/>
                  <w:vAlign w:val="center"/>
                </w:tcPr>
                <w:p w14:paraId="11AC4456">
                  <w:pPr>
                    <w:pStyle w:val="30"/>
                    <w:bidi w:val="0"/>
                    <w:rPr>
                      <w:rFonts w:hint="eastAsia" w:eastAsia="宋体"/>
                      <w:color w:val="auto"/>
                      <w:highlight w:val="none"/>
                      <w:lang w:eastAsia="zh-CN"/>
                    </w:rPr>
                  </w:pPr>
                  <w:r>
                    <w:rPr>
                      <w:rFonts w:hint="eastAsia"/>
                      <w:color w:val="auto"/>
                      <w:highlight w:val="none"/>
                      <w:lang w:eastAsia="zh-CN"/>
                    </w:rPr>
                    <w:t>色度</w:t>
                  </w:r>
                </w:p>
              </w:tc>
              <w:tc>
                <w:tcPr>
                  <w:tcW w:w="873" w:type="pct"/>
                  <w:noWrap w:val="0"/>
                  <w:vAlign w:val="center"/>
                </w:tcPr>
                <w:p w14:paraId="1A0123C7">
                  <w:pPr>
                    <w:pStyle w:val="30"/>
                    <w:bidi w:val="0"/>
                    <w:rPr>
                      <w:rFonts w:hint="default"/>
                      <w:color w:val="auto"/>
                      <w:highlight w:val="none"/>
                      <w:lang w:val="en-US" w:eastAsia="zh-CN"/>
                    </w:rPr>
                  </w:pPr>
                  <w:r>
                    <w:rPr>
                      <w:rFonts w:hint="eastAsia"/>
                      <w:color w:val="auto"/>
                      <w:highlight w:val="none"/>
                      <w:lang w:val="en-US" w:eastAsia="zh-CN"/>
                    </w:rPr>
                    <w:t>10</w:t>
                  </w:r>
                </w:p>
              </w:tc>
              <w:tc>
                <w:tcPr>
                  <w:tcW w:w="939" w:type="pct"/>
                  <w:noWrap w:val="0"/>
                  <w:vAlign w:val="center"/>
                </w:tcPr>
                <w:p w14:paraId="36877CEF">
                  <w:pPr>
                    <w:pStyle w:val="30"/>
                    <w:bidi w:val="0"/>
                    <w:rPr>
                      <w:rFonts w:hint="default"/>
                      <w:color w:val="auto"/>
                      <w:highlight w:val="none"/>
                      <w:lang w:val="en-US" w:eastAsia="zh-CN"/>
                    </w:rPr>
                  </w:pPr>
                  <w:r>
                    <w:rPr>
                      <w:rFonts w:hint="eastAsia"/>
                      <w:color w:val="auto"/>
                      <w:highlight w:val="none"/>
                      <w:lang w:val="en-US" w:eastAsia="zh-CN"/>
                    </w:rPr>
                    <w:t>10</w:t>
                  </w:r>
                </w:p>
              </w:tc>
              <w:tc>
                <w:tcPr>
                  <w:tcW w:w="945" w:type="pct"/>
                  <w:noWrap w:val="0"/>
                  <w:vAlign w:val="center"/>
                </w:tcPr>
                <w:p w14:paraId="5115E25F">
                  <w:pPr>
                    <w:pStyle w:val="30"/>
                    <w:bidi w:val="0"/>
                    <w:rPr>
                      <w:rFonts w:hint="default"/>
                      <w:color w:val="auto"/>
                      <w:highlight w:val="none"/>
                      <w:lang w:val="en-US" w:eastAsia="zh-CN"/>
                    </w:rPr>
                  </w:pPr>
                  <w:r>
                    <w:rPr>
                      <w:rFonts w:hint="eastAsia"/>
                      <w:color w:val="auto"/>
                      <w:highlight w:val="none"/>
                      <w:lang w:val="en-US" w:eastAsia="zh-CN"/>
                    </w:rPr>
                    <w:t>20</w:t>
                  </w:r>
                </w:p>
              </w:tc>
            </w:tr>
            <w:tr w14:paraId="48B5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241" w:type="pct"/>
                  <w:noWrap w:val="0"/>
                  <w:vAlign w:val="center"/>
                </w:tcPr>
                <w:p w14:paraId="003DFCD3">
                  <w:pPr>
                    <w:pStyle w:val="30"/>
                    <w:bidi w:val="0"/>
                    <w:rPr>
                      <w:rFonts w:hint="eastAsia"/>
                      <w:color w:val="auto"/>
                      <w:highlight w:val="none"/>
                      <w:lang w:eastAsia="zh-CN"/>
                    </w:rPr>
                  </w:pPr>
                  <w:r>
                    <w:rPr>
                      <w:rFonts w:hint="eastAsia"/>
                      <w:color w:val="auto"/>
                      <w:highlight w:val="none"/>
                      <w:lang w:eastAsia="zh-CN"/>
                    </w:rPr>
                    <w:t>浊度</w:t>
                  </w:r>
                </w:p>
              </w:tc>
              <w:tc>
                <w:tcPr>
                  <w:tcW w:w="873" w:type="pct"/>
                  <w:noWrap w:val="0"/>
                  <w:vAlign w:val="center"/>
                </w:tcPr>
                <w:p w14:paraId="6AA56601">
                  <w:pPr>
                    <w:pStyle w:val="30"/>
                    <w:bidi w:val="0"/>
                    <w:rPr>
                      <w:rFonts w:hint="default"/>
                      <w:color w:val="auto"/>
                      <w:highlight w:val="none"/>
                      <w:lang w:val="en-US" w:eastAsia="zh-CN"/>
                    </w:rPr>
                  </w:pPr>
                  <w:r>
                    <w:rPr>
                      <w:rFonts w:hint="eastAsia"/>
                      <w:color w:val="auto"/>
                      <w:highlight w:val="none"/>
                      <w:lang w:val="en-US" w:eastAsia="zh-CN"/>
                    </w:rPr>
                    <w:t>2.0</w:t>
                  </w:r>
                </w:p>
              </w:tc>
              <w:tc>
                <w:tcPr>
                  <w:tcW w:w="939" w:type="pct"/>
                  <w:noWrap w:val="0"/>
                  <w:vAlign w:val="center"/>
                </w:tcPr>
                <w:p w14:paraId="1C1C92F1">
                  <w:pPr>
                    <w:pStyle w:val="30"/>
                    <w:bidi w:val="0"/>
                    <w:rPr>
                      <w:rFonts w:hint="default"/>
                      <w:color w:val="auto"/>
                      <w:highlight w:val="none"/>
                      <w:lang w:val="en-US" w:eastAsia="zh-CN"/>
                    </w:rPr>
                  </w:pPr>
                  <w:r>
                    <w:rPr>
                      <w:rFonts w:hint="eastAsia"/>
                      <w:color w:val="auto"/>
                      <w:highlight w:val="none"/>
                      <w:lang w:val="en-US" w:eastAsia="zh-CN"/>
                    </w:rPr>
                    <w:t>1.0</w:t>
                  </w:r>
                </w:p>
              </w:tc>
              <w:tc>
                <w:tcPr>
                  <w:tcW w:w="945" w:type="pct"/>
                  <w:noWrap w:val="0"/>
                  <w:vAlign w:val="center"/>
                </w:tcPr>
                <w:p w14:paraId="0DA28C96">
                  <w:pPr>
                    <w:pStyle w:val="30"/>
                    <w:bidi w:val="0"/>
                    <w:rPr>
                      <w:rFonts w:hint="default"/>
                      <w:color w:val="auto"/>
                      <w:highlight w:val="none"/>
                      <w:lang w:val="en-US" w:eastAsia="zh-CN"/>
                    </w:rPr>
                  </w:pPr>
                  <w:r>
                    <w:rPr>
                      <w:rFonts w:hint="eastAsia"/>
                      <w:color w:val="auto"/>
                      <w:highlight w:val="none"/>
                      <w:lang w:val="en-US" w:eastAsia="zh-CN"/>
                    </w:rPr>
                    <w:t>3.0</w:t>
                  </w:r>
                </w:p>
              </w:tc>
            </w:tr>
            <w:tr w14:paraId="2278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241" w:type="pct"/>
                  <w:noWrap w:val="0"/>
                  <w:vAlign w:val="center"/>
                </w:tcPr>
                <w:p w14:paraId="2DA7F429">
                  <w:pPr>
                    <w:pStyle w:val="30"/>
                    <w:bidi w:val="0"/>
                    <w:rPr>
                      <w:rFonts w:hint="eastAsia" w:eastAsia="宋体"/>
                      <w:color w:val="auto"/>
                      <w:highlight w:val="none"/>
                      <w:lang w:eastAsia="zh-CN"/>
                    </w:rPr>
                  </w:pPr>
                  <w:r>
                    <w:rPr>
                      <w:rFonts w:hint="eastAsia"/>
                      <w:color w:val="auto"/>
                      <w:highlight w:val="none"/>
                      <w:lang w:eastAsia="zh-CN"/>
                    </w:rPr>
                    <w:t>肉眼可见物</w:t>
                  </w:r>
                </w:p>
              </w:tc>
              <w:tc>
                <w:tcPr>
                  <w:tcW w:w="873" w:type="pct"/>
                  <w:noWrap w:val="0"/>
                  <w:vAlign w:val="center"/>
                </w:tcPr>
                <w:p w14:paraId="23CAF904">
                  <w:pPr>
                    <w:pStyle w:val="30"/>
                    <w:bidi w:val="0"/>
                    <w:rPr>
                      <w:rFonts w:hint="eastAsia"/>
                      <w:color w:val="auto"/>
                      <w:highlight w:val="none"/>
                      <w:lang w:val="en-US" w:eastAsia="zh-CN"/>
                    </w:rPr>
                  </w:pPr>
                  <w:r>
                    <w:rPr>
                      <w:rFonts w:hint="eastAsia"/>
                      <w:color w:val="auto"/>
                      <w:highlight w:val="none"/>
                      <w:lang w:val="en-US" w:eastAsia="zh-CN"/>
                    </w:rPr>
                    <w:t>无</w:t>
                  </w:r>
                </w:p>
              </w:tc>
              <w:tc>
                <w:tcPr>
                  <w:tcW w:w="939" w:type="pct"/>
                  <w:noWrap w:val="0"/>
                  <w:vAlign w:val="center"/>
                </w:tcPr>
                <w:p w14:paraId="2289A6CD">
                  <w:pPr>
                    <w:pStyle w:val="30"/>
                    <w:bidi w:val="0"/>
                    <w:rPr>
                      <w:rFonts w:hint="eastAsia"/>
                      <w:color w:val="auto"/>
                      <w:highlight w:val="none"/>
                      <w:lang w:val="en-US" w:eastAsia="zh-CN"/>
                    </w:rPr>
                  </w:pPr>
                  <w:r>
                    <w:rPr>
                      <w:rFonts w:hint="eastAsia"/>
                      <w:color w:val="auto"/>
                      <w:highlight w:val="none"/>
                      <w:lang w:val="en-US" w:eastAsia="zh-CN"/>
                    </w:rPr>
                    <w:t>无</w:t>
                  </w:r>
                </w:p>
              </w:tc>
              <w:tc>
                <w:tcPr>
                  <w:tcW w:w="945" w:type="pct"/>
                  <w:noWrap w:val="0"/>
                  <w:vAlign w:val="center"/>
                </w:tcPr>
                <w:p w14:paraId="4B5F73B8">
                  <w:pPr>
                    <w:pStyle w:val="30"/>
                    <w:bidi w:val="0"/>
                    <w:rPr>
                      <w:rFonts w:hint="eastAsia"/>
                      <w:color w:val="auto"/>
                      <w:highlight w:val="none"/>
                      <w:lang w:val="en-US" w:eastAsia="zh-CN"/>
                    </w:rPr>
                  </w:pPr>
                  <w:r>
                    <w:rPr>
                      <w:rFonts w:hint="eastAsia"/>
                      <w:color w:val="auto"/>
                      <w:highlight w:val="none"/>
                      <w:lang w:val="en-US" w:eastAsia="zh-CN"/>
                    </w:rPr>
                    <w:t>无</w:t>
                  </w:r>
                </w:p>
              </w:tc>
            </w:tr>
            <w:tr w14:paraId="16DA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241" w:type="pct"/>
                  <w:noWrap w:val="0"/>
                  <w:vAlign w:val="center"/>
                </w:tcPr>
                <w:p w14:paraId="52B6D9DB">
                  <w:pPr>
                    <w:pStyle w:val="30"/>
                    <w:bidi w:val="0"/>
                    <w:rPr>
                      <w:rFonts w:hint="eastAsia"/>
                      <w:color w:val="auto"/>
                      <w:highlight w:val="none"/>
                      <w:lang w:eastAsia="zh-CN"/>
                    </w:rPr>
                  </w:pPr>
                  <w:r>
                    <w:rPr>
                      <w:rFonts w:hint="eastAsia"/>
                      <w:color w:val="auto"/>
                      <w:highlight w:val="none"/>
                      <w:lang w:eastAsia="zh-CN"/>
                    </w:rPr>
                    <w:t>臭和味</w:t>
                  </w:r>
                </w:p>
              </w:tc>
              <w:tc>
                <w:tcPr>
                  <w:tcW w:w="873" w:type="pct"/>
                  <w:noWrap w:val="0"/>
                  <w:vAlign w:val="center"/>
                </w:tcPr>
                <w:p w14:paraId="0A7265D5">
                  <w:pPr>
                    <w:pStyle w:val="30"/>
                    <w:bidi w:val="0"/>
                    <w:rPr>
                      <w:rFonts w:hint="eastAsia"/>
                      <w:color w:val="auto"/>
                      <w:highlight w:val="none"/>
                      <w:lang w:val="en-US" w:eastAsia="zh-CN"/>
                    </w:rPr>
                  </w:pPr>
                  <w:r>
                    <w:rPr>
                      <w:rFonts w:hint="eastAsia"/>
                      <w:color w:val="auto"/>
                      <w:highlight w:val="none"/>
                      <w:lang w:val="en-US" w:eastAsia="zh-CN"/>
                    </w:rPr>
                    <w:t>无</w:t>
                  </w:r>
                </w:p>
              </w:tc>
              <w:tc>
                <w:tcPr>
                  <w:tcW w:w="939" w:type="pct"/>
                  <w:noWrap w:val="0"/>
                  <w:vAlign w:val="center"/>
                </w:tcPr>
                <w:p w14:paraId="6149B6DB">
                  <w:pPr>
                    <w:pStyle w:val="30"/>
                    <w:bidi w:val="0"/>
                    <w:rPr>
                      <w:rFonts w:hint="eastAsia"/>
                      <w:color w:val="auto"/>
                      <w:highlight w:val="none"/>
                      <w:lang w:val="en-US" w:eastAsia="zh-CN"/>
                    </w:rPr>
                  </w:pPr>
                  <w:r>
                    <w:rPr>
                      <w:rFonts w:hint="eastAsia"/>
                      <w:color w:val="auto"/>
                      <w:highlight w:val="none"/>
                      <w:lang w:val="en-US" w:eastAsia="zh-CN"/>
                    </w:rPr>
                    <w:t>无</w:t>
                  </w:r>
                </w:p>
              </w:tc>
              <w:tc>
                <w:tcPr>
                  <w:tcW w:w="945" w:type="pct"/>
                  <w:noWrap w:val="0"/>
                  <w:vAlign w:val="center"/>
                </w:tcPr>
                <w:p w14:paraId="657898DD">
                  <w:pPr>
                    <w:pStyle w:val="30"/>
                    <w:bidi w:val="0"/>
                    <w:rPr>
                      <w:rFonts w:hint="eastAsia"/>
                      <w:color w:val="auto"/>
                      <w:highlight w:val="none"/>
                      <w:lang w:val="en-US" w:eastAsia="zh-CN"/>
                    </w:rPr>
                  </w:pPr>
                  <w:r>
                    <w:rPr>
                      <w:rFonts w:hint="eastAsia"/>
                      <w:color w:val="auto"/>
                      <w:highlight w:val="none"/>
                      <w:lang w:val="en-US" w:eastAsia="zh-CN"/>
                    </w:rPr>
                    <w:t>无</w:t>
                  </w:r>
                </w:p>
              </w:tc>
            </w:tr>
            <w:tr w14:paraId="403D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04F5333E">
                  <w:pPr>
                    <w:pStyle w:val="30"/>
                    <w:bidi w:val="0"/>
                    <w:rPr>
                      <w:rFonts w:cs="Times New Roman"/>
                      <w:color w:val="auto"/>
                      <w:highlight w:val="none"/>
                    </w:rPr>
                  </w:pPr>
                  <w:r>
                    <w:rPr>
                      <w:color w:val="auto"/>
                      <w:highlight w:val="none"/>
                    </w:rPr>
                    <w:t>氨氮（mg/L）</w:t>
                  </w:r>
                </w:p>
              </w:tc>
              <w:tc>
                <w:tcPr>
                  <w:tcW w:w="873" w:type="pct"/>
                  <w:noWrap w:val="0"/>
                  <w:vAlign w:val="center"/>
                </w:tcPr>
                <w:p w14:paraId="5DF5C249">
                  <w:pPr>
                    <w:pStyle w:val="30"/>
                    <w:bidi w:val="0"/>
                    <w:rPr>
                      <w:rFonts w:hint="default" w:eastAsia="宋体" w:cs="Times New Roman"/>
                      <w:color w:val="auto"/>
                      <w:highlight w:val="none"/>
                      <w:lang w:val="en-US" w:eastAsia="zh-CN"/>
                    </w:rPr>
                  </w:pPr>
                  <w:r>
                    <w:rPr>
                      <w:rFonts w:hint="eastAsia"/>
                      <w:color w:val="auto"/>
                      <w:highlight w:val="none"/>
                      <w:lang w:val="en-US" w:eastAsia="zh-CN"/>
                    </w:rPr>
                    <w:t>0.108</w:t>
                  </w:r>
                </w:p>
              </w:tc>
              <w:tc>
                <w:tcPr>
                  <w:tcW w:w="939" w:type="pct"/>
                  <w:noWrap w:val="0"/>
                  <w:vAlign w:val="center"/>
                </w:tcPr>
                <w:p w14:paraId="391340A6">
                  <w:pPr>
                    <w:pStyle w:val="30"/>
                    <w:bidi w:val="0"/>
                    <w:rPr>
                      <w:rFonts w:hint="default" w:eastAsia="宋体" w:cs="Times New Roman"/>
                      <w:color w:val="auto"/>
                      <w:highlight w:val="none"/>
                      <w:lang w:val="en-US" w:eastAsia="zh-CN"/>
                    </w:rPr>
                  </w:pPr>
                  <w:r>
                    <w:rPr>
                      <w:rFonts w:hint="eastAsia"/>
                      <w:color w:val="auto"/>
                      <w:highlight w:val="none"/>
                      <w:lang w:val="en-US" w:eastAsia="zh-CN"/>
                    </w:rPr>
                    <w:t>0.135</w:t>
                  </w:r>
                </w:p>
              </w:tc>
              <w:tc>
                <w:tcPr>
                  <w:tcW w:w="945" w:type="pct"/>
                  <w:noWrap w:val="0"/>
                  <w:vAlign w:val="center"/>
                </w:tcPr>
                <w:p w14:paraId="6545C74F">
                  <w:pPr>
                    <w:pStyle w:val="30"/>
                    <w:bidi w:val="0"/>
                    <w:rPr>
                      <w:rFonts w:hint="default" w:eastAsia="宋体" w:cs="Times New Roman"/>
                      <w:color w:val="auto"/>
                      <w:highlight w:val="none"/>
                      <w:lang w:val="en-US" w:eastAsia="zh-CN"/>
                    </w:rPr>
                  </w:pPr>
                  <w:r>
                    <w:rPr>
                      <w:rFonts w:hint="eastAsia"/>
                      <w:color w:val="auto"/>
                      <w:highlight w:val="none"/>
                      <w:lang w:val="en-US" w:eastAsia="zh-CN"/>
                    </w:rPr>
                    <w:t>0.149</w:t>
                  </w:r>
                </w:p>
              </w:tc>
            </w:tr>
            <w:tr w14:paraId="61C9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48512383">
                  <w:pPr>
                    <w:pStyle w:val="30"/>
                    <w:bidi w:val="0"/>
                    <w:rPr>
                      <w:rFonts w:cs="Times New Roman"/>
                      <w:color w:val="auto"/>
                      <w:highlight w:val="none"/>
                    </w:rPr>
                  </w:pPr>
                  <w:r>
                    <w:rPr>
                      <w:color w:val="auto"/>
                      <w:highlight w:val="none"/>
                    </w:rPr>
                    <w:t>硝酸盐（以N计）（mg/L）</w:t>
                  </w:r>
                </w:p>
              </w:tc>
              <w:tc>
                <w:tcPr>
                  <w:tcW w:w="873" w:type="pct"/>
                  <w:shd w:val="clear" w:color="auto" w:fill="auto"/>
                  <w:noWrap w:val="0"/>
                  <w:vAlign w:val="center"/>
                </w:tcPr>
                <w:p w14:paraId="6C053FCA">
                  <w:pPr>
                    <w:pStyle w:val="30"/>
                    <w:bidi w:val="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ND</w:t>
                  </w:r>
                </w:p>
              </w:tc>
              <w:tc>
                <w:tcPr>
                  <w:tcW w:w="939" w:type="pct"/>
                  <w:shd w:val="clear" w:color="auto" w:fill="auto"/>
                  <w:noWrap w:val="0"/>
                  <w:vAlign w:val="center"/>
                </w:tcPr>
                <w:p w14:paraId="5AB67F68">
                  <w:pPr>
                    <w:pStyle w:val="30"/>
                    <w:bidi w:val="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ND</w:t>
                  </w:r>
                </w:p>
              </w:tc>
              <w:tc>
                <w:tcPr>
                  <w:tcW w:w="945" w:type="pct"/>
                  <w:shd w:val="clear" w:color="auto" w:fill="auto"/>
                  <w:noWrap w:val="0"/>
                  <w:vAlign w:val="center"/>
                </w:tcPr>
                <w:p w14:paraId="3F9A1281">
                  <w:pPr>
                    <w:pStyle w:val="30"/>
                    <w:bidi w:val="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ND</w:t>
                  </w:r>
                </w:p>
              </w:tc>
            </w:tr>
            <w:tr w14:paraId="166D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1517C127">
                  <w:pPr>
                    <w:pStyle w:val="30"/>
                    <w:bidi w:val="0"/>
                    <w:rPr>
                      <w:rFonts w:cs="Times New Roman"/>
                      <w:color w:val="auto"/>
                      <w:highlight w:val="none"/>
                    </w:rPr>
                  </w:pPr>
                  <w:r>
                    <w:rPr>
                      <w:color w:val="auto"/>
                      <w:highlight w:val="none"/>
                    </w:rPr>
                    <w:t>亚硝酸盐（以N计）（mg/L）</w:t>
                  </w:r>
                </w:p>
              </w:tc>
              <w:tc>
                <w:tcPr>
                  <w:tcW w:w="873" w:type="pct"/>
                  <w:noWrap w:val="0"/>
                  <w:vAlign w:val="center"/>
                </w:tcPr>
                <w:p w14:paraId="72BF5F68">
                  <w:pPr>
                    <w:pStyle w:val="30"/>
                    <w:bidi w:val="0"/>
                    <w:rPr>
                      <w:rFonts w:hint="default" w:eastAsia="宋体" w:cs="Times New Roman"/>
                      <w:color w:val="auto"/>
                      <w:highlight w:val="none"/>
                      <w:lang w:val="en-US" w:eastAsia="zh-CN"/>
                    </w:rPr>
                  </w:pPr>
                  <w:r>
                    <w:rPr>
                      <w:rFonts w:hint="eastAsia"/>
                      <w:color w:val="auto"/>
                      <w:highlight w:val="none"/>
                      <w:lang w:val="en-US" w:eastAsia="zh-CN"/>
                    </w:rPr>
                    <w:t>0.021</w:t>
                  </w:r>
                </w:p>
              </w:tc>
              <w:tc>
                <w:tcPr>
                  <w:tcW w:w="939" w:type="pct"/>
                  <w:noWrap w:val="0"/>
                  <w:vAlign w:val="center"/>
                </w:tcPr>
                <w:p w14:paraId="0F2643C3">
                  <w:pPr>
                    <w:pStyle w:val="30"/>
                    <w:bidi w:val="0"/>
                    <w:rPr>
                      <w:rFonts w:hint="default" w:eastAsia="宋体" w:cs="Times New Roman"/>
                      <w:color w:val="auto"/>
                      <w:highlight w:val="none"/>
                      <w:lang w:val="en-US" w:eastAsia="zh-CN"/>
                    </w:rPr>
                  </w:pPr>
                  <w:r>
                    <w:rPr>
                      <w:rFonts w:hint="eastAsia"/>
                      <w:color w:val="auto"/>
                      <w:highlight w:val="none"/>
                      <w:lang w:val="en-US" w:eastAsia="zh-CN"/>
                    </w:rPr>
                    <w:t>0.019</w:t>
                  </w:r>
                </w:p>
              </w:tc>
              <w:tc>
                <w:tcPr>
                  <w:tcW w:w="945" w:type="pct"/>
                  <w:noWrap w:val="0"/>
                  <w:vAlign w:val="center"/>
                </w:tcPr>
                <w:p w14:paraId="6763E7C0">
                  <w:pPr>
                    <w:pStyle w:val="30"/>
                    <w:bidi w:val="0"/>
                    <w:rPr>
                      <w:rFonts w:hint="default" w:eastAsia="宋体" w:cs="Times New Roman"/>
                      <w:color w:val="auto"/>
                      <w:highlight w:val="none"/>
                      <w:lang w:val="en-US" w:eastAsia="zh-CN"/>
                    </w:rPr>
                  </w:pPr>
                  <w:r>
                    <w:rPr>
                      <w:rFonts w:hint="eastAsia"/>
                      <w:color w:val="auto"/>
                      <w:highlight w:val="none"/>
                      <w:lang w:val="en-US" w:eastAsia="zh-CN"/>
                    </w:rPr>
                    <w:t>0.020</w:t>
                  </w:r>
                </w:p>
              </w:tc>
            </w:tr>
            <w:tr w14:paraId="4375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290AF36A">
                  <w:pPr>
                    <w:pStyle w:val="30"/>
                    <w:bidi w:val="0"/>
                    <w:rPr>
                      <w:rFonts w:cs="Times New Roman"/>
                      <w:color w:val="auto"/>
                      <w:highlight w:val="none"/>
                    </w:rPr>
                  </w:pPr>
                  <w:r>
                    <w:rPr>
                      <w:color w:val="auto"/>
                      <w:highlight w:val="none"/>
                    </w:rPr>
                    <w:t>挥发酚（mg/L）</w:t>
                  </w:r>
                </w:p>
              </w:tc>
              <w:tc>
                <w:tcPr>
                  <w:tcW w:w="873" w:type="pct"/>
                  <w:noWrap w:val="0"/>
                  <w:vAlign w:val="center"/>
                </w:tcPr>
                <w:p w14:paraId="6C3F093D">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39" w:type="pct"/>
                  <w:noWrap w:val="0"/>
                  <w:vAlign w:val="center"/>
                </w:tcPr>
                <w:p w14:paraId="289CA795">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45" w:type="pct"/>
                  <w:noWrap w:val="0"/>
                  <w:vAlign w:val="center"/>
                </w:tcPr>
                <w:p w14:paraId="1253DFB7">
                  <w:pPr>
                    <w:pStyle w:val="30"/>
                    <w:bidi w:val="0"/>
                    <w:rPr>
                      <w:color w:val="auto"/>
                      <w:highlight w:val="none"/>
                    </w:rPr>
                  </w:pPr>
                  <w:r>
                    <w:rPr>
                      <w:rFonts w:hint="eastAsia"/>
                      <w:color w:val="auto"/>
                      <w:highlight w:val="none"/>
                      <w:lang w:val="en-US" w:eastAsia="zh-CN"/>
                    </w:rPr>
                    <w:t>ND</w:t>
                  </w:r>
                </w:p>
              </w:tc>
            </w:tr>
            <w:tr w14:paraId="24FF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4F6DB537">
                  <w:pPr>
                    <w:pStyle w:val="30"/>
                    <w:bidi w:val="0"/>
                    <w:rPr>
                      <w:rFonts w:cs="Times New Roman"/>
                      <w:color w:val="auto"/>
                      <w:highlight w:val="none"/>
                    </w:rPr>
                  </w:pPr>
                  <w:r>
                    <w:rPr>
                      <w:color w:val="auto"/>
                      <w:highlight w:val="none"/>
                    </w:rPr>
                    <w:t>氰化物（mg/L）</w:t>
                  </w:r>
                </w:p>
              </w:tc>
              <w:tc>
                <w:tcPr>
                  <w:tcW w:w="873" w:type="pct"/>
                  <w:shd w:val="clear" w:color="auto" w:fill="auto"/>
                  <w:noWrap w:val="0"/>
                  <w:vAlign w:val="center"/>
                </w:tcPr>
                <w:p w14:paraId="19FFE9FA">
                  <w:pPr>
                    <w:pStyle w:val="30"/>
                    <w:bidi w:val="0"/>
                    <w:rPr>
                      <w:rFonts w:hint="default" w:ascii="Times New Roman" w:hAnsi="Times New Roman" w:eastAsia="宋体" w:cs="Times New Roman"/>
                      <w:color w:val="auto"/>
                      <w:kern w:val="2"/>
                      <w:szCs w:val="24"/>
                      <w:highlight w:val="none"/>
                      <w:lang w:val="en-US" w:eastAsia="zh-CN" w:bidi="ar-SA"/>
                    </w:rPr>
                  </w:pPr>
                  <w:r>
                    <w:rPr>
                      <w:rFonts w:hint="eastAsia"/>
                      <w:color w:val="auto"/>
                      <w:highlight w:val="none"/>
                      <w:lang w:val="en-US" w:eastAsia="zh-CN"/>
                    </w:rPr>
                    <w:t>ND</w:t>
                  </w:r>
                </w:p>
              </w:tc>
              <w:tc>
                <w:tcPr>
                  <w:tcW w:w="939" w:type="pct"/>
                  <w:shd w:val="clear" w:color="auto" w:fill="auto"/>
                  <w:noWrap w:val="0"/>
                  <w:vAlign w:val="center"/>
                </w:tcPr>
                <w:p w14:paraId="5144C229">
                  <w:pPr>
                    <w:pStyle w:val="30"/>
                    <w:bidi w:val="0"/>
                    <w:rPr>
                      <w:rFonts w:hint="default" w:ascii="Times New Roman" w:hAnsi="Times New Roman" w:eastAsia="宋体" w:cs="Times New Roman"/>
                      <w:color w:val="auto"/>
                      <w:kern w:val="2"/>
                      <w:szCs w:val="24"/>
                      <w:highlight w:val="none"/>
                      <w:lang w:val="en-US" w:eastAsia="zh-CN" w:bidi="ar-SA"/>
                    </w:rPr>
                  </w:pPr>
                  <w:r>
                    <w:rPr>
                      <w:rFonts w:hint="eastAsia"/>
                      <w:color w:val="auto"/>
                      <w:highlight w:val="none"/>
                      <w:lang w:val="en-US" w:eastAsia="zh-CN"/>
                    </w:rPr>
                    <w:t>ND</w:t>
                  </w:r>
                </w:p>
              </w:tc>
              <w:tc>
                <w:tcPr>
                  <w:tcW w:w="945" w:type="pct"/>
                  <w:noWrap w:val="0"/>
                  <w:vAlign w:val="center"/>
                </w:tcPr>
                <w:p w14:paraId="55747FA2">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r>
            <w:tr w14:paraId="5732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146B2B80">
                  <w:pPr>
                    <w:pStyle w:val="30"/>
                    <w:bidi w:val="0"/>
                    <w:rPr>
                      <w:rFonts w:cs="Times New Roman"/>
                      <w:color w:val="auto"/>
                      <w:highlight w:val="none"/>
                    </w:rPr>
                  </w:pPr>
                  <w:r>
                    <w:rPr>
                      <w:color w:val="auto"/>
                      <w:highlight w:val="none"/>
                    </w:rPr>
                    <w:t>六价铬（mg/L）</w:t>
                  </w:r>
                </w:p>
              </w:tc>
              <w:tc>
                <w:tcPr>
                  <w:tcW w:w="873" w:type="pct"/>
                  <w:shd w:val="clear" w:color="auto" w:fill="auto"/>
                  <w:noWrap w:val="0"/>
                  <w:vAlign w:val="center"/>
                </w:tcPr>
                <w:p w14:paraId="128A3BC6">
                  <w:pPr>
                    <w:pStyle w:val="30"/>
                    <w:bidi w:val="0"/>
                    <w:rPr>
                      <w:rFonts w:hint="default" w:ascii="Times New Roman" w:hAnsi="Times New Roman" w:eastAsia="宋体" w:cs="Times New Roman"/>
                      <w:color w:val="auto"/>
                      <w:kern w:val="2"/>
                      <w:szCs w:val="24"/>
                      <w:highlight w:val="none"/>
                      <w:lang w:val="en-US" w:eastAsia="zh-CN" w:bidi="ar-SA"/>
                    </w:rPr>
                  </w:pPr>
                  <w:r>
                    <w:rPr>
                      <w:rFonts w:hint="eastAsia"/>
                      <w:color w:val="auto"/>
                      <w:highlight w:val="none"/>
                      <w:lang w:val="en-US" w:eastAsia="zh-CN"/>
                    </w:rPr>
                    <w:t>ND</w:t>
                  </w:r>
                </w:p>
              </w:tc>
              <w:tc>
                <w:tcPr>
                  <w:tcW w:w="939" w:type="pct"/>
                  <w:shd w:val="clear" w:color="auto" w:fill="auto"/>
                  <w:noWrap w:val="0"/>
                  <w:vAlign w:val="center"/>
                </w:tcPr>
                <w:p w14:paraId="72BAC838">
                  <w:pPr>
                    <w:pStyle w:val="30"/>
                    <w:bidi w:val="0"/>
                    <w:rPr>
                      <w:rFonts w:hint="default" w:ascii="Times New Roman" w:hAnsi="Times New Roman" w:eastAsia="宋体" w:cs="Times New Roman"/>
                      <w:color w:val="auto"/>
                      <w:kern w:val="2"/>
                      <w:szCs w:val="24"/>
                      <w:highlight w:val="none"/>
                      <w:lang w:val="en-US" w:eastAsia="zh-CN" w:bidi="ar-SA"/>
                    </w:rPr>
                  </w:pPr>
                  <w:r>
                    <w:rPr>
                      <w:rFonts w:hint="eastAsia"/>
                      <w:color w:val="auto"/>
                      <w:highlight w:val="none"/>
                      <w:lang w:val="en-US" w:eastAsia="zh-CN"/>
                    </w:rPr>
                    <w:t>ND</w:t>
                  </w:r>
                </w:p>
              </w:tc>
              <w:tc>
                <w:tcPr>
                  <w:tcW w:w="945" w:type="pct"/>
                  <w:noWrap w:val="0"/>
                  <w:vAlign w:val="center"/>
                </w:tcPr>
                <w:p w14:paraId="10A8532A">
                  <w:pPr>
                    <w:pStyle w:val="30"/>
                    <w:bidi w:val="0"/>
                    <w:rPr>
                      <w:color w:val="auto"/>
                      <w:highlight w:val="none"/>
                    </w:rPr>
                  </w:pPr>
                  <w:r>
                    <w:rPr>
                      <w:rFonts w:hint="eastAsia"/>
                      <w:color w:val="auto"/>
                      <w:highlight w:val="none"/>
                      <w:lang w:val="en-US" w:eastAsia="zh-CN"/>
                    </w:rPr>
                    <w:t>ND</w:t>
                  </w:r>
                </w:p>
              </w:tc>
            </w:tr>
            <w:tr w14:paraId="4B74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327CB508">
                  <w:pPr>
                    <w:pStyle w:val="30"/>
                    <w:bidi w:val="0"/>
                    <w:rPr>
                      <w:rFonts w:cs="Times New Roman"/>
                      <w:color w:val="auto"/>
                      <w:highlight w:val="none"/>
                    </w:rPr>
                  </w:pPr>
                  <w:r>
                    <w:rPr>
                      <w:color w:val="auto"/>
                      <w:highlight w:val="none"/>
                    </w:rPr>
                    <w:t>总硬度（mg/L）</w:t>
                  </w:r>
                </w:p>
              </w:tc>
              <w:tc>
                <w:tcPr>
                  <w:tcW w:w="873" w:type="pct"/>
                  <w:noWrap w:val="0"/>
                  <w:vAlign w:val="center"/>
                </w:tcPr>
                <w:p w14:paraId="2C3F3BE8">
                  <w:pPr>
                    <w:pStyle w:val="30"/>
                    <w:bidi w:val="0"/>
                    <w:rPr>
                      <w:rFonts w:hint="default" w:eastAsia="宋体" w:cs="Times New Roman"/>
                      <w:color w:val="auto"/>
                      <w:highlight w:val="none"/>
                      <w:lang w:val="en-US" w:eastAsia="zh-CN"/>
                    </w:rPr>
                  </w:pPr>
                  <w:r>
                    <w:rPr>
                      <w:rFonts w:hint="eastAsia"/>
                      <w:color w:val="auto"/>
                      <w:highlight w:val="none"/>
                      <w:lang w:val="en-US" w:eastAsia="zh-CN"/>
                    </w:rPr>
                    <w:t>210</w:t>
                  </w:r>
                </w:p>
              </w:tc>
              <w:tc>
                <w:tcPr>
                  <w:tcW w:w="939" w:type="pct"/>
                  <w:noWrap w:val="0"/>
                  <w:vAlign w:val="center"/>
                </w:tcPr>
                <w:p w14:paraId="27066F37">
                  <w:pPr>
                    <w:pStyle w:val="30"/>
                    <w:bidi w:val="0"/>
                    <w:rPr>
                      <w:rFonts w:hint="default" w:eastAsia="宋体" w:cs="Times New Roman"/>
                      <w:color w:val="auto"/>
                      <w:highlight w:val="none"/>
                      <w:lang w:val="en-US" w:eastAsia="zh-CN"/>
                    </w:rPr>
                  </w:pPr>
                  <w:r>
                    <w:rPr>
                      <w:rFonts w:hint="eastAsia"/>
                      <w:color w:val="auto"/>
                      <w:highlight w:val="none"/>
                      <w:lang w:val="en-US" w:eastAsia="zh-CN"/>
                    </w:rPr>
                    <w:t>211</w:t>
                  </w:r>
                </w:p>
              </w:tc>
              <w:tc>
                <w:tcPr>
                  <w:tcW w:w="945" w:type="pct"/>
                  <w:noWrap w:val="0"/>
                  <w:vAlign w:val="center"/>
                </w:tcPr>
                <w:p w14:paraId="4BDF4E1D">
                  <w:pPr>
                    <w:pStyle w:val="30"/>
                    <w:bidi w:val="0"/>
                    <w:rPr>
                      <w:rFonts w:hint="default" w:eastAsia="宋体" w:cs="Times New Roman"/>
                      <w:color w:val="auto"/>
                      <w:highlight w:val="none"/>
                      <w:lang w:val="en-US" w:eastAsia="zh-CN"/>
                    </w:rPr>
                  </w:pPr>
                  <w:r>
                    <w:rPr>
                      <w:rFonts w:hint="eastAsia"/>
                      <w:color w:val="auto"/>
                      <w:highlight w:val="none"/>
                      <w:lang w:val="en-US" w:eastAsia="zh-CN"/>
                    </w:rPr>
                    <w:t>228</w:t>
                  </w:r>
                </w:p>
              </w:tc>
            </w:tr>
            <w:tr w14:paraId="07F7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2D488045">
                  <w:pPr>
                    <w:pStyle w:val="30"/>
                    <w:bidi w:val="0"/>
                    <w:rPr>
                      <w:rFonts w:cs="Times New Roman"/>
                      <w:color w:val="auto"/>
                      <w:highlight w:val="none"/>
                    </w:rPr>
                  </w:pPr>
                  <w:r>
                    <w:rPr>
                      <w:color w:val="auto"/>
                      <w:highlight w:val="none"/>
                    </w:rPr>
                    <w:t>溶解性总固体（mg/L）</w:t>
                  </w:r>
                </w:p>
              </w:tc>
              <w:tc>
                <w:tcPr>
                  <w:tcW w:w="873" w:type="pct"/>
                  <w:noWrap w:val="0"/>
                  <w:vAlign w:val="center"/>
                </w:tcPr>
                <w:p w14:paraId="037031A1">
                  <w:pPr>
                    <w:pStyle w:val="30"/>
                    <w:bidi w:val="0"/>
                    <w:rPr>
                      <w:rFonts w:hint="default" w:eastAsia="宋体" w:cs="Times New Roman"/>
                      <w:color w:val="auto"/>
                      <w:highlight w:val="none"/>
                      <w:lang w:val="en-US" w:eastAsia="zh-CN"/>
                    </w:rPr>
                  </w:pPr>
                  <w:r>
                    <w:rPr>
                      <w:rFonts w:hint="eastAsia"/>
                      <w:color w:val="auto"/>
                      <w:highlight w:val="none"/>
                      <w:lang w:val="en-US" w:eastAsia="zh-CN"/>
                    </w:rPr>
                    <w:t>219</w:t>
                  </w:r>
                </w:p>
              </w:tc>
              <w:tc>
                <w:tcPr>
                  <w:tcW w:w="939" w:type="pct"/>
                  <w:noWrap w:val="0"/>
                  <w:vAlign w:val="center"/>
                </w:tcPr>
                <w:p w14:paraId="4C77840E">
                  <w:pPr>
                    <w:pStyle w:val="30"/>
                    <w:bidi w:val="0"/>
                    <w:rPr>
                      <w:rFonts w:hint="default" w:eastAsia="宋体" w:cs="Times New Roman"/>
                      <w:color w:val="auto"/>
                      <w:highlight w:val="none"/>
                      <w:lang w:val="en-US" w:eastAsia="zh-CN"/>
                    </w:rPr>
                  </w:pPr>
                  <w:r>
                    <w:rPr>
                      <w:rFonts w:hint="eastAsia"/>
                      <w:color w:val="auto"/>
                      <w:highlight w:val="none"/>
                      <w:lang w:val="en-US" w:eastAsia="zh-CN"/>
                    </w:rPr>
                    <w:t>224</w:t>
                  </w:r>
                </w:p>
              </w:tc>
              <w:tc>
                <w:tcPr>
                  <w:tcW w:w="945" w:type="pct"/>
                  <w:noWrap w:val="0"/>
                  <w:vAlign w:val="center"/>
                </w:tcPr>
                <w:p w14:paraId="10FA8221">
                  <w:pPr>
                    <w:pStyle w:val="30"/>
                    <w:bidi w:val="0"/>
                    <w:rPr>
                      <w:rFonts w:hint="default" w:eastAsia="宋体" w:cs="Times New Roman"/>
                      <w:color w:val="auto"/>
                      <w:highlight w:val="none"/>
                      <w:lang w:val="en-US" w:eastAsia="zh-CN"/>
                    </w:rPr>
                  </w:pPr>
                  <w:r>
                    <w:rPr>
                      <w:rFonts w:hint="eastAsia"/>
                      <w:color w:val="auto"/>
                      <w:highlight w:val="none"/>
                      <w:lang w:val="en-US" w:eastAsia="zh-CN"/>
                    </w:rPr>
                    <w:t>186</w:t>
                  </w:r>
                </w:p>
              </w:tc>
            </w:tr>
            <w:tr w14:paraId="1A05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49313011">
                  <w:pPr>
                    <w:pStyle w:val="30"/>
                    <w:bidi w:val="0"/>
                    <w:rPr>
                      <w:rFonts w:cs="Times New Roman"/>
                      <w:color w:val="auto"/>
                      <w:highlight w:val="none"/>
                    </w:rPr>
                  </w:pPr>
                  <w:r>
                    <w:rPr>
                      <w:rFonts w:hint="eastAsia"/>
                      <w:color w:val="auto"/>
                      <w:highlight w:val="none"/>
                      <w:lang w:eastAsia="zh-CN"/>
                    </w:rPr>
                    <w:t>高锰酸盐指数（</w:t>
                  </w:r>
                  <w:r>
                    <w:rPr>
                      <w:color w:val="auto"/>
                      <w:highlight w:val="none"/>
                    </w:rPr>
                    <w:t>耗氧量</w:t>
                  </w:r>
                  <w:r>
                    <w:rPr>
                      <w:rFonts w:hint="eastAsia"/>
                      <w:color w:val="auto"/>
                      <w:highlight w:val="none"/>
                      <w:lang w:eastAsia="zh-CN"/>
                    </w:rPr>
                    <w:t>）</w:t>
                  </w:r>
                  <w:r>
                    <w:rPr>
                      <w:color w:val="auto"/>
                      <w:highlight w:val="none"/>
                    </w:rPr>
                    <w:t>（mg/L）</w:t>
                  </w:r>
                </w:p>
              </w:tc>
              <w:tc>
                <w:tcPr>
                  <w:tcW w:w="873" w:type="pct"/>
                  <w:noWrap w:val="0"/>
                  <w:vAlign w:val="center"/>
                </w:tcPr>
                <w:p w14:paraId="780A7613">
                  <w:pPr>
                    <w:pStyle w:val="30"/>
                    <w:bidi w:val="0"/>
                    <w:rPr>
                      <w:rFonts w:hint="default" w:eastAsia="宋体" w:cs="Times New Roman"/>
                      <w:color w:val="auto"/>
                      <w:highlight w:val="none"/>
                      <w:lang w:val="en-US" w:eastAsia="zh-CN"/>
                    </w:rPr>
                  </w:pPr>
                  <w:r>
                    <w:rPr>
                      <w:rFonts w:hint="eastAsia"/>
                      <w:color w:val="auto"/>
                      <w:highlight w:val="none"/>
                      <w:lang w:val="en-US" w:eastAsia="zh-CN"/>
                    </w:rPr>
                    <w:t>2.4</w:t>
                  </w:r>
                </w:p>
              </w:tc>
              <w:tc>
                <w:tcPr>
                  <w:tcW w:w="939" w:type="pct"/>
                  <w:noWrap w:val="0"/>
                  <w:vAlign w:val="center"/>
                </w:tcPr>
                <w:p w14:paraId="5B6005A0">
                  <w:pPr>
                    <w:pStyle w:val="30"/>
                    <w:bidi w:val="0"/>
                    <w:rPr>
                      <w:rFonts w:hint="default" w:eastAsia="宋体" w:cs="Times New Roman"/>
                      <w:color w:val="auto"/>
                      <w:highlight w:val="none"/>
                      <w:lang w:val="en-US" w:eastAsia="zh-CN"/>
                    </w:rPr>
                  </w:pPr>
                  <w:r>
                    <w:rPr>
                      <w:rFonts w:hint="eastAsia"/>
                      <w:color w:val="auto"/>
                      <w:highlight w:val="none"/>
                      <w:lang w:val="en-US" w:eastAsia="zh-CN"/>
                    </w:rPr>
                    <w:t>2.7</w:t>
                  </w:r>
                </w:p>
              </w:tc>
              <w:tc>
                <w:tcPr>
                  <w:tcW w:w="945" w:type="pct"/>
                  <w:noWrap w:val="0"/>
                  <w:vAlign w:val="center"/>
                </w:tcPr>
                <w:p w14:paraId="3FD0FDDF">
                  <w:pPr>
                    <w:pStyle w:val="30"/>
                    <w:bidi w:val="0"/>
                    <w:rPr>
                      <w:rFonts w:hint="default" w:eastAsia="宋体" w:cs="Times New Roman"/>
                      <w:color w:val="auto"/>
                      <w:highlight w:val="none"/>
                      <w:lang w:val="en-US" w:eastAsia="zh-CN"/>
                    </w:rPr>
                  </w:pPr>
                  <w:r>
                    <w:rPr>
                      <w:rFonts w:hint="eastAsia"/>
                      <w:color w:val="auto"/>
                      <w:highlight w:val="none"/>
                      <w:lang w:val="en-US" w:eastAsia="zh-CN"/>
                    </w:rPr>
                    <w:t>3.3</w:t>
                  </w:r>
                </w:p>
              </w:tc>
            </w:tr>
            <w:tr w14:paraId="1CA3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110CA4AB">
                  <w:pPr>
                    <w:pStyle w:val="30"/>
                    <w:bidi w:val="0"/>
                    <w:rPr>
                      <w:rFonts w:cs="Times New Roman"/>
                      <w:color w:val="auto"/>
                      <w:highlight w:val="none"/>
                    </w:rPr>
                  </w:pPr>
                  <w:r>
                    <w:rPr>
                      <w:color w:val="auto"/>
                      <w:highlight w:val="none"/>
                    </w:rPr>
                    <w:t>硫酸盐（mg/L）</w:t>
                  </w:r>
                </w:p>
              </w:tc>
              <w:tc>
                <w:tcPr>
                  <w:tcW w:w="873" w:type="pct"/>
                  <w:noWrap w:val="0"/>
                  <w:vAlign w:val="center"/>
                </w:tcPr>
                <w:p w14:paraId="4CBA07A8">
                  <w:pPr>
                    <w:pStyle w:val="30"/>
                    <w:bidi w:val="0"/>
                    <w:rPr>
                      <w:rFonts w:hint="default" w:eastAsia="宋体" w:cs="Times New Roman"/>
                      <w:color w:val="auto"/>
                      <w:highlight w:val="none"/>
                      <w:lang w:val="en-US" w:eastAsia="zh-CN"/>
                    </w:rPr>
                  </w:pPr>
                  <w:r>
                    <w:rPr>
                      <w:rFonts w:hint="eastAsia"/>
                      <w:color w:val="auto"/>
                      <w:highlight w:val="none"/>
                      <w:lang w:val="en-US" w:eastAsia="zh-CN"/>
                    </w:rPr>
                    <w:t>74.3</w:t>
                  </w:r>
                </w:p>
              </w:tc>
              <w:tc>
                <w:tcPr>
                  <w:tcW w:w="939" w:type="pct"/>
                  <w:noWrap w:val="0"/>
                  <w:vAlign w:val="center"/>
                </w:tcPr>
                <w:p w14:paraId="78548D2E">
                  <w:pPr>
                    <w:pStyle w:val="30"/>
                    <w:bidi w:val="0"/>
                    <w:rPr>
                      <w:rFonts w:hint="default" w:eastAsia="宋体" w:cs="Times New Roman"/>
                      <w:color w:val="auto"/>
                      <w:highlight w:val="none"/>
                      <w:lang w:val="en-US" w:eastAsia="zh-CN"/>
                    </w:rPr>
                  </w:pPr>
                  <w:r>
                    <w:rPr>
                      <w:rFonts w:hint="eastAsia"/>
                      <w:color w:val="auto"/>
                      <w:highlight w:val="none"/>
                      <w:lang w:val="en-US" w:eastAsia="zh-CN"/>
                    </w:rPr>
                    <w:t>62.0</w:t>
                  </w:r>
                </w:p>
              </w:tc>
              <w:tc>
                <w:tcPr>
                  <w:tcW w:w="945" w:type="pct"/>
                  <w:noWrap w:val="0"/>
                  <w:vAlign w:val="center"/>
                </w:tcPr>
                <w:p w14:paraId="2187C4C2">
                  <w:pPr>
                    <w:pStyle w:val="30"/>
                    <w:bidi w:val="0"/>
                    <w:rPr>
                      <w:rFonts w:hint="default" w:eastAsia="宋体" w:cs="Times New Roman"/>
                      <w:color w:val="auto"/>
                      <w:highlight w:val="none"/>
                      <w:lang w:val="en-US" w:eastAsia="zh-CN"/>
                    </w:rPr>
                  </w:pPr>
                  <w:r>
                    <w:rPr>
                      <w:rFonts w:hint="eastAsia"/>
                      <w:color w:val="auto"/>
                      <w:highlight w:val="none"/>
                      <w:lang w:val="en-US" w:eastAsia="zh-CN"/>
                    </w:rPr>
                    <w:t>76.1</w:t>
                  </w:r>
                </w:p>
              </w:tc>
            </w:tr>
            <w:tr w14:paraId="55FB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04C85258">
                  <w:pPr>
                    <w:pStyle w:val="30"/>
                    <w:bidi w:val="0"/>
                    <w:rPr>
                      <w:rFonts w:cs="Times New Roman"/>
                      <w:color w:val="auto"/>
                      <w:highlight w:val="none"/>
                    </w:rPr>
                  </w:pPr>
                  <w:r>
                    <w:rPr>
                      <w:color w:val="auto"/>
                      <w:highlight w:val="none"/>
                    </w:rPr>
                    <w:t>氯化物（mg/L）</w:t>
                  </w:r>
                </w:p>
              </w:tc>
              <w:tc>
                <w:tcPr>
                  <w:tcW w:w="873" w:type="pct"/>
                  <w:noWrap w:val="0"/>
                  <w:vAlign w:val="center"/>
                </w:tcPr>
                <w:p w14:paraId="5D4D563C">
                  <w:pPr>
                    <w:pStyle w:val="30"/>
                    <w:bidi w:val="0"/>
                    <w:rPr>
                      <w:rFonts w:hint="default" w:eastAsia="宋体" w:cs="Times New Roman"/>
                      <w:color w:val="auto"/>
                      <w:highlight w:val="none"/>
                      <w:lang w:val="en-US" w:eastAsia="zh-CN"/>
                    </w:rPr>
                  </w:pPr>
                  <w:r>
                    <w:rPr>
                      <w:rFonts w:hint="eastAsia"/>
                      <w:color w:val="auto"/>
                      <w:highlight w:val="none"/>
                      <w:lang w:val="en-US" w:eastAsia="zh-CN"/>
                    </w:rPr>
                    <w:t>78.1</w:t>
                  </w:r>
                </w:p>
              </w:tc>
              <w:tc>
                <w:tcPr>
                  <w:tcW w:w="939" w:type="pct"/>
                  <w:noWrap w:val="0"/>
                  <w:vAlign w:val="center"/>
                </w:tcPr>
                <w:p w14:paraId="556144B3">
                  <w:pPr>
                    <w:pStyle w:val="30"/>
                    <w:bidi w:val="0"/>
                    <w:rPr>
                      <w:rFonts w:hint="default" w:eastAsia="宋体" w:cs="Times New Roman"/>
                      <w:color w:val="auto"/>
                      <w:highlight w:val="none"/>
                      <w:lang w:val="en-US" w:eastAsia="zh-CN"/>
                    </w:rPr>
                  </w:pPr>
                  <w:r>
                    <w:rPr>
                      <w:rFonts w:hint="eastAsia"/>
                      <w:color w:val="auto"/>
                      <w:highlight w:val="none"/>
                      <w:lang w:val="en-US" w:eastAsia="zh-CN"/>
                    </w:rPr>
                    <w:t>67.8</w:t>
                  </w:r>
                </w:p>
              </w:tc>
              <w:tc>
                <w:tcPr>
                  <w:tcW w:w="945" w:type="pct"/>
                  <w:noWrap w:val="0"/>
                  <w:vAlign w:val="center"/>
                </w:tcPr>
                <w:p w14:paraId="5ACA9092">
                  <w:pPr>
                    <w:pStyle w:val="30"/>
                    <w:bidi w:val="0"/>
                    <w:rPr>
                      <w:rFonts w:hint="default" w:eastAsia="宋体" w:cs="Times New Roman"/>
                      <w:color w:val="auto"/>
                      <w:highlight w:val="none"/>
                      <w:lang w:val="en-US" w:eastAsia="zh-CN"/>
                    </w:rPr>
                  </w:pPr>
                  <w:r>
                    <w:rPr>
                      <w:rFonts w:hint="eastAsia"/>
                      <w:color w:val="auto"/>
                      <w:highlight w:val="none"/>
                      <w:lang w:val="en-US" w:eastAsia="zh-CN"/>
                    </w:rPr>
                    <w:t>82.9</w:t>
                  </w:r>
                </w:p>
              </w:tc>
            </w:tr>
            <w:tr w14:paraId="7C38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2CDDE460">
                  <w:pPr>
                    <w:pStyle w:val="30"/>
                    <w:bidi w:val="0"/>
                    <w:rPr>
                      <w:rFonts w:hint="eastAsia" w:eastAsia="宋体"/>
                      <w:color w:val="auto"/>
                      <w:highlight w:val="none"/>
                      <w:lang w:eastAsia="zh-CN"/>
                    </w:rPr>
                  </w:pPr>
                  <w:r>
                    <w:rPr>
                      <w:rFonts w:hint="eastAsia"/>
                      <w:color w:val="auto"/>
                      <w:highlight w:val="none"/>
                      <w:lang w:eastAsia="zh-CN"/>
                    </w:rPr>
                    <w:t>硫化物</w:t>
                  </w:r>
                  <w:r>
                    <w:rPr>
                      <w:color w:val="auto"/>
                      <w:highlight w:val="none"/>
                    </w:rPr>
                    <w:t>（mg/L）</w:t>
                  </w:r>
                </w:p>
              </w:tc>
              <w:tc>
                <w:tcPr>
                  <w:tcW w:w="873" w:type="pct"/>
                  <w:noWrap w:val="0"/>
                  <w:vAlign w:val="center"/>
                </w:tcPr>
                <w:p w14:paraId="325D9996">
                  <w:pPr>
                    <w:pStyle w:val="30"/>
                    <w:bidi w:val="0"/>
                    <w:rPr>
                      <w:rFonts w:hint="default"/>
                      <w:color w:val="auto"/>
                      <w:highlight w:val="none"/>
                      <w:lang w:val="en-US" w:eastAsia="zh-CN"/>
                    </w:rPr>
                  </w:pPr>
                  <w:r>
                    <w:rPr>
                      <w:rFonts w:hint="eastAsia"/>
                      <w:color w:val="auto"/>
                      <w:highlight w:val="none"/>
                      <w:lang w:val="en-US" w:eastAsia="zh-CN"/>
                    </w:rPr>
                    <w:t>0.02</w:t>
                  </w:r>
                </w:p>
              </w:tc>
              <w:tc>
                <w:tcPr>
                  <w:tcW w:w="939" w:type="pct"/>
                  <w:noWrap w:val="0"/>
                  <w:vAlign w:val="center"/>
                </w:tcPr>
                <w:p w14:paraId="25BDDE38">
                  <w:pPr>
                    <w:pStyle w:val="30"/>
                    <w:bidi w:val="0"/>
                    <w:rPr>
                      <w:rFonts w:hint="default"/>
                      <w:color w:val="auto"/>
                      <w:highlight w:val="none"/>
                      <w:lang w:val="en-US" w:eastAsia="zh-CN"/>
                    </w:rPr>
                  </w:pPr>
                  <w:r>
                    <w:rPr>
                      <w:rFonts w:hint="eastAsia"/>
                      <w:color w:val="auto"/>
                      <w:highlight w:val="none"/>
                      <w:lang w:val="en-US" w:eastAsia="zh-CN"/>
                    </w:rPr>
                    <w:t>0.02</w:t>
                  </w:r>
                </w:p>
              </w:tc>
              <w:tc>
                <w:tcPr>
                  <w:tcW w:w="945" w:type="pct"/>
                  <w:noWrap w:val="0"/>
                  <w:vAlign w:val="center"/>
                </w:tcPr>
                <w:p w14:paraId="762E5B97">
                  <w:pPr>
                    <w:pStyle w:val="30"/>
                    <w:bidi w:val="0"/>
                    <w:rPr>
                      <w:rFonts w:hint="default"/>
                      <w:color w:val="auto"/>
                      <w:highlight w:val="none"/>
                      <w:lang w:val="en-US" w:eastAsia="zh-CN"/>
                    </w:rPr>
                  </w:pPr>
                  <w:r>
                    <w:rPr>
                      <w:rFonts w:hint="eastAsia"/>
                      <w:color w:val="auto"/>
                      <w:highlight w:val="none"/>
                      <w:lang w:val="en-US" w:eastAsia="zh-CN"/>
                    </w:rPr>
                    <w:t>0.03</w:t>
                  </w:r>
                </w:p>
              </w:tc>
            </w:tr>
            <w:tr w14:paraId="3960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34AA3D9F">
                  <w:pPr>
                    <w:pStyle w:val="30"/>
                    <w:bidi w:val="0"/>
                    <w:rPr>
                      <w:rFonts w:cs="Times New Roman"/>
                      <w:color w:val="auto"/>
                      <w:highlight w:val="none"/>
                    </w:rPr>
                  </w:pPr>
                  <w:r>
                    <w:rPr>
                      <w:color w:val="auto"/>
                      <w:highlight w:val="none"/>
                    </w:rPr>
                    <w:t>氟化物（mg/L）</w:t>
                  </w:r>
                </w:p>
              </w:tc>
              <w:tc>
                <w:tcPr>
                  <w:tcW w:w="873" w:type="pct"/>
                  <w:noWrap w:val="0"/>
                  <w:vAlign w:val="center"/>
                </w:tcPr>
                <w:p w14:paraId="460BD58A">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39" w:type="pct"/>
                  <w:noWrap w:val="0"/>
                  <w:vAlign w:val="center"/>
                </w:tcPr>
                <w:p w14:paraId="579BA783">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45" w:type="pct"/>
                  <w:noWrap w:val="0"/>
                  <w:vAlign w:val="center"/>
                </w:tcPr>
                <w:p w14:paraId="13863AC4">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r>
            <w:tr w14:paraId="1235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4C955D5D">
                  <w:pPr>
                    <w:pStyle w:val="30"/>
                    <w:bidi w:val="0"/>
                    <w:rPr>
                      <w:rFonts w:cs="Times New Roman"/>
                      <w:color w:val="auto"/>
                      <w:highlight w:val="none"/>
                    </w:rPr>
                  </w:pPr>
                  <w:r>
                    <w:rPr>
                      <w:color w:val="auto"/>
                      <w:highlight w:val="none"/>
                    </w:rPr>
                    <w:t>铁（</w:t>
                  </w:r>
                  <w:r>
                    <w:rPr>
                      <w:rFonts w:hint="eastAsia"/>
                      <w:color w:val="auto"/>
                      <w:highlight w:val="none"/>
                      <w:lang w:val="en-US" w:eastAsia="zh-CN"/>
                    </w:rPr>
                    <w:t>m</w:t>
                  </w:r>
                  <w:r>
                    <w:rPr>
                      <w:color w:val="auto"/>
                      <w:highlight w:val="none"/>
                    </w:rPr>
                    <w:t>g/L）</w:t>
                  </w:r>
                </w:p>
              </w:tc>
              <w:tc>
                <w:tcPr>
                  <w:tcW w:w="873" w:type="pct"/>
                  <w:noWrap w:val="0"/>
                  <w:vAlign w:val="center"/>
                </w:tcPr>
                <w:p w14:paraId="79AA4EE5">
                  <w:pPr>
                    <w:pStyle w:val="30"/>
                    <w:bidi w:val="0"/>
                    <w:rPr>
                      <w:rFonts w:hint="default" w:eastAsia="宋体" w:cs="Times New Roman"/>
                      <w:color w:val="auto"/>
                      <w:highlight w:val="none"/>
                      <w:lang w:val="en-US" w:eastAsia="zh-CN"/>
                    </w:rPr>
                  </w:pPr>
                  <w:r>
                    <w:rPr>
                      <w:rFonts w:hint="eastAsia"/>
                      <w:color w:val="auto"/>
                      <w:highlight w:val="none"/>
                      <w:lang w:val="en-US" w:eastAsia="zh-CN"/>
                    </w:rPr>
                    <w:t>0.46</w:t>
                  </w:r>
                </w:p>
              </w:tc>
              <w:tc>
                <w:tcPr>
                  <w:tcW w:w="939" w:type="pct"/>
                  <w:noWrap w:val="0"/>
                  <w:vAlign w:val="center"/>
                </w:tcPr>
                <w:p w14:paraId="1A4ED97C">
                  <w:pPr>
                    <w:pStyle w:val="30"/>
                    <w:bidi w:val="0"/>
                    <w:rPr>
                      <w:rFonts w:hint="default" w:eastAsia="宋体" w:cs="Times New Roman"/>
                      <w:color w:val="auto"/>
                      <w:highlight w:val="none"/>
                      <w:lang w:val="en-US" w:eastAsia="zh-CN"/>
                    </w:rPr>
                  </w:pPr>
                  <w:r>
                    <w:rPr>
                      <w:rFonts w:hint="eastAsia"/>
                      <w:color w:val="auto"/>
                      <w:highlight w:val="none"/>
                      <w:lang w:val="en-US" w:eastAsia="zh-CN"/>
                    </w:rPr>
                    <w:t>0.47</w:t>
                  </w:r>
                </w:p>
              </w:tc>
              <w:tc>
                <w:tcPr>
                  <w:tcW w:w="945" w:type="pct"/>
                  <w:noWrap w:val="0"/>
                  <w:vAlign w:val="center"/>
                </w:tcPr>
                <w:p w14:paraId="518262EC">
                  <w:pPr>
                    <w:pStyle w:val="30"/>
                    <w:bidi w:val="0"/>
                    <w:rPr>
                      <w:rFonts w:hint="default" w:eastAsia="宋体" w:cs="Times New Roman"/>
                      <w:color w:val="auto"/>
                      <w:highlight w:val="none"/>
                      <w:lang w:val="en-US" w:eastAsia="zh-CN"/>
                    </w:rPr>
                  </w:pPr>
                  <w:r>
                    <w:rPr>
                      <w:rFonts w:hint="eastAsia"/>
                      <w:color w:val="auto"/>
                      <w:highlight w:val="none"/>
                      <w:lang w:val="en-US" w:eastAsia="zh-CN"/>
                    </w:rPr>
                    <w:t>0.43</w:t>
                  </w:r>
                </w:p>
              </w:tc>
            </w:tr>
            <w:tr w14:paraId="39BC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61555734">
                  <w:pPr>
                    <w:pStyle w:val="30"/>
                    <w:bidi w:val="0"/>
                    <w:rPr>
                      <w:rFonts w:cs="Times New Roman"/>
                      <w:color w:val="auto"/>
                      <w:highlight w:val="none"/>
                    </w:rPr>
                  </w:pPr>
                  <w:r>
                    <w:rPr>
                      <w:color w:val="auto"/>
                      <w:highlight w:val="none"/>
                    </w:rPr>
                    <w:t>锰（mg/L）</w:t>
                  </w:r>
                </w:p>
              </w:tc>
              <w:tc>
                <w:tcPr>
                  <w:tcW w:w="873" w:type="pct"/>
                  <w:noWrap w:val="0"/>
                  <w:vAlign w:val="center"/>
                </w:tcPr>
                <w:p w14:paraId="4ACB056D">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39" w:type="pct"/>
                  <w:noWrap w:val="0"/>
                  <w:vAlign w:val="center"/>
                </w:tcPr>
                <w:p w14:paraId="2BD847AF">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45" w:type="pct"/>
                  <w:noWrap w:val="0"/>
                  <w:vAlign w:val="center"/>
                </w:tcPr>
                <w:p w14:paraId="0ACCFFA8">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r>
            <w:tr w14:paraId="1AC0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425A1D80">
                  <w:pPr>
                    <w:pStyle w:val="30"/>
                    <w:bidi w:val="0"/>
                    <w:rPr>
                      <w:rFonts w:cs="Times New Roman"/>
                      <w:color w:val="auto"/>
                      <w:highlight w:val="none"/>
                    </w:rPr>
                  </w:pPr>
                  <w:r>
                    <w:rPr>
                      <w:color w:val="auto"/>
                      <w:highlight w:val="none"/>
                    </w:rPr>
                    <w:t>铅（mg/L）</w:t>
                  </w:r>
                </w:p>
              </w:tc>
              <w:tc>
                <w:tcPr>
                  <w:tcW w:w="873" w:type="pct"/>
                  <w:noWrap w:val="0"/>
                  <w:vAlign w:val="center"/>
                </w:tcPr>
                <w:p w14:paraId="78C4A8A0">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39" w:type="pct"/>
                  <w:noWrap w:val="0"/>
                  <w:vAlign w:val="center"/>
                </w:tcPr>
                <w:p w14:paraId="2FACBE5D">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45" w:type="pct"/>
                  <w:noWrap w:val="0"/>
                  <w:vAlign w:val="center"/>
                </w:tcPr>
                <w:p w14:paraId="754913E1">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r>
            <w:tr w14:paraId="7318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5220C7DE">
                  <w:pPr>
                    <w:pStyle w:val="30"/>
                    <w:bidi w:val="0"/>
                    <w:rPr>
                      <w:rFonts w:cs="Times New Roman"/>
                      <w:color w:val="auto"/>
                      <w:highlight w:val="none"/>
                    </w:rPr>
                  </w:pPr>
                  <w:r>
                    <w:rPr>
                      <w:color w:val="auto"/>
                      <w:highlight w:val="none"/>
                    </w:rPr>
                    <w:t>镉（mg/L）</w:t>
                  </w:r>
                </w:p>
              </w:tc>
              <w:tc>
                <w:tcPr>
                  <w:tcW w:w="873" w:type="pct"/>
                  <w:noWrap w:val="0"/>
                  <w:vAlign w:val="center"/>
                </w:tcPr>
                <w:p w14:paraId="5F2A9C58">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39" w:type="pct"/>
                  <w:noWrap w:val="0"/>
                  <w:vAlign w:val="center"/>
                </w:tcPr>
                <w:p w14:paraId="62903280">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45" w:type="pct"/>
                  <w:noWrap w:val="0"/>
                  <w:vAlign w:val="center"/>
                </w:tcPr>
                <w:p w14:paraId="48A0343B">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r>
            <w:tr w14:paraId="0E77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121667AA">
                  <w:pPr>
                    <w:pStyle w:val="30"/>
                    <w:bidi w:val="0"/>
                    <w:rPr>
                      <w:rFonts w:hint="eastAsia" w:eastAsia="宋体"/>
                      <w:color w:val="auto"/>
                      <w:highlight w:val="none"/>
                      <w:lang w:eastAsia="zh-CN"/>
                    </w:rPr>
                  </w:pPr>
                  <w:r>
                    <w:rPr>
                      <w:rFonts w:hint="eastAsia"/>
                      <w:color w:val="auto"/>
                      <w:highlight w:val="none"/>
                      <w:lang w:eastAsia="zh-CN"/>
                    </w:rPr>
                    <w:t>铜</w:t>
                  </w:r>
                  <w:r>
                    <w:rPr>
                      <w:color w:val="auto"/>
                      <w:highlight w:val="none"/>
                    </w:rPr>
                    <w:t>（mg/L）</w:t>
                  </w:r>
                </w:p>
              </w:tc>
              <w:tc>
                <w:tcPr>
                  <w:tcW w:w="873" w:type="pct"/>
                  <w:noWrap w:val="0"/>
                  <w:vAlign w:val="center"/>
                </w:tcPr>
                <w:p w14:paraId="36184DEB">
                  <w:pPr>
                    <w:pStyle w:val="30"/>
                    <w:bidi w:val="0"/>
                    <w:rPr>
                      <w:rFonts w:hint="eastAsia"/>
                      <w:color w:val="auto"/>
                      <w:highlight w:val="none"/>
                      <w:lang w:val="en-US" w:eastAsia="zh-CN"/>
                    </w:rPr>
                  </w:pPr>
                  <w:r>
                    <w:rPr>
                      <w:rFonts w:hint="eastAsia"/>
                      <w:color w:val="auto"/>
                      <w:highlight w:val="none"/>
                      <w:lang w:val="en-US" w:eastAsia="zh-CN"/>
                    </w:rPr>
                    <w:t>ND</w:t>
                  </w:r>
                </w:p>
              </w:tc>
              <w:tc>
                <w:tcPr>
                  <w:tcW w:w="939" w:type="pct"/>
                  <w:noWrap w:val="0"/>
                  <w:vAlign w:val="center"/>
                </w:tcPr>
                <w:p w14:paraId="440C35C7">
                  <w:pPr>
                    <w:pStyle w:val="30"/>
                    <w:bidi w:val="0"/>
                    <w:rPr>
                      <w:rFonts w:hint="eastAsia"/>
                      <w:color w:val="auto"/>
                      <w:highlight w:val="none"/>
                      <w:lang w:val="en-US" w:eastAsia="zh-CN"/>
                    </w:rPr>
                  </w:pPr>
                  <w:r>
                    <w:rPr>
                      <w:rFonts w:hint="eastAsia"/>
                      <w:color w:val="auto"/>
                      <w:highlight w:val="none"/>
                      <w:lang w:val="en-US" w:eastAsia="zh-CN"/>
                    </w:rPr>
                    <w:t>ND</w:t>
                  </w:r>
                </w:p>
              </w:tc>
              <w:tc>
                <w:tcPr>
                  <w:tcW w:w="945" w:type="pct"/>
                  <w:noWrap w:val="0"/>
                  <w:vAlign w:val="center"/>
                </w:tcPr>
                <w:p w14:paraId="50EEFF87">
                  <w:pPr>
                    <w:pStyle w:val="30"/>
                    <w:bidi w:val="0"/>
                    <w:rPr>
                      <w:rFonts w:hint="eastAsia"/>
                      <w:color w:val="auto"/>
                      <w:highlight w:val="none"/>
                      <w:lang w:val="en-US" w:eastAsia="zh-CN"/>
                    </w:rPr>
                  </w:pPr>
                  <w:r>
                    <w:rPr>
                      <w:rFonts w:hint="eastAsia"/>
                      <w:color w:val="auto"/>
                      <w:highlight w:val="none"/>
                      <w:lang w:val="en-US" w:eastAsia="zh-CN"/>
                    </w:rPr>
                    <w:t>ND</w:t>
                  </w:r>
                </w:p>
              </w:tc>
            </w:tr>
            <w:tr w14:paraId="69BB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619B5D49">
                  <w:pPr>
                    <w:pStyle w:val="30"/>
                    <w:bidi w:val="0"/>
                    <w:rPr>
                      <w:rFonts w:hint="eastAsia" w:eastAsia="宋体"/>
                      <w:color w:val="auto"/>
                      <w:highlight w:val="none"/>
                      <w:lang w:eastAsia="zh-CN"/>
                    </w:rPr>
                  </w:pPr>
                  <w:r>
                    <w:rPr>
                      <w:rFonts w:hint="eastAsia"/>
                      <w:color w:val="auto"/>
                      <w:highlight w:val="none"/>
                      <w:lang w:eastAsia="zh-CN"/>
                    </w:rPr>
                    <w:t>铝</w:t>
                  </w:r>
                  <w:r>
                    <w:rPr>
                      <w:color w:val="auto"/>
                      <w:highlight w:val="none"/>
                    </w:rPr>
                    <w:t>（mg/L）</w:t>
                  </w:r>
                </w:p>
              </w:tc>
              <w:tc>
                <w:tcPr>
                  <w:tcW w:w="873" w:type="pct"/>
                  <w:noWrap w:val="0"/>
                  <w:vAlign w:val="center"/>
                </w:tcPr>
                <w:p w14:paraId="73672E7F">
                  <w:pPr>
                    <w:pStyle w:val="30"/>
                    <w:bidi w:val="0"/>
                    <w:rPr>
                      <w:rFonts w:hint="default"/>
                      <w:color w:val="auto"/>
                      <w:highlight w:val="none"/>
                      <w:lang w:val="en-US" w:eastAsia="zh-CN"/>
                    </w:rPr>
                  </w:pPr>
                  <w:r>
                    <w:rPr>
                      <w:rFonts w:hint="eastAsia"/>
                      <w:color w:val="auto"/>
                      <w:highlight w:val="none"/>
                      <w:lang w:val="en-US" w:eastAsia="zh-CN"/>
                    </w:rPr>
                    <w:t>0.925</w:t>
                  </w:r>
                </w:p>
              </w:tc>
              <w:tc>
                <w:tcPr>
                  <w:tcW w:w="939" w:type="pct"/>
                  <w:noWrap w:val="0"/>
                  <w:vAlign w:val="center"/>
                </w:tcPr>
                <w:p w14:paraId="5AF23B40">
                  <w:pPr>
                    <w:pStyle w:val="30"/>
                    <w:bidi w:val="0"/>
                    <w:rPr>
                      <w:rFonts w:hint="default"/>
                      <w:color w:val="auto"/>
                      <w:highlight w:val="none"/>
                      <w:lang w:val="en-US" w:eastAsia="zh-CN"/>
                    </w:rPr>
                  </w:pPr>
                  <w:r>
                    <w:rPr>
                      <w:rFonts w:hint="eastAsia"/>
                      <w:color w:val="auto"/>
                      <w:highlight w:val="none"/>
                      <w:lang w:val="en-US" w:eastAsia="zh-CN"/>
                    </w:rPr>
                    <w:t>0.749</w:t>
                  </w:r>
                </w:p>
              </w:tc>
              <w:tc>
                <w:tcPr>
                  <w:tcW w:w="945" w:type="pct"/>
                  <w:noWrap w:val="0"/>
                  <w:vAlign w:val="center"/>
                </w:tcPr>
                <w:p w14:paraId="237FA641">
                  <w:pPr>
                    <w:pStyle w:val="30"/>
                    <w:bidi w:val="0"/>
                    <w:rPr>
                      <w:rFonts w:hint="default"/>
                      <w:color w:val="auto"/>
                      <w:highlight w:val="none"/>
                      <w:lang w:val="en-US" w:eastAsia="zh-CN"/>
                    </w:rPr>
                  </w:pPr>
                  <w:r>
                    <w:rPr>
                      <w:rFonts w:hint="eastAsia"/>
                      <w:color w:val="auto"/>
                      <w:highlight w:val="none"/>
                      <w:lang w:val="en-US" w:eastAsia="zh-CN"/>
                    </w:rPr>
                    <w:t>0.701</w:t>
                  </w:r>
                </w:p>
              </w:tc>
            </w:tr>
            <w:tr w14:paraId="03FF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7064026B">
                  <w:pPr>
                    <w:pStyle w:val="30"/>
                    <w:bidi w:val="0"/>
                    <w:rPr>
                      <w:rFonts w:hint="eastAsia"/>
                      <w:color w:val="auto"/>
                      <w:highlight w:val="none"/>
                      <w:lang w:eastAsia="zh-CN"/>
                    </w:rPr>
                  </w:pPr>
                  <w:r>
                    <w:rPr>
                      <w:rFonts w:hint="eastAsia"/>
                      <w:color w:val="auto"/>
                      <w:highlight w:val="none"/>
                      <w:lang w:eastAsia="zh-CN"/>
                    </w:rPr>
                    <w:t>锌</w:t>
                  </w:r>
                  <w:r>
                    <w:rPr>
                      <w:color w:val="auto"/>
                      <w:highlight w:val="none"/>
                    </w:rPr>
                    <w:t>（mg/L）</w:t>
                  </w:r>
                </w:p>
              </w:tc>
              <w:tc>
                <w:tcPr>
                  <w:tcW w:w="873" w:type="pct"/>
                  <w:noWrap w:val="0"/>
                  <w:vAlign w:val="center"/>
                </w:tcPr>
                <w:p w14:paraId="2B9124BD">
                  <w:pPr>
                    <w:pStyle w:val="30"/>
                    <w:bidi w:val="0"/>
                    <w:rPr>
                      <w:rFonts w:hint="default"/>
                      <w:color w:val="auto"/>
                      <w:highlight w:val="none"/>
                      <w:lang w:val="en-US" w:eastAsia="zh-CN"/>
                    </w:rPr>
                  </w:pPr>
                  <w:r>
                    <w:rPr>
                      <w:rFonts w:hint="eastAsia"/>
                      <w:color w:val="auto"/>
                      <w:highlight w:val="none"/>
                      <w:lang w:val="en-US" w:eastAsia="zh-CN"/>
                    </w:rPr>
                    <w:t>0.01</w:t>
                  </w:r>
                </w:p>
              </w:tc>
              <w:tc>
                <w:tcPr>
                  <w:tcW w:w="939" w:type="pct"/>
                  <w:noWrap w:val="0"/>
                  <w:vAlign w:val="center"/>
                </w:tcPr>
                <w:p w14:paraId="39F164D6">
                  <w:pPr>
                    <w:pStyle w:val="30"/>
                    <w:bidi w:val="0"/>
                    <w:rPr>
                      <w:rFonts w:hint="default"/>
                      <w:color w:val="auto"/>
                      <w:highlight w:val="none"/>
                      <w:lang w:val="en-US" w:eastAsia="zh-CN"/>
                    </w:rPr>
                  </w:pPr>
                  <w:r>
                    <w:rPr>
                      <w:rFonts w:hint="eastAsia"/>
                      <w:color w:val="auto"/>
                      <w:highlight w:val="none"/>
                      <w:lang w:val="en-US" w:eastAsia="zh-CN"/>
                    </w:rPr>
                    <w:t>0.01</w:t>
                  </w:r>
                </w:p>
              </w:tc>
              <w:tc>
                <w:tcPr>
                  <w:tcW w:w="945" w:type="pct"/>
                  <w:noWrap w:val="0"/>
                  <w:vAlign w:val="center"/>
                </w:tcPr>
                <w:p w14:paraId="3788724F">
                  <w:pPr>
                    <w:pStyle w:val="30"/>
                    <w:bidi w:val="0"/>
                    <w:rPr>
                      <w:rFonts w:hint="default"/>
                      <w:color w:val="auto"/>
                      <w:highlight w:val="none"/>
                      <w:lang w:val="en-US" w:eastAsia="zh-CN"/>
                    </w:rPr>
                  </w:pPr>
                  <w:r>
                    <w:rPr>
                      <w:rFonts w:hint="eastAsia"/>
                      <w:color w:val="auto"/>
                      <w:highlight w:val="none"/>
                      <w:lang w:val="en-US" w:eastAsia="zh-CN"/>
                    </w:rPr>
                    <w:t>0.02</w:t>
                  </w:r>
                </w:p>
              </w:tc>
            </w:tr>
            <w:tr w14:paraId="45C6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70F623BD">
                  <w:pPr>
                    <w:pStyle w:val="30"/>
                    <w:bidi w:val="0"/>
                    <w:rPr>
                      <w:rFonts w:cs="Times New Roman"/>
                      <w:color w:val="auto"/>
                      <w:highlight w:val="none"/>
                    </w:rPr>
                  </w:pPr>
                  <w:r>
                    <w:rPr>
                      <w:color w:val="auto"/>
                      <w:highlight w:val="none"/>
                    </w:rPr>
                    <w:t>砷（mg/L）</w:t>
                  </w:r>
                </w:p>
              </w:tc>
              <w:tc>
                <w:tcPr>
                  <w:tcW w:w="873" w:type="pct"/>
                  <w:noWrap w:val="0"/>
                  <w:vAlign w:val="center"/>
                </w:tcPr>
                <w:p w14:paraId="40CC3ADA">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39" w:type="pct"/>
                  <w:noWrap w:val="0"/>
                  <w:vAlign w:val="center"/>
                </w:tcPr>
                <w:p w14:paraId="082DE79E">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45" w:type="pct"/>
                  <w:noWrap w:val="0"/>
                  <w:vAlign w:val="center"/>
                </w:tcPr>
                <w:p w14:paraId="36AD190D">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r>
            <w:tr w14:paraId="373F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50C9C258">
                  <w:pPr>
                    <w:pStyle w:val="30"/>
                    <w:bidi w:val="0"/>
                    <w:rPr>
                      <w:rFonts w:cs="Times New Roman"/>
                      <w:color w:val="auto"/>
                      <w:highlight w:val="none"/>
                    </w:rPr>
                  </w:pPr>
                  <w:r>
                    <w:rPr>
                      <w:color w:val="auto"/>
                      <w:highlight w:val="none"/>
                    </w:rPr>
                    <w:t>汞（mg/L）</w:t>
                  </w:r>
                </w:p>
              </w:tc>
              <w:tc>
                <w:tcPr>
                  <w:tcW w:w="873" w:type="pct"/>
                  <w:noWrap w:val="0"/>
                  <w:vAlign w:val="center"/>
                </w:tcPr>
                <w:p w14:paraId="7E5A1C7B">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39" w:type="pct"/>
                  <w:noWrap w:val="0"/>
                  <w:vAlign w:val="center"/>
                </w:tcPr>
                <w:p w14:paraId="56BE7AE0">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c>
                <w:tcPr>
                  <w:tcW w:w="945" w:type="pct"/>
                  <w:noWrap w:val="0"/>
                  <w:vAlign w:val="center"/>
                </w:tcPr>
                <w:p w14:paraId="10BE93F7">
                  <w:pPr>
                    <w:pStyle w:val="30"/>
                    <w:bidi w:val="0"/>
                    <w:rPr>
                      <w:rFonts w:hint="default" w:eastAsia="宋体" w:cs="Times New Roman"/>
                      <w:color w:val="auto"/>
                      <w:highlight w:val="none"/>
                      <w:lang w:val="en-US" w:eastAsia="zh-CN"/>
                    </w:rPr>
                  </w:pPr>
                  <w:r>
                    <w:rPr>
                      <w:rFonts w:hint="eastAsia"/>
                      <w:color w:val="auto"/>
                      <w:highlight w:val="none"/>
                      <w:lang w:val="en-US" w:eastAsia="zh-CN"/>
                    </w:rPr>
                    <w:t>ND</w:t>
                  </w:r>
                </w:p>
              </w:tc>
            </w:tr>
            <w:tr w14:paraId="7032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025A535E">
                  <w:pPr>
                    <w:pStyle w:val="30"/>
                    <w:bidi w:val="0"/>
                    <w:rPr>
                      <w:rFonts w:cs="Times New Roman"/>
                      <w:color w:val="auto"/>
                      <w:highlight w:val="none"/>
                    </w:rPr>
                  </w:pPr>
                  <w:r>
                    <w:rPr>
                      <w:color w:val="auto"/>
                      <w:highlight w:val="none"/>
                    </w:rPr>
                    <w:t>钾（mg/L）</w:t>
                  </w:r>
                </w:p>
              </w:tc>
              <w:tc>
                <w:tcPr>
                  <w:tcW w:w="873" w:type="pct"/>
                  <w:noWrap w:val="0"/>
                  <w:vAlign w:val="center"/>
                </w:tcPr>
                <w:p w14:paraId="705E2150">
                  <w:pPr>
                    <w:pStyle w:val="30"/>
                    <w:bidi w:val="0"/>
                    <w:rPr>
                      <w:rFonts w:hint="default" w:eastAsia="宋体" w:cs="Times New Roman"/>
                      <w:color w:val="auto"/>
                      <w:highlight w:val="none"/>
                      <w:lang w:val="en-US" w:eastAsia="zh-CN"/>
                    </w:rPr>
                  </w:pPr>
                  <w:r>
                    <w:rPr>
                      <w:rFonts w:hint="eastAsia"/>
                      <w:color w:val="auto"/>
                      <w:highlight w:val="none"/>
                      <w:lang w:val="en-US" w:eastAsia="zh-CN"/>
                    </w:rPr>
                    <w:t>4.47</w:t>
                  </w:r>
                </w:p>
              </w:tc>
              <w:tc>
                <w:tcPr>
                  <w:tcW w:w="939" w:type="pct"/>
                  <w:noWrap w:val="0"/>
                  <w:vAlign w:val="center"/>
                </w:tcPr>
                <w:p w14:paraId="285E3DDB">
                  <w:pPr>
                    <w:pStyle w:val="30"/>
                    <w:bidi w:val="0"/>
                    <w:rPr>
                      <w:rFonts w:hint="default" w:eastAsia="宋体" w:cs="Times New Roman"/>
                      <w:color w:val="auto"/>
                      <w:highlight w:val="none"/>
                      <w:lang w:val="en-US" w:eastAsia="zh-CN"/>
                    </w:rPr>
                  </w:pPr>
                  <w:r>
                    <w:rPr>
                      <w:rFonts w:hint="eastAsia"/>
                      <w:color w:val="auto"/>
                      <w:highlight w:val="none"/>
                      <w:lang w:val="en-US" w:eastAsia="zh-CN"/>
                    </w:rPr>
                    <w:t>4.40</w:t>
                  </w:r>
                </w:p>
              </w:tc>
              <w:tc>
                <w:tcPr>
                  <w:tcW w:w="945" w:type="pct"/>
                  <w:noWrap w:val="0"/>
                  <w:vAlign w:val="center"/>
                </w:tcPr>
                <w:p w14:paraId="5CC983FB">
                  <w:pPr>
                    <w:pStyle w:val="30"/>
                    <w:bidi w:val="0"/>
                    <w:rPr>
                      <w:rFonts w:hint="default" w:eastAsia="宋体" w:cs="Times New Roman"/>
                      <w:color w:val="auto"/>
                      <w:highlight w:val="none"/>
                      <w:lang w:val="en-US" w:eastAsia="zh-CN"/>
                    </w:rPr>
                  </w:pPr>
                  <w:r>
                    <w:rPr>
                      <w:rFonts w:hint="eastAsia"/>
                      <w:color w:val="auto"/>
                      <w:highlight w:val="none"/>
                      <w:lang w:val="en-US" w:eastAsia="zh-CN"/>
                    </w:rPr>
                    <w:t>4.45</w:t>
                  </w:r>
                </w:p>
              </w:tc>
            </w:tr>
            <w:tr w14:paraId="66AA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046E7DE8">
                  <w:pPr>
                    <w:pStyle w:val="30"/>
                    <w:bidi w:val="0"/>
                    <w:rPr>
                      <w:rFonts w:cs="Times New Roman"/>
                      <w:color w:val="auto"/>
                      <w:highlight w:val="none"/>
                    </w:rPr>
                  </w:pPr>
                  <w:r>
                    <w:rPr>
                      <w:color w:val="auto"/>
                      <w:highlight w:val="none"/>
                    </w:rPr>
                    <w:t>钠（mg/L）</w:t>
                  </w:r>
                </w:p>
              </w:tc>
              <w:tc>
                <w:tcPr>
                  <w:tcW w:w="873" w:type="pct"/>
                  <w:noWrap w:val="0"/>
                  <w:vAlign w:val="center"/>
                </w:tcPr>
                <w:p w14:paraId="5436524E">
                  <w:pPr>
                    <w:pStyle w:val="30"/>
                    <w:bidi w:val="0"/>
                    <w:rPr>
                      <w:rFonts w:hint="default" w:eastAsia="宋体" w:cs="Times New Roman"/>
                      <w:color w:val="auto"/>
                      <w:highlight w:val="none"/>
                      <w:lang w:val="en-US" w:eastAsia="zh-CN"/>
                    </w:rPr>
                  </w:pPr>
                  <w:r>
                    <w:rPr>
                      <w:rFonts w:hint="eastAsia"/>
                      <w:color w:val="auto"/>
                      <w:highlight w:val="none"/>
                      <w:lang w:val="en-US" w:eastAsia="zh-CN"/>
                    </w:rPr>
                    <w:t>66.8</w:t>
                  </w:r>
                </w:p>
              </w:tc>
              <w:tc>
                <w:tcPr>
                  <w:tcW w:w="939" w:type="pct"/>
                  <w:noWrap w:val="0"/>
                  <w:vAlign w:val="center"/>
                </w:tcPr>
                <w:p w14:paraId="6EC6A2E3">
                  <w:pPr>
                    <w:pStyle w:val="30"/>
                    <w:bidi w:val="0"/>
                    <w:rPr>
                      <w:rFonts w:hint="default" w:eastAsia="宋体" w:cs="Times New Roman"/>
                      <w:color w:val="auto"/>
                      <w:highlight w:val="none"/>
                      <w:lang w:val="en-US" w:eastAsia="zh-CN"/>
                    </w:rPr>
                  </w:pPr>
                  <w:r>
                    <w:rPr>
                      <w:rFonts w:hint="eastAsia"/>
                      <w:color w:val="auto"/>
                      <w:highlight w:val="none"/>
                      <w:lang w:val="en-US" w:eastAsia="zh-CN"/>
                    </w:rPr>
                    <w:t>64.0</w:t>
                  </w:r>
                </w:p>
              </w:tc>
              <w:tc>
                <w:tcPr>
                  <w:tcW w:w="945" w:type="pct"/>
                  <w:noWrap w:val="0"/>
                  <w:vAlign w:val="center"/>
                </w:tcPr>
                <w:p w14:paraId="5E2D9300">
                  <w:pPr>
                    <w:pStyle w:val="30"/>
                    <w:bidi w:val="0"/>
                    <w:rPr>
                      <w:rFonts w:hint="default" w:eastAsia="宋体" w:cs="Times New Roman"/>
                      <w:color w:val="auto"/>
                      <w:highlight w:val="none"/>
                      <w:lang w:val="en-US" w:eastAsia="zh-CN"/>
                    </w:rPr>
                  </w:pPr>
                  <w:r>
                    <w:rPr>
                      <w:rFonts w:hint="eastAsia"/>
                      <w:color w:val="auto"/>
                      <w:highlight w:val="none"/>
                      <w:lang w:val="en-US" w:eastAsia="zh-CN"/>
                    </w:rPr>
                    <w:t>53.0</w:t>
                  </w:r>
                </w:p>
              </w:tc>
            </w:tr>
            <w:tr w14:paraId="2829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241" w:type="pct"/>
                  <w:noWrap w:val="0"/>
                  <w:vAlign w:val="center"/>
                </w:tcPr>
                <w:p w14:paraId="07569505">
                  <w:pPr>
                    <w:pStyle w:val="30"/>
                    <w:bidi w:val="0"/>
                    <w:rPr>
                      <w:rFonts w:cs="Times New Roman"/>
                      <w:color w:val="auto"/>
                      <w:highlight w:val="none"/>
                    </w:rPr>
                  </w:pPr>
                  <w:r>
                    <w:rPr>
                      <w:color w:val="auto"/>
                      <w:highlight w:val="none"/>
                    </w:rPr>
                    <w:t>钙（mg/L）</w:t>
                  </w:r>
                </w:p>
              </w:tc>
              <w:tc>
                <w:tcPr>
                  <w:tcW w:w="873" w:type="pct"/>
                  <w:noWrap w:val="0"/>
                  <w:vAlign w:val="center"/>
                </w:tcPr>
                <w:p w14:paraId="54F67DBA">
                  <w:pPr>
                    <w:pStyle w:val="30"/>
                    <w:bidi w:val="0"/>
                    <w:rPr>
                      <w:rFonts w:hint="default" w:eastAsia="宋体" w:cs="Times New Roman"/>
                      <w:color w:val="auto"/>
                      <w:highlight w:val="none"/>
                      <w:lang w:val="en-US" w:eastAsia="zh-CN"/>
                    </w:rPr>
                  </w:pPr>
                  <w:r>
                    <w:rPr>
                      <w:rFonts w:hint="eastAsia"/>
                      <w:color w:val="auto"/>
                      <w:highlight w:val="none"/>
                      <w:lang w:val="en-US" w:eastAsia="zh-CN"/>
                    </w:rPr>
                    <w:t>130</w:t>
                  </w:r>
                </w:p>
              </w:tc>
              <w:tc>
                <w:tcPr>
                  <w:tcW w:w="939" w:type="pct"/>
                  <w:noWrap w:val="0"/>
                  <w:vAlign w:val="center"/>
                </w:tcPr>
                <w:p w14:paraId="67971A12">
                  <w:pPr>
                    <w:pStyle w:val="30"/>
                    <w:bidi w:val="0"/>
                    <w:rPr>
                      <w:rFonts w:hint="default" w:eastAsia="宋体" w:cs="Times New Roman"/>
                      <w:color w:val="auto"/>
                      <w:highlight w:val="none"/>
                      <w:lang w:val="en-US" w:eastAsia="zh-CN"/>
                    </w:rPr>
                  </w:pPr>
                  <w:r>
                    <w:rPr>
                      <w:rFonts w:hint="eastAsia"/>
                      <w:color w:val="auto"/>
                      <w:highlight w:val="none"/>
                      <w:lang w:val="en-US" w:eastAsia="zh-CN"/>
                    </w:rPr>
                    <w:t>118</w:t>
                  </w:r>
                </w:p>
              </w:tc>
              <w:tc>
                <w:tcPr>
                  <w:tcW w:w="945" w:type="pct"/>
                  <w:noWrap w:val="0"/>
                  <w:vAlign w:val="center"/>
                </w:tcPr>
                <w:p w14:paraId="0AACCB47">
                  <w:pPr>
                    <w:pStyle w:val="30"/>
                    <w:bidi w:val="0"/>
                    <w:rPr>
                      <w:rFonts w:hint="default" w:eastAsia="宋体" w:cs="Times New Roman"/>
                      <w:color w:val="auto"/>
                      <w:highlight w:val="none"/>
                      <w:lang w:val="en-US" w:eastAsia="zh-CN"/>
                    </w:rPr>
                  </w:pPr>
                  <w:r>
                    <w:rPr>
                      <w:rFonts w:hint="eastAsia"/>
                      <w:color w:val="auto"/>
                      <w:highlight w:val="none"/>
                      <w:lang w:val="en-US" w:eastAsia="zh-CN"/>
                    </w:rPr>
                    <w:t>114</w:t>
                  </w:r>
                </w:p>
              </w:tc>
            </w:tr>
            <w:tr w14:paraId="31C2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1087949D">
                  <w:pPr>
                    <w:pStyle w:val="30"/>
                    <w:bidi w:val="0"/>
                    <w:rPr>
                      <w:rFonts w:cs="Times New Roman"/>
                      <w:color w:val="auto"/>
                      <w:highlight w:val="none"/>
                    </w:rPr>
                  </w:pPr>
                  <w:r>
                    <w:rPr>
                      <w:color w:val="auto"/>
                      <w:highlight w:val="none"/>
                    </w:rPr>
                    <w:t>镁（mg/L）</w:t>
                  </w:r>
                </w:p>
              </w:tc>
              <w:tc>
                <w:tcPr>
                  <w:tcW w:w="873" w:type="pct"/>
                  <w:noWrap w:val="0"/>
                  <w:vAlign w:val="center"/>
                </w:tcPr>
                <w:p w14:paraId="551AFDCC">
                  <w:pPr>
                    <w:pStyle w:val="30"/>
                    <w:bidi w:val="0"/>
                    <w:rPr>
                      <w:rFonts w:hint="default" w:eastAsia="宋体" w:cs="Times New Roman"/>
                      <w:color w:val="auto"/>
                      <w:highlight w:val="none"/>
                      <w:lang w:val="en-US" w:eastAsia="zh-CN"/>
                    </w:rPr>
                  </w:pPr>
                  <w:r>
                    <w:rPr>
                      <w:rFonts w:hint="eastAsia"/>
                      <w:color w:val="auto"/>
                      <w:highlight w:val="none"/>
                      <w:lang w:val="en-US" w:eastAsia="zh-CN"/>
                    </w:rPr>
                    <w:t>9.00</w:t>
                  </w:r>
                </w:p>
              </w:tc>
              <w:tc>
                <w:tcPr>
                  <w:tcW w:w="939" w:type="pct"/>
                  <w:noWrap w:val="0"/>
                  <w:vAlign w:val="center"/>
                </w:tcPr>
                <w:p w14:paraId="284A6F53">
                  <w:pPr>
                    <w:pStyle w:val="30"/>
                    <w:bidi w:val="0"/>
                    <w:rPr>
                      <w:rFonts w:hint="default" w:eastAsia="宋体" w:cs="Times New Roman"/>
                      <w:color w:val="auto"/>
                      <w:highlight w:val="none"/>
                      <w:lang w:val="en-US" w:eastAsia="zh-CN"/>
                    </w:rPr>
                  </w:pPr>
                  <w:r>
                    <w:rPr>
                      <w:rFonts w:hint="eastAsia"/>
                      <w:color w:val="auto"/>
                      <w:highlight w:val="none"/>
                      <w:lang w:val="en-US" w:eastAsia="zh-CN"/>
                    </w:rPr>
                    <w:t>8.94</w:t>
                  </w:r>
                </w:p>
              </w:tc>
              <w:tc>
                <w:tcPr>
                  <w:tcW w:w="945" w:type="pct"/>
                  <w:noWrap w:val="0"/>
                  <w:vAlign w:val="center"/>
                </w:tcPr>
                <w:p w14:paraId="777C952A">
                  <w:pPr>
                    <w:pStyle w:val="30"/>
                    <w:bidi w:val="0"/>
                    <w:rPr>
                      <w:rFonts w:hint="default" w:eastAsia="宋体" w:cs="Times New Roman"/>
                      <w:color w:val="auto"/>
                      <w:highlight w:val="none"/>
                      <w:lang w:val="en-US" w:eastAsia="zh-CN"/>
                    </w:rPr>
                  </w:pPr>
                  <w:r>
                    <w:rPr>
                      <w:rFonts w:hint="eastAsia"/>
                      <w:color w:val="auto"/>
                      <w:highlight w:val="none"/>
                      <w:lang w:val="en-US" w:eastAsia="zh-CN"/>
                    </w:rPr>
                    <w:t>9.00</w:t>
                  </w:r>
                </w:p>
              </w:tc>
            </w:tr>
            <w:tr w14:paraId="5621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32150552">
                  <w:pPr>
                    <w:pStyle w:val="30"/>
                    <w:bidi w:val="0"/>
                    <w:rPr>
                      <w:rFonts w:cs="Times New Roman"/>
                      <w:color w:val="auto"/>
                      <w:highlight w:val="none"/>
                    </w:rPr>
                  </w:pPr>
                  <w:r>
                    <w:rPr>
                      <w:color w:val="auto"/>
                      <w:highlight w:val="none"/>
                    </w:rPr>
                    <w:t>碳酸根（mg/L）</w:t>
                  </w:r>
                </w:p>
              </w:tc>
              <w:tc>
                <w:tcPr>
                  <w:tcW w:w="873" w:type="pct"/>
                  <w:shd w:val="clear" w:color="auto" w:fill="auto"/>
                  <w:noWrap w:val="0"/>
                  <w:vAlign w:val="center"/>
                </w:tcPr>
                <w:p w14:paraId="50C85533">
                  <w:pPr>
                    <w:pStyle w:val="30"/>
                    <w:bidi w:val="0"/>
                    <w:rPr>
                      <w:rFonts w:hint="eastAsia" w:ascii="Times New Roman" w:hAnsi="Times New Roman" w:eastAsia="宋体" w:cs="Times New Roman"/>
                      <w:color w:val="auto"/>
                      <w:kern w:val="2"/>
                      <w:szCs w:val="24"/>
                      <w:highlight w:val="none"/>
                      <w:lang w:val="en-US" w:eastAsia="zh-CN" w:bidi="ar-SA"/>
                    </w:rPr>
                  </w:pPr>
                  <w:r>
                    <w:rPr>
                      <w:rFonts w:hint="eastAsia"/>
                      <w:color w:val="auto"/>
                      <w:highlight w:val="none"/>
                      <w:lang w:val="en-US" w:eastAsia="zh-CN"/>
                    </w:rPr>
                    <w:t>ND</w:t>
                  </w:r>
                </w:p>
              </w:tc>
              <w:tc>
                <w:tcPr>
                  <w:tcW w:w="939" w:type="pct"/>
                  <w:shd w:val="clear" w:color="auto" w:fill="auto"/>
                  <w:noWrap w:val="0"/>
                  <w:vAlign w:val="center"/>
                </w:tcPr>
                <w:p w14:paraId="7FF31164">
                  <w:pPr>
                    <w:pStyle w:val="30"/>
                    <w:bidi w:val="0"/>
                    <w:rPr>
                      <w:rFonts w:hint="default" w:ascii="Times New Roman" w:hAnsi="Times New Roman" w:eastAsia="宋体" w:cs="Times New Roman"/>
                      <w:color w:val="auto"/>
                      <w:kern w:val="2"/>
                      <w:szCs w:val="24"/>
                      <w:highlight w:val="none"/>
                      <w:lang w:val="en-US" w:eastAsia="zh-CN" w:bidi="ar-SA"/>
                    </w:rPr>
                  </w:pPr>
                  <w:r>
                    <w:rPr>
                      <w:rFonts w:hint="eastAsia"/>
                      <w:color w:val="auto"/>
                      <w:highlight w:val="none"/>
                      <w:lang w:val="en-US" w:eastAsia="zh-CN"/>
                    </w:rPr>
                    <w:t>ND</w:t>
                  </w:r>
                </w:p>
              </w:tc>
              <w:tc>
                <w:tcPr>
                  <w:tcW w:w="945" w:type="pct"/>
                  <w:shd w:val="clear" w:color="auto" w:fill="auto"/>
                  <w:noWrap w:val="0"/>
                  <w:vAlign w:val="center"/>
                </w:tcPr>
                <w:p w14:paraId="4506B718">
                  <w:pPr>
                    <w:pStyle w:val="30"/>
                    <w:bidi w:val="0"/>
                    <w:rPr>
                      <w:rFonts w:hint="default" w:ascii="Times New Roman" w:hAnsi="Times New Roman" w:eastAsia="宋体" w:cs="Times New Roman"/>
                      <w:color w:val="auto"/>
                      <w:kern w:val="2"/>
                      <w:szCs w:val="24"/>
                      <w:highlight w:val="none"/>
                      <w:lang w:val="en-US" w:eastAsia="zh-CN" w:bidi="ar-SA"/>
                    </w:rPr>
                  </w:pPr>
                  <w:r>
                    <w:rPr>
                      <w:rFonts w:hint="eastAsia"/>
                      <w:color w:val="auto"/>
                      <w:highlight w:val="none"/>
                      <w:lang w:val="en-US" w:eastAsia="zh-CN"/>
                    </w:rPr>
                    <w:t>ND</w:t>
                  </w:r>
                </w:p>
              </w:tc>
            </w:tr>
            <w:tr w14:paraId="1243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53BE0ABC">
                  <w:pPr>
                    <w:pStyle w:val="30"/>
                    <w:bidi w:val="0"/>
                    <w:rPr>
                      <w:rFonts w:cs="Times New Roman"/>
                      <w:color w:val="auto"/>
                      <w:highlight w:val="none"/>
                    </w:rPr>
                  </w:pPr>
                  <w:r>
                    <w:rPr>
                      <w:color w:val="auto"/>
                      <w:highlight w:val="none"/>
                    </w:rPr>
                    <w:t>碳酸氢根（mg/L）</w:t>
                  </w:r>
                </w:p>
              </w:tc>
              <w:tc>
                <w:tcPr>
                  <w:tcW w:w="873" w:type="pct"/>
                  <w:noWrap w:val="0"/>
                  <w:vAlign w:val="center"/>
                </w:tcPr>
                <w:p w14:paraId="16F5E6EB">
                  <w:pPr>
                    <w:pStyle w:val="30"/>
                    <w:bidi w:val="0"/>
                    <w:rPr>
                      <w:rFonts w:hint="default" w:eastAsia="宋体" w:cs="Times New Roman"/>
                      <w:color w:val="auto"/>
                      <w:highlight w:val="none"/>
                      <w:lang w:val="en-US" w:eastAsia="zh-CN"/>
                    </w:rPr>
                  </w:pPr>
                  <w:r>
                    <w:rPr>
                      <w:rFonts w:hint="eastAsia"/>
                      <w:color w:val="auto"/>
                      <w:highlight w:val="none"/>
                      <w:lang w:val="en-US" w:eastAsia="zh-CN"/>
                    </w:rPr>
                    <w:t>152</w:t>
                  </w:r>
                </w:p>
              </w:tc>
              <w:tc>
                <w:tcPr>
                  <w:tcW w:w="939" w:type="pct"/>
                  <w:noWrap w:val="0"/>
                  <w:vAlign w:val="center"/>
                </w:tcPr>
                <w:p w14:paraId="65739B81">
                  <w:pPr>
                    <w:pStyle w:val="30"/>
                    <w:bidi w:val="0"/>
                    <w:rPr>
                      <w:rFonts w:hint="default" w:eastAsia="宋体" w:cs="Times New Roman"/>
                      <w:color w:val="auto"/>
                      <w:highlight w:val="none"/>
                      <w:lang w:val="en-US" w:eastAsia="zh-CN"/>
                    </w:rPr>
                  </w:pPr>
                  <w:r>
                    <w:rPr>
                      <w:rFonts w:hint="eastAsia"/>
                      <w:color w:val="auto"/>
                      <w:highlight w:val="none"/>
                      <w:lang w:val="en-US" w:eastAsia="zh-CN"/>
                    </w:rPr>
                    <w:t>159</w:t>
                  </w:r>
                </w:p>
              </w:tc>
              <w:tc>
                <w:tcPr>
                  <w:tcW w:w="945" w:type="pct"/>
                  <w:noWrap w:val="0"/>
                  <w:vAlign w:val="center"/>
                </w:tcPr>
                <w:p w14:paraId="2AD416A0">
                  <w:pPr>
                    <w:pStyle w:val="30"/>
                    <w:bidi w:val="0"/>
                    <w:rPr>
                      <w:rFonts w:hint="default" w:eastAsia="宋体" w:cs="Times New Roman"/>
                      <w:color w:val="auto"/>
                      <w:highlight w:val="none"/>
                      <w:lang w:val="en-US" w:eastAsia="zh-CN"/>
                    </w:rPr>
                  </w:pPr>
                  <w:r>
                    <w:rPr>
                      <w:rFonts w:hint="eastAsia"/>
                      <w:color w:val="auto"/>
                      <w:highlight w:val="none"/>
                      <w:lang w:val="en-US" w:eastAsia="zh-CN"/>
                    </w:rPr>
                    <w:t>167</w:t>
                  </w:r>
                </w:p>
              </w:tc>
            </w:tr>
            <w:tr w14:paraId="7E87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4D243A5E">
                  <w:pPr>
                    <w:pStyle w:val="30"/>
                    <w:bidi w:val="0"/>
                    <w:rPr>
                      <w:rFonts w:hint="eastAsia" w:eastAsia="宋体" w:cs="Times New Roman"/>
                      <w:color w:val="auto"/>
                      <w:highlight w:val="none"/>
                      <w:lang w:eastAsia="zh-CN"/>
                    </w:rPr>
                  </w:pPr>
                  <w:r>
                    <w:rPr>
                      <w:rFonts w:hint="eastAsia"/>
                      <w:color w:val="auto"/>
                      <w:highlight w:val="none"/>
                      <w:lang w:eastAsia="zh-CN"/>
                    </w:rPr>
                    <w:t>氯离子</w:t>
                  </w:r>
                  <w:r>
                    <w:rPr>
                      <w:color w:val="auto"/>
                      <w:highlight w:val="none"/>
                    </w:rPr>
                    <w:t>（mg/L）</w:t>
                  </w:r>
                </w:p>
              </w:tc>
              <w:tc>
                <w:tcPr>
                  <w:tcW w:w="873" w:type="pct"/>
                  <w:noWrap w:val="0"/>
                  <w:vAlign w:val="center"/>
                </w:tcPr>
                <w:p w14:paraId="5E8501B8">
                  <w:pPr>
                    <w:pStyle w:val="30"/>
                    <w:bidi w:val="0"/>
                    <w:rPr>
                      <w:rFonts w:hint="default" w:eastAsia="宋体" w:cs="Times New Roman"/>
                      <w:color w:val="auto"/>
                      <w:highlight w:val="none"/>
                      <w:lang w:val="en-US" w:eastAsia="zh-CN"/>
                    </w:rPr>
                  </w:pPr>
                  <w:r>
                    <w:rPr>
                      <w:rFonts w:hint="eastAsia"/>
                      <w:color w:val="auto"/>
                      <w:highlight w:val="none"/>
                      <w:lang w:val="en-US" w:eastAsia="zh-CN"/>
                    </w:rPr>
                    <w:t>78.1</w:t>
                  </w:r>
                </w:p>
              </w:tc>
              <w:tc>
                <w:tcPr>
                  <w:tcW w:w="939" w:type="pct"/>
                  <w:noWrap w:val="0"/>
                  <w:vAlign w:val="center"/>
                </w:tcPr>
                <w:p w14:paraId="324D004F">
                  <w:pPr>
                    <w:pStyle w:val="30"/>
                    <w:bidi w:val="0"/>
                    <w:rPr>
                      <w:rFonts w:hint="default" w:eastAsia="宋体" w:cs="Times New Roman"/>
                      <w:color w:val="auto"/>
                      <w:highlight w:val="none"/>
                      <w:lang w:val="en-US" w:eastAsia="zh-CN"/>
                    </w:rPr>
                  </w:pPr>
                  <w:r>
                    <w:rPr>
                      <w:rFonts w:hint="eastAsia"/>
                      <w:color w:val="auto"/>
                      <w:highlight w:val="none"/>
                      <w:lang w:val="en-US" w:eastAsia="zh-CN"/>
                    </w:rPr>
                    <w:t>67.8</w:t>
                  </w:r>
                </w:p>
              </w:tc>
              <w:tc>
                <w:tcPr>
                  <w:tcW w:w="945" w:type="pct"/>
                  <w:noWrap w:val="0"/>
                  <w:vAlign w:val="center"/>
                </w:tcPr>
                <w:p w14:paraId="4C139BFD">
                  <w:pPr>
                    <w:pStyle w:val="30"/>
                    <w:bidi w:val="0"/>
                    <w:rPr>
                      <w:rFonts w:hint="default" w:eastAsia="宋体" w:cs="Times New Roman"/>
                      <w:color w:val="auto"/>
                      <w:highlight w:val="none"/>
                      <w:lang w:val="en-US" w:eastAsia="zh-CN"/>
                    </w:rPr>
                  </w:pPr>
                  <w:r>
                    <w:rPr>
                      <w:rFonts w:hint="eastAsia"/>
                      <w:color w:val="auto"/>
                      <w:highlight w:val="none"/>
                      <w:lang w:val="en-US" w:eastAsia="zh-CN"/>
                    </w:rPr>
                    <w:t>82.9</w:t>
                  </w:r>
                </w:p>
              </w:tc>
            </w:tr>
            <w:tr w14:paraId="64D9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54E9253D">
                  <w:pPr>
                    <w:pStyle w:val="30"/>
                    <w:bidi w:val="0"/>
                    <w:rPr>
                      <w:rFonts w:hint="eastAsia" w:cs="Times New Roman"/>
                      <w:color w:val="auto"/>
                      <w:highlight w:val="none"/>
                      <w:lang w:eastAsia="zh-CN"/>
                    </w:rPr>
                  </w:pPr>
                  <w:r>
                    <w:rPr>
                      <w:rFonts w:hint="eastAsia"/>
                      <w:color w:val="auto"/>
                      <w:highlight w:val="none"/>
                      <w:lang w:eastAsia="zh-CN"/>
                    </w:rPr>
                    <w:t>硫酸根离子</w:t>
                  </w:r>
                  <w:r>
                    <w:rPr>
                      <w:color w:val="auto"/>
                      <w:highlight w:val="none"/>
                    </w:rPr>
                    <w:t>（mg/L）</w:t>
                  </w:r>
                </w:p>
              </w:tc>
              <w:tc>
                <w:tcPr>
                  <w:tcW w:w="873" w:type="pct"/>
                  <w:noWrap w:val="0"/>
                  <w:vAlign w:val="center"/>
                </w:tcPr>
                <w:p w14:paraId="1DBD1CB1">
                  <w:pPr>
                    <w:pStyle w:val="30"/>
                    <w:bidi w:val="0"/>
                    <w:rPr>
                      <w:rFonts w:hint="default" w:eastAsia="宋体" w:cs="Times New Roman"/>
                      <w:color w:val="auto"/>
                      <w:highlight w:val="none"/>
                      <w:lang w:val="en-US" w:eastAsia="zh-CN"/>
                    </w:rPr>
                  </w:pPr>
                  <w:r>
                    <w:rPr>
                      <w:rFonts w:hint="eastAsia"/>
                      <w:color w:val="auto"/>
                      <w:highlight w:val="none"/>
                      <w:lang w:val="en-US" w:eastAsia="zh-CN"/>
                    </w:rPr>
                    <w:t>74.3</w:t>
                  </w:r>
                </w:p>
              </w:tc>
              <w:tc>
                <w:tcPr>
                  <w:tcW w:w="939" w:type="pct"/>
                  <w:noWrap w:val="0"/>
                  <w:vAlign w:val="center"/>
                </w:tcPr>
                <w:p w14:paraId="4F2A0E4C">
                  <w:pPr>
                    <w:pStyle w:val="30"/>
                    <w:bidi w:val="0"/>
                    <w:rPr>
                      <w:rFonts w:hint="default" w:eastAsia="宋体" w:cs="Times New Roman"/>
                      <w:color w:val="auto"/>
                      <w:highlight w:val="none"/>
                      <w:lang w:val="en-US" w:eastAsia="zh-CN"/>
                    </w:rPr>
                  </w:pPr>
                  <w:r>
                    <w:rPr>
                      <w:rFonts w:hint="eastAsia"/>
                      <w:color w:val="auto"/>
                      <w:highlight w:val="none"/>
                      <w:lang w:val="en-US" w:eastAsia="zh-CN"/>
                    </w:rPr>
                    <w:t>62.0</w:t>
                  </w:r>
                </w:p>
              </w:tc>
              <w:tc>
                <w:tcPr>
                  <w:tcW w:w="945" w:type="pct"/>
                  <w:noWrap w:val="0"/>
                  <w:vAlign w:val="center"/>
                </w:tcPr>
                <w:p w14:paraId="7F4261B1">
                  <w:pPr>
                    <w:pStyle w:val="30"/>
                    <w:bidi w:val="0"/>
                    <w:rPr>
                      <w:rFonts w:hint="default" w:eastAsia="宋体" w:cs="Times New Roman"/>
                      <w:color w:val="auto"/>
                      <w:highlight w:val="none"/>
                      <w:lang w:val="en-US" w:eastAsia="zh-CN"/>
                    </w:rPr>
                  </w:pPr>
                  <w:r>
                    <w:rPr>
                      <w:rFonts w:hint="eastAsia"/>
                      <w:color w:val="auto"/>
                      <w:highlight w:val="none"/>
                      <w:lang w:val="en-US" w:eastAsia="zh-CN"/>
                    </w:rPr>
                    <w:t>76.1</w:t>
                  </w:r>
                </w:p>
              </w:tc>
            </w:tr>
            <w:tr w14:paraId="37FD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65257A3F">
                  <w:pPr>
                    <w:pStyle w:val="30"/>
                    <w:bidi w:val="0"/>
                    <w:rPr>
                      <w:rFonts w:hint="eastAsia"/>
                      <w:color w:val="auto"/>
                      <w:highlight w:val="none"/>
                      <w:lang w:eastAsia="zh-CN"/>
                    </w:rPr>
                  </w:pPr>
                  <w:r>
                    <w:rPr>
                      <w:rFonts w:hint="eastAsia"/>
                      <w:color w:val="auto"/>
                      <w:highlight w:val="none"/>
                      <w:lang w:eastAsia="zh-CN"/>
                    </w:rPr>
                    <w:t>总大肠菌群</w:t>
                  </w:r>
                  <w:r>
                    <w:rPr>
                      <w:rFonts w:hint="eastAsia"/>
                      <w:color w:val="auto"/>
                      <w:highlight w:val="none"/>
                      <w:lang w:val="en-US" w:eastAsia="zh-CN"/>
                    </w:rPr>
                    <w:t>/（MPN</w:t>
                  </w:r>
                  <w:r>
                    <w:rPr>
                      <w:rFonts w:hint="eastAsia"/>
                      <w:color w:val="auto"/>
                      <w:highlight w:val="none"/>
                      <w:vertAlign w:val="superscript"/>
                      <w:lang w:val="en-US" w:eastAsia="zh-CN"/>
                    </w:rPr>
                    <w:t>b</w:t>
                  </w:r>
                  <w:r>
                    <w:rPr>
                      <w:rFonts w:hint="eastAsia"/>
                      <w:color w:val="auto"/>
                      <w:highlight w:val="none"/>
                      <w:lang w:val="en-US" w:eastAsia="zh-CN"/>
                    </w:rPr>
                    <w:t>/100mL或CFU°/mL）</w:t>
                  </w:r>
                </w:p>
              </w:tc>
              <w:tc>
                <w:tcPr>
                  <w:tcW w:w="873" w:type="pct"/>
                  <w:noWrap w:val="0"/>
                  <w:vAlign w:val="center"/>
                </w:tcPr>
                <w:p w14:paraId="4A6AEA45">
                  <w:pPr>
                    <w:pStyle w:val="30"/>
                    <w:bidi w:val="0"/>
                    <w:rPr>
                      <w:rFonts w:hint="default"/>
                      <w:color w:val="auto"/>
                      <w:highlight w:val="none"/>
                      <w:lang w:val="en-US" w:eastAsia="zh-CN"/>
                    </w:rPr>
                  </w:pPr>
                  <w:r>
                    <w:rPr>
                      <w:rFonts w:hint="eastAsia"/>
                      <w:color w:val="auto"/>
                      <w:highlight w:val="none"/>
                      <w:lang w:val="en-US" w:eastAsia="zh-CN"/>
                    </w:rPr>
                    <w:t>＜200</w:t>
                  </w:r>
                </w:p>
              </w:tc>
              <w:tc>
                <w:tcPr>
                  <w:tcW w:w="939" w:type="pct"/>
                  <w:noWrap w:val="0"/>
                  <w:vAlign w:val="center"/>
                </w:tcPr>
                <w:p w14:paraId="30F4A604">
                  <w:pPr>
                    <w:pStyle w:val="30"/>
                    <w:bidi w:val="0"/>
                    <w:rPr>
                      <w:rFonts w:hint="default"/>
                      <w:color w:val="auto"/>
                      <w:highlight w:val="none"/>
                      <w:lang w:val="en-US" w:eastAsia="zh-CN"/>
                    </w:rPr>
                  </w:pPr>
                  <w:r>
                    <w:rPr>
                      <w:rFonts w:hint="eastAsia"/>
                      <w:color w:val="auto"/>
                      <w:highlight w:val="none"/>
                      <w:lang w:val="en-US" w:eastAsia="zh-CN"/>
                    </w:rPr>
                    <w:t>＜200</w:t>
                  </w:r>
                </w:p>
              </w:tc>
              <w:tc>
                <w:tcPr>
                  <w:tcW w:w="945" w:type="pct"/>
                  <w:noWrap w:val="0"/>
                  <w:vAlign w:val="center"/>
                </w:tcPr>
                <w:p w14:paraId="78353D41">
                  <w:pPr>
                    <w:pStyle w:val="30"/>
                    <w:bidi w:val="0"/>
                    <w:rPr>
                      <w:rFonts w:hint="default"/>
                      <w:color w:val="auto"/>
                      <w:highlight w:val="none"/>
                      <w:lang w:val="en-US" w:eastAsia="zh-CN"/>
                    </w:rPr>
                  </w:pPr>
                  <w:r>
                    <w:rPr>
                      <w:rFonts w:hint="eastAsia"/>
                      <w:color w:val="auto"/>
                      <w:highlight w:val="none"/>
                      <w:lang w:val="en-US" w:eastAsia="zh-CN"/>
                    </w:rPr>
                    <w:t>＜200</w:t>
                  </w:r>
                </w:p>
              </w:tc>
            </w:tr>
            <w:tr w14:paraId="06C0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64F04211">
                  <w:pPr>
                    <w:pStyle w:val="30"/>
                    <w:bidi w:val="0"/>
                    <w:rPr>
                      <w:rFonts w:hint="default"/>
                      <w:color w:val="auto"/>
                      <w:highlight w:val="none"/>
                      <w:lang w:val="en-US" w:eastAsia="zh-CN"/>
                    </w:rPr>
                  </w:pPr>
                  <w:r>
                    <w:rPr>
                      <w:rFonts w:hint="eastAsia"/>
                      <w:color w:val="auto"/>
                      <w:highlight w:val="none"/>
                      <w:lang w:eastAsia="zh-CN"/>
                    </w:rPr>
                    <w:t>细菌总数</w:t>
                  </w:r>
                  <w:r>
                    <w:rPr>
                      <w:rFonts w:hint="eastAsia"/>
                      <w:color w:val="auto"/>
                      <w:highlight w:val="none"/>
                      <w:lang w:val="en-US" w:eastAsia="zh-CN"/>
                    </w:rPr>
                    <w:t>/（CFU/mL）</w:t>
                  </w:r>
                </w:p>
              </w:tc>
              <w:tc>
                <w:tcPr>
                  <w:tcW w:w="873" w:type="pct"/>
                  <w:noWrap w:val="0"/>
                  <w:vAlign w:val="center"/>
                </w:tcPr>
                <w:p w14:paraId="20609AB7">
                  <w:pPr>
                    <w:pStyle w:val="30"/>
                    <w:bidi w:val="0"/>
                    <w:rPr>
                      <w:rFonts w:hint="default"/>
                      <w:color w:val="auto"/>
                      <w:highlight w:val="none"/>
                      <w:lang w:val="en-US" w:eastAsia="zh-CN"/>
                    </w:rPr>
                  </w:pPr>
                  <w:r>
                    <w:rPr>
                      <w:rFonts w:hint="eastAsia"/>
                      <w:color w:val="auto"/>
                      <w:highlight w:val="none"/>
                      <w:lang w:val="en-US" w:eastAsia="zh-CN"/>
                    </w:rPr>
                    <w:t>55</w:t>
                  </w:r>
                </w:p>
              </w:tc>
              <w:tc>
                <w:tcPr>
                  <w:tcW w:w="939" w:type="pct"/>
                  <w:noWrap w:val="0"/>
                  <w:vAlign w:val="center"/>
                </w:tcPr>
                <w:p w14:paraId="67F8D172">
                  <w:pPr>
                    <w:pStyle w:val="30"/>
                    <w:bidi w:val="0"/>
                    <w:rPr>
                      <w:rFonts w:hint="default"/>
                      <w:color w:val="auto"/>
                      <w:highlight w:val="none"/>
                      <w:lang w:val="en-US" w:eastAsia="zh-CN"/>
                    </w:rPr>
                  </w:pPr>
                  <w:r>
                    <w:rPr>
                      <w:rFonts w:hint="eastAsia"/>
                      <w:color w:val="auto"/>
                      <w:highlight w:val="none"/>
                      <w:lang w:val="en-US" w:eastAsia="zh-CN"/>
                    </w:rPr>
                    <w:t>70</w:t>
                  </w:r>
                </w:p>
              </w:tc>
              <w:tc>
                <w:tcPr>
                  <w:tcW w:w="945" w:type="pct"/>
                  <w:noWrap w:val="0"/>
                  <w:vAlign w:val="center"/>
                </w:tcPr>
                <w:p w14:paraId="55DBEB59">
                  <w:pPr>
                    <w:pStyle w:val="30"/>
                    <w:bidi w:val="0"/>
                    <w:rPr>
                      <w:rFonts w:hint="default"/>
                      <w:color w:val="auto"/>
                      <w:highlight w:val="none"/>
                      <w:lang w:val="en-US" w:eastAsia="zh-CN"/>
                    </w:rPr>
                  </w:pPr>
                  <w:r>
                    <w:rPr>
                      <w:rFonts w:hint="eastAsia"/>
                      <w:color w:val="auto"/>
                      <w:highlight w:val="none"/>
                      <w:lang w:val="en-US" w:eastAsia="zh-CN"/>
                    </w:rPr>
                    <w:t>35</w:t>
                  </w:r>
                </w:p>
              </w:tc>
            </w:tr>
            <w:tr w14:paraId="31D3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59BD5F1E">
                  <w:pPr>
                    <w:pStyle w:val="30"/>
                    <w:bidi w:val="0"/>
                    <w:rPr>
                      <w:rFonts w:hint="eastAsia"/>
                      <w:color w:val="auto"/>
                      <w:highlight w:val="none"/>
                      <w:lang w:eastAsia="zh-CN"/>
                    </w:rPr>
                  </w:pPr>
                  <w:r>
                    <w:rPr>
                      <w:rFonts w:hint="eastAsia"/>
                      <w:color w:val="auto"/>
                      <w:highlight w:val="none"/>
                      <w:lang w:eastAsia="zh-CN"/>
                    </w:rPr>
                    <w:t>石油类</w:t>
                  </w:r>
                  <w:r>
                    <w:rPr>
                      <w:color w:val="auto"/>
                      <w:highlight w:val="none"/>
                    </w:rPr>
                    <w:t>（mg/L）</w:t>
                  </w:r>
                </w:p>
              </w:tc>
              <w:tc>
                <w:tcPr>
                  <w:tcW w:w="873" w:type="pct"/>
                  <w:noWrap w:val="0"/>
                  <w:vAlign w:val="center"/>
                </w:tcPr>
                <w:p w14:paraId="3A8CE11F">
                  <w:pPr>
                    <w:pStyle w:val="30"/>
                    <w:bidi w:val="0"/>
                    <w:rPr>
                      <w:rFonts w:hint="default"/>
                      <w:color w:val="auto"/>
                      <w:highlight w:val="none"/>
                      <w:lang w:val="en-US" w:eastAsia="zh-CN"/>
                    </w:rPr>
                  </w:pPr>
                  <w:r>
                    <w:rPr>
                      <w:rFonts w:hint="eastAsia"/>
                      <w:color w:val="auto"/>
                      <w:highlight w:val="none"/>
                      <w:lang w:val="en-US" w:eastAsia="zh-CN"/>
                    </w:rPr>
                    <w:t>0.02</w:t>
                  </w:r>
                </w:p>
              </w:tc>
              <w:tc>
                <w:tcPr>
                  <w:tcW w:w="939" w:type="pct"/>
                  <w:noWrap w:val="0"/>
                  <w:vAlign w:val="center"/>
                </w:tcPr>
                <w:p w14:paraId="0167A1CE">
                  <w:pPr>
                    <w:pStyle w:val="30"/>
                    <w:bidi w:val="0"/>
                    <w:rPr>
                      <w:rFonts w:hint="default"/>
                      <w:color w:val="auto"/>
                      <w:highlight w:val="none"/>
                      <w:lang w:val="en-US" w:eastAsia="zh-CN"/>
                    </w:rPr>
                  </w:pPr>
                  <w:r>
                    <w:rPr>
                      <w:rFonts w:hint="eastAsia"/>
                      <w:color w:val="auto"/>
                      <w:highlight w:val="none"/>
                      <w:lang w:val="en-US" w:eastAsia="zh-CN"/>
                    </w:rPr>
                    <w:t>0.03</w:t>
                  </w:r>
                </w:p>
              </w:tc>
              <w:tc>
                <w:tcPr>
                  <w:tcW w:w="945" w:type="pct"/>
                  <w:noWrap w:val="0"/>
                  <w:vAlign w:val="center"/>
                </w:tcPr>
                <w:p w14:paraId="2E150FA3">
                  <w:pPr>
                    <w:pStyle w:val="30"/>
                    <w:bidi w:val="0"/>
                    <w:rPr>
                      <w:rFonts w:hint="default"/>
                      <w:color w:val="auto"/>
                      <w:highlight w:val="none"/>
                      <w:lang w:val="en-US" w:eastAsia="zh-CN"/>
                    </w:rPr>
                  </w:pPr>
                  <w:r>
                    <w:rPr>
                      <w:rFonts w:hint="eastAsia"/>
                      <w:color w:val="auto"/>
                      <w:highlight w:val="none"/>
                      <w:lang w:val="en-US" w:eastAsia="zh-CN"/>
                    </w:rPr>
                    <w:t>0.03</w:t>
                  </w:r>
                </w:p>
              </w:tc>
            </w:tr>
            <w:tr w14:paraId="4598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41" w:type="pct"/>
                  <w:noWrap w:val="0"/>
                  <w:vAlign w:val="center"/>
                </w:tcPr>
                <w:p w14:paraId="1BBE7350">
                  <w:pPr>
                    <w:pStyle w:val="30"/>
                    <w:bidi w:val="0"/>
                    <w:rPr>
                      <w:rFonts w:hint="default"/>
                      <w:color w:val="auto"/>
                      <w:highlight w:val="none"/>
                      <w:lang w:val="en-US" w:eastAsia="zh-CN"/>
                    </w:rPr>
                  </w:pPr>
                  <w:r>
                    <w:rPr>
                      <w:rFonts w:hint="eastAsia"/>
                      <w:color w:val="auto"/>
                      <w:highlight w:val="none"/>
                      <w:lang w:eastAsia="zh-CN"/>
                    </w:rPr>
                    <w:t>阴离子表面活性剂</w:t>
                  </w:r>
                </w:p>
              </w:tc>
              <w:tc>
                <w:tcPr>
                  <w:tcW w:w="873" w:type="pct"/>
                  <w:shd w:val="clear" w:color="auto" w:fill="auto"/>
                  <w:noWrap w:val="0"/>
                  <w:vAlign w:val="center"/>
                </w:tcPr>
                <w:p w14:paraId="20C7E744">
                  <w:pPr>
                    <w:pStyle w:val="30"/>
                    <w:bidi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ND</w:t>
                  </w:r>
                </w:p>
              </w:tc>
              <w:tc>
                <w:tcPr>
                  <w:tcW w:w="939" w:type="pct"/>
                  <w:shd w:val="clear" w:color="auto" w:fill="auto"/>
                  <w:noWrap w:val="0"/>
                  <w:vAlign w:val="center"/>
                </w:tcPr>
                <w:p w14:paraId="5D626F88">
                  <w:pPr>
                    <w:pStyle w:val="30"/>
                    <w:bidi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ND</w:t>
                  </w:r>
                </w:p>
              </w:tc>
              <w:tc>
                <w:tcPr>
                  <w:tcW w:w="945" w:type="pct"/>
                  <w:shd w:val="clear" w:color="auto" w:fill="auto"/>
                  <w:noWrap w:val="0"/>
                  <w:vAlign w:val="center"/>
                </w:tcPr>
                <w:p w14:paraId="276D4290">
                  <w:pPr>
                    <w:pStyle w:val="30"/>
                    <w:bidi w:val="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ND</w:t>
                  </w:r>
                </w:p>
              </w:tc>
            </w:tr>
            <w:tr w14:paraId="4CC5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4"/>
                  <w:noWrap w:val="0"/>
                  <w:vAlign w:val="center"/>
                </w:tcPr>
                <w:p w14:paraId="029A2361">
                  <w:pPr>
                    <w:pStyle w:val="30"/>
                    <w:bidi w:val="0"/>
                    <w:jc w:val="both"/>
                    <w:rPr>
                      <w:rFonts w:hint="eastAsia"/>
                      <w:color w:val="auto"/>
                      <w:highlight w:val="none"/>
                      <w:lang w:val="en-US" w:eastAsia="zh-CN"/>
                    </w:rPr>
                  </w:pPr>
                  <w:r>
                    <w:rPr>
                      <w:rFonts w:ascii="Times New Roman"/>
                      <w:color w:val="auto"/>
                      <w:kern w:val="2"/>
                      <w:sz w:val="21"/>
                      <w:szCs w:val="21"/>
                      <w:highlight w:val="none"/>
                    </w:rPr>
                    <w:t>备注：“ND”表示未检出。</w:t>
                  </w:r>
                </w:p>
              </w:tc>
            </w:tr>
          </w:tbl>
          <w:p w14:paraId="5469798F">
            <w:pPr>
              <w:bidi w:val="0"/>
              <w:ind w:firstLine="480" w:firstLineChars="200"/>
              <w:rPr>
                <w:color w:val="auto"/>
                <w:highlight w:val="none"/>
              </w:rPr>
            </w:pPr>
            <w:r>
              <w:rPr>
                <w:rFonts w:hint="eastAsia"/>
                <w:color w:val="auto"/>
                <w:highlight w:val="none"/>
              </w:rPr>
              <w:t>由表可知，本项目地下水水质各因子均满足《地下水环境质量标准》（GB/T14848-2017）中Ⅳ类水质标准限值要求，区域地下水环境质量状况</w:t>
            </w:r>
            <w:r>
              <w:rPr>
                <w:rFonts w:hint="eastAsia"/>
                <w:color w:val="auto"/>
                <w:highlight w:val="none"/>
                <w:lang w:eastAsia="zh-CN"/>
              </w:rPr>
              <w:t>良好</w:t>
            </w:r>
            <w:r>
              <w:rPr>
                <w:rFonts w:hint="eastAsia"/>
                <w:color w:val="auto"/>
                <w:highlight w:val="none"/>
              </w:rPr>
              <w:t>。</w:t>
            </w:r>
          </w:p>
          <w:p w14:paraId="17719F10">
            <w:pPr>
              <w:wordWrap w:val="0"/>
              <w:autoSpaceDE w:val="0"/>
              <w:autoSpaceDN w:val="0"/>
              <w:spacing w:line="360" w:lineRule="auto"/>
              <w:ind w:firstLine="482" w:firstLineChars="200"/>
              <w:jc w:val="left"/>
              <w:rPr>
                <w:rFonts w:hAnsi="宋体"/>
                <w:b/>
                <w:bCs/>
                <w:color w:val="auto"/>
                <w:sz w:val="24"/>
                <w:highlight w:val="none"/>
              </w:rPr>
            </w:pPr>
            <w:r>
              <w:rPr>
                <w:rFonts w:hint="eastAsia" w:hAnsi="宋体"/>
                <w:b/>
                <w:bCs/>
                <w:color w:val="auto"/>
                <w:sz w:val="24"/>
                <w:highlight w:val="none"/>
              </w:rPr>
              <w:t>（2）土壤环境质量现状</w:t>
            </w:r>
          </w:p>
          <w:p w14:paraId="5303FEA6">
            <w:pPr>
              <w:wordWrap w:val="0"/>
              <w:autoSpaceDE w:val="0"/>
              <w:autoSpaceDN w:val="0"/>
              <w:spacing w:line="360" w:lineRule="auto"/>
              <w:ind w:firstLine="480" w:firstLineChars="200"/>
              <w:jc w:val="left"/>
              <w:rPr>
                <w:color w:val="auto"/>
                <w:sz w:val="24"/>
                <w:szCs w:val="24"/>
                <w:highlight w:val="none"/>
              </w:rPr>
            </w:pPr>
            <w:r>
              <w:rPr>
                <w:color w:val="auto"/>
                <w:sz w:val="24"/>
                <w:szCs w:val="24"/>
                <w:highlight w:val="none"/>
              </w:rPr>
              <w:t>本项目委托</w:t>
            </w:r>
            <w:r>
              <w:rPr>
                <w:rFonts w:hint="eastAsia"/>
                <w:color w:val="auto"/>
                <w:sz w:val="24"/>
                <w:szCs w:val="24"/>
                <w:highlight w:val="none"/>
                <w:lang w:eastAsia="zh-CN"/>
              </w:rPr>
              <w:t>江苏国析检测技术有限公司</w:t>
            </w:r>
            <w:r>
              <w:rPr>
                <w:color w:val="auto"/>
                <w:sz w:val="24"/>
                <w:szCs w:val="24"/>
                <w:highlight w:val="none"/>
              </w:rPr>
              <w:t>于</w:t>
            </w:r>
            <w:r>
              <w:rPr>
                <w:rFonts w:hint="eastAsia"/>
                <w:color w:val="auto"/>
                <w:sz w:val="24"/>
                <w:szCs w:val="24"/>
                <w:highlight w:val="none"/>
              </w:rPr>
              <w:t>202</w:t>
            </w:r>
            <w:r>
              <w:rPr>
                <w:rFonts w:hint="eastAsia"/>
                <w:color w:val="auto"/>
                <w:sz w:val="24"/>
                <w:szCs w:val="24"/>
                <w:highlight w:val="none"/>
                <w:lang w:val="en-US" w:eastAsia="zh-CN"/>
              </w:rPr>
              <w:t>5</w:t>
            </w:r>
            <w:r>
              <w:rPr>
                <w:rFonts w:hint="eastAsia"/>
                <w:color w:val="auto"/>
                <w:sz w:val="24"/>
                <w:szCs w:val="24"/>
                <w:highlight w:val="none"/>
              </w:rPr>
              <w:t>年</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val="en-US" w:eastAsia="zh-CN"/>
              </w:rPr>
              <w:t>25</w:t>
            </w:r>
            <w:r>
              <w:rPr>
                <w:rFonts w:hint="eastAsia"/>
                <w:color w:val="auto"/>
                <w:sz w:val="24"/>
                <w:szCs w:val="24"/>
                <w:highlight w:val="none"/>
              </w:rPr>
              <w:t>日对本项目土壤环境进行现状监测，监测结果见下表：</w:t>
            </w:r>
          </w:p>
          <w:p w14:paraId="43CE5319">
            <w:pPr>
              <w:pStyle w:val="6"/>
              <w:bidi w:val="0"/>
              <w:rPr>
                <w:color w:val="auto"/>
                <w:highlight w:val="none"/>
              </w:rPr>
            </w:pPr>
            <w:r>
              <w:rPr>
                <w:rFonts w:hint="eastAsia"/>
                <w:color w:val="auto"/>
                <w:highlight w:val="none"/>
                <w:lang w:val="en-US" w:eastAsia="zh-CN"/>
              </w:rPr>
              <w:t>表3</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土壤</w:t>
            </w:r>
            <w:r>
              <w:rPr>
                <w:color w:val="auto"/>
                <w:highlight w:val="none"/>
              </w:rPr>
              <w:t>环境质量监测结果</w:t>
            </w:r>
            <w:r>
              <w:rPr>
                <w:rFonts w:hint="eastAsia"/>
                <w:color w:val="auto"/>
                <w:highlight w:val="none"/>
                <w:lang w:val="en-US" w:eastAsia="zh-CN"/>
              </w:rPr>
              <w:t xml:space="preserve">  单位：mg/kg</w:t>
            </w:r>
          </w:p>
          <w:tbl>
            <w:tblPr>
              <w:tblStyle w:val="31"/>
              <w:tblW w:w="4999"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431"/>
              <w:gridCol w:w="1697"/>
              <w:gridCol w:w="1358"/>
              <w:gridCol w:w="1361"/>
            </w:tblGrid>
            <w:tr w14:paraId="52BC5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2187" w:type="pct"/>
                  <w:tcBorders>
                    <w:top w:val="single" w:color="000000" w:sz="4" w:space="0"/>
                    <w:left w:val="single" w:color="000000" w:sz="4" w:space="0"/>
                    <w:bottom w:val="single" w:color="000000" w:sz="4" w:space="0"/>
                    <w:right w:val="single" w:color="000000" w:sz="4" w:space="0"/>
                    <w:tl2br w:val="nil"/>
                  </w:tcBorders>
                  <w:shd w:val="clear" w:color="auto" w:fill="FFFFFF"/>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6BBD2D6C">
                  <w:pPr>
                    <w:pStyle w:val="30"/>
                    <w:bidi w:val="0"/>
                    <w:snapToGrid w:val="0"/>
                    <w:spacing w:line="240" w:lineRule="auto"/>
                    <w:ind w:left="0" w:leftChars="0" w:right="0" w:rightChars="0" w:firstLine="0" w:firstLineChars="0"/>
                    <w:jc w:val="center"/>
                    <w:rPr>
                      <w:rFonts w:hint="eastAsia"/>
                      <w:b w:val="0"/>
                      <w:color w:val="auto"/>
                      <w:highlight w:val="none"/>
                      <w:lang w:eastAsia="zh-CN"/>
                    </w:rPr>
                  </w:pPr>
                </w:p>
                <w:p w14:paraId="4F2F636E">
                  <w:pPr>
                    <w:pStyle w:val="30"/>
                    <w:bidi w:val="0"/>
                    <w:snapToGrid w:val="0"/>
                    <w:spacing w:line="240" w:lineRule="auto"/>
                    <w:ind w:left="0" w:leftChars="0" w:right="0" w:rightChars="0" w:firstLine="0" w:firstLineChars="0"/>
                    <w:jc w:val="center"/>
                    <mc:AlternateContent>
                      <mc:Choice Requires="wpsCustomData">
                        <wpsCustomData:diagonalParaType/>
                      </mc:Choice>
                    </mc:AlternateContent>
                    <w:rPr>
                      <w:rFonts w:hint="eastAsia" w:eastAsia="宋体"/>
                      <w:b w:val="0"/>
                      <w:color w:val="auto"/>
                      <w:highlight w:val="none"/>
                      <w:lang w:eastAsia="zh-CN"/>
                    </w:rPr>
                  </w:pPr>
                  <w:r>
                    <w:rPr>
                      <w:rFonts w:hint="eastAsia"/>
                      <w:b w:val="0"/>
                      <w:color w:val="auto"/>
                      <w:highlight w:val="none"/>
                      <w:lang w:eastAsia="zh-CN"/>
                    </w:rPr>
                    <w:t>监测因子</w:t>
                  </w:r>
                </w:p>
                <w:p w14:paraId="5E57F778">
                  <w:pPr>
                    <w:pStyle w:val="30"/>
                    <w:bidi w:val="0"/>
                    <w:ind w:left="0" w:leftChars="0" w:right="0" w:rightChars="0" w:firstLine="0" w:firstLineChars="0"/>
                    <w:jc w:val="center"/>
                    <w:rPr>
                      <w:rFonts w:hint="eastAsia" w:eastAsia="宋体"/>
                      <w:b w:val="0"/>
                      <w:color w:val="auto"/>
                      <w:highlight w:val="none"/>
                      <w:lang w:eastAsia="zh-CN"/>
                    </w:rPr>
                  </w:pPr>
                  <w:r>
                    <w:rPr>
                      <w:rFonts w:hint="eastAsia"/>
                      <w:b w:val="0"/>
                      <w:color w:val="auto"/>
                      <w:highlight w:val="none"/>
                      <w:lang w:eastAsia="zh-CN"/>
                    </w:rPr>
                    <w:t>监测点位</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308FF">
                  <w:pPr>
                    <w:pStyle w:val="30"/>
                    <w:bidi w:val="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T1</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96F9A">
                  <w:pPr>
                    <w:pStyle w:val="30"/>
                    <w:bidi w:val="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T2</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CA453">
                  <w:pPr>
                    <w:pStyle w:val="30"/>
                    <w:bidi w:val="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T3</w:t>
                  </w:r>
                </w:p>
              </w:tc>
            </w:tr>
            <w:tr w14:paraId="65D20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93D1C">
                  <w:pPr>
                    <w:pStyle w:val="30"/>
                    <w:bidi w:val="0"/>
                    <w:ind w:left="0" w:leftChars="0" w:right="0" w:rightChars="0" w:firstLine="0" w:firstLineChars="0"/>
                    <w:jc w:val="center"/>
                    <w:rPr>
                      <w:rFonts w:hint="default" w:eastAsia="宋体"/>
                      <w:b w:val="0"/>
                      <w:color w:val="auto"/>
                      <w:highlight w:val="none"/>
                      <w:lang w:val="en-US" w:eastAsia="zh-CN"/>
                    </w:rPr>
                  </w:pPr>
                  <w:r>
                    <w:rPr>
                      <w:rFonts w:hint="eastAsia"/>
                      <w:b w:val="0"/>
                      <w:color w:val="auto"/>
                      <w:highlight w:val="none"/>
                      <w:lang w:val="en-US" w:eastAsia="zh-CN"/>
                    </w:rPr>
                    <w:t>PH值</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F6823">
                  <w:pPr>
                    <w:pStyle w:val="30"/>
                    <w:bidi w:val="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6.43</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FE01A">
                  <w:pPr>
                    <w:pStyle w:val="30"/>
                    <w:bidi w:val="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6.31</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A1736">
                  <w:pPr>
                    <w:pStyle w:val="30"/>
                    <w:bidi w:val="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6.56</w:t>
                  </w:r>
                </w:p>
              </w:tc>
            </w:tr>
            <w:tr w14:paraId="75D77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CE5CBF">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铜</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27663E">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24</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482CB">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25</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2AA65">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24</w:t>
                  </w:r>
                </w:p>
              </w:tc>
            </w:tr>
            <w:tr w14:paraId="705E7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ED114">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镍</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25122">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29</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CED8E">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29</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72BEF">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35</w:t>
                  </w:r>
                </w:p>
              </w:tc>
            </w:tr>
            <w:tr w14:paraId="72229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8D78C">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铅</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354E0">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17.0</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C1ADE">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38.8</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DE9A4">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19.7</w:t>
                  </w:r>
                </w:p>
              </w:tc>
            </w:tr>
            <w:tr w14:paraId="43B5F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DEE4F">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镉</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490FB">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0.12</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2A14E7">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0.11</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3C9CA">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0.06</w:t>
                  </w:r>
                </w:p>
              </w:tc>
            </w:tr>
            <w:tr w14:paraId="08D3F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DADA86">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汞</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C650B">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0.126</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C4C84">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0.147</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26F0A">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0.152</w:t>
                  </w:r>
                </w:p>
              </w:tc>
            </w:tr>
            <w:tr w14:paraId="15A2B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5488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EFE1D3">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4.54</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D4EBE">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5.11</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970D6">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5.24</w:t>
                  </w:r>
                </w:p>
              </w:tc>
            </w:tr>
            <w:tr w14:paraId="05720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9AC46">
                  <w:pPr>
                    <w:pStyle w:val="30"/>
                    <w:bidi w:val="0"/>
                    <w:ind w:left="0" w:leftChars="0" w:right="0" w:rightChars="0" w:firstLine="0" w:firstLineChars="0"/>
                    <w:jc w:val="center"/>
                    <w:rPr>
                      <w:b w:val="0"/>
                      <w:color w:val="auto"/>
                      <w:highlight w:val="none"/>
                    </w:rPr>
                  </w:pPr>
                  <w:r>
                    <w:rPr>
                      <w:b w:val="0"/>
                      <w:color w:val="auto"/>
                      <w:highlight w:val="none"/>
                    </w:rPr>
                    <w:t>铬（六价）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3902C">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2A486">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41D31">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77DB9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6F51D">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氯甲烷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27CFB">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16C98">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FED2F">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7ADD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2BBF8">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氯乙烯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D92BE">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75621">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8CB90">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2545C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1A0BA">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1，1-二氯乙烯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2A3166">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2E81B">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112F6">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5265B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6F55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二氯甲烷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006E9">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EA231">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FDB65">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3946B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A6085">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反-1，2-二氯乙烯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E815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F2A95">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25B70">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9641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64B0D">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1，1-二氯乙烷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23F58">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EFF2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6781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72A10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B8B94">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顺-1，2-二氯乙烯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EBE1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92A1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5B08B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A43B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D7D92">
                  <w:pPr>
                    <w:pStyle w:val="30"/>
                    <w:bidi w:val="0"/>
                    <w:ind w:left="0" w:leftChars="0" w:right="0" w:rightChars="0" w:firstLine="0" w:firstLineChars="0"/>
                    <w:jc w:val="center"/>
                    <w:rPr>
                      <w:b w:val="0"/>
                      <w:color w:val="auto"/>
                      <w:highlight w:val="none"/>
                    </w:rPr>
                  </w:pPr>
                  <w:r>
                    <w:rPr>
                      <w:b w:val="0"/>
                      <w:color w:val="auto"/>
                      <w:highlight w:val="none"/>
                    </w:rPr>
                    <w:t>氯仿</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64D1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7599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7EBF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2FFD8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5622A">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1，1，1</w:t>
                  </w:r>
                  <w:r>
                    <w:rPr>
                      <w:rFonts w:hint="eastAsia"/>
                      <w:b w:val="0"/>
                      <w:color w:val="auto"/>
                      <w:highlight w:val="none"/>
                      <w:lang w:val="en-US" w:eastAsia="zh-CN"/>
                    </w:rPr>
                    <w:t>-</w:t>
                  </w:r>
                  <w:r>
                    <w:rPr>
                      <w:b w:val="0"/>
                      <w:color w:val="auto"/>
                      <w:highlight w:val="none"/>
                    </w:rPr>
                    <w:t>三氯乙烷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25FB6">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78C22">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11440A">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48F8A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7516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四氯化碳</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8410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3868D">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47F7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456CD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273D4">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C3B80F">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937F1">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32A7D">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E3D8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679D8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1，2-二氯乙烷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8919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B53326">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0D85A">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56AF1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9582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三氯乙烯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AFFB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E665C">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F86E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5035C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B955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1，2-二氯丙烷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D54F5">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57BE6">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2E1A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B5F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5C63C5">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甲苯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F9DE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53EB70">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DAC98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27E09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0E1B6C">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1，1，2-三氯乙烷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BB75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A12E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CAD4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CDDA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612F4">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四氯乙烯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928DF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A19E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D887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01119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3F3D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氯苯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5D6D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74B7D">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4E80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35E48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4F9E2">
                  <w:pPr>
                    <w:pStyle w:val="30"/>
                    <w:bidi w:val="0"/>
                    <w:ind w:left="0" w:leftChars="0" w:right="0" w:rightChars="0" w:firstLine="0" w:firstLineChars="0"/>
                    <w:jc w:val="center"/>
                    <w:rPr>
                      <w:b w:val="0"/>
                      <w:color w:val="auto"/>
                      <w:highlight w:val="none"/>
                    </w:rPr>
                  </w:pPr>
                  <w:r>
                    <w:rPr>
                      <w:b w:val="0"/>
                      <w:color w:val="auto"/>
                      <w:highlight w:val="none"/>
                    </w:rPr>
                    <w:t>1，1，1，2-四氯乙烷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848CB">
                  <w:pPr>
                    <w:pStyle w:val="30"/>
                    <w:bidi w:val="0"/>
                    <w:ind w:left="0" w:leftChars="0" w:right="0" w:rightChars="0" w:firstLine="0" w:firstLineChars="0"/>
                    <w:jc w:val="center"/>
                    <w:rPr>
                      <w:b w:val="0"/>
                      <w:color w:val="auto"/>
                      <w:highlight w:val="none"/>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81023">
                  <w:pPr>
                    <w:pStyle w:val="30"/>
                    <w:bidi w:val="0"/>
                    <w:ind w:left="0" w:leftChars="0" w:right="0" w:rightChars="0" w:firstLine="0" w:firstLineChars="0"/>
                    <w:jc w:val="center"/>
                    <w:rPr>
                      <w:b w:val="0"/>
                      <w:color w:val="auto"/>
                      <w:highlight w:val="none"/>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5614A">
                  <w:pPr>
                    <w:pStyle w:val="30"/>
                    <w:bidi w:val="0"/>
                    <w:ind w:left="0" w:leftChars="0" w:right="0" w:rightChars="0" w:firstLine="0" w:firstLineChars="0"/>
                    <w:jc w:val="center"/>
                    <w:rPr>
                      <w:b w:val="0"/>
                      <w:color w:val="auto"/>
                      <w:highlight w:val="none"/>
                    </w:rPr>
                  </w:pPr>
                  <w:r>
                    <w:rPr>
                      <w:b w:val="0"/>
                      <w:color w:val="auto"/>
                      <w:highlight w:val="none"/>
                    </w:rPr>
                    <w:t>ND</w:t>
                  </w:r>
                </w:p>
              </w:tc>
            </w:tr>
            <w:tr w14:paraId="7D7E2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869B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乙苯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60CB0">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D732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B751B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14B16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DE34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间二甲苯+对二甲苯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0309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2B43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A4397">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4FAAA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50B5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邻二甲苯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7B51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E25C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E8248">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200C8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EB14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苯乙烯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6CCA9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C081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A283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1760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7BDED">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1，1，2，2-四氯乙烷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D02C8">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DA21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C2697">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799FB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244DC">
                  <w:pPr>
                    <w:pStyle w:val="30"/>
                    <w:bidi w:val="0"/>
                    <w:ind w:left="0" w:leftChars="0" w:right="0" w:rightChars="0" w:firstLine="0" w:firstLineChars="0"/>
                    <w:jc w:val="center"/>
                    <w:rPr>
                      <w:b w:val="0"/>
                      <w:color w:val="auto"/>
                      <w:highlight w:val="none"/>
                    </w:rPr>
                  </w:pPr>
                  <w:r>
                    <w:rPr>
                      <w:b w:val="0"/>
                      <w:color w:val="auto"/>
                      <w:highlight w:val="none"/>
                    </w:rPr>
                    <w:t>1，2，3-三氯丙烷</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89D47">
                  <w:pPr>
                    <w:pStyle w:val="30"/>
                    <w:bidi w:val="0"/>
                    <w:ind w:left="0" w:leftChars="0" w:right="0" w:rightChars="0" w:firstLine="0" w:firstLineChars="0"/>
                    <w:jc w:val="center"/>
                    <w:rPr>
                      <w:b w:val="0"/>
                      <w:color w:val="auto"/>
                      <w:highlight w:val="none"/>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1DF0A">
                  <w:pPr>
                    <w:pStyle w:val="30"/>
                    <w:bidi w:val="0"/>
                    <w:ind w:left="0" w:leftChars="0" w:right="0" w:rightChars="0" w:firstLine="0" w:firstLineChars="0"/>
                    <w:jc w:val="center"/>
                    <w:rPr>
                      <w:b w:val="0"/>
                      <w:color w:val="auto"/>
                      <w:highlight w:val="none"/>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B0EAA">
                  <w:pPr>
                    <w:pStyle w:val="30"/>
                    <w:bidi w:val="0"/>
                    <w:ind w:left="0" w:leftChars="0" w:right="0" w:rightChars="0" w:firstLine="0" w:firstLineChars="0"/>
                    <w:jc w:val="center"/>
                    <w:rPr>
                      <w:b w:val="0"/>
                      <w:color w:val="auto"/>
                      <w:highlight w:val="none"/>
                    </w:rPr>
                  </w:pPr>
                  <w:r>
                    <w:rPr>
                      <w:b w:val="0"/>
                      <w:color w:val="auto"/>
                      <w:highlight w:val="none"/>
                    </w:rPr>
                    <w:t>ND</w:t>
                  </w:r>
                </w:p>
              </w:tc>
            </w:tr>
            <w:tr w14:paraId="17B20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AECEB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1，4-二氯苯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9AB3A">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FF0FD">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545D4">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7AD17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B4D1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1，2-二氯苯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8D3B2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C9291">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66454">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70D31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DCF3FB">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2-氯</w:t>
                  </w:r>
                  <w:r>
                    <w:rPr>
                      <w:rFonts w:hint="eastAsia"/>
                      <w:b w:val="0"/>
                      <w:color w:val="auto"/>
                      <w:highlight w:val="none"/>
                      <w:lang w:eastAsia="zh-CN"/>
                    </w:rPr>
                    <w:t>苯酚</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465B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FC748">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C1FC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767F8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CD027">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硝基苯</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BA650">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B05A68">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4AE77">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85B3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7127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萘</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0336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AEB0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58A67">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B92D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D6BA6">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苯并[a]蒽</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8682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2F0C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A032C">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19927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3CB5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䓛</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A91EA">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B329F">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B0124">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1A2F1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C0113">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苯并[b]荧蒽</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88CB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66B7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7EDE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9EA3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6474A">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苯并[k]荧蒽</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C377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87426">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286D1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3BE1E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9ECF0">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苯并[a]芘</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F115B">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2B9B9">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9E5FC">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4F9A6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851A2">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茚并[1，2，3-cd]芘</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78704">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A3577">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F7A66">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6D4F7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28F135">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二苯并[a，h]蒽</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3C57DE">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8D058">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93405">
                  <w:pPr>
                    <w:pStyle w:val="30"/>
                    <w:bidi w:val="0"/>
                    <w:ind w:left="0" w:leftChars="0" w:right="0" w:rightChars="0" w:firstLine="0" w:firstLineChars="0"/>
                    <w:jc w:val="center"/>
                    <w:rPr>
                      <w:rFonts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4DECE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74236">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苯胺</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012CE">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5F482">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1620A">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b w:val="0"/>
                      <w:color w:val="auto"/>
                      <w:highlight w:val="none"/>
                    </w:rPr>
                    <w:t>ND</w:t>
                  </w:r>
                </w:p>
              </w:tc>
            </w:tr>
            <w:tr w14:paraId="13D58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0FDFE">
                  <w:pPr>
                    <w:pStyle w:val="30"/>
                    <w:bidi w:val="0"/>
                    <w:ind w:left="0" w:leftChars="0" w:right="0" w:rightChars="0" w:firstLine="0" w:firstLineChars="0"/>
                    <w:jc w:val="center"/>
                    <w:rPr>
                      <w:rFonts w:hint="eastAsia"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eastAsia="zh-CN"/>
                    </w:rPr>
                    <w:t>石油烃</w:t>
                  </w:r>
                </w:p>
              </w:tc>
              <w:tc>
                <w:tcPr>
                  <w:tcW w:w="10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B4AB1">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15</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C41FA">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21</w:t>
                  </w:r>
                </w:p>
              </w:tc>
              <w:tc>
                <w:tcPr>
                  <w:tcW w:w="8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FD756">
                  <w:pPr>
                    <w:pStyle w:val="30"/>
                    <w:bidi w:val="0"/>
                    <w:ind w:left="0" w:leftChars="0" w:right="0" w:rightChars="0" w:firstLine="0" w:firstLineChars="0"/>
                    <w:jc w:val="center"/>
                    <w:rPr>
                      <w:rFonts w:hint="default" w:ascii="Times New Roman" w:hAnsi="Times New Roman" w:eastAsia="宋体" w:cs="Times New Roman"/>
                      <w:b w:val="0"/>
                      <w:color w:val="auto"/>
                      <w:kern w:val="0"/>
                      <w:sz w:val="18"/>
                      <w:szCs w:val="18"/>
                      <w:highlight w:val="none"/>
                      <w:lang w:val="en-US" w:eastAsia="zh-CN" w:bidi="ar-SA"/>
                    </w:rPr>
                  </w:pPr>
                  <w:r>
                    <w:rPr>
                      <w:rFonts w:hint="eastAsia"/>
                      <w:b w:val="0"/>
                      <w:color w:val="auto"/>
                      <w:highlight w:val="none"/>
                      <w:lang w:val="en-US" w:eastAsia="zh-CN"/>
                    </w:rPr>
                    <w:t>21</w:t>
                  </w:r>
                </w:p>
              </w:tc>
            </w:tr>
            <w:tr w14:paraId="7F120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EB02548">
                  <w:pPr>
                    <w:pStyle w:val="30"/>
                    <w:bidi w:val="0"/>
                    <w:ind w:left="0" w:leftChars="0" w:right="0" w:rightChars="0" w:firstLine="0" w:firstLineChars="0"/>
                    <w:jc w:val="both"/>
                    <w:rPr>
                      <w:rFonts w:hint="eastAsia"/>
                      <w:b w:val="0"/>
                      <w:color w:val="auto"/>
                      <w:highlight w:val="none"/>
                      <w:lang w:val="en-US" w:eastAsia="zh-CN"/>
                    </w:rPr>
                  </w:pPr>
                  <w:r>
                    <w:rPr>
                      <w:rFonts w:ascii="Times New Roman"/>
                      <w:color w:val="auto"/>
                      <w:kern w:val="2"/>
                      <w:sz w:val="21"/>
                      <w:szCs w:val="21"/>
                      <w:highlight w:val="none"/>
                    </w:rPr>
                    <w:t>备注：“ND”表示未检出。</w:t>
                  </w:r>
                </w:p>
              </w:tc>
            </w:tr>
          </w:tbl>
          <w:p w14:paraId="722F8649">
            <w:pPr>
              <w:keepNext w:val="0"/>
              <w:keepLines w:val="0"/>
              <w:widowControl/>
              <w:suppressLineNumbers w:val="0"/>
              <w:ind w:firstLine="480" w:firstLineChars="200"/>
              <w:jc w:val="left"/>
              <w:rPr>
                <w:rFonts w:hint="eastAsia"/>
                <w:color w:val="auto"/>
                <w:highlight w:val="none"/>
              </w:rPr>
            </w:pPr>
            <w:r>
              <w:rPr>
                <w:rFonts w:hint="eastAsia" w:hAnsi="宋体"/>
                <w:bCs/>
                <w:color w:val="auto"/>
                <w:sz w:val="24"/>
                <w:highlight w:val="none"/>
              </w:rPr>
              <w:t>根据监测结果可知，区域各项监测因子均满足《土壤环境质量建设用地土壤污染风险管控标准（试行）》（GB36600-2018），第二类建设用地筛选值管控标准，项目区域土壤环境质量良好。</w:t>
            </w:r>
          </w:p>
        </w:tc>
      </w:tr>
      <w:tr w14:paraId="3206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3" w:hRule="atLeast"/>
        </w:trPr>
        <w:tc>
          <w:tcPr>
            <w:tcW w:w="452" w:type="dxa"/>
            <w:vAlign w:val="center"/>
          </w:tcPr>
          <w:p w14:paraId="02F62836">
            <w:pPr>
              <w:rPr>
                <w:color w:val="auto"/>
                <w:highlight w:val="none"/>
              </w:rPr>
            </w:pPr>
            <w:r>
              <w:rPr>
                <w:rFonts w:hint="eastAsia"/>
                <w:color w:val="auto"/>
                <w:highlight w:val="none"/>
              </w:rPr>
              <w:t>环境保护目标</w:t>
            </w:r>
          </w:p>
        </w:tc>
        <w:tc>
          <w:tcPr>
            <w:tcW w:w="8070" w:type="dxa"/>
          </w:tcPr>
          <w:p w14:paraId="720A01CA">
            <w:pPr>
              <w:rPr>
                <w:color w:val="auto"/>
                <w:highlight w:val="none"/>
              </w:rPr>
            </w:pPr>
            <w:r>
              <w:rPr>
                <w:rFonts w:hint="eastAsia"/>
                <w:color w:val="auto"/>
                <w:highlight w:val="none"/>
              </w:rPr>
              <w:t>1、大气环境</w:t>
            </w:r>
          </w:p>
          <w:p w14:paraId="20E02CF5">
            <w:pPr>
              <w:ind w:firstLine="480" w:firstLineChars="200"/>
              <w:rPr>
                <w:color w:val="auto"/>
                <w:highlight w:val="none"/>
              </w:rPr>
            </w:pPr>
            <w:r>
              <w:rPr>
                <w:color w:val="auto"/>
                <w:highlight w:val="none"/>
              </w:rPr>
              <w:t>厂界外500m范围内无自然保护区、风景名胜区和文物古迹等需要特殊保护的环境敏感对象，厂界外500m范围内</w:t>
            </w:r>
            <w:r>
              <w:rPr>
                <w:rFonts w:hint="eastAsia"/>
                <w:color w:val="auto"/>
                <w:highlight w:val="none"/>
              </w:rPr>
              <w:t>存在居住区、学校</w:t>
            </w:r>
            <w:r>
              <w:rPr>
                <w:color w:val="auto"/>
                <w:highlight w:val="none"/>
              </w:rPr>
              <w:t>。</w:t>
            </w:r>
          </w:p>
          <w:p w14:paraId="6F142CB4">
            <w:pPr>
              <w:rPr>
                <w:color w:val="auto"/>
                <w:highlight w:val="none"/>
              </w:rPr>
            </w:pPr>
            <w:r>
              <w:rPr>
                <w:rFonts w:hint="eastAsia"/>
                <w:color w:val="auto"/>
                <w:highlight w:val="none"/>
              </w:rPr>
              <w:t>2、声环境</w:t>
            </w:r>
          </w:p>
          <w:p w14:paraId="581D286E">
            <w:pPr>
              <w:ind w:firstLine="480" w:firstLineChars="200"/>
              <w:rPr>
                <w:color w:val="auto"/>
                <w:highlight w:val="none"/>
              </w:rPr>
            </w:pPr>
            <w:r>
              <w:rPr>
                <w:rFonts w:hint="eastAsia"/>
                <w:color w:val="auto"/>
                <w:highlight w:val="none"/>
              </w:rPr>
              <w:t>本项目厂界外50米范围内存在声环境保护目标。</w:t>
            </w:r>
          </w:p>
          <w:p w14:paraId="7A44B00A">
            <w:pPr>
              <w:rPr>
                <w:color w:val="auto"/>
                <w:highlight w:val="none"/>
              </w:rPr>
            </w:pPr>
            <w:r>
              <w:rPr>
                <w:rFonts w:hint="eastAsia"/>
                <w:color w:val="auto"/>
                <w:highlight w:val="none"/>
              </w:rPr>
              <w:t>3、地下水环境</w:t>
            </w:r>
          </w:p>
          <w:p w14:paraId="21A8D80A">
            <w:pPr>
              <w:ind w:firstLine="480" w:firstLineChars="200"/>
              <w:rPr>
                <w:color w:val="auto"/>
                <w:highlight w:val="none"/>
              </w:rPr>
            </w:pPr>
            <w:r>
              <w:rPr>
                <w:rFonts w:hint="eastAsia"/>
                <w:color w:val="auto"/>
                <w:highlight w:val="none"/>
              </w:rPr>
              <w:t>本项目</w:t>
            </w:r>
            <w:r>
              <w:rPr>
                <w:color w:val="auto"/>
                <w:highlight w:val="none"/>
              </w:rPr>
              <w:t>厂界外500米范围内</w:t>
            </w:r>
            <w:r>
              <w:rPr>
                <w:rFonts w:hint="eastAsia"/>
                <w:color w:val="auto"/>
                <w:highlight w:val="none"/>
              </w:rPr>
              <w:t>无</w:t>
            </w:r>
            <w:r>
              <w:rPr>
                <w:color w:val="auto"/>
                <w:highlight w:val="none"/>
              </w:rPr>
              <w:t>地下水集中式饮用水水源和热水、矿泉水、温泉等特殊地下水资源，</w:t>
            </w:r>
            <w:r>
              <w:rPr>
                <w:rFonts w:hint="eastAsia"/>
                <w:color w:val="auto"/>
                <w:highlight w:val="none"/>
              </w:rPr>
              <w:t>无地下水环境保护目标</w:t>
            </w:r>
            <w:r>
              <w:rPr>
                <w:color w:val="auto"/>
                <w:highlight w:val="none"/>
              </w:rPr>
              <w:t>。</w:t>
            </w:r>
          </w:p>
          <w:p w14:paraId="3951D900">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t xml:space="preserve"> 环境保护目标一览表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31"/>
              <w:gridCol w:w="633"/>
              <w:gridCol w:w="775"/>
              <w:gridCol w:w="663"/>
              <w:gridCol w:w="1038"/>
              <w:gridCol w:w="1147"/>
              <w:gridCol w:w="1080"/>
              <w:gridCol w:w="1874"/>
            </w:tblGrid>
            <w:tr w14:paraId="5B56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14:paraId="51E76CBF">
                  <w:pPr>
                    <w:pStyle w:val="30"/>
                    <w:rPr>
                      <w:color w:val="auto"/>
                      <w:highlight w:val="none"/>
                    </w:rPr>
                  </w:pPr>
                  <w:r>
                    <w:rPr>
                      <w:color w:val="auto"/>
                      <w:highlight w:val="none"/>
                    </w:rPr>
                    <w:t>环境要素</w:t>
                  </w:r>
                </w:p>
              </w:tc>
              <w:tc>
                <w:tcPr>
                  <w:tcW w:w="1408" w:type="dxa"/>
                  <w:gridSpan w:val="2"/>
                  <w:tcBorders>
                    <w:top w:val="single" w:color="auto" w:sz="4" w:space="0"/>
                    <w:left w:val="single" w:color="auto" w:sz="4" w:space="0"/>
                    <w:bottom w:val="single" w:color="auto" w:sz="4" w:space="0"/>
                    <w:right w:val="single" w:color="auto" w:sz="4" w:space="0"/>
                  </w:tcBorders>
                  <w:vAlign w:val="center"/>
                </w:tcPr>
                <w:p w14:paraId="31652BE2">
                  <w:pPr>
                    <w:pStyle w:val="30"/>
                    <w:rPr>
                      <w:color w:val="auto"/>
                      <w:highlight w:val="none"/>
                    </w:rPr>
                  </w:pPr>
                  <w:r>
                    <w:rPr>
                      <w:color w:val="auto"/>
                      <w:highlight w:val="none"/>
                    </w:rPr>
                    <w:t>环境保护目标名称</w:t>
                  </w:r>
                </w:p>
              </w:tc>
              <w:tc>
                <w:tcPr>
                  <w:tcW w:w="663" w:type="dxa"/>
                  <w:tcBorders>
                    <w:top w:val="single" w:color="auto" w:sz="4" w:space="0"/>
                    <w:left w:val="single" w:color="auto" w:sz="4" w:space="0"/>
                    <w:bottom w:val="single" w:color="auto" w:sz="4" w:space="0"/>
                    <w:right w:val="single" w:color="auto" w:sz="4" w:space="0"/>
                  </w:tcBorders>
                  <w:vAlign w:val="center"/>
                </w:tcPr>
                <w:p w14:paraId="330D343A">
                  <w:pPr>
                    <w:pStyle w:val="30"/>
                    <w:rPr>
                      <w:color w:val="auto"/>
                      <w:highlight w:val="none"/>
                    </w:rPr>
                  </w:pPr>
                  <w:r>
                    <w:rPr>
                      <w:color w:val="auto"/>
                      <w:highlight w:val="none"/>
                    </w:rPr>
                    <w:t>方位</w:t>
                  </w:r>
                </w:p>
              </w:tc>
              <w:tc>
                <w:tcPr>
                  <w:tcW w:w="1038" w:type="dxa"/>
                  <w:tcBorders>
                    <w:top w:val="single" w:color="auto" w:sz="4" w:space="0"/>
                    <w:left w:val="single" w:color="auto" w:sz="4" w:space="0"/>
                    <w:bottom w:val="single" w:color="auto" w:sz="4" w:space="0"/>
                    <w:right w:val="single" w:color="auto" w:sz="4" w:space="0"/>
                  </w:tcBorders>
                  <w:vAlign w:val="center"/>
                </w:tcPr>
                <w:p w14:paraId="2152C3B4">
                  <w:pPr>
                    <w:pStyle w:val="30"/>
                    <w:rPr>
                      <w:color w:val="auto"/>
                      <w:highlight w:val="none"/>
                    </w:rPr>
                  </w:pPr>
                  <w:r>
                    <w:rPr>
                      <w:color w:val="auto"/>
                      <w:highlight w:val="none"/>
                    </w:rPr>
                    <w:t>距离（m）</w:t>
                  </w:r>
                </w:p>
              </w:tc>
              <w:tc>
                <w:tcPr>
                  <w:tcW w:w="1147" w:type="dxa"/>
                  <w:tcBorders>
                    <w:top w:val="single" w:color="auto" w:sz="4" w:space="0"/>
                    <w:left w:val="single" w:color="auto" w:sz="4" w:space="0"/>
                    <w:bottom w:val="single" w:color="auto" w:sz="4" w:space="0"/>
                    <w:right w:val="single" w:color="auto" w:sz="4" w:space="0"/>
                  </w:tcBorders>
                  <w:vAlign w:val="center"/>
                </w:tcPr>
                <w:p w14:paraId="48D1E75B">
                  <w:pPr>
                    <w:pStyle w:val="30"/>
                    <w:rPr>
                      <w:color w:val="auto"/>
                      <w:highlight w:val="none"/>
                    </w:rPr>
                  </w:pPr>
                  <w:r>
                    <w:rPr>
                      <w:color w:val="auto"/>
                      <w:highlight w:val="none"/>
                    </w:rPr>
                    <w:t>规模</w:t>
                  </w:r>
                </w:p>
              </w:tc>
              <w:tc>
                <w:tcPr>
                  <w:tcW w:w="1080" w:type="dxa"/>
                  <w:tcBorders>
                    <w:top w:val="single" w:color="auto" w:sz="4" w:space="0"/>
                    <w:left w:val="single" w:color="auto" w:sz="4" w:space="0"/>
                    <w:bottom w:val="single" w:color="auto" w:sz="4" w:space="0"/>
                    <w:right w:val="single" w:color="auto" w:sz="4" w:space="0"/>
                  </w:tcBorders>
                  <w:vAlign w:val="center"/>
                </w:tcPr>
                <w:p w14:paraId="33E15039">
                  <w:pPr>
                    <w:pStyle w:val="30"/>
                    <w:rPr>
                      <w:rFonts w:hint="eastAsia" w:eastAsia="宋体"/>
                      <w:color w:val="auto"/>
                      <w:highlight w:val="none"/>
                      <w:lang w:eastAsia="zh-CN"/>
                    </w:rPr>
                  </w:pPr>
                  <w:r>
                    <w:rPr>
                      <w:rFonts w:hint="eastAsia"/>
                      <w:color w:val="auto"/>
                      <w:highlight w:val="none"/>
                      <w:lang w:eastAsia="zh-CN"/>
                    </w:rPr>
                    <w:t>保护类型</w:t>
                  </w:r>
                </w:p>
              </w:tc>
              <w:tc>
                <w:tcPr>
                  <w:tcW w:w="1874" w:type="dxa"/>
                  <w:tcBorders>
                    <w:top w:val="single" w:color="auto" w:sz="4" w:space="0"/>
                    <w:left w:val="single" w:color="auto" w:sz="4" w:space="0"/>
                    <w:bottom w:val="single" w:color="auto" w:sz="4" w:space="0"/>
                    <w:right w:val="single" w:color="auto" w:sz="4" w:space="0"/>
                  </w:tcBorders>
                  <w:vAlign w:val="center"/>
                </w:tcPr>
                <w:p w14:paraId="270E7499">
                  <w:pPr>
                    <w:pStyle w:val="30"/>
                    <w:rPr>
                      <w:color w:val="auto"/>
                      <w:highlight w:val="none"/>
                    </w:rPr>
                  </w:pPr>
                  <w:r>
                    <w:rPr>
                      <w:color w:val="auto"/>
                      <w:highlight w:val="none"/>
                    </w:rPr>
                    <w:t>环境功能</w:t>
                  </w:r>
                </w:p>
              </w:tc>
            </w:tr>
            <w:tr w14:paraId="1831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top w:val="single" w:color="auto" w:sz="4" w:space="0"/>
                    <w:left w:val="single" w:color="auto" w:sz="4" w:space="0"/>
                    <w:right w:val="single" w:color="auto" w:sz="4" w:space="0"/>
                  </w:tcBorders>
                  <w:vAlign w:val="center"/>
                </w:tcPr>
                <w:p w14:paraId="4F200E63">
                  <w:pPr>
                    <w:pStyle w:val="30"/>
                    <w:rPr>
                      <w:color w:val="auto"/>
                      <w:highlight w:val="none"/>
                    </w:rPr>
                  </w:pPr>
                  <w:r>
                    <w:rPr>
                      <w:color w:val="auto"/>
                      <w:highlight w:val="none"/>
                    </w:rPr>
                    <w:t>地表水</w:t>
                  </w:r>
                </w:p>
              </w:tc>
              <w:tc>
                <w:tcPr>
                  <w:tcW w:w="1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B27A70">
                  <w:pPr>
                    <w:pStyle w:val="30"/>
                    <w:rPr>
                      <w:color w:val="auto"/>
                      <w:highlight w:val="none"/>
                    </w:rPr>
                  </w:pPr>
                  <w:r>
                    <w:rPr>
                      <w:color w:val="auto"/>
                      <w:highlight w:val="none"/>
                    </w:rPr>
                    <w:t>淮河</w:t>
                  </w:r>
                </w:p>
              </w:tc>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14:paraId="3609DF4D">
                  <w:pPr>
                    <w:pStyle w:val="30"/>
                    <w:rPr>
                      <w:color w:val="auto"/>
                      <w:highlight w:val="none"/>
                    </w:rPr>
                  </w:pPr>
                  <w:r>
                    <w:rPr>
                      <w:rFonts w:hint="eastAsia"/>
                      <w:color w:val="auto"/>
                      <w:highlight w:val="none"/>
                    </w:rPr>
                    <w:t>N</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14:paraId="017CA585">
                  <w:pPr>
                    <w:pStyle w:val="30"/>
                    <w:rPr>
                      <w:rFonts w:hint="default" w:eastAsia="宋体"/>
                      <w:color w:val="auto"/>
                      <w:highlight w:val="none"/>
                      <w:lang w:val="en-US" w:eastAsia="zh-CN"/>
                    </w:rPr>
                  </w:pPr>
                  <w:r>
                    <w:rPr>
                      <w:rFonts w:hint="eastAsia"/>
                      <w:color w:val="auto"/>
                      <w:highlight w:val="none"/>
                      <w:lang w:val="en-US" w:eastAsia="zh-CN"/>
                    </w:rPr>
                    <w:t>3160</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14:paraId="23A5C870">
                  <w:pPr>
                    <w:pStyle w:val="30"/>
                    <w:rPr>
                      <w:color w:val="auto"/>
                      <w:highlight w:val="none"/>
                    </w:rPr>
                  </w:pPr>
                  <w:r>
                    <w:rPr>
                      <w:rFonts w:hint="eastAsia"/>
                      <w:color w:val="auto"/>
                      <w:highlight w:val="none"/>
                    </w:rPr>
                    <w:t>大型河流</w:t>
                  </w:r>
                </w:p>
              </w:tc>
              <w:tc>
                <w:tcPr>
                  <w:tcW w:w="1080" w:type="dxa"/>
                  <w:tcBorders>
                    <w:top w:val="single" w:color="auto" w:sz="4" w:space="0"/>
                    <w:left w:val="single" w:color="auto" w:sz="4" w:space="0"/>
                    <w:right w:val="single" w:color="auto" w:sz="4" w:space="0"/>
                  </w:tcBorders>
                  <w:vAlign w:val="center"/>
                </w:tcPr>
                <w:p w14:paraId="698DF1AE">
                  <w:pPr>
                    <w:pStyle w:val="30"/>
                    <w:rPr>
                      <w:rFonts w:hint="eastAsia" w:eastAsia="宋体"/>
                      <w:color w:val="auto"/>
                      <w:highlight w:val="none"/>
                      <w:lang w:eastAsia="zh-CN"/>
                    </w:rPr>
                  </w:pPr>
                  <w:r>
                    <w:rPr>
                      <w:rFonts w:hint="eastAsia"/>
                      <w:color w:val="auto"/>
                      <w:highlight w:val="none"/>
                      <w:lang w:eastAsia="zh-CN"/>
                    </w:rPr>
                    <w:t>河流</w:t>
                  </w:r>
                </w:p>
              </w:tc>
              <w:tc>
                <w:tcPr>
                  <w:tcW w:w="1874" w:type="dxa"/>
                  <w:tcBorders>
                    <w:top w:val="single" w:color="auto" w:sz="4" w:space="0"/>
                    <w:left w:val="single" w:color="auto" w:sz="4" w:space="0"/>
                    <w:right w:val="single" w:color="auto" w:sz="4" w:space="0"/>
                  </w:tcBorders>
                  <w:vAlign w:val="center"/>
                </w:tcPr>
                <w:p w14:paraId="57BA2ADE">
                  <w:pPr>
                    <w:pStyle w:val="30"/>
                    <w:rPr>
                      <w:color w:val="auto"/>
                      <w:highlight w:val="none"/>
                    </w:rPr>
                  </w:pPr>
                  <w:r>
                    <w:rPr>
                      <w:color w:val="auto"/>
                      <w:highlight w:val="none"/>
                    </w:rPr>
                    <w:t>《地表水环境质量标准》</w:t>
                  </w:r>
                  <w:r>
                    <w:rPr>
                      <w:rFonts w:hint="eastAsia"/>
                      <w:color w:val="auto"/>
                      <w:highlight w:val="none"/>
                    </w:rPr>
                    <w:t>（</w:t>
                  </w:r>
                  <w:r>
                    <w:rPr>
                      <w:color w:val="auto"/>
                      <w:highlight w:val="none"/>
                    </w:rPr>
                    <w:t>GB3838-2002</w:t>
                  </w:r>
                  <w:r>
                    <w:rPr>
                      <w:rFonts w:hint="eastAsia"/>
                      <w:color w:val="auto"/>
                      <w:highlight w:val="none"/>
                    </w:rPr>
                    <w:t>）Ⅲ</w:t>
                  </w:r>
                  <w:r>
                    <w:rPr>
                      <w:color w:val="auto"/>
                      <w:highlight w:val="none"/>
                    </w:rPr>
                    <w:t>类标准</w:t>
                  </w:r>
                </w:p>
              </w:tc>
            </w:tr>
            <w:tr w14:paraId="789C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1" w:type="dxa"/>
                  <w:vMerge w:val="restart"/>
                  <w:tcBorders>
                    <w:top w:val="single" w:color="auto" w:sz="4" w:space="0"/>
                    <w:left w:val="single" w:color="auto" w:sz="4" w:space="0"/>
                    <w:right w:val="single" w:color="auto" w:sz="4" w:space="0"/>
                  </w:tcBorders>
                  <w:vAlign w:val="center"/>
                </w:tcPr>
                <w:p w14:paraId="0E1DD6E3">
                  <w:pPr>
                    <w:pStyle w:val="30"/>
                    <w:rPr>
                      <w:color w:val="auto"/>
                      <w:highlight w:val="none"/>
                    </w:rPr>
                  </w:pPr>
                  <w:r>
                    <w:rPr>
                      <w:rFonts w:hint="eastAsia"/>
                      <w:color w:val="auto"/>
                      <w:highlight w:val="none"/>
                    </w:rPr>
                    <w:t>大气环境保护目标</w:t>
                  </w:r>
                </w:p>
              </w:tc>
              <w:tc>
                <w:tcPr>
                  <w:tcW w:w="633" w:type="dxa"/>
                  <w:tcBorders>
                    <w:top w:val="single" w:color="auto" w:sz="4" w:space="0"/>
                    <w:left w:val="single" w:color="auto" w:sz="4" w:space="0"/>
                    <w:bottom w:val="single" w:color="auto" w:sz="4" w:space="0"/>
                    <w:right w:val="single" w:color="auto" w:sz="4" w:space="0"/>
                  </w:tcBorders>
                  <w:vAlign w:val="center"/>
                </w:tcPr>
                <w:p w14:paraId="0925DB8D">
                  <w:pPr>
                    <w:pStyle w:val="30"/>
                    <w:rPr>
                      <w:color w:val="auto"/>
                      <w:highlight w:val="none"/>
                    </w:rPr>
                  </w:pPr>
                  <w:r>
                    <w:rPr>
                      <w:rFonts w:hint="eastAsia"/>
                      <w:color w:val="auto"/>
                      <w:highlight w:val="none"/>
                    </w:rPr>
                    <w:t>1</w:t>
                  </w:r>
                </w:p>
              </w:tc>
              <w:tc>
                <w:tcPr>
                  <w:tcW w:w="775" w:type="dxa"/>
                  <w:tcBorders>
                    <w:top w:val="single" w:color="auto" w:sz="4" w:space="0"/>
                    <w:left w:val="single" w:color="auto" w:sz="4" w:space="0"/>
                    <w:bottom w:val="single" w:color="auto" w:sz="4" w:space="0"/>
                    <w:right w:val="single" w:color="auto" w:sz="4" w:space="0"/>
                  </w:tcBorders>
                  <w:vAlign w:val="center"/>
                </w:tcPr>
                <w:p w14:paraId="366CA7E4">
                  <w:pPr>
                    <w:pStyle w:val="30"/>
                    <w:rPr>
                      <w:rFonts w:hint="eastAsia" w:eastAsia="宋体"/>
                      <w:color w:val="auto"/>
                      <w:highlight w:val="none"/>
                      <w:lang w:eastAsia="zh-CN"/>
                    </w:rPr>
                  </w:pPr>
                  <w:r>
                    <w:rPr>
                      <w:rFonts w:hint="eastAsia"/>
                      <w:color w:val="auto"/>
                      <w:highlight w:val="none"/>
                      <w:lang w:eastAsia="zh-CN"/>
                    </w:rPr>
                    <w:t>王巷村</w:t>
                  </w:r>
                </w:p>
              </w:tc>
              <w:tc>
                <w:tcPr>
                  <w:tcW w:w="663" w:type="dxa"/>
                  <w:tcBorders>
                    <w:top w:val="single" w:color="auto" w:sz="4" w:space="0"/>
                    <w:left w:val="single" w:color="auto" w:sz="4" w:space="0"/>
                    <w:right w:val="single" w:color="auto" w:sz="4" w:space="0"/>
                  </w:tcBorders>
                  <w:vAlign w:val="center"/>
                </w:tcPr>
                <w:p w14:paraId="3DB4F8E7">
                  <w:pPr>
                    <w:pStyle w:val="30"/>
                    <w:rPr>
                      <w:rFonts w:hint="eastAsia" w:eastAsia="宋体"/>
                      <w:color w:val="auto"/>
                      <w:highlight w:val="none"/>
                      <w:lang w:eastAsia="zh-CN"/>
                    </w:rPr>
                  </w:pPr>
                  <w:r>
                    <w:rPr>
                      <w:rFonts w:hint="eastAsia"/>
                      <w:color w:val="auto"/>
                      <w:highlight w:val="none"/>
                      <w:lang w:val="en-US" w:eastAsia="zh-CN"/>
                    </w:rPr>
                    <w:t>N</w:t>
                  </w:r>
                </w:p>
              </w:tc>
              <w:tc>
                <w:tcPr>
                  <w:tcW w:w="1038" w:type="dxa"/>
                  <w:tcBorders>
                    <w:top w:val="single" w:color="auto" w:sz="4" w:space="0"/>
                    <w:left w:val="single" w:color="auto" w:sz="4" w:space="0"/>
                    <w:right w:val="single" w:color="auto" w:sz="4" w:space="0"/>
                  </w:tcBorders>
                  <w:vAlign w:val="center"/>
                </w:tcPr>
                <w:p w14:paraId="65496C24">
                  <w:pPr>
                    <w:pStyle w:val="30"/>
                    <w:rPr>
                      <w:rFonts w:hint="default" w:eastAsia="宋体"/>
                      <w:color w:val="auto"/>
                      <w:highlight w:val="none"/>
                      <w:lang w:val="en-US" w:eastAsia="zh-CN"/>
                    </w:rPr>
                  </w:pPr>
                  <w:r>
                    <w:rPr>
                      <w:rFonts w:hint="eastAsia"/>
                      <w:color w:val="auto"/>
                      <w:highlight w:val="none"/>
                      <w:lang w:val="en-US" w:eastAsia="zh-CN"/>
                    </w:rPr>
                    <w:t>72</w:t>
                  </w:r>
                </w:p>
              </w:tc>
              <w:tc>
                <w:tcPr>
                  <w:tcW w:w="1147" w:type="dxa"/>
                  <w:tcBorders>
                    <w:top w:val="single" w:color="auto" w:sz="4" w:space="0"/>
                    <w:left w:val="single" w:color="auto" w:sz="4" w:space="0"/>
                    <w:right w:val="single" w:color="auto" w:sz="4" w:space="0"/>
                  </w:tcBorders>
                  <w:vAlign w:val="center"/>
                </w:tcPr>
                <w:p w14:paraId="74E908CF">
                  <w:pPr>
                    <w:pStyle w:val="30"/>
                    <w:rPr>
                      <w:rFonts w:hint="default" w:eastAsia="宋体"/>
                      <w:color w:val="auto"/>
                      <w:highlight w:val="none"/>
                      <w:lang w:val="en-US" w:eastAsia="zh-CN"/>
                    </w:rPr>
                  </w:pPr>
                  <w:r>
                    <w:rPr>
                      <w:rFonts w:hint="eastAsia"/>
                      <w:color w:val="auto"/>
                      <w:highlight w:val="none"/>
                      <w:lang w:eastAsia="zh-CN"/>
                    </w:rPr>
                    <w:t>约</w:t>
                  </w:r>
                  <w:r>
                    <w:rPr>
                      <w:rFonts w:hint="eastAsia"/>
                      <w:color w:val="auto"/>
                      <w:highlight w:val="none"/>
                      <w:lang w:val="en-US" w:eastAsia="zh-CN"/>
                    </w:rPr>
                    <w:t>26人</w:t>
                  </w:r>
                </w:p>
              </w:tc>
              <w:tc>
                <w:tcPr>
                  <w:tcW w:w="1080" w:type="dxa"/>
                  <w:tcBorders>
                    <w:top w:val="single" w:color="auto" w:sz="4" w:space="0"/>
                    <w:left w:val="single" w:color="auto" w:sz="4" w:space="0"/>
                    <w:right w:val="single" w:color="auto" w:sz="4" w:space="0"/>
                  </w:tcBorders>
                  <w:vAlign w:val="center"/>
                </w:tcPr>
                <w:p w14:paraId="167F6260">
                  <w:pPr>
                    <w:pStyle w:val="30"/>
                    <w:rPr>
                      <w:color w:val="auto"/>
                      <w:highlight w:val="none"/>
                    </w:rPr>
                  </w:pPr>
                  <w:r>
                    <w:rPr>
                      <w:rFonts w:hint="eastAsia"/>
                      <w:color w:val="auto"/>
                      <w:highlight w:val="none"/>
                      <w:lang w:eastAsia="zh-CN"/>
                    </w:rPr>
                    <w:t>居民</w:t>
                  </w:r>
                </w:p>
              </w:tc>
              <w:tc>
                <w:tcPr>
                  <w:tcW w:w="1874" w:type="dxa"/>
                  <w:vMerge w:val="restart"/>
                  <w:tcBorders>
                    <w:top w:val="single" w:color="auto" w:sz="4" w:space="0"/>
                    <w:left w:val="single" w:color="auto" w:sz="4" w:space="0"/>
                    <w:right w:val="single" w:color="auto" w:sz="4" w:space="0"/>
                  </w:tcBorders>
                  <w:vAlign w:val="center"/>
                </w:tcPr>
                <w:p w14:paraId="22B233D7">
                  <w:pPr>
                    <w:pStyle w:val="30"/>
                    <w:rPr>
                      <w:color w:val="auto"/>
                      <w:highlight w:val="none"/>
                    </w:rPr>
                  </w:pPr>
                  <w:r>
                    <w:rPr>
                      <w:color w:val="auto"/>
                      <w:highlight w:val="none"/>
                    </w:rPr>
                    <w:t>《环境空气质量标准》</w:t>
                  </w:r>
                </w:p>
                <w:p w14:paraId="5DFDB092">
                  <w:pPr>
                    <w:pStyle w:val="30"/>
                    <w:rPr>
                      <w:color w:val="auto"/>
                      <w:highlight w:val="none"/>
                    </w:rPr>
                  </w:pPr>
                  <w:r>
                    <w:rPr>
                      <w:color w:val="auto"/>
                      <w:highlight w:val="none"/>
                    </w:rPr>
                    <w:t>（GB3095-2012）二级标准</w:t>
                  </w:r>
                </w:p>
              </w:tc>
            </w:tr>
            <w:tr w14:paraId="65AC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vMerge w:val="continue"/>
                  <w:tcBorders>
                    <w:left w:val="single" w:color="auto" w:sz="4" w:space="0"/>
                    <w:right w:val="single" w:color="auto" w:sz="4" w:space="0"/>
                  </w:tcBorders>
                  <w:vAlign w:val="center"/>
                </w:tcPr>
                <w:p w14:paraId="56D4269D">
                  <w:pPr>
                    <w:pStyle w:val="30"/>
                    <w:rPr>
                      <w:color w:val="auto"/>
                      <w:highlight w:val="none"/>
                    </w:rPr>
                  </w:pPr>
                </w:p>
              </w:tc>
              <w:tc>
                <w:tcPr>
                  <w:tcW w:w="633" w:type="dxa"/>
                  <w:tcBorders>
                    <w:top w:val="single" w:color="auto" w:sz="4" w:space="0"/>
                    <w:left w:val="single" w:color="auto" w:sz="4" w:space="0"/>
                    <w:bottom w:val="single" w:color="auto" w:sz="4" w:space="0"/>
                    <w:right w:val="single" w:color="auto" w:sz="4" w:space="0"/>
                  </w:tcBorders>
                  <w:vAlign w:val="center"/>
                </w:tcPr>
                <w:p w14:paraId="12AA52DC">
                  <w:pPr>
                    <w:pStyle w:val="30"/>
                    <w:rPr>
                      <w:color w:val="auto"/>
                      <w:highlight w:val="none"/>
                    </w:rPr>
                  </w:pPr>
                  <w:r>
                    <w:rPr>
                      <w:rFonts w:hint="eastAsia"/>
                      <w:color w:val="auto"/>
                      <w:highlight w:val="none"/>
                    </w:rPr>
                    <w:t>2</w:t>
                  </w:r>
                </w:p>
              </w:tc>
              <w:tc>
                <w:tcPr>
                  <w:tcW w:w="775" w:type="dxa"/>
                  <w:tcBorders>
                    <w:top w:val="single" w:color="auto" w:sz="4" w:space="0"/>
                    <w:left w:val="single" w:color="auto" w:sz="4" w:space="0"/>
                    <w:bottom w:val="single" w:color="auto" w:sz="4" w:space="0"/>
                    <w:right w:val="single" w:color="auto" w:sz="4" w:space="0"/>
                  </w:tcBorders>
                  <w:vAlign w:val="center"/>
                </w:tcPr>
                <w:p w14:paraId="0CBDD502">
                  <w:pPr>
                    <w:pStyle w:val="30"/>
                    <w:rPr>
                      <w:rFonts w:hint="eastAsia" w:eastAsia="宋体"/>
                      <w:color w:val="auto"/>
                      <w:highlight w:val="none"/>
                      <w:lang w:eastAsia="zh-CN"/>
                    </w:rPr>
                  </w:pPr>
                  <w:r>
                    <w:rPr>
                      <w:rFonts w:hint="eastAsia"/>
                      <w:color w:val="auto"/>
                      <w:highlight w:val="none"/>
                      <w:lang w:eastAsia="zh-CN"/>
                    </w:rPr>
                    <w:t>高巷村</w:t>
                  </w:r>
                </w:p>
              </w:tc>
              <w:tc>
                <w:tcPr>
                  <w:tcW w:w="663" w:type="dxa"/>
                  <w:tcBorders>
                    <w:top w:val="single" w:color="auto" w:sz="4" w:space="0"/>
                    <w:left w:val="single" w:color="auto" w:sz="4" w:space="0"/>
                    <w:right w:val="single" w:color="auto" w:sz="4" w:space="0"/>
                  </w:tcBorders>
                  <w:vAlign w:val="center"/>
                </w:tcPr>
                <w:p w14:paraId="62489ECC">
                  <w:pPr>
                    <w:pStyle w:val="30"/>
                    <w:rPr>
                      <w:rFonts w:hint="eastAsia" w:eastAsia="宋体"/>
                      <w:color w:val="auto"/>
                      <w:highlight w:val="none"/>
                      <w:lang w:eastAsia="zh-CN"/>
                    </w:rPr>
                  </w:pPr>
                  <w:r>
                    <w:rPr>
                      <w:rFonts w:hint="eastAsia"/>
                      <w:color w:val="auto"/>
                      <w:highlight w:val="none"/>
                      <w:lang w:val="en-US" w:eastAsia="zh-CN"/>
                    </w:rPr>
                    <w:t>N</w:t>
                  </w:r>
                </w:p>
              </w:tc>
              <w:tc>
                <w:tcPr>
                  <w:tcW w:w="1038" w:type="dxa"/>
                  <w:tcBorders>
                    <w:top w:val="single" w:color="auto" w:sz="4" w:space="0"/>
                    <w:left w:val="single" w:color="auto" w:sz="4" w:space="0"/>
                    <w:right w:val="single" w:color="auto" w:sz="4" w:space="0"/>
                  </w:tcBorders>
                  <w:vAlign w:val="center"/>
                </w:tcPr>
                <w:p w14:paraId="207A35D9">
                  <w:pPr>
                    <w:pStyle w:val="30"/>
                    <w:rPr>
                      <w:rFonts w:hint="default" w:eastAsia="宋体"/>
                      <w:color w:val="auto"/>
                      <w:highlight w:val="none"/>
                      <w:lang w:val="en-US" w:eastAsia="zh-CN"/>
                    </w:rPr>
                  </w:pPr>
                  <w:r>
                    <w:rPr>
                      <w:rFonts w:hint="eastAsia"/>
                      <w:color w:val="auto"/>
                      <w:highlight w:val="none"/>
                      <w:lang w:val="en-US" w:eastAsia="zh-CN"/>
                    </w:rPr>
                    <w:t>68</w:t>
                  </w:r>
                </w:p>
              </w:tc>
              <w:tc>
                <w:tcPr>
                  <w:tcW w:w="1147" w:type="dxa"/>
                  <w:tcBorders>
                    <w:top w:val="single" w:color="auto" w:sz="4" w:space="0"/>
                    <w:left w:val="single" w:color="auto" w:sz="4" w:space="0"/>
                    <w:right w:val="single" w:color="auto" w:sz="4" w:space="0"/>
                  </w:tcBorders>
                  <w:vAlign w:val="center"/>
                </w:tcPr>
                <w:p w14:paraId="04C3B2D6">
                  <w:pPr>
                    <w:pStyle w:val="30"/>
                    <w:rPr>
                      <w:color w:val="auto"/>
                      <w:highlight w:val="none"/>
                    </w:rPr>
                  </w:pPr>
                  <w:r>
                    <w:rPr>
                      <w:color w:val="auto"/>
                      <w:highlight w:val="none"/>
                    </w:rPr>
                    <w:t>约80人</w:t>
                  </w:r>
                </w:p>
              </w:tc>
              <w:tc>
                <w:tcPr>
                  <w:tcW w:w="1080" w:type="dxa"/>
                  <w:tcBorders>
                    <w:left w:val="single" w:color="auto" w:sz="4" w:space="0"/>
                    <w:right w:val="single" w:color="auto" w:sz="4" w:space="0"/>
                  </w:tcBorders>
                  <w:vAlign w:val="center"/>
                </w:tcPr>
                <w:p w14:paraId="42ED9A00">
                  <w:pPr>
                    <w:pStyle w:val="30"/>
                    <w:rPr>
                      <w:color w:val="auto"/>
                      <w:highlight w:val="none"/>
                    </w:rPr>
                  </w:pPr>
                  <w:r>
                    <w:rPr>
                      <w:rFonts w:hint="eastAsia"/>
                      <w:color w:val="auto"/>
                      <w:highlight w:val="none"/>
                      <w:lang w:eastAsia="zh-CN"/>
                    </w:rPr>
                    <w:t>居民</w:t>
                  </w:r>
                </w:p>
              </w:tc>
              <w:tc>
                <w:tcPr>
                  <w:tcW w:w="1874" w:type="dxa"/>
                  <w:vMerge w:val="continue"/>
                  <w:tcBorders>
                    <w:left w:val="single" w:color="auto" w:sz="4" w:space="0"/>
                    <w:right w:val="single" w:color="auto" w:sz="4" w:space="0"/>
                  </w:tcBorders>
                  <w:vAlign w:val="center"/>
                </w:tcPr>
                <w:p w14:paraId="77CD95D1">
                  <w:pPr>
                    <w:pStyle w:val="30"/>
                    <w:rPr>
                      <w:color w:val="auto"/>
                      <w:highlight w:val="none"/>
                    </w:rPr>
                  </w:pPr>
                </w:p>
              </w:tc>
            </w:tr>
            <w:tr w14:paraId="74FC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vMerge w:val="continue"/>
                  <w:tcBorders>
                    <w:left w:val="single" w:color="auto" w:sz="4" w:space="0"/>
                    <w:right w:val="single" w:color="auto" w:sz="4" w:space="0"/>
                  </w:tcBorders>
                  <w:vAlign w:val="center"/>
                </w:tcPr>
                <w:p w14:paraId="416D4021">
                  <w:pPr>
                    <w:pStyle w:val="30"/>
                    <w:rPr>
                      <w:color w:val="auto"/>
                      <w:highlight w:val="none"/>
                    </w:rPr>
                  </w:pPr>
                </w:p>
              </w:tc>
              <w:tc>
                <w:tcPr>
                  <w:tcW w:w="633" w:type="dxa"/>
                  <w:tcBorders>
                    <w:top w:val="single" w:color="auto" w:sz="4" w:space="0"/>
                    <w:left w:val="single" w:color="auto" w:sz="4" w:space="0"/>
                    <w:bottom w:val="single" w:color="auto" w:sz="4" w:space="0"/>
                    <w:right w:val="single" w:color="auto" w:sz="4" w:space="0"/>
                  </w:tcBorders>
                  <w:vAlign w:val="center"/>
                </w:tcPr>
                <w:p w14:paraId="3024FEEC">
                  <w:pPr>
                    <w:pStyle w:val="30"/>
                    <w:rPr>
                      <w:rFonts w:hint="eastAsia" w:eastAsia="宋体"/>
                      <w:color w:val="auto"/>
                      <w:highlight w:val="none"/>
                      <w:lang w:val="en-US" w:eastAsia="zh-CN"/>
                    </w:rPr>
                  </w:pPr>
                  <w:r>
                    <w:rPr>
                      <w:rFonts w:hint="eastAsia"/>
                      <w:color w:val="auto"/>
                      <w:highlight w:val="none"/>
                      <w:lang w:val="en-US" w:eastAsia="zh-CN"/>
                    </w:rPr>
                    <w:t>3</w:t>
                  </w:r>
                </w:p>
              </w:tc>
              <w:tc>
                <w:tcPr>
                  <w:tcW w:w="775" w:type="dxa"/>
                  <w:tcBorders>
                    <w:top w:val="single" w:color="auto" w:sz="4" w:space="0"/>
                    <w:left w:val="single" w:color="auto" w:sz="4" w:space="0"/>
                    <w:bottom w:val="single" w:color="auto" w:sz="4" w:space="0"/>
                    <w:right w:val="single" w:color="auto" w:sz="4" w:space="0"/>
                  </w:tcBorders>
                  <w:vAlign w:val="center"/>
                </w:tcPr>
                <w:p w14:paraId="3D57F8C4">
                  <w:pPr>
                    <w:pStyle w:val="30"/>
                    <w:rPr>
                      <w:rFonts w:hint="eastAsia"/>
                      <w:color w:val="auto"/>
                      <w:highlight w:val="none"/>
                      <w:lang w:eastAsia="zh-CN"/>
                    </w:rPr>
                  </w:pPr>
                  <w:r>
                    <w:rPr>
                      <w:rFonts w:hint="eastAsia"/>
                      <w:color w:val="auto"/>
                      <w:highlight w:val="none"/>
                      <w:lang w:eastAsia="zh-CN"/>
                    </w:rPr>
                    <w:t>王巷村（北）</w:t>
                  </w:r>
                </w:p>
              </w:tc>
              <w:tc>
                <w:tcPr>
                  <w:tcW w:w="663" w:type="dxa"/>
                  <w:tcBorders>
                    <w:top w:val="single" w:color="auto" w:sz="4" w:space="0"/>
                    <w:left w:val="single" w:color="auto" w:sz="4" w:space="0"/>
                    <w:right w:val="single" w:color="auto" w:sz="4" w:space="0"/>
                  </w:tcBorders>
                  <w:vAlign w:val="center"/>
                </w:tcPr>
                <w:p w14:paraId="2DEDFBD4">
                  <w:pPr>
                    <w:pStyle w:val="30"/>
                    <w:rPr>
                      <w:rFonts w:hint="eastAsia"/>
                      <w:color w:val="auto"/>
                      <w:highlight w:val="none"/>
                      <w:lang w:val="en-US" w:eastAsia="zh-CN"/>
                    </w:rPr>
                  </w:pPr>
                  <w:r>
                    <w:rPr>
                      <w:rFonts w:hint="eastAsia"/>
                      <w:color w:val="auto"/>
                      <w:highlight w:val="none"/>
                      <w:lang w:val="en-US" w:eastAsia="zh-CN"/>
                    </w:rPr>
                    <w:t>N</w:t>
                  </w:r>
                </w:p>
              </w:tc>
              <w:tc>
                <w:tcPr>
                  <w:tcW w:w="1038" w:type="dxa"/>
                  <w:tcBorders>
                    <w:top w:val="single" w:color="auto" w:sz="4" w:space="0"/>
                    <w:left w:val="single" w:color="auto" w:sz="4" w:space="0"/>
                    <w:right w:val="single" w:color="auto" w:sz="4" w:space="0"/>
                  </w:tcBorders>
                  <w:vAlign w:val="center"/>
                </w:tcPr>
                <w:p w14:paraId="20AF1365">
                  <w:pPr>
                    <w:pStyle w:val="30"/>
                    <w:rPr>
                      <w:rFonts w:hint="default"/>
                      <w:color w:val="auto"/>
                      <w:highlight w:val="none"/>
                      <w:lang w:val="en-US" w:eastAsia="zh-CN"/>
                    </w:rPr>
                  </w:pPr>
                  <w:r>
                    <w:rPr>
                      <w:rFonts w:hint="eastAsia"/>
                      <w:color w:val="auto"/>
                      <w:highlight w:val="none"/>
                      <w:lang w:val="en-US" w:eastAsia="zh-CN"/>
                    </w:rPr>
                    <w:t>443</w:t>
                  </w:r>
                </w:p>
              </w:tc>
              <w:tc>
                <w:tcPr>
                  <w:tcW w:w="1147" w:type="dxa"/>
                  <w:tcBorders>
                    <w:top w:val="single" w:color="auto" w:sz="4" w:space="0"/>
                    <w:left w:val="single" w:color="auto" w:sz="4" w:space="0"/>
                    <w:right w:val="single" w:color="auto" w:sz="4" w:space="0"/>
                  </w:tcBorders>
                  <w:vAlign w:val="center"/>
                </w:tcPr>
                <w:p w14:paraId="0A267783">
                  <w:pPr>
                    <w:pStyle w:val="30"/>
                    <w:rPr>
                      <w:color w:val="auto"/>
                      <w:highlight w:val="none"/>
                    </w:rPr>
                  </w:pPr>
                  <w:r>
                    <w:rPr>
                      <w:color w:val="auto"/>
                      <w:highlight w:val="none"/>
                    </w:rPr>
                    <w:t>约500人</w:t>
                  </w:r>
                </w:p>
              </w:tc>
              <w:tc>
                <w:tcPr>
                  <w:tcW w:w="1080" w:type="dxa"/>
                  <w:tcBorders>
                    <w:left w:val="single" w:color="auto" w:sz="4" w:space="0"/>
                    <w:right w:val="single" w:color="auto" w:sz="4" w:space="0"/>
                  </w:tcBorders>
                  <w:vAlign w:val="center"/>
                </w:tcPr>
                <w:p w14:paraId="00D5A25D">
                  <w:pPr>
                    <w:pStyle w:val="30"/>
                    <w:rPr>
                      <w:rFonts w:hint="eastAsia"/>
                      <w:color w:val="auto"/>
                      <w:highlight w:val="none"/>
                      <w:lang w:eastAsia="zh-CN"/>
                    </w:rPr>
                  </w:pPr>
                  <w:r>
                    <w:rPr>
                      <w:rFonts w:hint="eastAsia"/>
                      <w:color w:val="auto"/>
                      <w:highlight w:val="none"/>
                      <w:lang w:eastAsia="zh-CN"/>
                    </w:rPr>
                    <w:t>居民</w:t>
                  </w:r>
                </w:p>
              </w:tc>
              <w:tc>
                <w:tcPr>
                  <w:tcW w:w="1874" w:type="dxa"/>
                  <w:vMerge w:val="continue"/>
                  <w:tcBorders>
                    <w:left w:val="single" w:color="auto" w:sz="4" w:space="0"/>
                    <w:right w:val="single" w:color="auto" w:sz="4" w:space="0"/>
                  </w:tcBorders>
                  <w:vAlign w:val="center"/>
                </w:tcPr>
                <w:p w14:paraId="41FFF5A4">
                  <w:pPr>
                    <w:pStyle w:val="30"/>
                    <w:rPr>
                      <w:color w:val="auto"/>
                      <w:highlight w:val="none"/>
                    </w:rPr>
                  </w:pPr>
                </w:p>
              </w:tc>
            </w:tr>
            <w:tr w14:paraId="6B85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vMerge w:val="continue"/>
                  <w:tcBorders>
                    <w:left w:val="single" w:color="auto" w:sz="4" w:space="0"/>
                    <w:right w:val="single" w:color="auto" w:sz="4" w:space="0"/>
                  </w:tcBorders>
                  <w:vAlign w:val="center"/>
                </w:tcPr>
                <w:p w14:paraId="1F5C7D77">
                  <w:pPr>
                    <w:pStyle w:val="30"/>
                    <w:rPr>
                      <w:color w:val="auto"/>
                      <w:highlight w:val="none"/>
                    </w:rPr>
                  </w:pPr>
                </w:p>
              </w:tc>
              <w:tc>
                <w:tcPr>
                  <w:tcW w:w="633" w:type="dxa"/>
                  <w:tcBorders>
                    <w:top w:val="single" w:color="auto" w:sz="4" w:space="0"/>
                    <w:left w:val="single" w:color="auto" w:sz="4" w:space="0"/>
                    <w:bottom w:val="single" w:color="auto" w:sz="4" w:space="0"/>
                    <w:right w:val="single" w:color="auto" w:sz="4" w:space="0"/>
                  </w:tcBorders>
                  <w:vAlign w:val="center"/>
                </w:tcPr>
                <w:p w14:paraId="0B893AB5">
                  <w:pPr>
                    <w:pStyle w:val="30"/>
                    <w:rPr>
                      <w:rFonts w:hint="eastAsia" w:eastAsia="宋体"/>
                      <w:color w:val="auto"/>
                      <w:highlight w:val="none"/>
                      <w:lang w:eastAsia="zh-CN"/>
                    </w:rPr>
                  </w:pPr>
                  <w:r>
                    <w:rPr>
                      <w:rFonts w:hint="eastAsia"/>
                      <w:color w:val="auto"/>
                      <w:highlight w:val="none"/>
                      <w:lang w:val="en-US" w:eastAsia="zh-CN"/>
                    </w:rPr>
                    <w:t>4</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14:paraId="3320ED25">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下陈村</w:t>
                  </w:r>
                </w:p>
              </w:tc>
              <w:tc>
                <w:tcPr>
                  <w:tcW w:w="663" w:type="dxa"/>
                  <w:tcBorders>
                    <w:top w:val="single" w:color="auto" w:sz="4" w:space="0"/>
                    <w:left w:val="single" w:color="auto" w:sz="4" w:space="0"/>
                    <w:right w:val="single" w:color="auto" w:sz="4" w:space="0"/>
                  </w:tcBorders>
                  <w:shd w:val="clear" w:color="auto" w:fill="auto"/>
                  <w:vAlign w:val="center"/>
                </w:tcPr>
                <w:p w14:paraId="666B9F1E">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E</w:t>
                  </w:r>
                </w:p>
              </w:tc>
              <w:tc>
                <w:tcPr>
                  <w:tcW w:w="1038" w:type="dxa"/>
                  <w:tcBorders>
                    <w:top w:val="single" w:color="auto" w:sz="4" w:space="0"/>
                    <w:left w:val="single" w:color="auto" w:sz="4" w:space="0"/>
                    <w:right w:val="single" w:color="auto" w:sz="4" w:space="0"/>
                  </w:tcBorders>
                  <w:shd w:val="clear" w:color="auto" w:fill="auto"/>
                  <w:vAlign w:val="center"/>
                </w:tcPr>
                <w:p w14:paraId="7AF385A6">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5</w:t>
                  </w:r>
                </w:p>
              </w:tc>
              <w:tc>
                <w:tcPr>
                  <w:tcW w:w="1147" w:type="dxa"/>
                  <w:tcBorders>
                    <w:top w:val="single" w:color="auto" w:sz="4" w:space="0"/>
                    <w:left w:val="single" w:color="auto" w:sz="4" w:space="0"/>
                    <w:right w:val="single" w:color="auto" w:sz="4" w:space="0"/>
                  </w:tcBorders>
                  <w:shd w:val="clear" w:color="auto" w:fill="auto"/>
                  <w:vAlign w:val="center"/>
                </w:tcPr>
                <w:p w14:paraId="1619FC28">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约</w:t>
                  </w:r>
                  <w:r>
                    <w:rPr>
                      <w:rFonts w:hint="eastAsia"/>
                      <w:color w:val="auto"/>
                      <w:highlight w:val="none"/>
                      <w:lang w:val="en-US" w:eastAsia="zh-CN"/>
                    </w:rPr>
                    <w:t>16</w:t>
                  </w:r>
                  <w:r>
                    <w:rPr>
                      <w:color w:val="auto"/>
                      <w:highlight w:val="none"/>
                    </w:rPr>
                    <w:t>00人</w:t>
                  </w:r>
                </w:p>
              </w:tc>
              <w:tc>
                <w:tcPr>
                  <w:tcW w:w="1080" w:type="dxa"/>
                  <w:tcBorders>
                    <w:left w:val="single" w:color="auto" w:sz="4" w:space="0"/>
                    <w:right w:val="single" w:color="auto" w:sz="4" w:space="0"/>
                  </w:tcBorders>
                  <w:shd w:val="clear" w:color="auto" w:fill="auto"/>
                  <w:vAlign w:val="center"/>
                </w:tcPr>
                <w:p w14:paraId="696D3ADC">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居民</w:t>
                  </w:r>
                </w:p>
              </w:tc>
              <w:tc>
                <w:tcPr>
                  <w:tcW w:w="1874" w:type="dxa"/>
                  <w:vMerge w:val="continue"/>
                  <w:tcBorders>
                    <w:left w:val="single" w:color="auto" w:sz="4" w:space="0"/>
                    <w:right w:val="single" w:color="auto" w:sz="4" w:space="0"/>
                  </w:tcBorders>
                  <w:vAlign w:val="center"/>
                </w:tcPr>
                <w:p w14:paraId="5D1763BF">
                  <w:pPr>
                    <w:pStyle w:val="30"/>
                    <w:rPr>
                      <w:color w:val="auto"/>
                      <w:highlight w:val="none"/>
                    </w:rPr>
                  </w:pPr>
                </w:p>
              </w:tc>
            </w:tr>
            <w:tr w14:paraId="7F24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vMerge w:val="continue"/>
                  <w:tcBorders>
                    <w:left w:val="single" w:color="auto" w:sz="4" w:space="0"/>
                    <w:right w:val="single" w:color="auto" w:sz="4" w:space="0"/>
                  </w:tcBorders>
                  <w:vAlign w:val="center"/>
                </w:tcPr>
                <w:p w14:paraId="5E599C63">
                  <w:pPr>
                    <w:pStyle w:val="30"/>
                    <w:rPr>
                      <w:color w:val="auto"/>
                      <w:highlight w:val="none"/>
                    </w:rPr>
                  </w:pPr>
                </w:p>
              </w:tc>
              <w:tc>
                <w:tcPr>
                  <w:tcW w:w="633" w:type="dxa"/>
                  <w:tcBorders>
                    <w:top w:val="single" w:color="auto" w:sz="4" w:space="0"/>
                    <w:left w:val="single" w:color="auto" w:sz="4" w:space="0"/>
                    <w:bottom w:val="single" w:color="auto" w:sz="4" w:space="0"/>
                    <w:right w:val="single" w:color="auto" w:sz="4" w:space="0"/>
                  </w:tcBorders>
                  <w:vAlign w:val="center"/>
                </w:tcPr>
                <w:p w14:paraId="0AD6300E">
                  <w:pPr>
                    <w:pStyle w:val="30"/>
                    <w:rPr>
                      <w:rFonts w:hint="default"/>
                      <w:color w:val="auto"/>
                      <w:highlight w:val="none"/>
                      <w:lang w:val="en-US" w:eastAsia="zh-CN"/>
                    </w:rPr>
                  </w:pPr>
                  <w:r>
                    <w:rPr>
                      <w:rFonts w:hint="eastAsia"/>
                      <w:color w:val="auto"/>
                      <w:highlight w:val="none"/>
                      <w:lang w:val="en-US" w:eastAsia="zh-CN"/>
                    </w:rPr>
                    <w:t>5</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14:paraId="1DB2E6E4">
                  <w:pPr>
                    <w:pStyle w:val="30"/>
                    <w:rPr>
                      <w:rFonts w:hint="eastAsia"/>
                      <w:color w:val="auto"/>
                      <w:highlight w:val="none"/>
                      <w:lang w:eastAsia="zh-CN"/>
                    </w:rPr>
                  </w:pPr>
                  <w:r>
                    <w:rPr>
                      <w:rFonts w:hint="eastAsia"/>
                      <w:color w:val="auto"/>
                      <w:highlight w:val="none"/>
                      <w:lang w:eastAsia="zh-CN"/>
                    </w:rPr>
                    <w:t>陆塘村</w:t>
                  </w:r>
                </w:p>
              </w:tc>
              <w:tc>
                <w:tcPr>
                  <w:tcW w:w="663" w:type="dxa"/>
                  <w:tcBorders>
                    <w:top w:val="single" w:color="auto" w:sz="4" w:space="0"/>
                    <w:left w:val="single" w:color="auto" w:sz="4" w:space="0"/>
                    <w:right w:val="single" w:color="auto" w:sz="4" w:space="0"/>
                  </w:tcBorders>
                  <w:shd w:val="clear" w:color="auto" w:fill="auto"/>
                  <w:vAlign w:val="center"/>
                </w:tcPr>
                <w:p w14:paraId="5E94DCEC">
                  <w:pPr>
                    <w:pStyle w:val="30"/>
                    <w:rPr>
                      <w:rFonts w:hint="default" w:eastAsia="宋体"/>
                      <w:color w:val="auto"/>
                      <w:highlight w:val="none"/>
                      <w:lang w:val="en-US" w:eastAsia="zh-CN"/>
                    </w:rPr>
                  </w:pPr>
                  <w:r>
                    <w:rPr>
                      <w:rFonts w:hint="eastAsia"/>
                      <w:color w:val="auto"/>
                      <w:highlight w:val="none"/>
                      <w:lang w:val="en-US" w:eastAsia="zh-CN"/>
                    </w:rPr>
                    <w:t>NE</w:t>
                  </w:r>
                </w:p>
              </w:tc>
              <w:tc>
                <w:tcPr>
                  <w:tcW w:w="1038" w:type="dxa"/>
                  <w:tcBorders>
                    <w:top w:val="single" w:color="auto" w:sz="4" w:space="0"/>
                    <w:left w:val="single" w:color="auto" w:sz="4" w:space="0"/>
                    <w:right w:val="single" w:color="auto" w:sz="4" w:space="0"/>
                  </w:tcBorders>
                  <w:shd w:val="clear" w:color="auto" w:fill="auto"/>
                  <w:vAlign w:val="center"/>
                </w:tcPr>
                <w:p w14:paraId="1084C765">
                  <w:pPr>
                    <w:pStyle w:val="30"/>
                    <w:rPr>
                      <w:rFonts w:hint="default"/>
                      <w:color w:val="auto"/>
                      <w:highlight w:val="none"/>
                      <w:lang w:val="en-US" w:eastAsia="zh-CN"/>
                    </w:rPr>
                  </w:pPr>
                  <w:r>
                    <w:rPr>
                      <w:rFonts w:hint="eastAsia"/>
                      <w:color w:val="auto"/>
                      <w:highlight w:val="none"/>
                      <w:lang w:val="en-US" w:eastAsia="zh-CN"/>
                    </w:rPr>
                    <w:t>580</w:t>
                  </w:r>
                </w:p>
              </w:tc>
              <w:tc>
                <w:tcPr>
                  <w:tcW w:w="1147" w:type="dxa"/>
                  <w:tcBorders>
                    <w:top w:val="single" w:color="auto" w:sz="4" w:space="0"/>
                    <w:left w:val="single" w:color="auto" w:sz="4" w:space="0"/>
                    <w:right w:val="single" w:color="auto" w:sz="4" w:space="0"/>
                  </w:tcBorders>
                  <w:shd w:val="clear" w:color="auto" w:fill="auto"/>
                  <w:vAlign w:val="center"/>
                </w:tcPr>
                <w:p w14:paraId="0946BE9E">
                  <w:pPr>
                    <w:pStyle w:val="30"/>
                    <w:rPr>
                      <w:color w:val="auto"/>
                      <w:highlight w:val="none"/>
                    </w:rPr>
                  </w:pPr>
                  <w:r>
                    <w:rPr>
                      <w:color w:val="auto"/>
                      <w:highlight w:val="none"/>
                    </w:rPr>
                    <w:t>约</w:t>
                  </w:r>
                  <w:r>
                    <w:rPr>
                      <w:rFonts w:hint="eastAsia"/>
                      <w:color w:val="auto"/>
                      <w:highlight w:val="none"/>
                      <w:lang w:val="en-US" w:eastAsia="zh-CN"/>
                    </w:rPr>
                    <w:t>22</w:t>
                  </w:r>
                  <w:r>
                    <w:rPr>
                      <w:color w:val="auto"/>
                      <w:highlight w:val="none"/>
                    </w:rPr>
                    <w:t>00人</w:t>
                  </w:r>
                </w:p>
              </w:tc>
              <w:tc>
                <w:tcPr>
                  <w:tcW w:w="1080" w:type="dxa"/>
                  <w:tcBorders>
                    <w:left w:val="single" w:color="auto" w:sz="4" w:space="0"/>
                    <w:right w:val="single" w:color="auto" w:sz="4" w:space="0"/>
                  </w:tcBorders>
                  <w:shd w:val="clear" w:color="auto" w:fill="auto"/>
                  <w:vAlign w:val="center"/>
                </w:tcPr>
                <w:p w14:paraId="6FC01904">
                  <w:pPr>
                    <w:pStyle w:val="30"/>
                    <w:rPr>
                      <w:rFonts w:hint="eastAsia"/>
                      <w:color w:val="auto"/>
                      <w:highlight w:val="none"/>
                      <w:lang w:eastAsia="zh-CN"/>
                    </w:rPr>
                  </w:pPr>
                  <w:r>
                    <w:rPr>
                      <w:rFonts w:hint="eastAsia"/>
                      <w:color w:val="auto"/>
                      <w:highlight w:val="none"/>
                      <w:lang w:eastAsia="zh-CN"/>
                    </w:rPr>
                    <w:t>居民</w:t>
                  </w:r>
                </w:p>
              </w:tc>
              <w:tc>
                <w:tcPr>
                  <w:tcW w:w="1874" w:type="dxa"/>
                  <w:vMerge w:val="continue"/>
                  <w:tcBorders>
                    <w:left w:val="single" w:color="auto" w:sz="4" w:space="0"/>
                    <w:right w:val="single" w:color="auto" w:sz="4" w:space="0"/>
                  </w:tcBorders>
                  <w:vAlign w:val="center"/>
                </w:tcPr>
                <w:p w14:paraId="46DFCF5A">
                  <w:pPr>
                    <w:pStyle w:val="30"/>
                    <w:rPr>
                      <w:color w:val="auto"/>
                      <w:highlight w:val="none"/>
                    </w:rPr>
                  </w:pPr>
                </w:p>
              </w:tc>
            </w:tr>
            <w:tr w14:paraId="23A9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vMerge w:val="continue"/>
                  <w:tcBorders>
                    <w:left w:val="single" w:color="auto" w:sz="4" w:space="0"/>
                    <w:right w:val="single" w:color="auto" w:sz="4" w:space="0"/>
                  </w:tcBorders>
                  <w:vAlign w:val="center"/>
                </w:tcPr>
                <w:p w14:paraId="6156D9E3">
                  <w:pPr>
                    <w:pStyle w:val="30"/>
                    <w:rPr>
                      <w:color w:val="auto"/>
                      <w:highlight w:val="none"/>
                    </w:rPr>
                  </w:pPr>
                </w:p>
              </w:tc>
              <w:tc>
                <w:tcPr>
                  <w:tcW w:w="633" w:type="dxa"/>
                  <w:tcBorders>
                    <w:top w:val="single" w:color="auto" w:sz="4" w:space="0"/>
                    <w:left w:val="single" w:color="auto" w:sz="4" w:space="0"/>
                    <w:bottom w:val="single" w:color="auto" w:sz="4" w:space="0"/>
                    <w:right w:val="single" w:color="auto" w:sz="4" w:space="0"/>
                  </w:tcBorders>
                  <w:vAlign w:val="center"/>
                </w:tcPr>
                <w:p w14:paraId="6D24253B">
                  <w:pPr>
                    <w:pStyle w:val="30"/>
                    <w:rPr>
                      <w:rFonts w:hint="default"/>
                      <w:color w:val="auto"/>
                      <w:highlight w:val="none"/>
                      <w:lang w:val="en-US" w:eastAsia="zh-CN"/>
                    </w:rPr>
                  </w:pPr>
                  <w:r>
                    <w:rPr>
                      <w:rFonts w:hint="eastAsia"/>
                      <w:color w:val="auto"/>
                      <w:highlight w:val="none"/>
                      <w:lang w:val="en-US" w:eastAsia="zh-CN"/>
                    </w:rPr>
                    <w:t>6</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14:paraId="78FAB2E0">
                  <w:pPr>
                    <w:pStyle w:val="30"/>
                    <w:rPr>
                      <w:rFonts w:hint="eastAsia"/>
                      <w:color w:val="auto"/>
                      <w:highlight w:val="none"/>
                      <w:lang w:eastAsia="zh-CN"/>
                    </w:rPr>
                  </w:pPr>
                  <w:r>
                    <w:rPr>
                      <w:rFonts w:hint="eastAsia"/>
                      <w:color w:val="auto"/>
                      <w:highlight w:val="none"/>
                      <w:lang w:eastAsia="zh-CN"/>
                    </w:rPr>
                    <w:t>安成社区</w:t>
                  </w:r>
                </w:p>
              </w:tc>
              <w:tc>
                <w:tcPr>
                  <w:tcW w:w="663" w:type="dxa"/>
                  <w:tcBorders>
                    <w:top w:val="single" w:color="auto" w:sz="4" w:space="0"/>
                    <w:left w:val="single" w:color="auto" w:sz="4" w:space="0"/>
                    <w:right w:val="single" w:color="auto" w:sz="4" w:space="0"/>
                  </w:tcBorders>
                  <w:shd w:val="clear" w:color="auto" w:fill="auto"/>
                  <w:vAlign w:val="center"/>
                </w:tcPr>
                <w:p w14:paraId="3EF7BC50">
                  <w:pPr>
                    <w:pStyle w:val="30"/>
                    <w:rPr>
                      <w:rFonts w:hint="default" w:eastAsia="宋体"/>
                      <w:color w:val="auto"/>
                      <w:highlight w:val="none"/>
                      <w:lang w:val="en-US" w:eastAsia="zh-CN"/>
                    </w:rPr>
                  </w:pPr>
                  <w:r>
                    <w:rPr>
                      <w:rFonts w:hint="eastAsia"/>
                      <w:color w:val="auto"/>
                      <w:highlight w:val="none"/>
                      <w:lang w:val="en-US" w:eastAsia="zh-CN"/>
                    </w:rPr>
                    <w:t>SE</w:t>
                  </w:r>
                </w:p>
              </w:tc>
              <w:tc>
                <w:tcPr>
                  <w:tcW w:w="1038" w:type="dxa"/>
                  <w:tcBorders>
                    <w:top w:val="single" w:color="auto" w:sz="4" w:space="0"/>
                    <w:left w:val="single" w:color="auto" w:sz="4" w:space="0"/>
                    <w:right w:val="single" w:color="auto" w:sz="4" w:space="0"/>
                  </w:tcBorders>
                  <w:shd w:val="clear" w:color="auto" w:fill="auto"/>
                  <w:vAlign w:val="center"/>
                </w:tcPr>
                <w:p w14:paraId="0EB10D8A">
                  <w:pPr>
                    <w:pStyle w:val="30"/>
                    <w:rPr>
                      <w:rFonts w:hint="default"/>
                      <w:color w:val="auto"/>
                      <w:highlight w:val="none"/>
                      <w:lang w:val="en-US" w:eastAsia="zh-CN"/>
                    </w:rPr>
                  </w:pPr>
                  <w:r>
                    <w:rPr>
                      <w:rFonts w:hint="eastAsia"/>
                      <w:color w:val="auto"/>
                      <w:highlight w:val="none"/>
                      <w:lang w:val="en-US" w:eastAsia="zh-CN"/>
                    </w:rPr>
                    <w:t>569</w:t>
                  </w:r>
                </w:p>
              </w:tc>
              <w:tc>
                <w:tcPr>
                  <w:tcW w:w="1147" w:type="dxa"/>
                  <w:tcBorders>
                    <w:top w:val="single" w:color="auto" w:sz="4" w:space="0"/>
                    <w:left w:val="single" w:color="auto" w:sz="4" w:space="0"/>
                    <w:right w:val="single" w:color="auto" w:sz="4" w:space="0"/>
                  </w:tcBorders>
                  <w:shd w:val="clear" w:color="auto" w:fill="auto"/>
                  <w:vAlign w:val="center"/>
                </w:tcPr>
                <w:p w14:paraId="58D4452E">
                  <w:pPr>
                    <w:pStyle w:val="30"/>
                    <w:rPr>
                      <w:rFonts w:hint="default" w:eastAsia="宋体"/>
                      <w:color w:val="auto"/>
                      <w:highlight w:val="none"/>
                      <w:lang w:val="en-US" w:eastAsia="zh-CN"/>
                    </w:rPr>
                  </w:pPr>
                  <w:r>
                    <w:rPr>
                      <w:rFonts w:hint="eastAsia"/>
                      <w:color w:val="auto"/>
                      <w:highlight w:val="none"/>
                      <w:lang w:val="en-US" w:eastAsia="zh-CN"/>
                    </w:rPr>
                    <w:t>约2000人</w:t>
                  </w:r>
                </w:p>
              </w:tc>
              <w:tc>
                <w:tcPr>
                  <w:tcW w:w="1080" w:type="dxa"/>
                  <w:tcBorders>
                    <w:left w:val="single" w:color="auto" w:sz="4" w:space="0"/>
                    <w:right w:val="single" w:color="auto" w:sz="4" w:space="0"/>
                  </w:tcBorders>
                  <w:shd w:val="clear" w:color="auto" w:fill="auto"/>
                  <w:vAlign w:val="center"/>
                </w:tcPr>
                <w:p w14:paraId="55E515F5">
                  <w:pPr>
                    <w:pStyle w:val="30"/>
                    <w:rPr>
                      <w:rFonts w:hint="eastAsia"/>
                      <w:color w:val="auto"/>
                      <w:highlight w:val="none"/>
                      <w:lang w:eastAsia="zh-CN"/>
                    </w:rPr>
                  </w:pPr>
                  <w:r>
                    <w:rPr>
                      <w:rFonts w:hint="eastAsia"/>
                      <w:color w:val="auto"/>
                      <w:highlight w:val="none"/>
                      <w:lang w:eastAsia="zh-CN"/>
                    </w:rPr>
                    <w:t>居民</w:t>
                  </w:r>
                </w:p>
              </w:tc>
              <w:tc>
                <w:tcPr>
                  <w:tcW w:w="1874" w:type="dxa"/>
                  <w:vMerge w:val="continue"/>
                  <w:tcBorders>
                    <w:left w:val="single" w:color="auto" w:sz="4" w:space="0"/>
                    <w:right w:val="single" w:color="auto" w:sz="4" w:space="0"/>
                  </w:tcBorders>
                  <w:vAlign w:val="center"/>
                </w:tcPr>
                <w:p w14:paraId="2EB22E96">
                  <w:pPr>
                    <w:pStyle w:val="30"/>
                    <w:rPr>
                      <w:color w:val="auto"/>
                      <w:highlight w:val="none"/>
                    </w:rPr>
                  </w:pPr>
                </w:p>
              </w:tc>
            </w:tr>
            <w:tr w14:paraId="2ED5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left w:val="single" w:color="auto" w:sz="4" w:space="0"/>
                    <w:right w:val="single" w:color="auto" w:sz="4" w:space="0"/>
                  </w:tcBorders>
                  <w:vAlign w:val="center"/>
                </w:tcPr>
                <w:p w14:paraId="2DE1ACD5">
                  <w:pPr>
                    <w:pStyle w:val="30"/>
                    <w:rPr>
                      <w:color w:val="auto"/>
                      <w:highlight w:val="none"/>
                    </w:rPr>
                  </w:pPr>
                  <w:r>
                    <w:rPr>
                      <w:rFonts w:hint="eastAsia"/>
                      <w:color w:val="auto"/>
                      <w:highlight w:val="none"/>
                    </w:rPr>
                    <w:t>声环境</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14:paraId="0A3D936E">
                  <w:pPr>
                    <w:pStyle w:val="30"/>
                    <w:rPr>
                      <w:color w:val="auto"/>
                      <w:highlight w:val="none"/>
                    </w:rPr>
                  </w:pPr>
                  <w:r>
                    <w:rPr>
                      <w:rFonts w:hint="eastAsia"/>
                      <w:color w:val="auto"/>
                      <w:highlight w:val="none"/>
                    </w:rPr>
                    <w:t>1</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14:paraId="1440C9FF">
                  <w:pPr>
                    <w:pStyle w:val="30"/>
                    <w:rPr>
                      <w:rFonts w:hint="eastAsia" w:eastAsia="宋体"/>
                      <w:color w:val="auto"/>
                      <w:highlight w:val="none"/>
                      <w:lang w:eastAsia="zh-CN"/>
                    </w:rPr>
                  </w:pPr>
                  <w:r>
                    <w:rPr>
                      <w:rFonts w:hint="eastAsia"/>
                      <w:color w:val="auto"/>
                      <w:highlight w:val="none"/>
                      <w:lang w:eastAsia="zh-CN"/>
                    </w:rPr>
                    <w:t>下陈村</w:t>
                  </w:r>
                </w:p>
              </w:tc>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14:paraId="0EB55D3D">
                  <w:pPr>
                    <w:pStyle w:val="30"/>
                    <w:rPr>
                      <w:color w:val="auto"/>
                      <w:highlight w:val="none"/>
                    </w:rPr>
                  </w:pPr>
                  <w:r>
                    <w:rPr>
                      <w:rFonts w:hint="eastAsia"/>
                      <w:color w:val="auto"/>
                      <w:highlight w:val="none"/>
                    </w:rPr>
                    <w:t>E</w:t>
                  </w:r>
                </w:p>
              </w:tc>
              <w:tc>
                <w:tcPr>
                  <w:tcW w:w="1038" w:type="dxa"/>
                  <w:tcBorders>
                    <w:top w:val="single" w:color="auto" w:sz="4" w:space="0"/>
                    <w:left w:val="single" w:color="auto" w:sz="4" w:space="0"/>
                    <w:bottom w:val="single" w:color="auto" w:sz="4" w:space="0"/>
                    <w:right w:val="single" w:color="auto" w:sz="4" w:space="0"/>
                  </w:tcBorders>
                  <w:shd w:val="clear" w:color="auto" w:fill="auto"/>
                  <w:vAlign w:val="center"/>
                </w:tcPr>
                <w:p w14:paraId="1ECFF947">
                  <w:pPr>
                    <w:pStyle w:val="30"/>
                    <w:rPr>
                      <w:rFonts w:hint="eastAsia" w:eastAsia="宋体"/>
                      <w:color w:val="auto"/>
                      <w:highlight w:val="none"/>
                      <w:lang w:eastAsia="zh-CN"/>
                    </w:rPr>
                  </w:pPr>
                  <w:r>
                    <w:rPr>
                      <w:rFonts w:hint="eastAsia"/>
                      <w:color w:val="auto"/>
                      <w:highlight w:val="none"/>
                      <w:lang w:val="en-US" w:eastAsia="zh-CN"/>
                    </w:rPr>
                    <w:t>5</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14:paraId="0AC4D8C9">
                  <w:pPr>
                    <w:pStyle w:val="30"/>
                    <w:rPr>
                      <w:color w:val="auto"/>
                      <w:highlight w:val="none"/>
                    </w:rPr>
                  </w:pPr>
                  <w:r>
                    <w:rPr>
                      <w:color w:val="auto"/>
                      <w:highlight w:val="none"/>
                    </w:rPr>
                    <w:t>约</w:t>
                  </w:r>
                  <w:r>
                    <w:rPr>
                      <w:rFonts w:hint="eastAsia"/>
                      <w:color w:val="auto"/>
                      <w:highlight w:val="none"/>
                      <w:lang w:val="en-US" w:eastAsia="zh-CN"/>
                    </w:rPr>
                    <w:t>16</w:t>
                  </w:r>
                  <w:r>
                    <w:rPr>
                      <w:color w:val="auto"/>
                      <w:highlight w:val="none"/>
                    </w:rPr>
                    <w:t>00人</w:t>
                  </w:r>
                </w:p>
              </w:tc>
              <w:tc>
                <w:tcPr>
                  <w:tcW w:w="1080" w:type="dxa"/>
                  <w:tcBorders>
                    <w:left w:val="single" w:color="auto" w:sz="4" w:space="0"/>
                    <w:right w:val="single" w:color="auto" w:sz="4" w:space="0"/>
                  </w:tcBorders>
                  <w:vAlign w:val="center"/>
                </w:tcPr>
                <w:p w14:paraId="24105738">
                  <w:pPr>
                    <w:pStyle w:val="30"/>
                    <w:rPr>
                      <w:color w:val="auto"/>
                      <w:highlight w:val="none"/>
                    </w:rPr>
                  </w:pPr>
                  <w:r>
                    <w:rPr>
                      <w:rFonts w:hint="eastAsia"/>
                      <w:color w:val="auto"/>
                      <w:highlight w:val="none"/>
                      <w:lang w:eastAsia="zh-CN"/>
                    </w:rPr>
                    <w:t>居民</w:t>
                  </w:r>
                </w:p>
              </w:tc>
              <w:tc>
                <w:tcPr>
                  <w:tcW w:w="1874" w:type="dxa"/>
                  <w:tcBorders>
                    <w:left w:val="single" w:color="auto" w:sz="4" w:space="0"/>
                    <w:right w:val="single" w:color="auto" w:sz="4" w:space="0"/>
                  </w:tcBorders>
                  <w:vAlign w:val="center"/>
                </w:tcPr>
                <w:p w14:paraId="375C6C7D">
                  <w:pPr>
                    <w:pStyle w:val="30"/>
                    <w:rPr>
                      <w:color w:val="auto"/>
                      <w:highlight w:val="none"/>
                    </w:rPr>
                  </w:pPr>
                  <w:r>
                    <w:rPr>
                      <w:color w:val="auto"/>
                      <w:highlight w:val="none"/>
                    </w:rPr>
                    <w:t>《声环境质量标准》</w:t>
                  </w:r>
                  <w:r>
                    <w:rPr>
                      <w:rFonts w:hint="eastAsia"/>
                      <w:color w:val="auto"/>
                      <w:highlight w:val="none"/>
                    </w:rPr>
                    <w:t>（</w:t>
                  </w:r>
                  <w:r>
                    <w:rPr>
                      <w:color w:val="auto"/>
                      <w:highlight w:val="none"/>
                    </w:rPr>
                    <w:t>GB3096-2008</w:t>
                  </w:r>
                  <w:r>
                    <w:rPr>
                      <w:rFonts w:hint="eastAsia"/>
                      <w:color w:val="auto"/>
                      <w:highlight w:val="none"/>
                    </w:rPr>
                    <w:t>）</w:t>
                  </w:r>
                  <w:r>
                    <w:rPr>
                      <w:color w:val="auto"/>
                      <w:highlight w:val="none"/>
                    </w:rPr>
                    <w:t>中</w:t>
                  </w:r>
                  <w:r>
                    <w:rPr>
                      <w:rFonts w:hint="eastAsia"/>
                      <w:color w:val="auto"/>
                      <w:highlight w:val="none"/>
                    </w:rPr>
                    <w:t>2</w:t>
                  </w:r>
                  <w:r>
                    <w:rPr>
                      <w:color w:val="auto"/>
                      <w:highlight w:val="none"/>
                    </w:rPr>
                    <w:t>类标准</w:t>
                  </w:r>
                </w:p>
              </w:tc>
            </w:tr>
            <w:tr w14:paraId="5D37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tcBorders>
                    <w:left w:val="single" w:color="auto" w:sz="4" w:space="0"/>
                    <w:right w:val="single" w:color="auto" w:sz="4" w:space="0"/>
                  </w:tcBorders>
                  <w:shd w:val="clear" w:color="auto" w:fill="auto"/>
                  <w:vAlign w:val="center"/>
                </w:tcPr>
                <w:p w14:paraId="7CA4929F">
                  <w:pPr>
                    <w:pStyle w:val="30"/>
                    <w:rPr>
                      <w:color w:val="auto"/>
                      <w:highlight w:val="none"/>
                    </w:rPr>
                  </w:pPr>
                  <w:r>
                    <w:rPr>
                      <w:color w:val="auto"/>
                      <w:highlight w:val="none"/>
                    </w:rPr>
                    <w:t>地下水环境</w:t>
                  </w:r>
                </w:p>
              </w:tc>
              <w:tc>
                <w:tcPr>
                  <w:tcW w:w="721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C7DF248">
                  <w:pPr>
                    <w:pStyle w:val="30"/>
                    <w:rPr>
                      <w:color w:val="auto"/>
                      <w:highlight w:val="none"/>
                    </w:rPr>
                  </w:pPr>
                  <w:r>
                    <w:rPr>
                      <w:color w:val="auto"/>
                      <w:highlight w:val="none"/>
                    </w:rPr>
                    <w:t>厂界外500米范围内</w:t>
                  </w:r>
                  <w:r>
                    <w:rPr>
                      <w:rFonts w:hint="eastAsia"/>
                      <w:color w:val="auto"/>
                      <w:highlight w:val="none"/>
                    </w:rPr>
                    <w:t>无</w:t>
                  </w:r>
                  <w:r>
                    <w:rPr>
                      <w:color w:val="auto"/>
                      <w:highlight w:val="none"/>
                    </w:rPr>
                    <w:t>地下水集中式饮用水水源和热水、矿泉水、温泉等特殊地下水资源</w:t>
                  </w:r>
                </w:p>
              </w:tc>
            </w:tr>
            <w:tr w14:paraId="399F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31" w:type="dxa"/>
                  <w:shd w:val="clear" w:color="auto" w:fill="auto"/>
                  <w:vAlign w:val="center"/>
                </w:tcPr>
                <w:p w14:paraId="702FBE0B">
                  <w:pPr>
                    <w:pStyle w:val="30"/>
                    <w:rPr>
                      <w:color w:val="auto"/>
                      <w:highlight w:val="none"/>
                    </w:rPr>
                  </w:pPr>
                  <w:r>
                    <w:rPr>
                      <w:color w:val="auto"/>
                      <w:highlight w:val="none"/>
                    </w:rPr>
                    <w:t>生态环境</w:t>
                  </w:r>
                </w:p>
              </w:tc>
              <w:tc>
                <w:tcPr>
                  <w:tcW w:w="7210" w:type="dxa"/>
                  <w:gridSpan w:val="7"/>
                  <w:shd w:val="clear" w:color="auto" w:fill="auto"/>
                  <w:vAlign w:val="center"/>
                </w:tcPr>
                <w:p w14:paraId="308AC7BC">
                  <w:pPr>
                    <w:pStyle w:val="30"/>
                    <w:rPr>
                      <w:color w:val="auto"/>
                      <w:highlight w:val="none"/>
                    </w:rPr>
                  </w:pPr>
                  <w:r>
                    <w:rPr>
                      <w:color w:val="auto"/>
                      <w:highlight w:val="none"/>
                    </w:rPr>
                    <w:t>项目用地范围内无生态环境保护目标。</w:t>
                  </w:r>
                </w:p>
              </w:tc>
            </w:tr>
          </w:tbl>
          <w:p w14:paraId="44BABCCD">
            <w:pPr>
              <w:pStyle w:val="6"/>
              <w:adjustRightInd w:val="0"/>
              <w:snapToGrid w:val="0"/>
              <w:spacing w:line="240" w:lineRule="auto"/>
              <w:rPr>
                <w:color w:val="auto"/>
                <w:highlight w:val="none"/>
              </w:rPr>
            </w:pPr>
            <w:r>
              <w:rPr>
                <w:color w:val="auto"/>
                <w:highlight w:val="none"/>
              </w:rPr>
              <w:drawing>
                <wp:inline distT="0" distB="0" distL="114300" distR="114300">
                  <wp:extent cx="5049520" cy="3460115"/>
                  <wp:effectExtent l="0" t="0" r="1778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1"/>
                          <a:stretch>
                            <a:fillRect/>
                          </a:stretch>
                        </pic:blipFill>
                        <pic:spPr>
                          <a:xfrm>
                            <a:off x="0" y="0"/>
                            <a:ext cx="5049520" cy="3460115"/>
                          </a:xfrm>
                          <a:prstGeom prst="rect">
                            <a:avLst/>
                          </a:prstGeom>
                          <a:noFill/>
                          <a:ln>
                            <a:noFill/>
                          </a:ln>
                        </pic:spPr>
                      </pic:pic>
                    </a:graphicData>
                  </a:graphic>
                </wp:inline>
              </w:drawing>
            </w:r>
          </w:p>
          <w:p w14:paraId="5F318A55">
            <w:pPr>
              <w:pStyle w:val="6"/>
              <w:rPr>
                <w:color w:val="auto"/>
                <w:highlight w:val="none"/>
              </w:rPr>
            </w:pPr>
            <w:r>
              <w:rPr>
                <w:color w:val="auto"/>
                <w:highlight w:val="none"/>
              </w:rPr>
              <w:t xml:space="preserve">图 </w:t>
            </w:r>
            <w:r>
              <w:rPr>
                <w:rFonts w:hint="eastAsia"/>
                <w:color w:val="auto"/>
                <w:highlight w:val="none"/>
              </w:rPr>
              <w:t>3-</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 xml:space="preserve"> 项目环境保护目标分布图</w:t>
            </w:r>
          </w:p>
        </w:tc>
      </w:tr>
      <w:tr w14:paraId="4CB7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452" w:type="dxa"/>
            <w:vAlign w:val="center"/>
          </w:tcPr>
          <w:p w14:paraId="323CD4AC">
            <w:pPr>
              <w:jc w:val="center"/>
              <w:rPr>
                <w:color w:val="auto"/>
                <w:highlight w:val="none"/>
              </w:rPr>
            </w:pPr>
            <w:r>
              <w:rPr>
                <w:rFonts w:hint="eastAsia"/>
                <w:color w:val="auto"/>
                <w:highlight w:val="none"/>
              </w:rPr>
              <w:t>污染物排放控制标准</w:t>
            </w:r>
          </w:p>
        </w:tc>
        <w:tc>
          <w:tcPr>
            <w:tcW w:w="8070" w:type="dxa"/>
          </w:tcPr>
          <w:p w14:paraId="61492096">
            <w:pPr>
              <w:rPr>
                <w:color w:val="auto"/>
                <w:highlight w:val="none"/>
              </w:rPr>
            </w:pPr>
            <w:r>
              <w:rPr>
                <w:rFonts w:hint="eastAsia"/>
                <w:color w:val="auto"/>
                <w:highlight w:val="none"/>
              </w:rPr>
              <w:t>1、施工期污染物排放标准</w:t>
            </w:r>
          </w:p>
          <w:p w14:paraId="60400407">
            <w:pPr>
              <w:ind w:firstLine="480" w:firstLineChars="200"/>
              <w:rPr>
                <w:color w:val="auto"/>
                <w:highlight w:val="none"/>
              </w:rPr>
            </w:pPr>
            <w:r>
              <w:rPr>
                <w:rFonts w:hint="eastAsia"/>
                <w:color w:val="auto"/>
                <w:highlight w:val="none"/>
              </w:rPr>
              <w:t>（1）大气污染物排放标准</w:t>
            </w:r>
          </w:p>
          <w:p w14:paraId="4068EE4D">
            <w:pPr>
              <w:ind w:firstLine="480" w:firstLineChars="200"/>
              <w:rPr>
                <w:rFonts w:hint="eastAsia"/>
                <w:bCs/>
                <w:color w:val="auto"/>
                <w:highlight w:val="none"/>
                <w:lang w:val="en-US" w:eastAsia="zh-CN"/>
              </w:rPr>
            </w:pPr>
            <w:r>
              <w:rPr>
                <w:rFonts w:hint="eastAsia"/>
                <w:color w:val="auto"/>
                <w:highlight w:val="none"/>
              </w:rPr>
              <w:t>项目施工期大气污染物执行</w:t>
            </w:r>
            <w:r>
              <w:rPr>
                <w:rFonts w:hint="eastAsia"/>
                <w:bCs/>
                <w:color w:val="auto"/>
                <w:highlight w:val="none"/>
              </w:rPr>
              <w:t>《</w:t>
            </w:r>
            <w:r>
              <w:rPr>
                <w:rFonts w:hint="eastAsia"/>
                <w:bCs/>
                <w:color w:val="auto"/>
                <w:highlight w:val="none"/>
                <w:lang w:eastAsia="zh-CN"/>
              </w:rPr>
              <w:t>施工场地颗粒物排放标准</w:t>
            </w:r>
            <w:r>
              <w:rPr>
                <w:rFonts w:hint="eastAsia"/>
                <w:bCs/>
                <w:color w:val="auto"/>
                <w:highlight w:val="none"/>
              </w:rPr>
              <w:t>》（</w:t>
            </w:r>
            <w:r>
              <w:rPr>
                <w:rFonts w:hint="eastAsia"/>
                <w:bCs/>
                <w:color w:val="auto"/>
                <w:highlight w:val="none"/>
                <w:lang w:val="en-US" w:eastAsia="zh-CN"/>
              </w:rPr>
              <w:t>DB34/4811-2024</w:t>
            </w:r>
            <w:r>
              <w:rPr>
                <w:rFonts w:hint="eastAsia"/>
                <w:bCs/>
                <w:color w:val="auto"/>
                <w:highlight w:val="none"/>
              </w:rPr>
              <w:t>）表</w:t>
            </w:r>
            <w:r>
              <w:rPr>
                <w:rFonts w:hint="eastAsia"/>
                <w:bCs/>
                <w:color w:val="auto"/>
                <w:highlight w:val="none"/>
                <w:lang w:val="en-US" w:eastAsia="zh-CN"/>
              </w:rPr>
              <w:t>1规定浓度限值</w:t>
            </w:r>
            <w:r>
              <w:rPr>
                <w:rFonts w:hint="eastAsia"/>
                <w:bCs/>
                <w:color w:val="auto"/>
                <w:highlight w:val="none"/>
              </w:rPr>
              <w:t>。具体见下表。</w:t>
            </w:r>
          </w:p>
          <w:p w14:paraId="6790A8BC">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 xml:space="preserve"> </w:t>
            </w:r>
            <w:r>
              <w:rPr>
                <w:rFonts w:hint="eastAsia"/>
                <w:bCs/>
                <w:color w:val="auto"/>
                <w:highlight w:val="none"/>
              </w:rPr>
              <w:t>《施工场地颗粒物排放标准》（DB34/4811-2024）</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1364"/>
              <w:gridCol w:w="1403"/>
              <w:gridCol w:w="2724"/>
            </w:tblGrid>
            <w:tr w14:paraId="0A50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1" w:type="dxa"/>
                  <w:tcBorders>
                    <w:tl2br w:val="nil"/>
                    <w:tr2bl w:val="nil"/>
                  </w:tcBorders>
                  <w:vAlign w:val="center"/>
                </w:tcPr>
                <w:p w14:paraId="7FA05603">
                  <w:pPr>
                    <w:pStyle w:val="30"/>
                    <w:bidi w:val="0"/>
                    <w:rPr>
                      <w:rFonts w:hint="eastAsia"/>
                      <w:color w:val="auto"/>
                      <w:highlight w:val="none"/>
                      <w:lang w:eastAsia="zh-CN"/>
                    </w:rPr>
                  </w:pPr>
                  <w:r>
                    <w:rPr>
                      <w:rFonts w:hint="eastAsia"/>
                      <w:color w:val="auto"/>
                      <w:highlight w:val="none"/>
                      <w:lang w:eastAsia="zh-CN"/>
                    </w:rPr>
                    <w:t>控制项目</w:t>
                  </w:r>
                </w:p>
              </w:tc>
              <w:tc>
                <w:tcPr>
                  <w:tcW w:w="1364" w:type="dxa"/>
                  <w:tcBorders>
                    <w:tl2br w:val="nil"/>
                    <w:tr2bl w:val="nil"/>
                  </w:tcBorders>
                  <w:vAlign w:val="center"/>
                </w:tcPr>
                <w:p w14:paraId="22BB7E5B">
                  <w:pPr>
                    <w:pStyle w:val="30"/>
                    <w:bidi w:val="0"/>
                    <w:rPr>
                      <w:rFonts w:hint="eastAsia"/>
                      <w:color w:val="auto"/>
                      <w:highlight w:val="none"/>
                      <w:lang w:eastAsia="zh-CN"/>
                    </w:rPr>
                  </w:pPr>
                  <w:r>
                    <w:rPr>
                      <w:rFonts w:hint="eastAsia"/>
                      <w:color w:val="auto"/>
                      <w:highlight w:val="none"/>
                      <w:lang w:eastAsia="zh-CN"/>
                    </w:rPr>
                    <w:t>单位</w:t>
                  </w:r>
                </w:p>
              </w:tc>
              <w:tc>
                <w:tcPr>
                  <w:tcW w:w="1403" w:type="dxa"/>
                  <w:tcBorders>
                    <w:tl2br w:val="nil"/>
                    <w:tr2bl w:val="nil"/>
                  </w:tcBorders>
                  <w:vAlign w:val="center"/>
                </w:tcPr>
                <w:p w14:paraId="76EFAE14">
                  <w:pPr>
                    <w:pStyle w:val="30"/>
                    <w:bidi w:val="0"/>
                    <w:rPr>
                      <w:rFonts w:hint="eastAsia"/>
                      <w:color w:val="auto"/>
                      <w:highlight w:val="none"/>
                      <w:lang w:eastAsia="zh-CN"/>
                    </w:rPr>
                  </w:pPr>
                  <w:r>
                    <w:rPr>
                      <w:rFonts w:hint="eastAsia"/>
                      <w:color w:val="auto"/>
                      <w:highlight w:val="none"/>
                      <w:lang w:eastAsia="zh-CN"/>
                    </w:rPr>
                    <w:t>监测点浓度限值</w:t>
                  </w:r>
                </w:p>
              </w:tc>
              <w:tc>
                <w:tcPr>
                  <w:tcW w:w="2724" w:type="dxa"/>
                  <w:tcBorders>
                    <w:tl2br w:val="nil"/>
                    <w:tr2bl w:val="nil"/>
                  </w:tcBorders>
                  <w:vAlign w:val="center"/>
                </w:tcPr>
                <w:p w14:paraId="12F8568A">
                  <w:pPr>
                    <w:pStyle w:val="30"/>
                    <w:bidi w:val="0"/>
                    <w:rPr>
                      <w:rFonts w:hint="eastAsia"/>
                      <w:color w:val="auto"/>
                      <w:highlight w:val="none"/>
                      <w:lang w:eastAsia="zh-CN"/>
                    </w:rPr>
                  </w:pPr>
                  <w:r>
                    <w:rPr>
                      <w:rFonts w:hint="eastAsia"/>
                      <w:color w:val="auto"/>
                      <w:highlight w:val="none"/>
                      <w:lang w:eastAsia="zh-CN"/>
                    </w:rPr>
                    <w:t>达标判定依据</w:t>
                  </w:r>
                </w:p>
              </w:tc>
            </w:tr>
            <w:tr w14:paraId="29CA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351" w:type="dxa"/>
                  <w:vMerge w:val="restart"/>
                  <w:tcBorders>
                    <w:tl2br w:val="nil"/>
                    <w:tr2bl w:val="nil"/>
                  </w:tcBorders>
                  <w:vAlign w:val="center"/>
                </w:tcPr>
                <w:p w14:paraId="784ED89E">
                  <w:pPr>
                    <w:pStyle w:val="30"/>
                    <w:bidi w:val="0"/>
                    <w:rPr>
                      <w:rFonts w:hint="default"/>
                      <w:color w:val="auto"/>
                      <w:highlight w:val="none"/>
                      <w:lang w:val="en-US" w:eastAsia="zh-CN"/>
                    </w:rPr>
                  </w:pPr>
                  <w:r>
                    <w:rPr>
                      <w:rFonts w:hint="eastAsia"/>
                      <w:color w:val="auto"/>
                      <w:highlight w:val="none"/>
                      <w:lang w:val="en-US" w:eastAsia="zh-CN"/>
                    </w:rPr>
                    <w:t>TSP</w:t>
                  </w:r>
                </w:p>
              </w:tc>
              <w:tc>
                <w:tcPr>
                  <w:tcW w:w="1364" w:type="dxa"/>
                  <w:vMerge w:val="restart"/>
                  <w:tcBorders>
                    <w:tl2br w:val="nil"/>
                    <w:tr2bl w:val="nil"/>
                  </w:tcBorders>
                  <w:vAlign w:val="center"/>
                </w:tcPr>
                <w:p w14:paraId="7B9FF0D8">
                  <w:pPr>
                    <w:pStyle w:val="30"/>
                    <w:bidi w:val="0"/>
                    <w:rPr>
                      <w:rFonts w:hint="eastAsia"/>
                      <w:color w:val="auto"/>
                      <w:highlight w:val="none"/>
                    </w:rPr>
                  </w:pPr>
                  <w:r>
                    <w:rPr>
                      <w:rFonts w:hint="eastAsia"/>
                      <w:color w:val="auto"/>
                      <w:highlight w:val="none"/>
                    </w:rPr>
                    <w:t>（</w:t>
                  </w:r>
                  <w:r>
                    <w:rPr>
                      <w:rFonts w:hint="eastAsia"/>
                      <w:color w:val="auto"/>
                      <w:highlight w:val="none"/>
                      <w:lang w:eastAsia="zh-CN"/>
                    </w:rPr>
                    <w:t>µ</w:t>
                  </w:r>
                  <w:r>
                    <w:rPr>
                      <w:rFonts w:hint="eastAsia"/>
                      <w:color w:val="auto"/>
                      <w:highlight w:val="none"/>
                    </w:rPr>
                    <w:t>g/m</w:t>
                  </w:r>
                  <w:r>
                    <w:rPr>
                      <w:rFonts w:hint="eastAsia"/>
                      <w:color w:val="auto"/>
                      <w:highlight w:val="none"/>
                      <w:vertAlign w:val="superscript"/>
                    </w:rPr>
                    <w:t>3</w:t>
                  </w:r>
                  <w:r>
                    <w:rPr>
                      <w:rFonts w:hint="eastAsia"/>
                      <w:color w:val="auto"/>
                      <w:highlight w:val="none"/>
                    </w:rPr>
                    <w:t>）</w:t>
                  </w:r>
                </w:p>
              </w:tc>
              <w:tc>
                <w:tcPr>
                  <w:tcW w:w="1403" w:type="dxa"/>
                  <w:tcBorders>
                    <w:tl2br w:val="nil"/>
                    <w:tr2bl w:val="nil"/>
                  </w:tcBorders>
                  <w:vAlign w:val="center"/>
                </w:tcPr>
                <w:p w14:paraId="45D1CCE3">
                  <w:pPr>
                    <w:pStyle w:val="30"/>
                    <w:bidi w:val="0"/>
                    <w:rPr>
                      <w:rFonts w:hint="default"/>
                      <w:color w:val="auto"/>
                      <w:highlight w:val="none"/>
                      <w:lang w:val="en-US" w:eastAsia="zh-CN"/>
                    </w:rPr>
                  </w:pPr>
                  <w:r>
                    <w:rPr>
                      <w:rFonts w:hint="eastAsia"/>
                      <w:color w:val="auto"/>
                      <w:highlight w:val="none"/>
                      <w:lang w:val="en-US" w:eastAsia="zh-CN"/>
                    </w:rPr>
                    <w:t>1000</w:t>
                  </w:r>
                </w:p>
              </w:tc>
              <w:tc>
                <w:tcPr>
                  <w:tcW w:w="2724" w:type="dxa"/>
                  <w:tcBorders>
                    <w:tl2br w:val="nil"/>
                    <w:tr2bl w:val="nil"/>
                  </w:tcBorders>
                  <w:vAlign w:val="center"/>
                </w:tcPr>
                <w:p w14:paraId="1335BF9C">
                  <w:pPr>
                    <w:pStyle w:val="30"/>
                    <w:bidi w:val="0"/>
                    <w:rPr>
                      <w:rFonts w:hint="eastAsia"/>
                      <w:color w:val="auto"/>
                      <w:highlight w:val="none"/>
                    </w:rPr>
                  </w:pPr>
                  <w:r>
                    <w:rPr>
                      <w:rFonts w:hint="eastAsia"/>
                      <w:color w:val="auto"/>
                      <w:highlight w:val="none"/>
                      <w:lang w:eastAsia="zh-CN"/>
                    </w:rPr>
                    <w:t>超标次数</w:t>
                  </w:r>
                  <w:r>
                    <w:rPr>
                      <w:rFonts w:hint="default"/>
                      <w:color w:val="auto"/>
                      <w:highlight w:val="none"/>
                      <w:lang w:eastAsia="zh-CN"/>
                    </w:rPr>
                    <w:t>≤</w:t>
                  </w:r>
                  <w:r>
                    <w:rPr>
                      <w:rFonts w:hint="eastAsia"/>
                      <w:color w:val="auto"/>
                      <w:highlight w:val="none"/>
                      <w:lang w:val="en-US" w:eastAsia="zh-CN"/>
                    </w:rPr>
                    <w:t>1次/日</w:t>
                  </w:r>
                </w:p>
              </w:tc>
            </w:tr>
            <w:tr w14:paraId="31CB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51" w:type="dxa"/>
                  <w:vMerge w:val="continue"/>
                  <w:tcBorders>
                    <w:tl2br w:val="nil"/>
                    <w:tr2bl w:val="nil"/>
                  </w:tcBorders>
                  <w:vAlign w:val="center"/>
                </w:tcPr>
                <w:p w14:paraId="4D998887">
                  <w:pPr>
                    <w:pStyle w:val="30"/>
                    <w:bidi w:val="0"/>
                    <w:rPr>
                      <w:rFonts w:hint="eastAsia"/>
                      <w:color w:val="auto"/>
                      <w:highlight w:val="none"/>
                    </w:rPr>
                  </w:pPr>
                </w:p>
              </w:tc>
              <w:tc>
                <w:tcPr>
                  <w:tcW w:w="1364" w:type="dxa"/>
                  <w:vMerge w:val="continue"/>
                  <w:tcBorders>
                    <w:tl2br w:val="nil"/>
                    <w:tr2bl w:val="nil"/>
                  </w:tcBorders>
                  <w:vAlign w:val="center"/>
                </w:tcPr>
                <w:p w14:paraId="72427633">
                  <w:pPr>
                    <w:pStyle w:val="30"/>
                    <w:bidi w:val="0"/>
                    <w:rPr>
                      <w:rFonts w:hint="eastAsia"/>
                      <w:color w:val="auto"/>
                      <w:highlight w:val="none"/>
                    </w:rPr>
                  </w:pPr>
                </w:p>
              </w:tc>
              <w:tc>
                <w:tcPr>
                  <w:tcW w:w="1403" w:type="dxa"/>
                  <w:tcBorders>
                    <w:tl2br w:val="nil"/>
                    <w:tr2bl w:val="nil"/>
                  </w:tcBorders>
                  <w:vAlign w:val="center"/>
                </w:tcPr>
                <w:p w14:paraId="13E03ED7">
                  <w:pPr>
                    <w:pStyle w:val="30"/>
                    <w:bidi w:val="0"/>
                    <w:rPr>
                      <w:rFonts w:hint="default"/>
                      <w:color w:val="auto"/>
                      <w:highlight w:val="none"/>
                      <w:lang w:val="en-US" w:eastAsia="zh-CN"/>
                    </w:rPr>
                  </w:pPr>
                  <w:r>
                    <w:rPr>
                      <w:rFonts w:hint="eastAsia"/>
                      <w:color w:val="auto"/>
                      <w:highlight w:val="none"/>
                      <w:lang w:val="en-US" w:eastAsia="zh-CN"/>
                    </w:rPr>
                    <w:t>500</w:t>
                  </w:r>
                </w:p>
              </w:tc>
              <w:tc>
                <w:tcPr>
                  <w:tcW w:w="2724" w:type="dxa"/>
                  <w:tcBorders>
                    <w:tl2br w:val="nil"/>
                    <w:tr2bl w:val="nil"/>
                  </w:tcBorders>
                  <w:vAlign w:val="center"/>
                </w:tcPr>
                <w:p w14:paraId="5F3DA27B">
                  <w:pPr>
                    <w:pStyle w:val="30"/>
                    <w:bidi w:val="0"/>
                    <w:rPr>
                      <w:rFonts w:hint="default"/>
                      <w:color w:val="auto"/>
                      <w:highlight w:val="none"/>
                      <w:lang w:val="en-US" w:eastAsia="zh-CN"/>
                    </w:rPr>
                  </w:pPr>
                  <w:r>
                    <w:rPr>
                      <w:rFonts w:hint="eastAsia"/>
                      <w:color w:val="auto"/>
                      <w:highlight w:val="none"/>
                      <w:lang w:eastAsia="zh-CN"/>
                    </w:rPr>
                    <w:t>超标次数</w:t>
                  </w:r>
                  <w:r>
                    <w:rPr>
                      <w:rFonts w:hint="default"/>
                      <w:color w:val="auto"/>
                      <w:highlight w:val="none"/>
                      <w:lang w:eastAsia="zh-CN"/>
                    </w:rPr>
                    <w:t>≤</w:t>
                  </w:r>
                  <w:r>
                    <w:rPr>
                      <w:rFonts w:hint="eastAsia"/>
                      <w:color w:val="auto"/>
                      <w:highlight w:val="none"/>
                      <w:lang w:val="en-US" w:eastAsia="zh-CN"/>
                    </w:rPr>
                    <w:t>6次/日</w:t>
                  </w:r>
                </w:p>
              </w:tc>
            </w:tr>
            <w:tr w14:paraId="31E4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7842" w:type="dxa"/>
                  <w:gridSpan w:val="4"/>
                  <w:tcBorders>
                    <w:tl2br w:val="nil"/>
                    <w:tr2bl w:val="nil"/>
                  </w:tcBorders>
                  <w:vAlign w:val="center"/>
                </w:tcPr>
                <w:p w14:paraId="5174FD5B">
                  <w:pPr>
                    <w:pStyle w:val="30"/>
                    <w:bidi w:val="0"/>
                    <w:ind w:firstLine="360" w:firstLineChars="200"/>
                    <w:jc w:val="both"/>
                    <w:rPr>
                      <w:rFonts w:hint="eastAsia"/>
                      <w:color w:val="auto"/>
                      <w:highlight w:val="none"/>
                    </w:rPr>
                  </w:pPr>
                  <w:r>
                    <w:rPr>
                      <w:rFonts w:hint="eastAsia"/>
                      <w:color w:val="auto"/>
                      <w:highlight w:val="none"/>
                    </w:rPr>
                    <w:t>任一监测点自整时起依次顺延15分钟的TSP浓度平均值不得</w:t>
                  </w:r>
                  <w:r>
                    <w:rPr>
                      <w:rFonts w:hint="eastAsia"/>
                      <w:color w:val="auto"/>
                      <w:highlight w:val="none"/>
                      <w:lang w:eastAsia="zh-CN"/>
                    </w:rPr>
                    <w:t>超过</w:t>
                  </w:r>
                  <w:r>
                    <w:rPr>
                      <w:rFonts w:hint="eastAsia"/>
                      <w:color w:val="auto"/>
                      <w:highlight w:val="none"/>
                    </w:rPr>
                    <w:t>限值。超标次数指一个日历日96个TSP15分钟浓度平均值超过监测点浓度限值的次数。</w:t>
                  </w:r>
                </w:p>
                <w:p w14:paraId="38A97857">
                  <w:pPr>
                    <w:pStyle w:val="30"/>
                    <w:bidi w:val="0"/>
                    <w:ind w:firstLine="360" w:firstLineChars="200"/>
                    <w:jc w:val="both"/>
                    <w:rPr>
                      <w:rFonts w:hint="eastAsia"/>
                      <w:color w:val="auto"/>
                      <w:highlight w:val="none"/>
                    </w:rPr>
                  </w:pPr>
                  <w:r>
                    <w:rPr>
                      <w:rFonts w:hint="eastAsia"/>
                      <w:color w:val="auto"/>
                      <w:highlight w:val="none"/>
                    </w:rPr>
                    <w:t>根据HJ633判定设区市AQI在200~300之间且首要污染物为PM</w:t>
                  </w:r>
                  <w:r>
                    <w:rPr>
                      <w:rFonts w:hint="eastAsia"/>
                      <w:color w:val="auto"/>
                      <w:highlight w:val="none"/>
                      <w:vertAlign w:val="subscript"/>
                      <w:lang w:val="en-US" w:eastAsia="zh-CN"/>
                    </w:rPr>
                    <w:t>1</w:t>
                  </w:r>
                  <w:r>
                    <w:rPr>
                      <w:rFonts w:hint="eastAsia"/>
                      <w:color w:val="auto"/>
                      <w:highlight w:val="none"/>
                      <w:vertAlign w:val="subscript"/>
                    </w:rPr>
                    <w:t>0</w:t>
                  </w:r>
                  <w:r>
                    <w:rPr>
                      <w:rFonts w:hint="eastAsia"/>
                      <w:color w:val="auto"/>
                      <w:highlight w:val="none"/>
                    </w:rPr>
                    <w:t>或PM</w:t>
                  </w:r>
                  <w:r>
                    <w:rPr>
                      <w:rFonts w:hint="eastAsia"/>
                      <w:color w:val="auto"/>
                      <w:highlight w:val="none"/>
                      <w:vertAlign w:val="subscript"/>
                    </w:rPr>
                    <w:t>2</w:t>
                  </w:r>
                  <w:r>
                    <w:rPr>
                      <w:rFonts w:hint="eastAsia"/>
                      <w:color w:val="auto"/>
                      <w:highlight w:val="none"/>
                      <w:vertAlign w:val="subscript"/>
                      <w:lang w:val="en-US" w:eastAsia="zh-CN"/>
                    </w:rPr>
                    <w:t>.</w:t>
                  </w:r>
                  <w:r>
                    <w:rPr>
                      <w:rFonts w:hint="eastAsia"/>
                      <w:color w:val="auto"/>
                      <w:highlight w:val="none"/>
                      <w:vertAlign w:val="subscript"/>
                    </w:rPr>
                    <w:t>5</w:t>
                  </w:r>
                  <w:r>
                    <w:rPr>
                      <w:rFonts w:hint="eastAsia"/>
                      <w:color w:val="auto"/>
                      <w:highlight w:val="none"/>
                    </w:rPr>
                    <w:t>时，TSP实测值扣除200</w:t>
                  </w:r>
                  <w:r>
                    <w:rPr>
                      <w:rFonts w:hint="eastAsia"/>
                      <w:color w:val="auto"/>
                      <w:highlight w:val="none"/>
                      <w:lang w:eastAsia="zh-CN"/>
                    </w:rPr>
                    <w:t>µ</w:t>
                  </w:r>
                  <w:r>
                    <w:rPr>
                      <w:rFonts w:hint="eastAsia"/>
                      <w:color w:val="auto"/>
                      <w:highlight w:val="none"/>
                    </w:rPr>
                    <w:t>g/m</w:t>
                  </w:r>
                  <w:r>
                    <w:rPr>
                      <w:rFonts w:hint="eastAsia"/>
                      <w:color w:val="auto"/>
                      <w:highlight w:val="none"/>
                      <w:vertAlign w:val="superscript"/>
                      <w:lang w:val="en-US" w:eastAsia="zh-CN"/>
                    </w:rPr>
                    <w:t>3</w:t>
                  </w:r>
                  <w:r>
                    <w:rPr>
                      <w:rFonts w:hint="eastAsia"/>
                      <w:color w:val="auto"/>
                      <w:highlight w:val="none"/>
                    </w:rPr>
                    <w:t>后再进行评价。</w:t>
                  </w:r>
                </w:p>
              </w:tc>
            </w:tr>
          </w:tbl>
          <w:p w14:paraId="0F5FE563">
            <w:pPr>
              <w:ind w:firstLine="480" w:firstLineChars="200"/>
              <w:rPr>
                <w:color w:val="auto"/>
                <w:highlight w:val="none"/>
              </w:rPr>
            </w:pPr>
            <w:r>
              <w:rPr>
                <w:rFonts w:hint="eastAsia"/>
                <w:color w:val="auto"/>
                <w:highlight w:val="none"/>
              </w:rPr>
              <w:t>（2）废水排放标准</w:t>
            </w:r>
          </w:p>
          <w:p w14:paraId="70EFA017">
            <w:pPr>
              <w:ind w:firstLine="480" w:firstLineChars="200"/>
              <w:rPr>
                <w:color w:val="auto"/>
                <w:highlight w:val="none"/>
              </w:rPr>
            </w:pPr>
            <w:r>
              <w:rPr>
                <w:rFonts w:hint="eastAsia"/>
                <w:color w:val="auto"/>
                <w:highlight w:val="none"/>
              </w:rPr>
              <w:t>项目施工期产生废水主要为生活污水，</w:t>
            </w:r>
            <w:r>
              <w:rPr>
                <w:rFonts w:hint="eastAsia"/>
                <w:color w:val="auto"/>
                <w:kern w:val="0"/>
                <w:highlight w:val="none"/>
              </w:rPr>
              <w:t>从严执行淮南</w:t>
            </w:r>
            <w:r>
              <w:rPr>
                <w:rFonts w:hint="eastAsia"/>
                <w:color w:val="auto"/>
                <w:kern w:val="0"/>
                <w:highlight w:val="none"/>
                <w:lang w:eastAsia="zh-CN"/>
              </w:rPr>
              <w:t>石姚湾净水厂</w:t>
            </w:r>
            <w:r>
              <w:rPr>
                <w:rFonts w:hint="eastAsia"/>
                <w:color w:val="auto"/>
                <w:kern w:val="0"/>
                <w:highlight w:val="none"/>
              </w:rPr>
              <w:t>接管标准、《污水综合排放标准》（GB8978-1996）表4中三级标准</w:t>
            </w:r>
            <w:r>
              <w:rPr>
                <w:rFonts w:hint="eastAsia"/>
                <w:color w:val="auto"/>
                <w:highlight w:val="none"/>
              </w:rPr>
              <w:t>。</w:t>
            </w:r>
            <w:r>
              <w:rPr>
                <w:rFonts w:hint="eastAsia"/>
                <w:bCs/>
                <w:color w:val="auto"/>
                <w:highlight w:val="none"/>
              </w:rPr>
              <w:t>具体见下表。</w:t>
            </w:r>
          </w:p>
          <w:p w14:paraId="50696371">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t xml:space="preserve"> </w:t>
            </w:r>
            <w:r>
              <w:rPr>
                <w:rFonts w:hint="eastAsia"/>
                <w:color w:val="auto"/>
                <w:highlight w:val="none"/>
                <w:lang w:eastAsia="zh-CN"/>
              </w:rPr>
              <w:t>本项目施工期废水污染物排放标准</w:t>
            </w:r>
            <w:r>
              <w:rPr>
                <w:rFonts w:hint="eastAsia"/>
                <w:color w:val="auto"/>
                <w:highlight w:val="none"/>
              </w:rPr>
              <w:t>（单位：mg/L）</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9"/>
              <w:gridCol w:w="838"/>
              <w:gridCol w:w="1316"/>
              <w:gridCol w:w="1130"/>
              <w:gridCol w:w="824"/>
              <w:gridCol w:w="1002"/>
            </w:tblGrid>
            <w:tr w14:paraId="3395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40" w:type="pct"/>
                  <w:tcBorders>
                    <w:top w:val="single" w:color="auto" w:sz="4" w:space="0"/>
                    <w:left w:val="single" w:color="auto" w:sz="4" w:space="0"/>
                    <w:bottom w:val="single" w:color="auto" w:sz="4" w:space="0"/>
                    <w:right w:val="single" w:color="auto" w:sz="4" w:space="0"/>
                    <w:tl2br w:val="single" w:color="auto" w:sz="4" w:space="0"/>
                  </w:tcBorders>
                  <w:vAlign w:val="center"/>
                </w:tcPr>
                <w:p w14:paraId="2AAE508A">
                  <w:pPr>
                    <w:pStyle w:val="30"/>
                    <w:jc w:val="right"/>
                    <w:rPr>
                      <w:b/>
                      <w:bCs/>
                      <w:color w:val="auto"/>
                      <w:highlight w:val="none"/>
                    </w:rPr>
                  </w:pPr>
                  <w:r>
                    <w:rPr>
                      <w:b/>
                      <w:bCs/>
                      <w:color w:val="auto"/>
                      <w:highlight w:val="none"/>
                    </w:rPr>
                    <w:t>污染因子</w:t>
                  </w:r>
                </w:p>
                <w:p w14:paraId="7AEF1D8B">
                  <w:pPr>
                    <w:pStyle w:val="30"/>
                    <w:ind w:firstLine="181" w:firstLineChars="100"/>
                    <w:jc w:val="both"/>
                    <w:rPr>
                      <w:b/>
                      <w:bCs/>
                      <w:color w:val="auto"/>
                      <w:highlight w:val="none"/>
                    </w:rPr>
                  </w:pPr>
                  <w:r>
                    <w:rPr>
                      <w:b/>
                      <w:bCs/>
                      <w:color w:val="auto"/>
                      <w:highlight w:val="none"/>
                    </w:rPr>
                    <w:t>标准来源</w:t>
                  </w:r>
                </w:p>
              </w:tc>
              <w:tc>
                <w:tcPr>
                  <w:tcW w:w="534" w:type="pct"/>
                  <w:tcBorders>
                    <w:top w:val="single" w:color="auto" w:sz="4" w:space="0"/>
                    <w:left w:val="single" w:color="auto" w:sz="4" w:space="0"/>
                    <w:bottom w:val="single" w:color="auto" w:sz="4" w:space="0"/>
                    <w:right w:val="single" w:color="auto" w:sz="4" w:space="0"/>
                  </w:tcBorders>
                  <w:vAlign w:val="center"/>
                </w:tcPr>
                <w:p w14:paraId="0F1C20A9">
                  <w:pPr>
                    <w:pStyle w:val="30"/>
                    <w:rPr>
                      <w:b/>
                      <w:bCs/>
                      <w:color w:val="auto"/>
                      <w:highlight w:val="none"/>
                    </w:rPr>
                  </w:pPr>
                  <w:r>
                    <w:rPr>
                      <w:b/>
                      <w:bCs/>
                      <w:color w:val="auto"/>
                      <w:highlight w:val="none"/>
                    </w:rPr>
                    <w:t>pH</w:t>
                  </w:r>
                </w:p>
              </w:tc>
              <w:tc>
                <w:tcPr>
                  <w:tcW w:w="839" w:type="pct"/>
                  <w:tcBorders>
                    <w:top w:val="single" w:color="auto" w:sz="4" w:space="0"/>
                    <w:left w:val="single" w:color="auto" w:sz="4" w:space="0"/>
                    <w:bottom w:val="single" w:color="auto" w:sz="4" w:space="0"/>
                    <w:right w:val="single" w:color="auto" w:sz="4" w:space="0"/>
                  </w:tcBorders>
                  <w:vAlign w:val="center"/>
                </w:tcPr>
                <w:p w14:paraId="56ECDD7F">
                  <w:pPr>
                    <w:pStyle w:val="30"/>
                    <w:rPr>
                      <w:b/>
                      <w:bCs/>
                      <w:color w:val="auto"/>
                      <w:highlight w:val="none"/>
                    </w:rPr>
                  </w:pPr>
                  <w:r>
                    <w:rPr>
                      <w:b/>
                      <w:bCs/>
                      <w:color w:val="auto"/>
                      <w:highlight w:val="none"/>
                    </w:rPr>
                    <w:t>COD</w:t>
                  </w:r>
                  <w:r>
                    <w:rPr>
                      <w:rFonts w:hint="eastAsia"/>
                      <w:b/>
                      <w:bCs/>
                      <w:color w:val="auto"/>
                      <w:highlight w:val="none"/>
                    </w:rPr>
                    <w:t>cr</w:t>
                  </w:r>
                </w:p>
              </w:tc>
              <w:tc>
                <w:tcPr>
                  <w:tcW w:w="720" w:type="pct"/>
                  <w:tcBorders>
                    <w:top w:val="single" w:color="auto" w:sz="4" w:space="0"/>
                    <w:left w:val="single" w:color="auto" w:sz="4" w:space="0"/>
                    <w:bottom w:val="single" w:color="auto" w:sz="4" w:space="0"/>
                    <w:right w:val="single" w:color="auto" w:sz="4" w:space="0"/>
                  </w:tcBorders>
                  <w:vAlign w:val="center"/>
                </w:tcPr>
                <w:p w14:paraId="42E1DCF5">
                  <w:pPr>
                    <w:pStyle w:val="30"/>
                    <w:rPr>
                      <w:b/>
                      <w:bCs/>
                      <w:color w:val="auto"/>
                      <w:highlight w:val="none"/>
                    </w:rPr>
                  </w:pPr>
                  <w:r>
                    <w:rPr>
                      <w:b/>
                      <w:bCs/>
                      <w:color w:val="auto"/>
                      <w:highlight w:val="none"/>
                    </w:rPr>
                    <w:t>BOD</w:t>
                  </w:r>
                  <w:r>
                    <w:rPr>
                      <w:b/>
                      <w:bCs/>
                      <w:color w:val="auto"/>
                      <w:highlight w:val="none"/>
                      <w:vertAlign w:val="subscript"/>
                    </w:rPr>
                    <w:t>5</w:t>
                  </w:r>
                </w:p>
              </w:tc>
              <w:tc>
                <w:tcPr>
                  <w:tcW w:w="525" w:type="pct"/>
                  <w:tcBorders>
                    <w:top w:val="single" w:color="auto" w:sz="4" w:space="0"/>
                    <w:left w:val="single" w:color="auto" w:sz="4" w:space="0"/>
                    <w:bottom w:val="single" w:color="auto" w:sz="4" w:space="0"/>
                    <w:right w:val="single" w:color="auto" w:sz="4" w:space="0"/>
                  </w:tcBorders>
                  <w:vAlign w:val="center"/>
                </w:tcPr>
                <w:p w14:paraId="2910AC4E">
                  <w:pPr>
                    <w:pStyle w:val="30"/>
                    <w:rPr>
                      <w:b/>
                      <w:bCs/>
                      <w:color w:val="auto"/>
                      <w:highlight w:val="none"/>
                    </w:rPr>
                  </w:pPr>
                  <w:r>
                    <w:rPr>
                      <w:b/>
                      <w:bCs/>
                      <w:color w:val="auto"/>
                      <w:highlight w:val="none"/>
                    </w:rPr>
                    <w:t>SS</w:t>
                  </w:r>
                </w:p>
              </w:tc>
              <w:tc>
                <w:tcPr>
                  <w:tcW w:w="639" w:type="pct"/>
                  <w:tcBorders>
                    <w:top w:val="single" w:color="auto" w:sz="4" w:space="0"/>
                    <w:left w:val="single" w:color="auto" w:sz="4" w:space="0"/>
                    <w:bottom w:val="single" w:color="auto" w:sz="4" w:space="0"/>
                    <w:right w:val="single" w:color="auto" w:sz="4" w:space="0"/>
                  </w:tcBorders>
                  <w:vAlign w:val="center"/>
                </w:tcPr>
                <w:p w14:paraId="3852C10B">
                  <w:pPr>
                    <w:pStyle w:val="30"/>
                    <w:rPr>
                      <w:b/>
                      <w:bCs/>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r>
            <w:tr w14:paraId="3D59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40" w:type="pct"/>
                  <w:tcBorders>
                    <w:top w:val="single" w:color="auto" w:sz="4" w:space="0"/>
                    <w:left w:val="single" w:color="auto" w:sz="4" w:space="0"/>
                    <w:bottom w:val="single" w:color="auto" w:sz="4" w:space="0"/>
                    <w:right w:val="single" w:color="auto" w:sz="4" w:space="0"/>
                  </w:tcBorders>
                  <w:shd w:val="clear" w:color="auto" w:fill="auto"/>
                  <w:vAlign w:val="center"/>
                </w:tcPr>
                <w:p w14:paraId="25943CA9">
                  <w:pPr>
                    <w:pStyle w:val="30"/>
                    <w:rPr>
                      <w:color w:val="auto"/>
                      <w:highlight w:val="none"/>
                    </w:rPr>
                  </w:pPr>
                  <w:r>
                    <w:rPr>
                      <w:color w:val="auto"/>
                      <w:highlight w:val="none"/>
                    </w:rPr>
                    <w:t>淮南</w:t>
                  </w:r>
                  <w:r>
                    <w:rPr>
                      <w:rFonts w:hint="eastAsia"/>
                      <w:color w:val="auto"/>
                      <w:highlight w:val="none"/>
                      <w:lang w:eastAsia="zh-CN"/>
                    </w:rPr>
                    <w:t>石姚湾净水厂</w:t>
                  </w:r>
                  <w:r>
                    <w:rPr>
                      <w:rFonts w:hint="eastAsia"/>
                      <w:color w:val="auto"/>
                      <w:highlight w:val="none"/>
                    </w:rPr>
                    <w:t>接管标准</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28385C5">
                  <w:pPr>
                    <w:pStyle w:val="33"/>
                    <w:rPr>
                      <w:rFonts w:cs="Times New Roman"/>
                      <w:color w:val="auto"/>
                      <w:szCs w:val="18"/>
                      <w:highlight w:val="none"/>
                      <w:lang w:val="en-US"/>
                    </w:rPr>
                  </w:pPr>
                  <w:r>
                    <w:rPr>
                      <w:color w:val="auto"/>
                      <w:highlight w:val="none"/>
                    </w:rPr>
                    <w:t>6~9</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68464B9D">
                  <w:pPr>
                    <w:pStyle w:val="33"/>
                    <w:rPr>
                      <w:rFonts w:hint="default" w:eastAsia="宋体" w:cs="Times New Roman"/>
                      <w:color w:val="auto"/>
                      <w:szCs w:val="18"/>
                      <w:highlight w:val="none"/>
                      <w:lang w:val="en-US" w:eastAsia="zh-CN"/>
                    </w:rPr>
                  </w:pPr>
                  <w:r>
                    <w:rPr>
                      <w:rFonts w:hint="eastAsia"/>
                      <w:color w:val="auto"/>
                      <w:highlight w:val="none"/>
                      <w:lang w:val="en-US" w:eastAsia="zh-CN"/>
                    </w:rPr>
                    <w:t>280</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14:paraId="1D361EC0">
                  <w:pPr>
                    <w:pStyle w:val="33"/>
                    <w:rPr>
                      <w:rFonts w:hint="default" w:eastAsia="宋体" w:cs="Times New Roman"/>
                      <w:color w:val="auto"/>
                      <w:szCs w:val="18"/>
                      <w:highlight w:val="none"/>
                      <w:lang w:val="en-US" w:eastAsia="zh-CN"/>
                    </w:rPr>
                  </w:pPr>
                  <w:r>
                    <w:rPr>
                      <w:rFonts w:hint="eastAsia"/>
                      <w:color w:val="auto"/>
                      <w:highlight w:val="none"/>
                      <w:lang w:val="en-US" w:eastAsia="zh-CN"/>
                    </w:rPr>
                    <w:t>105</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30131B29">
                  <w:pPr>
                    <w:pStyle w:val="33"/>
                    <w:rPr>
                      <w:rFonts w:hint="default" w:eastAsia="宋体" w:cs="Times New Roman"/>
                      <w:color w:val="auto"/>
                      <w:szCs w:val="18"/>
                      <w:highlight w:val="none"/>
                      <w:lang w:val="en-US" w:eastAsia="zh-CN"/>
                    </w:rPr>
                  </w:pPr>
                  <w:r>
                    <w:rPr>
                      <w:rFonts w:hint="eastAsia"/>
                      <w:color w:val="auto"/>
                      <w:highlight w:val="none"/>
                      <w:lang w:val="en-US" w:eastAsia="zh-CN"/>
                    </w:rPr>
                    <w:t>130</w:t>
                  </w:r>
                </w:p>
              </w:tc>
              <w:tc>
                <w:tcPr>
                  <w:tcW w:w="639" w:type="pct"/>
                  <w:tcBorders>
                    <w:top w:val="single" w:color="auto" w:sz="4" w:space="0"/>
                    <w:left w:val="single" w:color="auto" w:sz="4" w:space="0"/>
                    <w:bottom w:val="single" w:color="auto" w:sz="4" w:space="0"/>
                    <w:right w:val="single" w:color="auto" w:sz="4" w:space="0"/>
                  </w:tcBorders>
                  <w:shd w:val="clear" w:color="auto" w:fill="auto"/>
                  <w:vAlign w:val="center"/>
                </w:tcPr>
                <w:p w14:paraId="5DFC1E86">
                  <w:pPr>
                    <w:pStyle w:val="33"/>
                    <w:rPr>
                      <w:rFonts w:hint="default" w:eastAsia="宋体" w:cs="Times New Roman"/>
                      <w:color w:val="auto"/>
                      <w:szCs w:val="18"/>
                      <w:highlight w:val="none"/>
                      <w:lang w:val="en-US" w:eastAsia="zh-CN"/>
                    </w:rPr>
                  </w:pPr>
                  <w:r>
                    <w:rPr>
                      <w:rFonts w:hint="eastAsia"/>
                      <w:color w:val="auto"/>
                      <w:highlight w:val="none"/>
                      <w:lang w:val="en-US" w:eastAsia="zh-CN"/>
                    </w:rPr>
                    <w:t>43</w:t>
                  </w:r>
                </w:p>
              </w:tc>
            </w:tr>
            <w:tr w14:paraId="5EAA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40" w:type="pct"/>
                  <w:tcBorders>
                    <w:top w:val="single" w:color="auto" w:sz="4" w:space="0"/>
                    <w:left w:val="single" w:color="auto" w:sz="4" w:space="0"/>
                    <w:bottom w:val="single" w:color="auto" w:sz="4" w:space="0"/>
                    <w:right w:val="single" w:color="auto" w:sz="4" w:space="0"/>
                  </w:tcBorders>
                  <w:shd w:val="clear" w:color="auto" w:fill="auto"/>
                  <w:vAlign w:val="center"/>
                </w:tcPr>
                <w:p w14:paraId="058ABE18">
                  <w:pPr>
                    <w:pStyle w:val="30"/>
                    <w:rPr>
                      <w:color w:val="auto"/>
                      <w:highlight w:val="none"/>
                    </w:rPr>
                  </w:pPr>
                  <w:r>
                    <w:rPr>
                      <w:color w:val="auto"/>
                      <w:highlight w:val="none"/>
                    </w:rPr>
                    <w:t>（GB8978-1996）表</w:t>
                  </w:r>
                  <w:r>
                    <w:rPr>
                      <w:rFonts w:hint="eastAsia"/>
                      <w:color w:val="auto"/>
                      <w:highlight w:val="none"/>
                    </w:rPr>
                    <w:t>4</w:t>
                  </w:r>
                  <w:r>
                    <w:rPr>
                      <w:color w:val="auto"/>
                      <w:highlight w:val="none"/>
                    </w:rPr>
                    <w:t>中三级标准</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CB5731C">
                  <w:pPr>
                    <w:pStyle w:val="30"/>
                    <w:rPr>
                      <w:color w:val="auto"/>
                      <w:highlight w:val="none"/>
                    </w:rPr>
                  </w:pPr>
                  <w:r>
                    <w:rPr>
                      <w:color w:val="auto"/>
                      <w:highlight w:val="none"/>
                    </w:rPr>
                    <w:t>6~9</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14:paraId="593DF3B9">
                  <w:pPr>
                    <w:pStyle w:val="30"/>
                    <w:rPr>
                      <w:color w:val="auto"/>
                      <w:highlight w:val="none"/>
                    </w:rPr>
                  </w:pPr>
                  <w:r>
                    <w:rPr>
                      <w:color w:val="auto"/>
                      <w:highlight w:val="none"/>
                    </w:rPr>
                    <w:t>500</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14:paraId="09936689">
                  <w:pPr>
                    <w:pStyle w:val="30"/>
                    <w:rPr>
                      <w:color w:val="auto"/>
                      <w:highlight w:val="none"/>
                    </w:rPr>
                  </w:pPr>
                  <w:r>
                    <w:rPr>
                      <w:color w:val="auto"/>
                      <w:highlight w:val="none"/>
                    </w:rPr>
                    <w:t>300</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674B64D2">
                  <w:pPr>
                    <w:pStyle w:val="30"/>
                    <w:rPr>
                      <w:color w:val="auto"/>
                      <w:highlight w:val="none"/>
                    </w:rPr>
                  </w:pPr>
                  <w:r>
                    <w:rPr>
                      <w:rFonts w:hint="eastAsia"/>
                      <w:color w:val="auto"/>
                      <w:highlight w:val="none"/>
                    </w:rPr>
                    <w:t>400</w:t>
                  </w:r>
                </w:p>
              </w:tc>
              <w:tc>
                <w:tcPr>
                  <w:tcW w:w="639" w:type="pct"/>
                  <w:tcBorders>
                    <w:top w:val="single" w:color="auto" w:sz="4" w:space="0"/>
                    <w:left w:val="single" w:color="auto" w:sz="4" w:space="0"/>
                    <w:bottom w:val="single" w:color="auto" w:sz="4" w:space="0"/>
                    <w:right w:val="single" w:color="auto" w:sz="4" w:space="0"/>
                  </w:tcBorders>
                  <w:shd w:val="clear" w:color="auto" w:fill="auto"/>
                  <w:vAlign w:val="center"/>
                </w:tcPr>
                <w:p w14:paraId="0EF2BE90">
                  <w:pPr>
                    <w:pStyle w:val="30"/>
                    <w:rPr>
                      <w:color w:val="auto"/>
                      <w:highlight w:val="none"/>
                    </w:rPr>
                  </w:pPr>
                  <w:r>
                    <w:rPr>
                      <w:rFonts w:hint="eastAsia"/>
                      <w:color w:val="auto"/>
                      <w:highlight w:val="none"/>
                    </w:rPr>
                    <w:t>--</w:t>
                  </w:r>
                </w:p>
              </w:tc>
            </w:tr>
            <w:tr w14:paraId="257A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40" w:type="pct"/>
                  <w:tcBorders>
                    <w:top w:val="single" w:color="auto" w:sz="4" w:space="0"/>
                    <w:left w:val="single" w:color="auto" w:sz="4" w:space="0"/>
                    <w:bottom w:val="single" w:color="auto" w:sz="4" w:space="0"/>
                    <w:right w:val="single" w:color="auto" w:sz="4" w:space="0"/>
                  </w:tcBorders>
                  <w:vAlign w:val="center"/>
                </w:tcPr>
                <w:p w14:paraId="10F41916">
                  <w:pPr>
                    <w:pStyle w:val="30"/>
                    <w:rPr>
                      <w:rFonts w:hint="eastAsia"/>
                      <w:color w:val="auto"/>
                      <w:highlight w:val="none"/>
                    </w:rPr>
                  </w:pPr>
                  <w:r>
                    <w:rPr>
                      <w:rFonts w:hint="eastAsia"/>
                      <w:color w:val="auto"/>
                      <w:highlight w:val="none"/>
                    </w:rPr>
                    <w:t>本项目执行标准</w:t>
                  </w:r>
                </w:p>
              </w:tc>
              <w:tc>
                <w:tcPr>
                  <w:tcW w:w="534" w:type="pct"/>
                  <w:tcBorders>
                    <w:top w:val="single" w:color="auto" w:sz="4" w:space="0"/>
                    <w:left w:val="single" w:color="auto" w:sz="4" w:space="0"/>
                    <w:bottom w:val="single" w:color="auto" w:sz="4" w:space="0"/>
                    <w:right w:val="single" w:color="auto" w:sz="4" w:space="0"/>
                  </w:tcBorders>
                  <w:vAlign w:val="center"/>
                </w:tcPr>
                <w:p w14:paraId="02623D4D">
                  <w:pPr>
                    <w:pStyle w:val="30"/>
                    <w:rPr>
                      <w:color w:val="auto"/>
                      <w:highlight w:val="none"/>
                    </w:rPr>
                  </w:pPr>
                  <w:r>
                    <w:rPr>
                      <w:color w:val="auto"/>
                      <w:highlight w:val="none"/>
                    </w:rPr>
                    <w:t>6~9</w:t>
                  </w:r>
                </w:p>
              </w:tc>
              <w:tc>
                <w:tcPr>
                  <w:tcW w:w="839" w:type="pct"/>
                  <w:tcBorders>
                    <w:top w:val="single" w:color="auto" w:sz="4" w:space="0"/>
                    <w:left w:val="single" w:color="auto" w:sz="4" w:space="0"/>
                    <w:bottom w:val="single" w:color="auto" w:sz="4" w:space="0"/>
                    <w:right w:val="single" w:color="auto" w:sz="4" w:space="0"/>
                  </w:tcBorders>
                  <w:vAlign w:val="center"/>
                </w:tcPr>
                <w:p w14:paraId="1C74301C">
                  <w:pPr>
                    <w:pStyle w:val="30"/>
                    <w:rPr>
                      <w:rFonts w:hint="default"/>
                      <w:color w:val="auto"/>
                      <w:highlight w:val="none"/>
                      <w:lang w:val="en-US" w:eastAsia="zh-CN"/>
                    </w:rPr>
                  </w:pPr>
                  <w:r>
                    <w:rPr>
                      <w:rFonts w:hint="eastAsia"/>
                      <w:color w:val="auto"/>
                      <w:highlight w:val="none"/>
                      <w:lang w:val="en-US" w:eastAsia="zh-CN"/>
                    </w:rPr>
                    <w:t>280</w:t>
                  </w:r>
                </w:p>
              </w:tc>
              <w:tc>
                <w:tcPr>
                  <w:tcW w:w="720" w:type="pct"/>
                  <w:tcBorders>
                    <w:top w:val="single" w:color="auto" w:sz="4" w:space="0"/>
                    <w:left w:val="single" w:color="auto" w:sz="4" w:space="0"/>
                    <w:bottom w:val="single" w:color="auto" w:sz="4" w:space="0"/>
                    <w:right w:val="single" w:color="auto" w:sz="4" w:space="0"/>
                  </w:tcBorders>
                  <w:vAlign w:val="center"/>
                </w:tcPr>
                <w:p w14:paraId="7CD303AE">
                  <w:pPr>
                    <w:pStyle w:val="30"/>
                    <w:rPr>
                      <w:rFonts w:hint="default"/>
                      <w:color w:val="auto"/>
                      <w:highlight w:val="none"/>
                      <w:lang w:val="en-US" w:eastAsia="zh-CN"/>
                    </w:rPr>
                  </w:pPr>
                  <w:r>
                    <w:rPr>
                      <w:rFonts w:hint="eastAsia"/>
                      <w:color w:val="auto"/>
                      <w:highlight w:val="none"/>
                      <w:lang w:val="en-US" w:eastAsia="zh-CN"/>
                    </w:rPr>
                    <w:t>105</w:t>
                  </w:r>
                </w:p>
              </w:tc>
              <w:tc>
                <w:tcPr>
                  <w:tcW w:w="525" w:type="pct"/>
                  <w:tcBorders>
                    <w:top w:val="single" w:color="auto" w:sz="4" w:space="0"/>
                    <w:left w:val="single" w:color="auto" w:sz="4" w:space="0"/>
                    <w:bottom w:val="single" w:color="auto" w:sz="4" w:space="0"/>
                    <w:right w:val="single" w:color="auto" w:sz="4" w:space="0"/>
                  </w:tcBorders>
                  <w:vAlign w:val="center"/>
                </w:tcPr>
                <w:p w14:paraId="43D2CC72">
                  <w:pPr>
                    <w:pStyle w:val="30"/>
                    <w:rPr>
                      <w:rFonts w:hint="default"/>
                      <w:color w:val="auto"/>
                      <w:highlight w:val="none"/>
                      <w:lang w:val="en-US" w:eastAsia="zh-CN"/>
                    </w:rPr>
                  </w:pPr>
                  <w:r>
                    <w:rPr>
                      <w:rFonts w:hint="eastAsia"/>
                      <w:color w:val="auto"/>
                      <w:highlight w:val="none"/>
                      <w:lang w:val="en-US" w:eastAsia="zh-CN"/>
                    </w:rPr>
                    <w:t>130</w:t>
                  </w:r>
                </w:p>
              </w:tc>
              <w:tc>
                <w:tcPr>
                  <w:tcW w:w="639" w:type="pct"/>
                  <w:tcBorders>
                    <w:top w:val="single" w:color="auto" w:sz="4" w:space="0"/>
                    <w:left w:val="single" w:color="auto" w:sz="4" w:space="0"/>
                    <w:bottom w:val="single" w:color="auto" w:sz="4" w:space="0"/>
                    <w:right w:val="single" w:color="auto" w:sz="4" w:space="0"/>
                  </w:tcBorders>
                  <w:vAlign w:val="center"/>
                </w:tcPr>
                <w:p w14:paraId="2366F233">
                  <w:pPr>
                    <w:pStyle w:val="30"/>
                    <w:rPr>
                      <w:rFonts w:hint="default"/>
                      <w:color w:val="auto"/>
                      <w:highlight w:val="none"/>
                      <w:lang w:val="en-US" w:eastAsia="zh-CN"/>
                    </w:rPr>
                  </w:pPr>
                  <w:r>
                    <w:rPr>
                      <w:rFonts w:hint="eastAsia"/>
                      <w:color w:val="auto"/>
                      <w:highlight w:val="none"/>
                      <w:lang w:val="en-US" w:eastAsia="zh-CN"/>
                    </w:rPr>
                    <w:t>43</w:t>
                  </w:r>
                </w:p>
              </w:tc>
            </w:tr>
          </w:tbl>
          <w:p w14:paraId="3A4E0630">
            <w:pPr>
              <w:ind w:firstLine="480" w:firstLineChars="200"/>
              <w:rPr>
                <w:rFonts w:hint="eastAsia"/>
                <w:color w:val="auto"/>
                <w:highlight w:val="none"/>
              </w:rPr>
            </w:pPr>
          </w:p>
          <w:p w14:paraId="2EF14825">
            <w:pPr>
              <w:ind w:firstLine="480" w:firstLineChars="200"/>
              <w:rPr>
                <w:color w:val="auto"/>
                <w:highlight w:val="none"/>
              </w:rPr>
            </w:pPr>
            <w:r>
              <w:rPr>
                <w:rFonts w:hint="eastAsia"/>
                <w:color w:val="auto"/>
                <w:highlight w:val="none"/>
              </w:rPr>
              <w:t>（3）环境噪声排放标准</w:t>
            </w:r>
          </w:p>
          <w:p w14:paraId="0A16CF21">
            <w:pPr>
              <w:ind w:firstLine="480" w:firstLineChars="200"/>
              <w:rPr>
                <w:color w:val="auto"/>
                <w:highlight w:val="none"/>
              </w:rPr>
            </w:pPr>
            <w:r>
              <w:rPr>
                <w:rFonts w:hint="eastAsia"/>
                <w:color w:val="auto"/>
                <w:highlight w:val="none"/>
              </w:rPr>
              <w:t>施工现场噪声执行《建筑施工场界环境噪声排放标准》（GB12523-2011），具体标准见下表。</w:t>
            </w:r>
          </w:p>
          <w:p w14:paraId="0DB66BA5">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rPr>
              <w:t xml:space="preserve"> 建筑施工场界环境噪声排放标准</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2"/>
              <w:gridCol w:w="3922"/>
            </w:tblGrid>
            <w:tr w14:paraId="5E43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2"/>
                  <w:vAlign w:val="center"/>
                </w:tcPr>
                <w:p w14:paraId="2C2E5947">
                  <w:pPr>
                    <w:pStyle w:val="30"/>
                    <w:rPr>
                      <w:color w:val="auto"/>
                      <w:highlight w:val="none"/>
                    </w:rPr>
                  </w:pPr>
                  <w:r>
                    <w:rPr>
                      <w:rFonts w:hint="eastAsia"/>
                      <w:b/>
                      <w:bCs/>
                      <w:color w:val="auto"/>
                      <w:highlight w:val="none"/>
                    </w:rPr>
                    <w:t>等效声级[dB（A）]</w:t>
                  </w:r>
                </w:p>
              </w:tc>
            </w:tr>
            <w:tr w14:paraId="166B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7691399">
                  <w:pPr>
                    <w:pStyle w:val="30"/>
                    <w:rPr>
                      <w:color w:val="auto"/>
                      <w:highlight w:val="none"/>
                    </w:rPr>
                  </w:pPr>
                  <w:r>
                    <w:rPr>
                      <w:rFonts w:hint="eastAsia"/>
                      <w:color w:val="auto"/>
                      <w:highlight w:val="none"/>
                    </w:rPr>
                    <w:t>昼间</w:t>
                  </w:r>
                </w:p>
              </w:tc>
              <w:tc>
                <w:tcPr>
                  <w:tcW w:w="340" w:type="dxa"/>
                  <w:vAlign w:val="center"/>
                </w:tcPr>
                <w:p w14:paraId="15B827C6">
                  <w:pPr>
                    <w:pStyle w:val="30"/>
                    <w:rPr>
                      <w:color w:val="auto"/>
                      <w:highlight w:val="none"/>
                    </w:rPr>
                  </w:pPr>
                  <w:r>
                    <w:rPr>
                      <w:rFonts w:hint="eastAsia"/>
                      <w:color w:val="auto"/>
                      <w:highlight w:val="none"/>
                    </w:rPr>
                    <w:t>夜间</w:t>
                  </w:r>
                </w:p>
              </w:tc>
            </w:tr>
            <w:tr w14:paraId="402E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92CA050">
                  <w:pPr>
                    <w:pStyle w:val="30"/>
                    <w:rPr>
                      <w:color w:val="auto"/>
                      <w:highlight w:val="none"/>
                    </w:rPr>
                  </w:pPr>
                  <w:r>
                    <w:rPr>
                      <w:rFonts w:hint="eastAsia"/>
                      <w:color w:val="auto"/>
                      <w:highlight w:val="none"/>
                    </w:rPr>
                    <w:t>70</w:t>
                  </w:r>
                </w:p>
              </w:tc>
              <w:tc>
                <w:tcPr>
                  <w:tcW w:w="340" w:type="dxa"/>
                  <w:vAlign w:val="center"/>
                </w:tcPr>
                <w:p w14:paraId="55C581B0">
                  <w:pPr>
                    <w:pStyle w:val="30"/>
                    <w:rPr>
                      <w:color w:val="auto"/>
                      <w:highlight w:val="none"/>
                    </w:rPr>
                  </w:pPr>
                  <w:r>
                    <w:rPr>
                      <w:rFonts w:hint="eastAsia"/>
                      <w:color w:val="auto"/>
                      <w:highlight w:val="none"/>
                    </w:rPr>
                    <w:t>55</w:t>
                  </w:r>
                </w:p>
              </w:tc>
            </w:tr>
          </w:tbl>
          <w:p w14:paraId="74ED4624">
            <w:pPr>
              <w:rPr>
                <w:color w:val="auto"/>
                <w:highlight w:val="none"/>
              </w:rPr>
            </w:pPr>
            <w:r>
              <w:rPr>
                <w:rFonts w:hint="eastAsia"/>
                <w:color w:val="auto"/>
                <w:highlight w:val="none"/>
              </w:rPr>
              <w:t>2、运营期污染物排放标准</w:t>
            </w:r>
          </w:p>
          <w:p w14:paraId="693718F9">
            <w:pPr>
              <w:ind w:firstLine="480" w:firstLineChars="200"/>
              <w:rPr>
                <w:color w:val="auto"/>
                <w:highlight w:val="none"/>
              </w:rPr>
            </w:pPr>
            <w:r>
              <w:rPr>
                <w:rFonts w:hint="eastAsia"/>
                <w:color w:val="auto"/>
                <w:highlight w:val="none"/>
              </w:rPr>
              <w:t>（1）废气排放标准</w:t>
            </w:r>
          </w:p>
          <w:p w14:paraId="28E5A083">
            <w:pPr>
              <w:ind w:firstLine="480" w:firstLineChars="200"/>
              <w:rPr>
                <w:rFonts w:hint="eastAsia"/>
                <w:color w:val="auto"/>
                <w:highlight w:val="none"/>
              </w:rPr>
            </w:pPr>
            <w:r>
              <w:rPr>
                <w:rFonts w:hint="eastAsia"/>
                <w:color w:val="auto"/>
                <w:highlight w:val="none"/>
                <w:lang w:eastAsia="zh-CN"/>
              </w:rPr>
              <w:t>项目内部</w:t>
            </w:r>
            <w:r>
              <w:rPr>
                <w:rFonts w:hint="eastAsia"/>
                <w:color w:val="auto"/>
                <w:highlight w:val="none"/>
              </w:rPr>
              <w:t>综合能源站卸油、油罐贮存、加油机加油过程中有少量油品挥发产生，主要污染物为非甲烷总烃。其厂区内浓度执行《挥发性有机物无组织排放控制标准》（GB37822-2019）表A.1标准限值；</w:t>
            </w:r>
            <w:r>
              <w:rPr>
                <w:rFonts w:hint="eastAsia"/>
                <w:color w:val="auto"/>
                <w:highlight w:val="none"/>
                <w:lang w:eastAsia="zh-CN"/>
              </w:rPr>
              <w:t>经三次油气回收装置收集后的油气</w:t>
            </w:r>
            <w:r>
              <w:rPr>
                <w:rFonts w:hint="eastAsia"/>
                <w:color w:val="auto"/>
                <w:highlight w:val="none"/>
              </w:rPr>
              <w:t>执行《加油站大气污染物排放标准》（GB20952-2020）</w:t>
            </w:r>
            <w:r>
              <w:rPr>
                <w:rFonts w:hint="eastAsia"/>
                <w:color w:val="auto"/>
                <w:highlight w:val="none"/>
                <w:lang w:eastAsia="zh-CN"/>
              </w:rPr>
              <w:t>，</w:t>
            </w:r>
            <w:r>
              <w:rPr>
                <w:rFonts w:hint="eastAsia"/>
                <w:color w:val="auto"/>
                <w:highlight w:val="none"/>
              </w:rPr>
              <w:t>非甲烷总烃厂界浓度无组织排放执行《加油站大气污染物排放标准》（GB20952-2020）表3中限值</w:t>
            </w:r>
            <w:r>
              <w:rPr>
                <w:rFonts w:hint="eastAsia"/>
                <w:color w:val="auto"/>
                <w:highlight w:val="none"/>
                <w:lang w:eastAsia="zh-CN"/>
              </w:rPr>
              <w:t>；</w:t>
            </w:r>
            <w:r>
              <w:rPr>
                <w:rFonts w:hint="eastAsia" w:ascii="Times New Roman" w:hAnsi="Times New Roman"/>
                <w:color w:val="auto"/>
                <w:sz w:val="24"/>
                <w:szCs w:val="24"/>
                <w:highlight w:val="none"/>
              </w:rPr>
              <w:t>尿素加注工序产生的氨、臭气浓度执行《恶臭污染物排放标准》（GB14554-93）表1厂界标准限值。</w:t>
            </w:r>
          </w:p>
          <w:p w14:paraId="0CF7AD08">
            <w:pPr>
              <w:ind w:firstLine="480" w:firstLineChars="200"/>
              <w:rPr>
                <w:color w:val="auto"/>
                <w:highlight w:val="none"/>
              </w:rPr>
            </w:pPr>
            <w:r>
              <w:rPr>
                <w:rFonts w:hint="eastAsia"/>
                <w:color w:val="auto"/>
                <w:highlight w:val="none"/>
                <w:lang w:eastAsia="zh-CN"/>
              </w:rPr>
              <w:t>智慧货运服务中心</w:t>
            </w:r>
            <w:r>
              <w:rPr>
                <w:rFonts w:hint="eastAsia"/>
                <w:color w:val="auto"/>
                <w:highlight w:val="none"/>
              </w:rPr>
              <w:t>内厨房设置6个基准灶头，产生</w:t>
            </w:r>
            <w:r>
              <w:rPr>
                <w:rFonts w:hint="eastAsia"/>
                <w:color w:val="auto"/>
                <w:highlight w:val="none"/>
                <w:lang w:eastAsia="zh-CN"/>
              </w:rPr>
              <w:t>的</w:t>
            </w:r>
            <w:r>
              <w:rPr>
                <w:rFonts w:hint="eastAsia"/>
                <w:color w:val="auto"/>
                <w:highlight w:val="none"/>
              </w:rPr>
              <w:t>餐饮油烟</w:t>
            </w:r>
            <w:r>
              <w:rPr>
                <w:rFonts w:hint="eastAsia"/>
                <w:color w:val="auto"/>
                <w:highlight w:val="none"/>
                <w:lang w:eastAsia="zh-CN"/>
              </w:rPr>
              <w:t>排放</w:t>
            </w:r>
            <w:r>
              <w:rPr>
                <w:rFonts w:hint="eastAsia"/>
                <w:color w:val="auto"/>
                <w:highlight w:val="none"/>
              </w:rPr>
              <w:t>执行《饮食业油烟排放标准（试行）》（GB18483-2001）大型标准要求。</w:t>
            </w:r>
          </w:p>
          <w:p w14:paraId="7EFD657C">
            <w:pPr>
              <w:ind w:firstLine="480" w:firstLineChars="200"/>
              <w:rPr>
                <w:rFonts w:hint="eastAsia"/>
                <w:color w:val="auto"/>
                <w:highlight w:val="none"/>
              </w:rPr>
            </w:pPr>
            <w:r>
              <w:rPr>
                <w:rFonts w:hint="eastAsia"/>
                <w:color w:val="auto"/>
                <w:highlight w:val="none"/>
                <w:lang w:eastAsia="zh-CN"/>
              </w:rPr>
              <w:t>智慧货运维修中心</w:t>
            </w:r>
            <w:r>
              <w:rPr>
                <w:rFonts w:hint="eastAsia"/>
                <w:color w:val="auto"/>
                <w:highlight w:val="none"/>
              </w:rPr>
              <w:t>维修过程中产生的焊接烟尘，主要污染物为颗粒物，经移动式焊烟净化器处理后以无组织形式排放，排放执行《大气污染物综合排放标准》（GB16297-1996）中无组织排放监控浓度限值。详见下表。</w:t>
            </w:r>
          </w:p>
          <w:p w14:paraId="5E9691CD">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rPr>
              <w:t xml:space="preserve"> 《加油站大气污染物排放标准》（GB20952-2020）</w:t>
            </w:r>
          </w:p>
          <w:p w14:paraId="63328227">
            <w:pPr>
              <w:wordWrap w:val="0"/>
              <w:spacing w:line="240" w:lineRule="auto"/>
              <w:jc w:val="right"/>
              <w:rPr>
                <w:color w:val="auto"/>
                <w:highlight w:val="none"/>
              </w:rPr>
            </w:pPr>
            <w:r>
              <w:rPr>
                <w:rFonts w:hint="eastAsia"/>
                <w:color w:val="auto"/>
                <w:sz w:val="21"/>
                <w:szCs w:val="21"/>
                <w:highlight w:val="none"/>
              </w:rPr>
              <w:t>单位：mg/m</w:t>
            </w:r>
            <w:r>
              <w:rPr>
                <w:rFonts w:hint="eastAsia"/>
                <w:color w:val="auto"/>
                <w:sz w:val="21"/>
                <w:szCs w:val="21"/>
                <w:highlight w:val="none"/>
                <w:vertAlign w:val="superscript"/>
              </w:rPr>
              <w:t xml:space="preserve">3 </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3214"/>
              <w:gridCol w:w="1186"/>
              <w:gridCol w:w="2258"/>
            </w:tblGrid>
            <w:tr w14:paraId="274F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Align w:val="center"/>
                </w:tcPr>
                <w:p w14:paraId="2F2E654A">
                  <w:pPr>
                    <w:pStyle w:val="30"/>
                    <w:rPr>
                      <w:rFonts w:hint="eastAsia" w:eastAsia="宋体"/>
                      <w:b/>
                      <w:bCs/>
                      <w:color w:val="auto"/>
                      <w:highlight w:val="none"/>
                      <w:lang w:eastAsia="zh-CN"/>
                    </w:rPr>
                  </w:pPr>
                  <w:r>
                    <w:rPr>
                      <w:rFonts w:hint="eastAsia"/>
                      <w:b/>
                      <w:bCs/>
                      <w:color w:val="auto"/>
                      <w:highlight w:val="none"/>
                      <w:lang w:eastAsia="zh-CN"/>
                    </w:rPr>
                    <w:t>污染物</w:t>
                  </w:r>
                </w:p>
              </w:tc>
              <w:tc>
                <w:tcPr>
                  <w:tcW w:w="3214" w:type="dxa"/>
                  <w:vAlign w:val="center"/>
                </w:tcPr>
                <w:p w14:paraId="1B35E559">
                  <w:pPr>
                    <w:pStyle w:val="30"/>
                    <w:rPr>
                      <w:rFonts w:hint="eastAsia" w:eastAsia="宋体"/>
                      <w:b/>
                      <w:bCs/>
                      <w:color w:val="auto"/>
                      <w:highlight w:val="none"/>
                      <w:lang w:eastAsia="zh-CN"/>
                    </w:rPr>
                  </w:pPr>
                  <w:r>
                    <w:rPr>
                      <w:rFonts w:hint="eastAsia"/>
                      <w:b/>
                      <w:bCs/>
                      <w:color w:val="auto"/>
                      <w:highlight w:val="none"/>
                      <w:lang w:eastAsia="zh-CN"/>
                    </w:rPr>
                    <w:t>最高允许排放浓度（</w:t>
                  </w:r>
                  <w:r>
                    <w:rPr>
                      <w:rFonts w:hint="eastAsia"/>
                      <w:b/>
                      <w:bCs/>
                      <w:color w:val="auto"/>
                      <w:highlight w:val="none"/>
                      <w:lang w:val="en-US" w:eastAsia="zh-CN"/>
                    </w:rPr>
                    <w:t>g/m</w:t>
                  </w:r>
                  <w:r>
                    <w:rPr>
                      <w:rFonts w:hint="eastAsia"/>
                      <w:b/>
                      <w:bCs/>
                      <w:color w:val="auto"/>
                      <w:highlight w:val="none"/>
                      <w:vertAlign w:val="superscript"/>
                      <w:lang w:val="en-US" w:eastAsia="zh-CN"/>
                    </w:rPr>
                    <w:t>3</w:t>
                  </w:r>
                  <w:r>
                    <w:rPr>
                      <w:rFonts w:hint="eastAsia"/>
                      <w:b/>
                      <w:bCs/>
                      <w:color w:val="auto"/>
                      <w:highlight w:val="none"/>
                      <w:lang w:eastAsia="zh-CN"/>
                    </w:rPr>
                    <w:t>）</w:t>
                  </w:r>
                </w:p>
              </w:tc>
              <w:tc>
                <w:tcPr>
                  <w:tcW w:w="3444" w:type="dxa"/>
                  <w:gridSpan w:val="2"/>
                  <w:vAlign w:val="center"/>
                </w:tcPr>
                <w:p w14:paraId="681CD28A">
                  <w:pPr>
                    <w:pStyle w:val="30"/>
                    <w:rPr>
                      <w:rFonts w:hint="eastAsia" w:eastAsia="宋体"/>
                      <w:b/>
                      <w:bCs/>
                      <w:color w:val="auto"/>
                      <w:highlight w:val="none"/>
                      <w:lang w:eastAsia="zh-CN"/>
                    </w:rPr>
                  </w:pPr>
                  <w:r>
                    <w:rPr>
                      <w:rFonts w:hint="eastAsia"/>
                      <w:b/>
                      <w:bCs/>
                      <w:color w:val="auto"/>
                      <w:highlight w:val="none"/>
                      <w:lang w:eastAsia="zh-CN"/>
                    </w:rPr>
                    <w:t>排放口距地平面高度（</w:t>
                  </w:r>
                  <w:r>
                    <w:rPr>
                      <w:rFonts w:hint="eastAsia"/>
                      <w:b/>
                      <w:bCs/>
                      <w:color w:val="auto"/>
                      <w:highlight w:val="none"/>
                      <w:lang w:val="en-US" w:eastAsia="zh-CN"/>
                    </w:rPr>
                    <w:t>m</w:t>
                  </w:r>
                  <w:r>
                    <w:rPr>
                      <w:rFonts w:hint="eastAsia"/>
                      <w:b/>
                      <w:bCs/>
                      <w:color w:val="auto"/>
                      <w:highlight w:val="none"/>
                      <w:lang w:eastAsia="zh-CN"/>
                    </w:rPr>
                    <w:t>）</w:t>
                  </w:r>
                </w:p>
              </w:tc>
            </w:tr>
            <w:tr w14:paraId="68D8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6" w:type="dxa"/>
                  <w:vAlign w:val="center"/>
                </w:tcPr>
                <w:p w14:paraId="2D043984">
                  <w:pPr>
                    <w:pStyle w:val="30"/>
                    <w:rPr>
                      <w:rFonts w:hint="eastAsia" w:eastAsia="宋体"/>
                      <w:color w:val="auto"/>
                      <w:highlight w:val="none"/>
                      <w:lang w:eastAsia="zh-CN"/>
                    </w:rPr>
                  </w:pPr>
                  <w:r>
                    <w:rPr>
                      <w:rFonts w:hint="eastAsia"/>
                      <w:color w:val="auto"/>
                      <w:highlight w:val="none"/>
                    </w:rPr>
                    <w:t>非甲烷总烃</w:t>
                  </w:r>
                  <w:r>
                    <w:rPr>
                      <w:rFonts w:hint="eastAsia"/>
                      <w:color w:val="auto"/>
                      <w:highlight w:val="none"/>
                      <w:lang w:eastAsia="zh-CN"/>
                    </w:rPr>
                    <w:t>（有组织）</w:t>
                  </w:r>
                </w:p>
              </w:tc>
              <w:tc>
                <w:tcPr>
                  <w:tcW w:w="3214" w:type="dxa"/>
                  <w:vAlign w:val="center"/>
                </w:tcPr>
                <w:p w14:paraId="4358F5A5">
                  <w:pPr>
                    <w:pStyle w:val="30"/>
                    <w:rPr>
                      <w:rFonts w:hint="default" w:eastAsia="宋体"/>
                      <w:color w:val="auto"/>
                      <w:highlight w:val="none"/>
                      <w:lang w:val="en-US" w:eastAsia="zh-CN"/>
                    </w:rPr>
                  </w:pPr>
                  <w:r>
                    <w:rPr>
                      <w:rFonts w:hint="eastAsia"/>
                      <w:color w:val="auto"/>
                      <w:highlight w:val="none"/>
                      <w:lang w:val="en-US" w:eastAsia="zh-CN"/>
                    </w:rPr>
                    <w:t>25（标准状态）</w:t>
                  </w:r>
                </w:p>
              </w:tc>
              <w:tc>
                <w:tcPr>
                  <w:tcW w:w="3444" w:type="dxa"/>
                  <w:gridSpan w:val="2"/>
                  <w:vAlign w:val="center"/>
                </w:tcPr>
                <w:p w14:paraId="212AEB74">
                  <w:pPr>
                    <w:pStyle w:val="3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4</w:t>
                  </w:r>
                </w:p>
              </w:tc>
            </w:tr>
            <w:tr w14:paraId="4393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shd w:val="clear" w:color="auto" w:fill="auto"/>
                  <w:vAlign w:val="center"/>
                </w:tcPr>
                <w:p w14:paraId="2CE67035">
                  <w:pPr>
                    <w:pStyle w:val="30"/>
                    <w:rPr>
                      <w:rFonts w:hint="eastAsia" w:ascii="Times New Roman" w:hAnsi="Times New Roman" w:eastAsia="宋体" w:cs="Times New Roman"/>
                      <w:b/>
                      <w:bCs/>
                      <w:color w:val="auto"/>
                      <w:kern w:val="0"/>
                      <w:sz w:val="18"/>
                      <w:szCs w:val="18"/>
                      <w:highlight w:val="none"/>
                      <w:lang w:val="en-US" w:eastAsia="zh-CN" w:bidi="ar-SA"/>
                    </w:rPr>
                  </w:pPr>
                  <w:r>
                    <w:rPr>
                      <w:rFonts w:hint="eastAsia"/>
                      <w:b/>
                      <w:bCs/>
                      <w:color w:val="auto"/>
                      <w:highlight w:val="none"/>
                    </w:rPr>
                    <w:t>污染物</w:t>
                  </w:r>
                </w:p>
              </w:tc>
              <w:tc>
                <w:tcPr>
                  <w:tcW w:w="3214" w:type="dxa"/>
                  <w:shd w:val="clear" w:color="auto" w:fill="auto"/>
                  <w:vAlign w:val="center"/>
                </w:tcPr>
                <w:p w14:paraId="43821550">
                  <w:pPr>
                    <w:pStyle w:val="30"/>
                    <w:rPr>
                      <w:rFonts w:hint="eastAsia" w:ascii="Times New Roman" w:hAnsi="Times New Roman" w:eastAsia="宋体" w:cs="Times New Roman"/>
                      <w:b/>
                      <w:bCs/>
                      <w:color w:val="auto"/>
                      <w:kern w:val="0"/>
                      <w:sz w:val="18"/>
                      <w:szCs w:val="18"/>
                      <w:highlight w:val="none"/>
                      <w:lang w:val="en-US" w:eastAsia="zh-CN" w:bidi="ar-SA"/>
                    </w:rPr>
                  </w:pPr>
                  <w:r>
                    <w:rPr>
                      <w:b/>
                      <w:bCs/>
                      <w:color w:val="auto"/>
                      <w:highlight w:val="none"/>
                    </w:rPr>
                    <w:t>排放限值</w:t>
                  </w:r>
                  <w:r>
                    <w:rPr>
                      <w:rFonts w:hint="eastAsia"/>
                      <w:b/>
                      <w:bCs/>
                      <w:color w:val="auto"/>
                      <w:highlight w:val="none"/>
                    </w:rPr>
                    <w:t>（</w:t>
                  </w:r>
                  <w:r>
                    <w:rPr>
                      <w:b/>
                      <w:bCs/>
                      <w:color w:val="auto"/>
                      <w:highlight w:val="none"/>
                    </w:rPr>
                    <w:t>mg/m</w:t>
                  </w:r>
                  <w:r>
                    <w:rPr>
                      <w:b/>
                      <w:bCs/>
                      <w:color w:val="auto"/>
                      <w:highlight w:val="none"/>
                      <w:vertAlign w:val="superscript"/>
                    </w:rPr>
                    <w:t>3</w:t>
                  </w:r>
                  <w:r>
                    <w:rPr>
                      <w:rFonts w:hint="eastAsia"/>
                      <w:b/>
                      <w:bCs/>
                      <w:color w:val="auto"/>
                      <w:highlight w:val="none"/>
                    </w:rPr>
                    <w:t>）</w:t>
                  </w:r>
                </w:p>
              </w:tc>
              <w:tc>
                <w:tcPr>
                  <w:tcW w:w="1186" w:type="dxa"/>
                  <w:shd w:val="clear" w:color="auto" w:fill="auto"/>
                  <w:vAlign w:val="center"/>
                </w:tcPr>
                <w:p w14:paraId="7232D884">
                  <w:pPr>
                    <w:pStyle w:val="30"/>
                    <w:rPr>
                      <w:rFonts w:ascii="Times New Roman" w:hAnsi="Times New Roman" w:eastAsia="宋体" w:cs="Times New Roman"/>
                      <w:b/>
                      <w:bCs/>
                      <w:color w:val="auto"/>
                      <w:kern w:val="0"/>
                      <w:sz w:val="18"/>
                      <w:szCs w:val="18"/>
                      <w:highlight w:val="none"/>
                      <w:lang w:val="en-US" w:eastAsia="zh-CN" w:bidi="ar-SA"/>
                    </w:rPr>
                  </w:pPr>
                  <w:r>
                    <w:rPr>
                      <w:rFonts w:hint="eastAsia"/>
                      <w:b/>
                      <w:bCs/>
                      <w:color w:val="auto"/>
                      <w:highlight w:val="none"/>
                    </w:rPr>
                    <w:t>限值含义</w:t>
                  </w:r>
                </w:p>
              </w:tc>
              <w:tc>
                <w:tcPr>
                  <w:tcW w:w="2258" w:type="dxa"/>
                  <w:shd w:val="clear" w:color="auto" w:fill="auto"/>
                  <w:vAlign w:val="center"/>
                </w:tcPr>
                <w:p w14:paraId="1BF5D41D">
                  <w:pPr>
                    <w:pStyle w:val="30"/>
                    <w:rPr>
                      <w:rFonts w:hint="eastAsia" w:ascii="Times New Roman" w:hAnsi="Times New Roman" w:eastAsia="宋体" w:cs="Times New Roman"/>
                      <w:b/>
                      <w:bCs/>
                      <w:color w:val="auto"/>
                      <w:kern w:val="0"/>
                      <w:sz w:val="18"/>
                      <w:szCs w:val="18"/>
                      <w:highlight w:val="none"/>
                      <w:lang w:val="en-US" w:eastAsia="zh-CN" w:bidi="ar-SA"/>
                    </w:rPr>
                  </w:pPr>
                  <w:r>
                    <w:rPr>
                      <w:rFonts w:hint="eastAsia"/>
                      <w:b/>
                      <w:bCs/>
                      <w:color w:val="auto"/>
                      <w:highlight w:val="none"/>
                    </w:rPr>
                    <w:t>无组织排放监控位置</w:t>
                  </w:r>
                </w:p>
              </w:tc>
            </w:tr>
            <w:tr w14:paraId="10E9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shd w:val="clear" w:color="auto" w:fill="auto"/>
                  <w:vAlign w:val="center"/>
                </w:tcPr>
                <w:p w14:paraId="106425B0">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非甲烷总烃</w:t>
                  </w:r>
                  <w:r>
                    <w:rPr>
                      <w:rFonts w:hint="eastAsia"/>
                      <w:color w:val="auto"/>
                      <w:highlight w:val="none"/>
                      <w:lang w:eastAsia="zh-CN"/>
                    </w:rPr>
                    <w:t>（无组织）</w:t>
                  </w:r>
                </w:p>
              </w:tc>
              <w:tc>
                <w:tcPr>
                  <w:tcW w:w="3214" w:type="dxa"/>
                  <w:shd w:val="clear" w:color="auto" w:fill="auto"/>
                  <w:vAlign w:val="center"/>
                </w:tcPr>
                <w:p w14:paraId="7AFE8668">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4.0</w:t>
                  </w:r>
                </w:p>
              </w:tc>
              <w:tc>
                <w:tcPr>
                  <w:tcW w:w="1186" w:type="dxa"/>
                  <w:shd w:val="clear" w:color="auto" w:fill="auto"/>
                  <w:vAlign w:val="center"/>
                </w:tcPr>
                <w:p w14:paraId="0629939E">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监控点处1h平均浓度</w:t>
                  </w:r>
                </w:p>
              </w:tc>
              <w:tc>
                <w:tcPr>
                  <w:tcW w:w="2258" w:type="dxa"/>
                  <w:shd w:val="clear" w:color="auto" w:fill="auto"/>
                  <w:vAlign w:val="center"/>
                </w:tcPr>
                <w:p w14:paraId="7800EAEE">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参照HJ/T55规定</w:t>
                  </w:r>
                </w:p>
              </w:tc>
            </w:tr>
          </w:tbl>
          <w:p w14:paraId="1A94C009">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11</w:t>
            </w:r>
            <w:r>
              <w:rPr>
                <w:color w:val="auto"/>
                <w:highlight w:val="none"/>
              </w:rPr>
              <w:fldChar w:fldCharType="end"/>
            </w:r>
            <w:r>
              <w:rPr>
                <w:rFonts w:hint="eastAsia"/>
                <w:color w:val="auto"/>
                <w:highlight w:val="none"/>
              </w:rPr>
              <w:t xml:space="preserve"> 《挥发性有机物无组织排放控制标准》（GB37822-2019）</w:t>
            </w:r>
          </w:p>
          <w:p w14:paraId="53DA9BC7">
            <w:pPr>
              <w:wordWrap w:val="0"/>
              <w:spacing w:line="240" w:lineRule="auto"/>
              <w:jc w:val="right"/>
              <w:rPr>
                <w:color w:val="auto"/>
                <w:sz w:val="21"/>
                <w:szCs w:val="21"/>
                <w:highlight w:val="none"/>
              </w:rPr>
            </w:pPr>
            <w:r>
              <w:rPr>
                <w:rFonts w:hint="eastAsia"/>
                <w:color w:val="auto"/>
                <w:sz w:val="21"/>
                <w:szCs w:val="21"/>
                <w:highlight w:val="none"/>
              </w:rPr>
              <w:t>单位：mg/m</w:t>
            </w:r>
            <w:r>
              <w:rPr>
                <w:rFonts w:hint="eastAsia"/>
                <w:color w:val="auto"/>
                <w:sz w:val="21"/>
                <w:szCs w:val="21"/>
                <w:highlight w:val="none"/>
                <w:vertAlign w:val="superscript"/>
              </w:rPr>
              <w:t xml:space="preserve">3 </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1328"/>
              <w:gridCol w:w="1328"/>
              <w:gridCol w:w="1328"/>
              <w:gridCol w:w="1328"/>
            </w:tblGrid>
            <w:tr w14:paraId="2BD7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37B6BB5">
                  <w:pPr>
                    <w:pStyle w:val="30"/>
                    <w:rPr>
                      <w:b/>
                      <w:bCs/>
                      <w:color w:val="auto"/>
                      <w:highlight w:val="none"/>
                    </w:rPr>
                  </w:pPr>
                  <w:r>
                    <w:rPr>
                      <w:rFonts w:hint="eastAsia"/>
                      <w:b/>
                      <w:bCs/>
                      <w:color w:val="auto"/>
                      <w:highlight w:val="none"/>
                    </w:rPr>
                    <w:t>污染物名称</w:t>
                  </w:r>
                </w:p>
              </w:tc>
              <w:tc>
                <w:tcPr>
                  <w:tcW w:w="340" w:type="dxa"/>
                  <w:vAlign w:val="center"/>
                </w:tcPr>
                <w:p w14:paraId="55B69668">
                  <w:pPr>
                    <w:pStyle w:val="30"/>
                    <w:rPr>
                      <w:rFonts w:hint="eastAsia" w:eastAsia="宋体"/>
                      <w:b/>
                      <w:bCs/>
                      <w:color w:val="auto"/>
                      <w:highlight w:val="none"/>
                      <w:lang w:eastAsia="zh-CN"/>
                    </w:rPr>
                  </w:pPr>
                  <w:r>
                    <w:rPr>
                      <w:rFonts w:hint="eastAsia"/>
                      <w:b/>
                      <w:bCs/>
                      <w:color w:val="auto"/>
                      <w:highlight w:val="none"/>
                    </w:rPr>
                    <w:t>排放限</w:t>
                  </w:r>
                  <w:r>
                    <w:rPr>
                      <w:rFonts w:hint="eastAsia"/>
                      <w:b/>
                      <w:bCs/>
                      <w:color w:val="auto"/>
                      <w:highlight w:val="none"/>
                      <w:lang w:eastAsia="zh-CN"/>
                    </w:rPr>
                    <w:t>值</w:t>
                  </w:r>
                </w:p>
              </w:tc>
              <w:tc>
                <w:tcPr>
                  <w:tcW w:w="340" w:type="dxa"/>
                  <w:vAlign w:val="center"/>
                </w:tcPr>
                <w:p w14:paraId="02099F54">
                  <w:pPr>
                    <w:pStyle w:val="30"/>
                    <w:rPr>
                      <w:rFonts w:hint="eastAsia" w:eastAsia="宋体"/>
                      <w:b/>
                      <w:bCs/>
                      <w:color w:val="auto"/>
                      <w:highlight w:val="none"/>
                      <w:lang w:eastAsia="zh-CN"/>
                    </w:rPr>
                  </w:pPr>
                  <w:r>
                    <w:rPr>
                      <w:rFonts w:hint="eastAsia"/>
                      <w:b/>
                      <w:bCs/>
                      <w:color w:val="auto"/>
                      <w:highlight w:val="none"/>
                    </w:rPr>
                    <w:t>特别排放限</w:t>
                  </w:r>
                  <w:r>
                    <w:rPr>
                      <w:rFonts w:hint="eastAsia"/>
                      <w:b/>
                      <w:bCs/>
                      <w:color w:val="auto"/>
                      <w:highlight w:val="none"/>
                      <w:lang w:eastAsia="zh-CN"/>
                    </w:rPr>
                    <w:t>值</w:t>
                  </w:r>
                </w:p>
              </w:tc>
              <w:tc>
                <w:tcPr>
                  <w:tcW w:w="340" w:type="dxa"/>
                  <w:vAlign w:val="center"/>
                </w:tcPr>
                <w:p w14:paraId="50333D5A">
                  <w:pPr>
                    <w:pStyle w:val="30"/>
                    <w:rPr>
                      <w:b/>
                      <w:bCs/>
                      <w:color w:val="auto"/>
                      <w:highlight w:val="none"/>
                    </w:rPr>
                  </w:pPr>
                  <w:r>
                    <w:rPr>
                      <w:rFonts w:hint="eastAsia"/>
                      <w:b/>
                      <w:bCs/>
                      <w:color w:val="auto"/>
                      <w:highlight w:val="none"/>
                    </w:rPr>
                    <w:t>限制含义</w:t>
                  </w:r>
                </w:p>
              </w:tc>
              <w:tc>
                <w:tcPr>
                  <w:tcW w:w="340" w:type="dxa"/>
                  <w:vAlign w:val="center"/>
                </w:tcPr>
                <w:p w14:paraId="47815727">
                  <w:pPr>
                    <w:pStyle w:val="30"/>
                    <w:rPr>
                      <w:b/>
                      <w:bCs/>
                      <w:color w:val="auto"/>
                      <w:highlight w:val="none"/>
                    </w:rPr>
                  </w:pPr>
                  <w:r>
                    <w:rPr>
                      <w:rFonts w:hint="eastAsia"/>
                      <w:b/>
                      <w:bCs/>
                      <w:color w:val="auto"/>
                      <w:highlight w:val="none"/>
                    </w:rPr>
                    <w:t>无组织排放监控位置</w:t>
                  </w:r>
                </w:p>
              </w:tc>
            </w:tr>
            <w:tr w14:paraId="3CA7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5E23C0FF">
                  <w:pPr>
                    <w:pStyle w:val="30"/>
                    <w:rPr>
                      <w:color w:val="auto"/>
                      <w:highlight w:val="none"/>
                    </w:rPr>
                  </w:pPr>
                  <w:r>
                    <w:rPr>
                      <w:color w:val="auto"/>
                      <w:highlight w:val="none"/>
                    </w:rPr>
                    <w:t>NMHC</w:t>
                  </w:r>
                </w:p>
              </w:tc>
              <w:tc>
                <w:tcPr>
                  <w:tcW w:w="340" w:type="dxa"/>
                  <w:vAlign w:val="center"/>
                </w:tcPr>
                <w:p w14:paraId="47D43B5D">
                  <w:pPr>
                    <w:pStyle w:val="30"/>
                    <w:rPr>
                      <w:color w:val="auto"/>
                      <w:highlight w:val="none"/>
                    </w:rPr>
                  </w:pPr>
                  <w:r>
                    <w:rPr>
                      <w:color w:val="auto"/>
                      <w:highlight w:val="none"/>
                    </w:rPr>
                    <w:t>10</w:t>
                  </w:r>
                </w:p>
              </w:tc>
              <w:tc>
                <w:tcPr>
                  <w:tcW w:w="340" w:type="dxa"/>
                  <w:vAlign w:val="center"/>
                </w:tcPr>
                <w:p w14:paraId="4D289677">
                  <w:pPr>
                    <w:pStyle w:val="30"/>
                    <w:rPr>
                      <w:color w:val="auto"/>
                      <w:highlight w:val="none"/>
                    </w:rPr>
                  </w:pPr>
                  <w:r>
                    <w:rPr>
                      <w:color w:val="auto"/>
                      <w:highlight w:val="none"/>
                    </w:rPr>
                    <w:t>6</w:t>
                  </w:r>
                </w:p>
              </w:tc>
              <w:tc>
                <w:tcPr>
                  <w:tcW w:w="340" w:type="dxa"/>
                  <w:vAlign w:val="center"/>
                </w:tcPr>
                <w:p w14:paraId="072892D3">
                  <w:pPr>
                    <w:pStyle w:val="30"/>
                    <w:rPr>
                      <w:color w:val="auto"/>
                      <w:highlight w:val="none"/>
                    </w:rPr>
                  </w:pPr>
                  <w:r>
                    <w:rPr>
                      <w:rFonts w:hint="eastAsia"/>
                      <w:color w:val="auto"/>
                      <w:highlight w:val="none"/>
                    </w:rPr>
                    <w:t>监控点处1h平均浓度值</w:t>
                  </w:r>
                </w:p>
              </w:tc>
              <w:tc>
                <w:tcPr>
                  <w:tcW w:w="340" w:type="dxa"/>
                  <w:vMerge w:val="restart"/>
                  <w:vAlign w:val="center"/>
                </w:tcPr>
                <w:p w14:paraId="3EC843BA">
                  <w:pPr>
                    <w:pStyle w:val="30"/>
                    <w:rPr>
                      <w:color w:val="auto"/>
                      <w:highlight w:val="none"/>
                    </w:rPr>
                  </w:pPr>
                  <w:r>
                    <w:rPr>
                      <w:rFonts w:hint="eastAsia"/>
                      <w:color w:val="auto"/>
                      <w:highlight w:val="none"/>
                    </w:rPr>
                    <w:t>在厂房外设置监控点</w:t>
                  </w:r>
                </w:p>
              </w:tc>
            </w:tr>
            <w:tr w14:paraId="7FF0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315D5C6B">
                  <w:pPr>
                    <w:pStyle w:val="30"/>
                    <w:rPr>
                      <w:color w:val="auto"/>
                      <w:highlight w:val="none"/>
                    </w:rPr>
                  </w:pPr>
                </w:p>
              </w:tc>
              <w:tc>
                <w:tcPr>
                  <w:tcW w:w="340" w:type="dxa"/>
                  <w:vAlign w:val="center"/>
                </w:tcPr>
                <w:p w14:paraId="04379854">
                  <w:pPr>
                    <w:pStyle w:val="30"/>
                    <w:rPr>
                      <w:color w:val="auto"/>
                      <w:highlight w:val="none"/>
                    </w:rPr>
                  </w:pPr>
                  <w:r>
                    <w:rPr>
                      <w:color w:val="auto"/>
                      <w:highlight w:val="none"/>
                    </w:rPr>
                    <w:t>30</w:t>
                  </w:r>
                </w:p>
              </w:tc>
              <w:tc>
                <w:tcPr>
                  <w:tcW w:w="340" w:type="dxa"/>
                  <w:vAlign w:val="center"/>
                </w:tcPr>
                <w:p w14:paraId="4542301C">
                  <w:pPr>
                    <w:pStyle w:val="30"/>
                    <w:rPr>
                      <w:color w:val="auto"/>
                      <w:highlight w:val="none"/>
                    </w:rPr>
                  </w:pPr>
                  <w:r>
                    <w:rPr>
                      <w:color w:val="auto"/>
                      <w:highlight w:val="none"/>
                    </w:rPr>
                    <w:t>20</w:t>
                  </w:r>
                </w:p>
              </w:tc>
              <w:tc>
                <w:tcPr>
                  <w:tcW w:w="340" w:type="dxa"/>
                  <w:vAlign w:val="center"/>
                </w:tcPr>
                <w:p w14:paraId="02BAA06B">
                  <w:pPr>
                    <w:pStyle w:val="30"/>
                    <w:rPr>
                      <w:color w:val="auto"/>
                      <w:highlight w:val="none"/>
                    </w:rPr>
                  </w:pPr>
                  <w:r>
                    <w:rPr>
                      <w:rFonts w:hint="eastAsia"/>
                      <w:color w:val="auto"/>
                      <w:highlight w:val="none"/>
                    </w:rPr>
                    <w:t>监控点处任意一次浓度值</w:t>
                  </w:r>
                </w:p>
              </w:tc>
              <w:tc>
                <w:tcPr>
                  <w:tcW w:w="340" w:type="dxa"/>
                  <w:vMerge w:val="continue"/>
                  <w:vAlign w:val="center"/>
                </w:tcPr>
                <w:p w14:paraId="005E5E35">
                  <w:pPr>
                    <w:pStyle w:val="30"/>
                    <w:rPr>
                      <w:color w:val="auto"/>
                      <w:highlight w:val="none"/>
                    </w:rPr>
                  </w:pPr>
                </w:p>
              </w:tc>
            </w:tr>
          </w:tbl>
          <w:p w14:paraId="62B34590">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t xml:space="preserve"> 《饮食业油烟排放标准（试行）》（GB18483-2001）</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1386"/>
              <w:gridCol w:w="1386"/>
              <w:gridCol w:w="1387"/>
            </w:tblGrid>
            <w:tr w14:paraId="1076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F316265">
                  <w:pPr>
                    <w:pStyle w:val="30"/>
                    <w:rPr>
                      <w:b/>
                      <w:bCs/>
                      <w:color w:val="auto"/>
                      <w:highlight w:val="none"/>
                    </w:rPr>
                  </w:pPr>
                  <w:r>
                    <w:rPr>
                      <w:rFonts w:hint="eastAsia"/>
                      <w:b/>
                      <w:bCs/>
                      <w:color w:val="auto"/>
                      <w:highlight w:val="none"/>
                    </w:rPr>
                    <w:t>规模</w:t>
                  </w:r>
                </w:p>
              </w:tc>
              <w:tc>
                <w:tcPr>
                  <w:tcW w:w="340" w:type="dxa"/>
                  <w:vAlign w:val="center"/>
                </w:tcPr>
                <w:p w14:paraId="6395114B">
                  <w:pPr>
                    <w:pStyle w:val="30"/>
                    <w:rPr>
                      <w:b/>
                      <w:bCs/>
                      <w:color w:val="auto"/>
                      <w:highlight w:val="none"/>
                    </w:rPr>
                  </w:pPr>
                  <w:r>
                    <w:rPr>
                      <w:rFonts w:hint="eastAsia"/>
                      <w:b/>
                      <w:bCs/>
                      <w:color w:val="auto"/>
                      <w:highlight w:val="none"/>
                    </w:rPr>
                    <w:t>小型</w:t>
                  </w:r>
                </w:p>
              </w:tc>
              <w:tc>
                <w:tcPr>
                  <w:tcW w:w="340" w:type="dxa"/>
                  <w:vAlign w:val="center"/>
                </w:tcPr>
                <w:p w14:paraId="41B00CBD">
                  <w:pPr>
                    <w:pStyle w:val="30"/>
                    <w:rPr>
                      <w:b/>
                      <w:bCs/>
                      <w:color w:val="auto"/>
                      <w:highlight w:val="none"/>
                    </w:rPr>
                  </w:pPr>
                  <w:r>
                    <w:rPr>
                      <w:rFonts w:hint="eastAsia"/>
                      <w:b/>
                      <w:bCs/>
                      <w:color w:val="auto"/>
                      <w:highlight w:val="none"/>
                    </w:rPr>
                    <w:t>中型</w:t>
                  </w:r>
                </w:p>
              </w:tc>
              <w:tc>
                <w:tcPr>
                  <w:tcW w:w="340" w:type="dxa"/>
                  <w:vAlign w:val="center"/>
                </w:tcPr>
                <w:p w14:paraId="21B4FA1D">
                  <w:pPr>
                    <w:pStyle w:val="30"/>
                    <w:rPr>
                      <w:b/>
                      <w:bCs/>
                      <w:color w:val="auto"/>
                      <w:highlight w:val="none"/>
                    </w:rPr>
                  </w:pPr>
                  <w:r>
                    <w:rPr>
                      <w:rFonts w:hint="eastAsia"/>
                      <w:b/>
                      <w:bCs/>
                      <w:color w:val="auto"/>
                      <w:highlight w:val="none"/>
                    </w:rPr>
                    <w:t>大型</w:t>
                  </w:r>
                </w:p>
              </w:tc>
            </w:tr>
            <w:tr w14:paraId="5C18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7391CA4">
                  <w:pPr>
                    <w:pStyle w:val="30"/>
                    <w:rPr>
                      <w:color w:val="auto"/>
                      <w:highlight w:val="none"/>
                    </w:rPr>
                  </w:pPr>
                  <w:r>
                    <w:rPr>
                      <w:rFonts w:hint="eastAsia"/>
                      <w:color w:val="auto"/>
                      <w:highlight w:val="none"/>
                    </w:rPr>
                    <w:t>最高允许排放浓度（mg/m</w:t>
                  </w:r>
                  <w:r>
                    <w:rPr>
                      <w:rFonts w:hint="eastAsia"/>
                      <w:color w:val="auto"/>
                      <w:highlight w:val="none"/>
                      <w:vertAlign w:val="superscript"/>
                    </w:rPr>
                    <w:t>3</w:t>
                  </w:r>
                  <w:r>
                    <w:rPr>
                      <w:rFonts w:hint="eastAsia"/>
                      <w:color w:val="auto"/>
                      <w:highlight w:val="none"/>
                    </w:rPr>
                    <w:t>）</w:t>
                  </w:r>
                </w:p>
              </w:tc>
              <w:tc>
                <w:tcPr>
                  <w:tcW w:w="340" w:type="dxa"/>
                  <w:gridSpan w:val="3"/>
                  <w:vAlign w:val="center"/>
                </w:tcPr>
                <w:p w14:paraId="114A4883">
                  <w:pPr>
                    <w:pStyle w:val="30"/>
                    <w:rPr>
                      <w:color w:val="auto"/>
                      <w:highlight w:val="none"/>
                    </w:rPr>
                  </w:pPr>
                  <w:r>
                    <w:rPr>
                      <w:rFonts w:hint="eastAsia"/>
                      <w:color w:val="auto"/>
                      <w:highlight w:val="none"/>
                    </w:rPr>
                    <w:t>2.0</w:t>
                  </w:r>
                </w:p>
              </w:tc>
            </w:tr>
            <w:tr w14:paraId="55D8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91BF39B">
                  <w:pPr>
                    <w:pStyle w:val="30"/>
                    <w:rPr>
                      <w:color w:val="auto"/>
                      <w:highlight w:val="none"/>
                    </w:rPr>
                  </w:pPr>
                  <w:r>
                    <w:rPr>
                      <w:rFonts w:hint="eastAsia"/>
                      <w:color w:val="auto"/>
                      <w:highlight w:val="none"/>
                    </w:rPr>
                    <w:t>净化设施最低去除效率（％）</w:t>
                  </w:r>
                </w:p>
              </w:tc>
              <w:tc>
                <w:tcPr>
                  <w:tcW w:w="340" w:type="dxa"/>
                  <w:vAlign w:val="center"/>
                </w:tcPr>
                <w:p w14:paraId="1E3A7A42">
                  <w:pPr>
                    <w:pStyle w:val="30"/>
                    <w:rPr>
                      <w:color w:val="auto"/>
                      <w:highlight w:val="none"/>
                    </w:rPr>
                  </w:pPr>
                  <w:r>
                    <w:rPr>
                      <w:rFonts w:hint="eastAsia"/>
                      <w:color w:val="auto"/>
                      <w:highlight w:val="none"/>
                    </w:rPr>
                    <w:t>60</w:t>
                  </w:r>
                </w:p>
              </w:tc>
              <w:tc>
                <w:tcPr>
                  <w:tcW w:w="340" w:type="dxa"/>
                  <w:vAlign w:val="center"/>
                </w:tcPr>
                <w:p w14:paraId="12563C60">
                  <w:pPr>
                    <w:pStyle w:val="30"/>
                    <w:rPr>
                      <w:color w:val="auto"/>
                      <w:highlight w:val="none"/>
                    </w:rPr>
                  </w:pPr>
                  <w:r>
                    <w:rPr>
                      <w:rFonts w:hint="eastAsia"/>
                      <w:color w:val="auto"/>
                      <w:highlight w:val="none"/>
                    </w:rPr>
                    <w:t>75</w:t>
                  </w:r>
                </w:p>
              </w:tc>
              <w:tc>
                <w:tcPr>
                  <w:tcW w:w="340" w:type="dxa"/>
                  <w:vAlign w:val="center"/>
                </w:tcPr>
                <w:p w14:paraId="0565AD65">
                  <w:pPr>
                    <w:pStyle w:val="30"/>
                    <w:rPr>
                      <w:color w:val="auto"/>
                      <w:highlight w:val="none"/>
                    </w:rPr>
                  </w:pPr>
                  <w:r>
                    <w:rPr>
                      <w:rFonts w:hint="eastAsia"/>
                      <w:color w:val="auto"/>
                      <w:highlight w:val="none"/>
                    </w:rPr>
                    <w:t>85</w:t>
                  </w:r>
                </w:p>
              </w:tc>
            </w:tr>
          </w:tbl>
          <w:p w14:paraId="5F1945E8">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t xml:space="preserve"> 《大气污染物综合排放标准》（GB16297-1996）</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5730"/>
            </w:tblGrid>
            <w:tr w14:paraId="264F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E3440C4">
                  <w:pPr>
                    <w:pStyle w:val="30"/>
                    <w:rPr>
                      <w:b/>
                      <w:bCs/>
                      <w:color w:val="auto"/>
                      <w:highlight w:val="none"/>
                    </w:rPr>
                  </w:pPr>
                  <w:r>
                    <w:rPr>
                      <w:rFonts w:hint="eastAsia"/>
                      <w:b/>
                      <w:bCs/>
                      <w:color w:val="auto"/>
                      <w:highlight w:val="none"/>
                    </w:rPr>
                    <w:t>污染物名称</w:t>
                  </w:r>
                </w:p>
              </w:tc>
              <w:tc>
                <w:tcPr>
                  <w:tcW w:w="340" w:type="dxa"/>
                  <w:vAlign w:val="center"/>
                </w:tcPr>
                <w:p w14:paraId="330D867F">
                  <w:pPr>
                    <w:pStyle w:val="30"/>
                    <w:rPr>
                      <w:b/>
                      <w:bCs/>
                      <w:color w:val="auto"/>
                      <w:highlight w:val="none"/>
                    </w:rPr>
                  </w:pPr>
                  <w:r>
                    <w:rPr>
                      <w:rFonts w:hint="eastAsia"/>
                      <w:b/>
                      <w:bCs/>
                      <w:color w:val="auto"/>
                      <w:highlight w:val="none"/>
                    </w:rPr>
                    <w:t>无组织排放浓度限值（mg/m</w:t>
                  </w:r>
                  <w:r>
                    <w:rPr>
                      <w:rFonts w:hint="eastAsia"/>
                      <w:b/>
                      <w:bCs/>
                      <w:color w:val="auto"/>
                      <w:highlight w:val="none"/>
                      <w:vertAlign w:val="superscript"/>
                    </w:rPr>
                    <w:t>3</w:t>
                  </w:r>
                  <w:r>
                    <w:rPr>
                      <w:rFonts w:hint="eastAsia"/>
                      <w:b/>
                      <w:bCs/>
                      <w:color w:val="auto"/>
                      <w:highlight w:val="none"/>
                    </w:rPr>
                    <w:t>）</w:t>
                  </w:r>
                </w:p>
              </w:tc>
            </w:tr>
            <w:tr w14:paraId="27C5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C81A692">
                  <w:pPr>
                    <w:pStyle w:val="30"/>
                    <w:rPr>
                      <w:color w:val="auto"/>
                      <w:highlight w:val="none"/>
                    </w:rPr>
                  </w:pPr>
                  <w:r>
                    <w:rPr>
                      <w:rFonts w:hint="eastAsia"/>
                      <w:color w:val="auto"/>
                      <w:highlight w:val="none"/>
                    </w:rPr>
                    <w:t>颗粒物</w:t>
                  </w:r>
                </w:p>
              </w:tc>
              <w:tc>
                <w:tcPr>
                  <w:tcW w:w="340" w:type="dxa"/>
                  <w:vAlign w:val="center"/>
                </w:tcPr>
                <w:p w14:paraId="21145F1C">
                  <w:pPr>
                    <w:pStyle w:val="30"/>
                    <w:rPr>
                      <w:color w:val="auto"/>
                      <w:highlight w:val="none"/>
                    </w:rPr>
                  </w:pPr>
                  <w:r>
                    <w:rPr>
                      <w:rFonts w:hint="eastAsia"/>
                      <w:color w:val="auto"/>
                      <w:highlight w:val="none"/>
                    </w:rPr>
                    <w:t>1.0</w:t>
                  </w:r>
                </w:p>
              </w:tc>
            </w:tr>
          </w:tbl>
          <w:p w14:paraId="4D041152">
            <w:pPr>
              <w:pStyle w:val="6"/>
              <w:rPr>
                <w:rFonts w:hint="eastAsia" w:eastAsia="宋体"/>
                <w:color w:val="auto"/>
                <w:highlight w:val="none"/>
                <w:lang w:val="en-US" w:eastAsia="zh-CN"/>
              </w:rPr>
            </w:pPr>
            <w:r>
              <w:rPr>
                <w:color w:val="auto"/>
                <w:highlight w:val="none"/>
              </w:rPr>
              <w:t xml:space="preserve">表 </w:t>
            </w:r>
            <w:r>
              <w:rPr>
                <w:rFonts w:hint="eastAsia"/>
                <w:color w:val="auto"/>
                <w:highlight w:val="none"/>
                <w:lang w:val="en-US" w:eastAsia="zh-CN"/>
              </w:rPr>
              <w:t>3</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lang w:val="en-US" w:eastAsia="zh-CN"/>
              </w:rPr>
              <w:t xml:space="preserve"> </w:t>
            </w:r>
            <w:r>
              <w:rPr>
                <w:rFonts w:hint="eastAsia" w:ascii="Times New Roman" w:hAnsi="Times New Roman"/>
                <w:color w:val="auto"/>
                <w:sz w:val="24"/>
                <w:szCs w:val="24"/>
                <w:highlight w:val="none"/>
              </w:rPr>
              <w:t>《恶臭污染物排放标准》（GB14554-93）</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3"/>
              <w:gridCol w:w="2613"/>
              <w:gridCol w:w="2613"/>
            </w:tblGrid>
            <w:tr w14:paraId="6756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3" w:type="dxa"/>
                  <w:shd w:val="clear" w:color="auto" w:fill="auto"/>
                  <w:vAlign w:val="center"/>
                </w:tcPr>
                <w:p w14:paraId="3C5A1876">
                  <w:pPr>
                    <w:pStyle w:val="30"/>
                    <w:bidi w:val="0"/>
                    <w:ind w:left="0" w:leftChars="0" w:right="0" w:rightChars="0" w:firstLine="0" w:firstLineChars="0"/>
                    <w:jc w:val="center"/>
                    <w:rPr>
                      <w:rFonts w:hint="eastAsia"/>
                      <w:b/>
                      <w:bCs/>
                      <w:color w:val="auto"/>
                      <w:highlight w:val="none"/>
                      <w:lang w:val="en-US" w:eastAsia="zh-CN"/>
                    </w:rPr>
                  </w:pPr>
                  <w:r>
                    <w:rPr>
                      <w:rFonts w:hint="eastAsia"/>
                      <w:b/>
                      <w:bCs/>
                      <w:color w:val="auto"/>
                      <w:highlight w:val="none"/>
                    </w:rPr>
                    <w:t>污染物名称</w:t>
                  </w:r>
                </w:p>
              </w:tc>
              <w:tc>
                <w:tcPr>
                  <w:tcW w:w="2613" w:type="dxa"/>
                  <w:shd w:val="clear" w:color="auto" w:fill="auto"/>
                  <w:vAlign w:val="center"/>
                </w:tcPr>
                <w:p w14:paraId="5F869604">
                  <w:pPr>
                    <w:pStyle w:val="30"/>
                    <w:bidi w:val="0"/>
                    <w:ind w:left="0" w:leftChars="0" w:right="0" w:rightChars="0" w:firstLine="0" w:firstLineChars="0"/>
                    <w:jc w:val="center"/>
                    <w:rPr>
                      <w:rFonts w:hint="eastAsia"/>
                      <w:b/>
                      <w:bCs/>
                      <w:color w:val="auto"/>
                      <w:highlight w:val="none"/>
                      <w:lang w:eastAsia="zh-CN"/>
                    </w:rPr>
                  </w:pPr>
                  <w:r>
                    <w:rPr>
                      <w:rFonts w:hint="eastAsia"/>
                      <w:b/>
                      <w:bCs/>
                      <w:color w:val="auto"/>
                      <w:highlight w:val="none"/>
                      <w:lang w:eastAsia="zh-CN"/>
                    </w:rPr>
                    <w:t>单位</w:t>
                  </w:r>
                </w:p>
              </w:tc>
              <w:tc>
                <w:tcPr>
                  <w:tcW w:w="2613" w:type="dxa"/>
                  <w:shd w:val="clear" w:color="auto" w:fill="auto"/>
                  <w:vAlign w:val="center"/>
                </w:tcPr>
                <w:p w14:paraId="30BE1097">
                  <w:pPr>
                    <w:pStyle w:val="30"/>
                    <w:bidi w:val="0"/>
                    <w:ind w:left="0" w:leftChars="0" w:right="0" w:rightChars="0" w:firstLine="0" w:firstLineChars="0"/>
                    <w:jc w:val="center"/>
                    <w:rPr>
                      <w:rFonts w:hint="eastAsia"/>
                      <w:b/>
                      <w:bCs/>
                      <w:color w:val="auto"/>
                      <w:highlight w:val="none"/>
                      <w:lang w:val="en-US" w:eastAsia="zh-CN"/>
                    </w:rPr>
                  </w:pPr>
                  <w:r>
                    <w:rPr>
                      <w:rFonts w:hint="eastAsia"/>
                      <w:b/>
                      <w:bCs/>
                      <w:color w:val="auto"/>
                      <w:highlight w:val="none"/>
                      <w:lang w:eastAsia="zh-CN"/>
                    </w:rPr>
                    <w:t>排放限值</w:t>
                  </w:r>
                </w:p>
              </w:tc>
            </w:tr>
            <w:tr w14:paraId="6E9D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3" w:type="dxa"/>
                  <w:shd w:val="clear" w:color="auto" w:fill="auto"/>
                  <w:vAlign w:val="center"/>
                </w:tcPr>
                <w:p w14:paraId="045EA65B">
                  <w:pPr>
                    <w:pStyle w:val="30"/>
                    <w:bidi w:val="0"/>
                    <w:ind w:left="0" w:leftChars="0" w:right="0" w:rightChars="0" w:firstLine="0" w:firstLineChars="0"/>
                    <w:jc w:val="center"/>
                    <w:rPr>
                      <w:rFonts w:hint="eastAsia"/>
                      <w:color w:val="auto"/>
                      <w:highlight w:val="none"/>
                      <w:lang w:val="en-US" w:eastAsia="zh-CN"/>
                    </w:rPr>
                  </w:pPr>
                  <w:r>
                    <w:rPr>
                      <w:color w:val="auto"/>
                      <w:highlight w:val="none"/>
                    </w:rPr>
                    <w:t>氨</w:t>
                  </w:r>
                </w:p>
              </w:tc>
              <w:tc>
                <w:tcPr>
                  <w:tcW w:w="2613" w:type="dxa"/>
                  <w:shd w:val="clear" w:color="auto" w:fill="auto"/>
                  <w:vAlign w:val="center"/>
                </w:tcPr>
                <w:p w14:paraId="555EF00B">
                  <w:pPr>
                    <w:pStyle w:val="30"/>
                    <w:bidi w:val="0"/>
                    <w:ind w:left="0" w:leftChars="0" w:right="0" w:rightChars="0" w:firstLine="0" w:firstLineChars="0"/>
                    <w:jc w:val="center"/>
                    <w:rPr>
                      <w:rFonts w:hint="eastAsia"/>
                      <w:color w:val="auto"/>
                      <w:highlight w:val="none"/>
                      <w:lang w:val="en-US" w:eastAsia="zh-CN"/>
                    </w:rPr>
                  </w:pPr>
                  <w:r>
                    <w:rPr>
                      <w:color w:val="auto"/>
                      <w:highlight w:val="none"/>
                    </w:rPr>
                    <w:t>mg/m</w:t>
                  </w:r>
                  <w:r>
                    <w:rPr>
                      <w:color w:val="auto"/>
                      <w:highlight w:val="none"/>
                      <w:vertAlign w:val="superscript"/>
                    </w:rPr>
                    <w:t>3</w:t>
                  </w:r>
                </w:p>
              </w:tc>
              <w:tc>
                <w:tcPr>
                  <w:tcW w:w="2613" w:type="dxa"/>
                  <w:vAlign w:val="center"/>
                </w:tcPr>
                <w:p w14:paraId="1E0DE46C">
                  <w:pPr>
                    <w:pStyle w:val="30"/>
                    <w:bidi w:val="0"/>
                    <w:ind w:left="0" w:leftChars="0" w:right="0" w:rightChars="0" w:firstLine="0" w:firstLineChars="0"/>
                    <w:jc w:val="center"/>
                    <w:rPr>
                      <w:rFonts w:hint="eastAsia"/>
                      <w:color w:val="auto"/>
                      <w:highlight w:val="none"/>
                    </w:rPr>
                  </w:pPr>
                  <w:r>
                    <w:rPr>
                      <w:rFonts w:hint="eastAsia"/>
                      <w:color w:val="auto"/>
                      <w:highlight w:val="none"/>
                      <w:lang w:eastAsia="zh-CN"/>
                    </w:rPr>
                    <w:t>≤</w:t>
                  </w:r>
                  <w:r>
                    <w:rPr>
                      <w:rFonts w:hint="eastAsia"/>
                      <w:color w:val="auto"/>
                      <w:highlight w:val="none"/>
                      <w:lang w:val="en-US" w:eastAsia="zh-CN"/>
                    </w:rPr>
                    <w:t>1.5</w:t>
                  </w:r>
                </w:p>
              </w:tc>
            </w:tr>
            <w:tr w14:paraId="076C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3" w:type="dxa"/>
                  <w:shd w:val="clear" w:color="auto" w:fill="auto"/>
                  <w:vAlign w:val="center"/>
                </w:tcPr>
                <w:p w14:paraId="01DAFD33">
                  <w:pPr>
                    <w:pStyle w:val="30"/>
                    <w:bidi w:val="0"/>
                    <w:ind w:left="0" w:leftChars="0" w:right="0" w:rightChars="0" w:firstLine="0" w:firstLineChars="0"/>
                    <w:jc w:val="center"/>
                    <w:rPr>
                      <w:rFonts w:hint="eastAsia"/>
                      <w:color w:val="auto"/>
                      <w:highlight w:val="none"/>
                      <w:lang w:val="en-US" w:eastAsia="zh-CN"/>
                    </w:rPr>
                  </w:pPr>
                  <w:r>
                    <w:rPr>
                      <w:color w:val="auto"/>
                      <w:highlight w:val="none"/>
                    </w:rPr>
                    <w:t>臭气浓度</w:t>
                  </w:r>
                </w:p>
              </w:tc>
              <w:tc>
                <w:tcPr>
                  <w:tcW w:w="2613" w:type="dxa"/>
                  <w:shd w:val="clear" w:color="auto" w:fill="auto"/>
                  <w:vAlign w:val="center"/>
                </w:tcPr>
                <w:p w14:paraId="534FF317">
                  <w:pPr>
                    <w:pStyle w:val="30"/>
                    <w:bidi w:val="0"/>
                    <w:ind w:left="0" w:leftChars="0" w:right="0" w:rightChars="0" w:firstLine="0" w:firstLineChars="0"/>
                    <w:jc w:val="center"/>
                    <w:rPr>
                      <w:rFonts w:hint="eastAsia"/>
                      <w:color w:val="auto"/>
                      <w:highlight w:val="none"/>
                      <w:lang w:val="en-US" w:eastAsia="zh-CN"/>
                    </w:rPr>
                  </w:pPr>
                  <w:r>
                    <w:rPr>
                      <w:rFonts w:hint="eastAsia"/>
                      <w:color w:val="auto"/>
                      <w:highlight w:val="none"/>
                      <w:lang w:eastAsia="zh-CN"/>
                    </w:rPr>
                    <w:t>无量纲</w:t>
                  </w:r>
                </w:p>
              </w:tc>
              <w:tc>
                <w:tcPr>
                  <w:tcW w:w="2613" w:type="dxa"/>
                  <w:vAlign w:val="center"/>
                </w:tcPr>
                <w:p w14:paraId="04F7E9AC">
                  <w:pPr>
                    <w:pStyle w:val="30"/>
                    <w:bidi w:val="0"/>
                    <w:ind w:left="0" w:leftChars="0" w:right="0" w:rightChars="0" w:firstLine="0" w:firstLineChars="0"/>
                    <w:jc w:val="center"/>
                    <w:rPr>
                      <w:rFonts w:hint="eastAsia"/>
                      <w:color w:val="auto"/>
                      <w:highlight w:val="none"/>
                    </w:rPr>
                  </w:pPr>
                  <w:r>
                    <w:rPr>
                      <w:rFonts w:hint="eastAsia"/>
                      <w:color w:val="auto"/>
                      <w:highlight w:val="none"/>
                      <w:lang w:eastAsia="zh-CN"/>
                    </w:rPr>
                    <w:t>≤</w:t>
                  </w:r>
                  <w:r>
                    <w:rPr>
                      <w:rFonts w:hint="eastAsia"/>
                      <w:color w:val="auto"/>
                      <w:highlight w:val="none"/>
                      <w:lang w:val="en-US" w:eastAsia="zh-CN"/>
                    </w:rPr>
                    <w:t>20</w:t>
                  </w:r>
                </w:p>
              </w:tc>
            </w:tr>
          </w:tbl>
          <w:p w14:paraId="7553D32C">
            <w:pPr>
              <w:ind w:firstLine="480" w:firstLineChars="200"/>
              <w:rPr>
                <w:color w:val="auto"/>
                <w:highlight w:val="none"/>
              </w:rPr>
            </w:pPr>
            <w:r>
              <w:rPr>
                <w:rFonts w:hint="eastAsia"/>
                <w:color w:val="auto"/>
                <w:highlight w:val="none"/>
              </w:rPr>
              <w:t>（2）废水排放标准</w:t>
            </w:r>
          </w:p>
          <w:p w14:paraId="37FBA793">
            <w:pPr>
              <w:widowControl/>
              <w:ind w:firstLine="480" w:firstLineChars="200"/>
              <w:rPr>
                <w:color w:val="auto"/>
                <w:kern w:val="0"/>
                <w:highlight w:val="none"/>
              </w:rPr>
            </w:pPr>
            <w:bookmarkStart w:id="22" w:name="OLE_LINK21"/>
            <w:r>
              <w:rPr>
                <w:rFonts w:hint="eastAsia"/>
                <w:color w:val="auto"/>
                <w:highlight w:val="none"/>
              </w:rPr>
              <w:t>本项目</w:t>
            </w:r>
            <w:r>
              <w:rPr>
                <w:rFonts w:hint="eastAsia"/>
                <w:color w:val="auto"/>
                <w:kern w:val="0"/>
                <w:highlight w:val="none"/>
              </w:rPr>
              <w:t>餐饮废水经隔油池处理后与生活污水一同汇入化粪池预处理，智慧货运维修中心地面冲洗废水和维修过程中产生的洗车废水经</w:t>
            </w:r>
            <w:r>
              <w:rPr>
                <w:rFonts w:hint="eastAsia"/>
                <w:color w:val="auto"/>
                <w:kern w:val="0"/>
                <w:highlight w:val="none"/>
                <w:lang w:eastAsia="zh-CN"/>
              </w:rPr>
              <w:t>隔油池和沉淀池</w:t>
            </w:r>
            <w:r>
              <w:rPr>
                <w:rFonts w:hint="eastAsia"/>
                <w:color w:val="auto"/>
                <w:kern w:val="0"/>
                <w:highlight w:val="none"/>
              </w:rPr>
              <w:t>处理达标后汇同生活污水（含餐饮废水）经由</w:t>
            </w:r>
            <w:r>
              <w:rPr>
                <w:rFonts w:hint="eastAsia"/>
                <w:color w:val="auto"/>
                <w:kern w:val="0"/>
                <w:highlight w:val="none"/>
                <w:lang w:eastAsia="zh-CN"/>
              </w:rPr>
              <w:t>西侧地块</w:t>
            </w:r>
            <w:r>
              <w:rPr>
                <w:rFonts w:hint="eastAsia"/>
                <w:color w:val="auto"/>
                <w:kern w:val="0"/>
                <w:highlight w:val="none"/>
              </w:rPr>
              <w:t>废水排口</w:t>
            </w:r>
            <w:r>
              <w:rPr>
                <w:rFonts w:hint="eastAsia"/>
                <w:color w:val="auto"/>
                <w:kern w:val="0"/>
                <w:highlight w:val="none"/>
                <w:lang w:eastAsia="zh-CN"/>
              </w:rPr>
              <w:t>（</w:t>
            </w:r>
            <w:r>
              <w:rPr>
                <w:rFonts w:hint="eastAsia"/>
                <w:color w:val="auto"/>
                <w:kern w:val="0"/>
                <w:highlight w:val="none"/>
              </w:rPr>
              <w:t>DW001</w:t>
            </w:r>
            <w:r>
              <w:rPr>
                <w:rFonts w:hint="eastAsia"/>
                <w:color w:val="auto"/>
                <w:kern w:val="0"/>
                <w:highlight w:val="none"/>
                <w:lang w:eastAsia="zh-CN"/>
              </w:rPr>
              <w:t>）</w:t>
            </w:r>
            <w:r>
              <w:rPr>
                <w:rFonts w:hint="eastAsia"/>
                <w:color w:val="auto"/>
                <w:kern w:val="0"/>
                <w:highlight w:val="none"/>
              </w:rPr>
              <w:t>进入市政污水管网；</w:t>
            </w:r>
            <w:r>
              <w:rPr>
                <w:rFonts w:hint="eastAsia"/>
                <w:color w:val="auto"/>
                <w:kern w:val="0"/>
                <w:highlight w:val="none"/>
                <w:lang w:eastAsia="zh-CN"/>
              </w:rPr>
              <w:t>内部</w:t>
            </w:r>
            <w:r>
              <w:rPr>
                <w:rFonts w:hint="eastAsia"/>
                <w:color w:val="auto"/>
                <w:kern w:val="0"/>
                <w:highlight w:val="none"/>
              </w:rPr>
              <w:t>综合能源站地面冲洗废水、初期雨水经三级油水分离池处理后经由</w:t>
            </w:r>
            <w:r>
              <w:rPr>
                <w:rFonts w:hint="eastAsia"/>
                <w:color w:val="auto"/>
                <w:kern w:val="0"/>
                <w:highlight w:val="none"/>
                <w:lang w:eastAsia="zh-CN"/>
              </w:rPr>
              <w:t>东侧地块</w:t>
            </w:r>
            <w:r>
              <w:rPr>
                <w:rFonts w:hint="eastAsia"/>
                <w:color w:val="auto"/>
                <w:kern w:val="0"/>
                <w:highlight w:val="none"/>
              </w:rPr>
              <w:t>废水排口</w:t>
            </w:r>
            <w:r>
              <w:rPr>
                <w:rFonts w:hint="eastAsia"/>
                <w:color w:val="auto"/>
                <w:kern w:val="0"/>
                <w:highlight w:val="none"/>
                <w:lang w:eastAsia="zh-CN"/>
              </w:rPr>
              <w:t>（</w:t>
            </w:r>
            <w:r>
              <w:rPr>
                <w:rFonts w:hint="eastAsia"/>
                <w:color w:val="auto"/>
                <w:kern w:val="0"/>
                <w:highlight w:val="none"/>
              </w:rPr>
              <w:t>DW002</w:t>
            </w:r>
            <w:r>
              <w:rPr>
                <w:rFonts w:hint="eastAsia"/>
                <w:color w:val="auto"/>
                <w:kern w:val="0"/>
                <w:highlight w:val="none"/>
                <w:lang w:eastAsia="zh-CN"/>
              </w:rPr>
              <w:t>）</w:t>
            </w:r>
            <w:r>
              <w:rPr>
                <w:rFonts w:hint="eastAsia"/>
                <w:color w:val="auto"/>
                <w:kern w:val="0"/>
                <w:highlight w:val="none"/>
              </w:rPr>
              <w:t>排入市政污水管网，进入石姚湾净水厂处理。</w:t>
            </w:r>
            <w:bookmarkEnd w:id="22"/>
            <w:r>
              <w:rPr>
                <w:rFonts w:hint="eastAsia"/>
                <w:color w:val="auto"/>
                <w:highlight w:val="none"/>
              </w:rPr>
              <w:t>废水排口</w:t>
            </w:r>
            <w:r>
              <w:rPr>
                <w:rFonts w:hint="eastAsia"/>
                <w:color w:val="auto"/>
                <w:kern w:val="0"/>
                <w:highlight w:val="none"/>
                <w:lang w:eastAsia="zh-CN"/>
              </w:rPr>
              <w:t>（</w:t>
            </w:r>
            <w:r>
              <w:rPr>
                <w:rFonts w:hint="eastAsia"/>
                <w:color w:val="auto"/>
                <w:kern w:val="0"/>
                <w:highlight w:val="none"/>
              </w:rPr>
              <w:t>DW001</w:t>
            </w:r>
            <w:r>
              <w:rPr>
                <w:rFonts w:hint="eastAsia"/>
                <w:color w:val="auto"/>
                <w:kern w:val="0"/>
                <w:highlight w:val="none"/>
                <w:lang w:eastAsia="zh-CN"/>
              </w:rPr>
              <w:t>）</w:t>
            </w:r>
            <w:r>
              <w:rPr>
                <w:rFonts w:hint="eastAsia"/>
                <w:color w:val="auto"/>
                <w:kern w:val="0"/>
                <w:highlight w:val="none"/>
                <w:lang w:val="en-US" w:eastAsia="zh-CN"/>
              </w:rPr>
              <w:t>废水污染物</w:t>
            </w:r>
            <w:r>
              <w:rPr>
                <w:rFonts w:hint="eastAsia"/>
                <w:color w:val="auto"/>
                <w:kern w:val="0"/>
                <w:highlight w:val="none"/>
              </w:rPr>
              <w:t>排放从严执行《汽车维修业水污染物排放标准》（GB26877－2011）表2间接排放标准</w:t>
            </w:r>
            <w:r>
              <w:rPr>
                <w:rFonts w:hint="eastAsia"/>
                <w:color w:val="auto"/>
                <w:kern w:val="0"/>
                <w:highlight w:val="none"/>
                <w:lang w:eastAsia="zh-CN"/>
              </w:rPr>
              <w:t>、</w:t>
            </w:r>
            <w:r>
              <w:rPr>
                <w:rFonts w:hint="eastAsia"/>
                <w:color w:val="auto"/>
                <w:kern w:val="0"/>
                <w:highlight w:val="none"/>
              </w:rPr>
              <w:t>淮南</w:t>
            </w:r>
            <w:r>
              <w:rPr>
                <w:rFonts w:hint="eastAsia"/>
                <w:color w:val="auto"/>
                <w:kern w:val="0"/>
                <w:highlight w:val="none"/>
                <w:lang w:eastAsia="zh-CN"/>
              </w:rPr>
              <w:t>石姚湾净水厂</w:t>
            </w:r>
            <w:r>
              <w:rPr>
                <w:rFonts w:hint="eastAsia"/>
                <w:color w:val="auto"/>
                <w:kern w:val="0"/>
                <w:highlight w:val="none"/>
              </w:rPr>
              <w:t>接管标准、《污水综合排放标准》（GB8978-1996）表4中三级标准</w:t>
            </w:r>
            <w:r>
              <w:rPr>
                <w:rFonts w:hint="eastAsia"/>
                <w:color w:val="auto"/>
                <w:kern w:val="0"/>
                <w:highlight w:val="none"/>
                <w:lang w:eastAsia="zh-CN"/>
              </w:rPr>
              <w:t>，</w:t>
            </w:r>
            <w:r>
              <w:rPr>
                <w:rFonts w:hint="eastAsia"/>
                <w:color w:val="auto"/>
                <w:highlight w:val="none"/>
              </w:rPr>
              <w:t>废水排口</w:t>
            </w:r>
            <w:r>
              <w:rPr>
                <w:rFonts w:hint="eastAsia"/>
                <w:color w:val="auto"/>
                <w:kern w:val="0"/>
                <w:highlight w:val="none"/>
                <w:lang w:eastAsia="zh-CN"/>
              </w:rPr>
              <w:t>（</w:t>
            </w:r>
            <w:r>
              <w:rPr>
                <w:rFonts w:hint="eastAsia"/>
                <w:color w:val="auto"/>
                <w:kern w:val="0"/>
                <w:highlight w:val="none"/>
              </w:rPr>
              <w:t>DW002</w:t>
            </w:r>
            <w:r>
              <w:rPr>
                <w:rFonts w:hint="eastAsia"/>
                <w:color w:val="auto"/>
                <w:kern w:val="0"/>
                <w:highlight w:val="none"/>
                <w:lang w:eastAsia="zh-CN"/>
              </w:rPr>
              <w:t>）</w:t>
            </w:r>
            <w:r>
              <w:rPr>
                <w:rFonts w:hint="eastAsia"/>
                <w:color w:val="auto"/>
                <w:kern w:val="0"/>
                <w:highlight w:val="none"/>
                <w:lang w:val="en-US" w:eastAsia="zh-CN"/>
              </w:rPr>
              <w:t>废水污染物</w:t>
            </w:r>
            <w:r>
              <w:rPr>
                <w:rFonts w:hint="eastAsia"/>
                <w:color w:val="auto"/>
                <w:kern w:val="0"/>
                <w:highlight w:val="none"/>
              </w:rPr>
              <w:t>排放从严执行淮南</w:t>
            </w:r>
            <w:r>
              <w:rPr>
                <w:rFonts w:hint="eastAsia"/>
                <w:color w:val="auto"/>
                <w:kern w:val="0"/>
                <w:highlight w:val="none"/>
                <w:lang w:eastAsia="zh-CN"/>
              </w:rPr>
              <w:t>石姚湾净水厂</w:t>
            </w:r>
            <w:r>
              <w:rPr>
                <w:rFonts w:hint="eastAsia"/>
                <w:color w:val="auto"/>
                <w:kern w:val="0"/>
                <w:highlight w:val="none"/>
              </w:rPr>
              <w:t>接管标准、《污水综合排放标准》（GB8978-1996）表4中三级标准。其标准值见下表：</w:t>
            </w:r>
          </w:p>
          <w:p w14:paraId="5E104817">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t xml:space="preserve"> 本项目污水排放标准（mg/L，pH值除外）</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631"/>
              <w:gridCol w:w="992"/>
              <w:gridCol w:w="851"/>
              <w:gridCol w:w="621"/>
              <w:gridCol w:w="755"/>
              <w:gridCol w:w="692"/>
              <w:gridCol w:w="621"/>
              <w:gridCol w:w="622"/>
            </w:tblGrid>
            <w:tr w14:paraId="4EDA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10" w:type="pct"/>
                  <w:tcBorders>
                    <w:top w:val="single" w:color="auto" w:sz="4" w:space="0"/>
                    <w:left w:val="single" w:color="auto" w:sz="4" w:space="0"/>
                    <w:bottom w:val="single" w:color="auto" w:sz="4" w:space="0"/>
                    <w:right w:val="single" w:color="auto" w:sz="4" w:space="0"/>
                    <w:tl2br w:val="single" w:color="auto" w:sz="4" w:space="0"/>
                  </w:tcBorders>
                  <w:vAlign w:val="center"/>
                </w:tcPr>
                <w:p w14:paraId="43F926E7">
                  <w:pPr>
                    <w:pStyle w:val="30"/>
                    <w:jc w:val="right"/>
                    <w:rPr>
                      <w:b/>
                      <w:bCs/>
                      <w:color w:val="auto"/>
                      <w:highlight w:val="none"/>
                    </w:rPr>
                  </w:pPr>
                  <w:r>
                    <w:rPr>
                      <w:b/>
                      <w:bCs/>
                      <w:color w:val="auto"/>
                      <w:highlight w:val="none"/>
                    </w:rPr>
                    <w:t>污染因子</w:t>
                  </w:r>
                </w:p>
                <w:p w14:paraId="7BEEA8F0">
                  <w:pPr>
                    <w:pStyle w:val="30"/>
                    <w:ind w:firstLine="181" w:firstLineChars="100"/>
                    <w:jc w:val="both"/>
                    <w:rPr>
                      <w:b/>
                      <w:bCs/>
                      <w:color w:val="auto"/>
                      <w:highlight w:val="none"/>
                    </w:rPr>
                  </w:pPr>
                  <w:r>
                    <w:rPr>
                      <w:b/>
                      <w:bCs/>
                      <w:color w:val="auto"/>
                      <w:highlight w:val="none"/>
                    </w:rPr>
                    <w:t>标准来源</w:t>
                  </w:r>
                </w:p>
              </w:tc>
              <w:tc>
                <w:tcPr>
                  <w:tcW w:w="402" w:type="pct"/>
                  <w:tcBorders>
                    <w:top w:val="single" w:color="auto" w:sz="4" w:space="0"/>
                    <w:left w:val="single" w:color="auto" w:sz="4" w:space="0"/>
                    <w:bottom w:val="single" w:color="auto" w:sz="4" w:space="0"/>
                    <w:right w:val="single" w:color="auto" w:sz="4" w:space="0"/>
                  </w:tcBorders>
                  <w:vAlign w:val="center"/>
                </w:tcPr>
                <w:p w14:paraId="084BCBFA">
                  <w:pPr>
                    <w:pStyle w:val="30"/>
                    <w:rPr>
                      <w:b/>
                      <w:bCs/>
                      <w:color w:val="auto"/>
                      <w:highlight w:val="none"/>
                    </w:rPr>
                  </w:pPr>
                  <w:r>
                    <w:rPr>
                      <w:b/>
                      <w:bCs/>
                      <w:color w:val="auto"/>
                      <w:highlight w:val="none"/>
                    </w:rPr>
                    <w:t>pH</w:t>
                  </w:r>
                </w:p>
              </w:tc>
              <w:tc>
                <w:tcPr>
                  <w:tcW w:w="632" w:type="pct"/>
                  <w:tcBorders>
                    <w:top w:val="single" w:color="auto" w:sz="4" w:space="0"/>
                    <w:left w:val="single" w:color="auto" w:sz="4" w:space="0"/>
                    <w:bottom w:val="single" w:color="auto" w:sz="4" w:space="0"/>
                    <w:right w:val="single" w:color="auto" w:sz="4" w:space="0"/>
                  </w:tcBorders>
                  <w:vAlign w:val="center"/>
                </w:tcPr>
                <w:p w14:paraId="0F38C6C8">
                  <w:pPr>
                    <w:pStyle w:val="30"/>
                    <w:rPr>
                      <w:b/>
                      <w:bCs/>
                      <w:color w:val="auto"/>
                      <w:highlight w:val="none"/>
                    </w:rPr>
                  </w:pPr>
                  <w:r>
                    <w:rPr>
                      <w:b/>
                      <w:bCs/>
                      <w:color w:val="auto"/>
                      <w:highlight w:val="none"/>
                    </w:rPr>
                    <w:t>COD</w:t>
                  </w:r>
                  <w:r>
                    <w:rPr>
                      <w:rFonts w:hint="eastAsia"/>
                      <w:b/>
                      <w:bCs/>
                      <w:color w:val="auto"/>
                      <w:highlight w:val="none"/>
                    </w:rPr>
                    <w:t>cr</w:t>
                  </w:r>
                </w:p>
              </w:tc>
              <w:tc>
                <w:tcPr>
                  <w:tcW w:w="542" w:type="pct"/>
                  <w:tcBorders>
                    <w:top w:val="single" w:color="auto" w:sz="4" w:space="0"/>
                    <w:left w:val="single" w:color="auto" w:sz="4" w:space="0"/>
                    <w:bottom w:val="single" w:color="auto" w:sz="4" w:space="0"/>
                    <w:right w:val="single" w:color="auto" w:sz="4" w:space="0"/>
                  </w:tcBorders>
                  <w:vAlign w:val="center"/>
                </w:tcPr>
                <w:p w14:paraId="5C6E3E25">
                  <w:pPr>
                    <w:pStyle w:val="30"/>
                    <w:rPr>
                      <w:b/>
                      <w:bCs/>
                      <w:color w:val="auto"/>
                      <w:highlight w:val="none"/>
                    </w:rPr>
                  </w:pPr>
                  <w:r>
                    <w:rPr>
                      <w:b/>
                      <w:bCs/>
                      <w:color w:val="auto"/>
                      <w:highlight w:val="none"/>
                    </w:rPr>
                    <w:t>BOD</w:t>
                  </w:r>
                  <w:r>
                    <w:rPr>
                      <w:b/>
                      <w:bCs/>
                      <w:color w:val="auto"/>
                      <w:highlight w:val="none"/>
                      <w:vertAlign w:val="subscript"/>
                    </w:rPr>
                    <w:t>5</w:t>
                  </w:r>
                </w:p>
              </w:tc>
              <w:tc>
                <w:tcPr>
                  <w:tcW w:w="396" w:type="pct"/>
                  <w:tcBorders>
                    <w:top w:val="single" w:color="auto" w:sz="4" w:space="0"/>
                    <w:left w:val="single" w:color="auto" w:sz="4" w:space="0"/>
                    <w:bottom w:val="single" w:color="auto" w:sz="4" w:space="0"/>
                    <w:right w:val="single" w:color="auto" w:sz="4" w:space="0"/>
                  </w:tcBorders>
                  <w:vAlign w:val="center"/>
                </w:tcPr>
                <w:p w14:paraId="1793EFDF">
                  <w:pPr>
                    <w:pStyle w:val="30"/>
                    <w:rPr>
                      <w:b/>
                      <w:bCs/>
                      <w:color w:val="auto"/>
                      <w:highlight w:val="none"/>
                    </w:rPr>
                  </w:pPr>
                  <w:r>
                    <w:rPr>
                      <w:b/>
                      <w:bCs/>
                      <w:color w:val="auto"/>
                      <w:highlight w:val="none"/>
                    </w:rPr>
                    <w:t>SS</w:t>
                  </w:r>
                </w:p>
              </w:tc>
              <w:tc>
                <w:tcPr>
                  <w:tcW w:w="481" w:type="pct"/>
                  <w:tcBorders>
                    <w:top w:val="single" w:color="auto" w:sz="4" w:space="0"/>
                    <w:left w:val="single" w:color="auto" w:sz="4" w:space="0"/>
                    <w:bottom w:val="single" w:color="auto" w:sz="4" w:space="0"/>
                    <w:right w:val="single" w:color="auto" w:sz="4" w:space="0"/>
                  </w:tcBorders>
                  <w:vAlign w:val="center"/>
                </w:tcPr>
                <w:p w14:paraId="5C1B1DF6">
                  <w:pPr>
                    <w:pStyle w:val="30"/>
                    <w:rPr>
                      <w:b/>
                      <w:bCs/>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441" w:type="pct"/>
                  <w:tcBorders>
                    <w:top w:val="single" w:color="auto" w:sz="4" w:space="0"/>
                    <w:left w:val="single" w:color="auto" w:sz="4" w:space="0"/>
                    <w:bottom w:val="single" w:color="auto" w:sz="4" w:space="0"/>
                    <w:right w:val="single" w:color="auto" w:sz="4" w:space="0"/>
                  </w:tcBorders>
                  <w:vAlign w:val="center"/>
                </w:tcPr>
                <w:p w14:paraId="7187B67A">
                  <w:pPr>
                    <w:pStyle w:val="30"/>
                    <w:rPr>
                      <w:b/>
                      <w:bCs/>
                      <w:color w:val="auto"/>
                      <w:highlight w:val="none"/>
                    </w:rPr>
                  </w:pPr>
                  <w:r>
                    <w:rPr>
                      <w:rFonts w:hint="eastAsia"/>
                      <w:b/>
                      <w:bCs/>
                      <w:color w:val="auto"/>
                      <w:highlight w:val="none"/>
                    </w:rPr>
                    <w:t>石油类</w:t>
                  </w:r>
                </w:p>
              </w:tc>
              <w:tc>
                <w:tcPr>
                  <w:tcW w:w="396" w:type="pct"/>
                  <w:tcBorders>
                    <w:top w:val="single" w:color="auto" w:sz="4" w:space="0"/>
                    <w:left w:val="single" w:color="auto" w:sz="4" w:space="0"/>
                    <w:bottom w:val="single" w:color="auto" w:sz="4" w:space="0"/>
                    <w:right w:val="single" w:color="auto" w:sz="4" w:space="0"/>
                  </w:tcBorders>
                  <w:vAlign w:val="center"/>
                </w:tcPr>
                <w:p w14:paraId="30393948">
                  <w:pPr>
                    <w:pStyle w:val="30"/>
                    <w:rPr>
                      <w:b/>
                      <w:bCs/>
                      <w:color w:val="auto"/>
                      <w:highlight w:val="none"/>
                    </w:rPr>
                  </w:pPr>
                  <w:r>
                    <w:rPr>
                      <w:rFonts w:hint="eastAsia"/>
                      <w:b/>
                      <w:bCs/>
                      <w:color w:val="auto"/>
                      <w:highlight w:val="none"/>
                    </w:rPr>
                    <w:t>动植物油</w:t>
                  </w:r>
                </w:p>
              </w:tc>
              <w:tc>
                <w:tcPr>
                  <w:tcW w:w="396" w:type="pct"/>
                  <w:tcBorders>
                    <w:top w:val="single" w:color="auto" w:sz="4" w:space="0"/>
                    <w:left w:val="single" w:color="auto" w:sz="4" w:space="0"/>
                    <w:bottom w:val="single" w:color="auto" w:sz="4" w:space="0"/>
                    <w:right w:val="single" w:color="auto" w:sz="4" w:space="0"/>
                  </w:tcBorders>
                  <w:vAlign w:val="center"/>
                </w:tcPr>
                <w:p w14:paraId="590E0E95">
                  <w:pPr>
                    <w:pStyle w:val="30"/>
                    <w:rPr>
                      <w:rFonts w:hint="eastAsia"/>
                      <w:b/>
                      <w:bCs/>
                      <w:color w:val="auto"/>
                      <w:highlight w:val="none"/>
                    </w:rPr>
                  </w:pPr>
                  <w:r>
                    <w:rPr>
                      <w:rFonts w:hint="eastAsia"/>
                      <w:b/>
                      <w:bCs/>
                      <w:color w:val="auto"/>
                      <w:highlight w:val="none"/>
                    </w:rPr>
                    <w:t>LAS</w:t>
                  </w:r>
                </w:p>
              </w:tc>
            </w:tr>
            <w:tr w14:paraId="3CBE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10" w:type="pct"/>
                  <w:tcBorders>
                    <w:top w:val="single" w:color="auto" w:sz="4" w:space="0"/>
                    <w:left w:val="single" w:color="auto" w:sz="4" w:space="0"/>
                    <w:bottom w:val="single" w:color="auto" w:sz="4" w:space="0"/>
                    <w:right w:val="single" w:color="auto" w:sz="4" w:space="0"/>
                  </w:tcBorders>
                  <w:shd w:val="clear" w:color="auto" w:fill="auto"/>
                  <w:vAlign w:val="center"/>
                </w:tcPr>
                <w:p w14:paraId="3BBC3131">
                  <w:pPr>
                    <w:pStyle w:val="30"/>
                    <w:rPr>
                      <w:color w:val="auto"/>
                      <w:highlight w:val="none"/>
                    </w:rPr>
                  </w:pPr>
                  <w:r>
                    <w:rPr>
                      <w:rFonts w:hint="eastAsia"/>
                      <w:color w:val="auto"/>
                      <w:kern w:val="0"/>
                      <w:highlight w:val="none"/>
                    </w:rPr>
                    <w:t>（GB26877－2011）表2间接排放标准</w:t>
                  </w:r>
                </w:p>
              </w:tc>
              <w:tc>
                <w:tcPr>
                  <w:tcW w:w="402" w:type="pct"/>
                  <w:tcBorders>
                    <w:top w:val="single" w:color="auto" w:sz="4" w:space="0"/>
                    <w:left w:val="single" w:color="auto" w:sz="4" w:space="0"/>
                    <w:bottom w:val="single" w:color="auto" w:sz="4" w:space="0"/>
                    <w:right w:val="single" w:color="auto" w:sz="4" w:space="0"/>
                  </w:tcBorders>
                  <w:shd w:val="clear" w:color="auto" w:fill="auto"/>
                  <w:vAlign w:val="center"/>
                </w:tcPr>
                <w:p w14:paraId="71C160EE">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6~9</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14:paraId="000A0860">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300</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14:paraId="531CD6B6">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150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9A9F04E">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100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5FB03C92">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25</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46F6C5A3">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10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69AC5365">
                  <w:pPr>
                    <w:pStyle w:val="33"/>
                    <w:rPr>
                      <w:rFonts w:hint="eastAsia" w:eastAsia="宋体"/>
                      <w:color w:val="auto"/>
                      <w:highlight w:val="none"/>
                      <w:lang w:val="en-US" w:eastAsia="zh-CN"/>
                    </w:rPr>
                  </w:pPr>
                  <w:r>
                    <w:rPr>
                      <w:rFonts w:hint="eastAsia"/>
                      <w:color w:val="auto"/>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6ECBFBE8">
                  <w:pPr>
                    <w:pStyle w:val="33"/>
                    <w:rPr>
                      <w:rFonts w:hint="default" w:eastAsia="宋体"/>
                      <w:color w:val="auto"/>
                      <w:highlight w:val="none"/>
                      <w:lang w:val="en-US" w:eastAsia="zh-CN"/>
                    </w:rPr>
                  </w:pPr>
                  <w:r>
                    <w:rPr>
                      <w:rFonts w:hint="eastAsia"/>
                      <w:color w:val="auto"/>
                      <w:highlight w:val="none"/>
                      <w:lang w:val="en-US" w:eastAsia="zh-CN"/>
                    </w:rPr>
                    <w:t>10</w:t>
                  </w:r>
                </w:p>
              </w:tc>
            </w:tr>
            <w:tr w14:paraId="30F2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10" w:type="pct"/>
                  <w:tcBorders>
                    <w:top w:val="single" w:color="auto" w:sz="4" w:space="0"/>
                    <w:left w:val="single" w:color="auto" w:sz="4" w:space="0"/>
                    <w:bottom w:val="single" w:color="auto" w:sz="4" w:space="0"/>
                    <w:right w:val="single" w:color="auto" w:sz="4" w:space="0"/>
                  </w:tcBorders>
                  <w:shd w:val="clear" w:color="auto" w:fill="auto"/>
                  <w:vAlign w:val="center"/>
                </w:tcPr>
                <w:p w14:paraId="6C091E4E">
                  <w:pPr>
                    <w:pStyle w:val="30"/>
                    <w:rPr>
                      <w:color w:val="auto"/>
                      <w:highlight w:val="none"/>
                    </w:rPr>
                  </w:pPr>
                  <w:r>
                    <w:rPr>
                      <w:color w:val="auto"/>
                      <w:highlight w:val="none"/>
                    </w:rPr>
                    <w:t>淮南</w:t>
                  </w:r>
                  <w:r>
                    <w:rPr>
                      <w:rFonts w:hint="eastAsia"/>
                      <w:color w:val="auto"/>
                      <w:highlight w:val="none"/>
                      <w:lang w:eastAsia="zh-CN"/>
                    </w:rPr>
                    <w:t>石姚湾净水厂</w:t>
                  </w:r>
                  <w:r>
                    <w:rPr>
                      <w:rFonts w:hint="eastAsia"/>
                      <w:color w:val="auto"/>
                      <w:highlight w:val="none"/>
                    </w:rPr>
                    <w:t>接管标准</w:t>
                  </w:r>
                </w:p>
              </w:tc>
              <w:tc>
                <w:tcPr>
                  <w:tcW w:w="402" w:type="pct"/>
                  <w:tcBorders>
                    <w:top w:val="single" w:color="auto" w:sz="4" w:space="0"/>
                    <w:left w:val="single" w:color="auto" w:sz="4" w:space="0"/>
                    <w:bottom w:val="single" w:color="auto" w:sz="4" w:space="0"/>
                    <w:right w:val="single" w:color="auto" w:sz="4" w:space="0"/>
                  </w:tcBorders>
                  <w:shd w:val="clear" w:color="auto" w:fill="auto"/>
                  <w:vAlign w:val="center"/>
                </w:tcPr>
                <w:p w14:paraId="4E70FF90">
                  <w:pPr>
                    <w:pStyle w:val="33"/>
                    <w:rPr>
                      <w:rFonts w:cs="Times New Roman"/>
                      <w:color w:val="auto"/>
                      <w:szCs w:val="18"/>
                      <w:highlight w:val="none"/>
                      <w:lang w:val="en-US"/>
                    </w:rPr>
                  </w:pPr>
                  <w:r>
                    <w:rPr>
                      <w:color w:val="auto"/>
                      <w:highlight w:val="none"/>
                    </w:rPr>
                    <w:t>6~9</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14:paraId="32D92162">
                  <w:pPr>
                    <w:pStyle w:val="33"/>
                    <w:rPr>
                      <w:rFonts w:hint="default" w:eastAsia="宋体" w:cs="Times New Roman"/>
                      <w:color w:val="auto"/>
                      <w:szCs w:val="18"/>
                      <w:highlight w:val="none"/>
                      <w:lang w:val="en-US" w:eastAsia="zh-CN"/>
                    </w:rPr>
                  </w:pPr>
                  <w:r>
                    <w:rPr>
                      <w:rFonts w:hint="eastAsia"/>
                      <w:color w:val="auto"/>
                      <w:highlight w:val="none"/>
                      <w:lang w:val="en-US" w:eastAsia="zh-CN"/>
                    </w:rPr>
                    <w:t>280</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14:paraId="16CD8B9A">
                  <w:pPr>
                    <w:pStyle w:val="33"/>
                    <w:rPr>
                      <w:rFonts w:hint="default" w:eastAsia="宋体" w:cs="Times New Roman"/>
                      <w:color w:val="auto"/>
                      <w:szCs w:val="18"/>
                      <w:highlight w:val="none"/>
                      <w:lang w:val="en-US" w:eastAsia="zh-CN"/>
                    </w:rPr>
                  </w:pPr>
                  <w:r>
                    <w:rPr>
                      <w:rFonts w:hint="eastAsia"/>
                      <w:color w:val="auto"/>
                      <w:highlight w:val="none"/>
                      <w:lang w:val="en-US" w:eastAsia="zh-CN"/>
                    </w:rPr>
                    <w:t>105</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281AC184">
                  <w:pPr>
                    <w:pStyle w:val="33"/>
                    <w:rPr>
                      <w:rFonts w:hint="default" w:eastAsia="宋体" w:cs="Times New Roman"/>
                      <w:color w:val="auto"/>
                      <w:szCs w:val="18"/>
                      <w:highlight w:val="none"/>
                      <w:lang w:val="en-US" w:eastAsia="zh-CN"/>
                    </w:rPr>
                  </w:pPr>
                  <w:r>
                    <w:rPr>
                      <w:rFonts w:hint="eastAsia"/>
                      <w:color w:val="auto"/>
                      <w:highlight w:val="none"/>
                      <w:lang w:val="en-US" w:eastAsia="zh-CN"/>
                    </w:rPr>
                    <w:t>130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743D504E">
                  <w:pPr>
                    <w:pStyle w:val="33"/>
                    <w:rPr>
                      <w:rFonts w:hint="default" w:eastAsia="宋体" w:cs="Times New Roman"/>
                      <w:color w:val="auto"/>
                      <w:szCs w:val="18"/>
                      <w:highlight w:val="none"/>
                      <w:lang w:val="en-US" w:eastAsia="zh-CN"/>
                    </w:rPr>
                  </w:pPr>
                  <w:r>
                    <w:rPr>
                      <w:rFonts w:hint="eastAsia"/>
                      <w:color w:val="auto"/>
                      <w:highlight w:val="none"/>
                      <w:lang w:val="en-US" w:eastAsia="zh-CN"/>
                    </w:rPr>
                    <w:t>43</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0470F1DC">
                  <w:pPr>
                    <w:pStyle w:val="33"/>
                    <w:rPr>
                      <w:rFonts w:cs="Times New Roman"/>
                      <w:color w:val="auto"/>
                      <w:szCs w:val="18"/>
                      <w:highlight w:val="none"/>
                      <w:lang w:val="en-US"/>
                    </w:rPr>
                  </w:pPr>
                  <w:r>
                    <w:rPr>
                      <w:rFonts w:hint="eastAsia"/>
                      <w:color w:val="auto"/>
                      <w:highlight w:val="none"/>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7F6E6949">
                  <w:pPr>
                    <w:pStyle w:val="33"/>
                    <w:rPr>
                      <w:rFonts w:cs="Times New Roman"/>
                      <w:color w:val="auto"/>
                      <w:szCs w:val="18"/>
                      <w:highlight w:val="none"/>
                      <w:lang w:val="en-US"/>
                    </w:rPr>
                  </w:pPr>
                  <w:r>
                    <w:rPr>
                      <w:rFonts w:hint="eastAsia"/>
                      <w:color w:val="auto"/>
                      <w:highlight w:val="none"/>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6A129E7">
                  <w:pPr>
                    <w:pStyle w:val="33"/>
                    <w:rPr>
                      <w:rFonts w:hint="eastAsia" w:eastAsia="宋体"/>
                      <w:color w:val="auto"/>
                      <w:highlight w:val="none"/>
                      <w:lang w:val="en-US" w:eastAsia="zh-CN"/>
                    </w:rPr>
                  </w:pPr>
                  <w:r>
                    <w:rPr>
                      <w:rFonts w:hint="eastAsia"/>
                      <w:color w:val="auto"/>
                      <w:highlight w:val="none"/>
                      <w:lang w:val="en-US" w:eastAsia="zh-CN"/>
                    </w:rPr>
                    <w:t>/</w:t>
                  </w:r>
                </w:p>
              </w:tc>
            </w:tr>
            <w:tr w14:paraId="6797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10" w:type="pct"/>
                  <w:tcBorders>
                    <w:top w:val="single" w:color="auto" w:sz="4" w:space="0"/>
                    <w:left w:val="single" w:color="auto" w:sz="4" w:space="0"/>
                    <w:bottom w:val="single" w:color="auto" w:sz="4" w:space="0"/>
                    <w:right w:val="single" w:color="auto" w:sz="4" w:space="0"/>
                  </w:tcBorders>
                  <w:shd w:val="clear" w:color="auto" w:fill="auto"/>
                  <w:vAlign w:val="center"/>
                </w:tcPr>
                <w:p w14:paraId="7B60A0E9">
                  <w:pPr>
                    <w:pStyle w:val="30"/>
                    <w:rPr>
                      <w:color w:val="auto"/>
                      <w:highlight w:val="none"/>
                    </w:rPr>
                  </w:pPr>
                  <w:r>
                    <w:rPr>
                      <w:color w:val="auto"/>
                      <w:highlight w:val="none"/>
                    </w:rPr>
                    <w:t>（GB8978-1996）表</w:t>
                  </w:r>
                  <w:r>
                    <w:rPr>
                      <w:rFonts w:hint="eastAsia"/>
                      <w:color w:val="auto"/>
                      <w:highlight w:val="none"/>
                    </w:rPr>
                    <w:t>4</w:t>
                  </w:r>
                  <w:r>
                    <w:rPr>
                      <w:color w:val="auto"/>
                      <w:highlight w:val="none"/>
                    </w:rPr>
                    <w:t>中三级标准</w:t>
                  </w:r>
                </w:p>
              </w:tc>
              <w:tc>
                <w:tcPr>
                  <w:tcW w:w="402" w:type="pct"/>
                  <w:tcBorders>
                    <w:top w:val="single" w:color="auto" w:sz="4" w:space="0"/>
                    <w:left w:val="single" w:color="auto" w:sz="4" w:space="0"/>
                    <w:bottom w:val="single" w:color="auto" w:sz="4" w:space="0"/>
                    <w:right w:val="single" w:color="auto" w:sz="4" w:space="0"/>
                  </w:tcBorders>
                  <w:shd w:val="clear" w:color="auto" w:fill="auto"/>
                  <w:vAlign w:val="center"/>
                </w:tcPr>
                <w:p w14:paraId="591F6E32">
                  <w:pPr>
                    <w:pStyle w:val="30"/>
                    <w:rPr>
                      <w:color w:val="auto"/>
                      <w:highlight w:val="none"/>
                    </w:rPr>
                  </w:pPr>
                  <w:r>
                    <w:rPr>
                      <w:color w:val="auto"/>
                      <w:highlight w:val="none"/>
                    </w:rPr>
                    <w:t>6~9</w:t>
                  </w:r>
                </w:p>
              </w:tc>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14:paraId="0BD51CF2">
                  <w:pPr>
                    <w:pStyle w:val="30"/>
                    <w:rPr>
                      <w:color w:val="auto"/>
                      <w:highlight w:val="none"/>
                    </w:rPr>
                  </w:pPr>
                  <w:r>
                    <w:rPr>
                      <w:color w:val="auto"/>
                      <w:highlight w:val="none"/>
                    </w:rPr>
                    <w:t>500</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14:paraId="092C6BD5">
                  <w:pPr>
                    <w:pStyle w:val="30"/>
                    <w:rPr>
                      <w:color w:val="auto"/>
                      <w:highlight w:val="none"/>
                    </w:rPr>
                  </w:pPr>
                  <w:r>
                    <w:rPr>
                      <w:color w:val="auto"/>
                      <w:highlight w:val="none"/>
                    </w:rPr>
                    <w:t>300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4CC0D82">
                  <w:pPr>
                    <w:pStyle w:val="30"/>
                    <w:rPr>
                      <w:color w:val="auto"/>
                      <w:highlight w:val="none"/>
                    </w:rPr>
                  </w:pPr>
                  <w:r>
                    <w:rPr>
                      <w:rFonts w:hint="eastAsia"/>
                      <w:color w:val="auto"/>
                      <w:highlight w:val="none"/>
                    </w:rPr>
                    <w:t>400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center"/>
                </w:tcPr>
                <w:p w14:paraId="23AD2503">
                  <w:pPr>
                    <w:pStyle w:val="30"/>
                    <w:rPr>
                      <w:color w:val="auto"/>
                      <w:highlight w:val="none"/>
                    </w:rPr>
                  </w:pPr>
                  <w:r>
                    <w:rPr>
                      <w:rFonts w:hint="eastAsia"/>
                      <w:color w:val="auto"/>
                      <w:highlight w:val="none"/>
                    </w:rPr>
                    <w:t>--</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02F8CF24">
                  <w:pPr>
                    <w:pStyle w:val="30"/>
                    <w:rPr>
                      <w:color w:val="auto"/>
                      <w:highlight w:val="none"/>
                    </w:rPr>
                  </w:pPr>
                  <w:r>
                    <w:rPr>
                      <w:rFonts w:hint="eastAsia"/>
                      <w:color w:val="auto"/>
                      <w:highlight w:val="none"/>
                    </w:rPr>
                    <w:t>20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755E6DE7">
                  <w:pPr>
                    <w:pStyle w:val="30"/>
                    <w:rPr>
                      <w:color w:val="auto"/>
                      <w:highlight w:val="none"/>
                    </w:rPr>
                  </w:pPr>
                  <w:r>
                    <w:rPr>
                      <w:rFonts w:hint="eastAsia"/>
                      <w:color w:val="auto"/>
                      <w:highlight w:val="none"/>
                    </w:rPr>
                    <w:t>100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78A8DECF">
                  <w:pPr>
                    <w:pStyle w:val="30"/>
                    <w:rPr>
                      <w:rFonts w:hint="eastAsia" w:eastAsia="宋体"/>
                      <w:color w:val="auto"/>
                      <w:highlight w:val="none"/>
                      <w:lang w:val="en-US" w:eastAsia="zh-CN"/>
                    </w:rPr>
                  </w:pPr>
                  <w:r>
                    <w:rPr>
                      <w:rFonts w:hint="eastAsia"/>
                      <w:color w:val="auto"/>
                      <w:highlight w:val="none"/>
                      <w:lang w:val="en-US" w:eastAsia="zh-CN"/>
                    </w:rPr>
                    <w:t>/</w:t>
                  </w:r>
                </w:p>
              </w:tc>
            </w:tr>
            <w:tr w14:paraId="0647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10" w:type="pct"/>
                  <w:tcBorders>
                    <w:top w:val="single" w:color="auto" w:sz="4" w:space="0"/>
                    <w:left w:val="single" w:color="auto" w:sz="4" w:space="0"/>
                    <w:bottom w:val="single" w:color="auto" w:sz="4" w:space="0"/>
                    <w:right w:val="single" w:color="auto" w:sz="4" w:space="0"/>
                  </w:tcBorders>
                  <w:vAlign w:val="center"/>
                </w:tcPr>
                <w:p w14:paraId="197A774F">
                  <w:pPr>
                    <w:pStyle w:val="30"/>
                    <w:rPr>
                      <w:rFonts w:hint="eastAsia" w:eastAsia="宋体"/>
                      <w:color w:val="auto"/>
                      <w:highlight w:val="none"/>
                      <w:lang w:eastAsia="zh-CN"/>
                    </w:rPr>
                  </w:pPr>
                  <w:r>
                    <w:rPr>
                      <w:rFonts w:hint="eastAsia"/>
                      <w:color w:val="auto"/>
                      <w:highlight w:val="none"/>
                    </w:rPr>
                    <w:t>本项目</w:t>
                  </w:r>
                  <w:r>
                    <w:rPr>
                      <w:rFonts w:hint="eastAsia"/>
                      <w:color w:val="auto"/>
                      <w:highlight w:val="none"/>
                      <w:lang w:eastAsia="zh-CN"/>
                    </w:rPr>
                    <w:t>西侧地块废水排口（</w:t>
                  </w:r>
                  <w:r>
                    <w:rPr>
                      <w:rFonts w:hint="eastAsia"/>
                      <w:color w:val="auto"/>
                      <w:highlight w:val="none"/>
                      <w:lang w:val="en-US" w:eastAsia="zh-CN"/>
                    </w:rPr>
                    <w:t>DW001</w:t>
                  </w:r>
                  <w:r>
                    <w:rPr>
                      <w:rFonts w:hint="eastAsia"/>
                      <w:color w:val="auto"/>
                      <w:highlight w:val="none"/>
                      <w:lang w:eastAsia="zh-CN"/>
                    </w:rPr>
                    <w:t>）</w:t>
                  </w:r>
                  <w:r>
                    <w:rPr>
                      <w:rFonts w:hint="eastAsia"/>
                      <w:color w:val="auto"/>
                      <w:highlight w:val="none"/>
                    </w:rPr>
                    <w:t>执行标准</w:t>
                  </w:r>
                </w:p>
              </w:tc>
              <w:tc>
                <w:tcPr>
                  <w:tcW w:w="402" w:type="pct"/>
                  <w:tcBorders>
                    <w:top w:val="single" w:color="auto" w:sz="4" w:space="0"/>
                    <w:left w:val="single" w:color="auto" w:sz="4" w:space="0"/>
                    <w:bottom w:val="single" w:color="auto" w:sz="4" w:space="0"/>
                    <w:right w:val="single" w:color="auto" w:sz="4" w:space="0"/>
                  </w:tcBorders>
                  <w:vAlign w:val="center"/>
                </w:tcPr>
                <w:p w14:paraId="3753254E">
                  <w:pPr>
                    <w:pStyle w:val="30"/>
                    <w:rPr>
                      <w:color w:val="auto"/>
                      <w:highlight w:val="none"/>
                    </w:rPr>
                  </w:pPr>
                  <w:r>
                    <w:rPr>
                      <w:color w:val="auto"/>
                      <w:highlight w:val="none"/>
                    </w:rPr>
                    <w:t>6~9</w:t>
                  </w:r>
                </w:p>
              </w:tc>
              <w:tc>
                <w:tcPr>
                  <w:tcW w:w="632" w:type="pct"/>
                  <w:tcBorders>
                    <w:top w:val="single" w:color="auto" w:sz="4" w:space="0"/>
                    <w:left w:val="single" w:color="auto" w:sz="4" w:space="0"/>
                    <w:bottom w:val="single" w:color="auto" w:sz="4" w:space="0"/>
                    <w:right w:val="single" w:color="auto" w:sz="4" w:space="0"/>
                  </w:tcBorders>
                  <w:vAlign w:val="center"/>
                </w:tcPr>
                <w:p w14:paraId="3EEE4759">
                  <w:pPr>
                    <w:pStyle w:val="30"/>
                    <w:rPr>
                      <w:rFonts w:hint="default" w:eastAsia="宋体"/>
                      <w:color w:val="auto"/>
                      <w:highlight w:val="none"/>
                      <w:lang w:val="en-US" w:eastAsia="zh-CN"/>
                    </w:rPr>
                  </w:pPr>
                  <w:r>
                    <w:rPr>
                      <w:rFonts w:hint="eastAsia"/>
                      <w:color w:val="auto"/>
                      <w:highlight w:val="none"/>
                      <w:lang w:val="en-US" w:eastAsia="zh-CN"/>
                    </w:rPr>
                    <w:t>280</w:t>
                  </w:r>
                </w:p>
              </w:tc>
              <w:tc>
                <w:tcPr>
                  <w:tcW w:w="542" w:type="pct"/>
                  <w:tcBorders>
                    <w:top w:val="single" w:color="auto" w:sz="4" w:space="0"/>
                    <w:left w:val="single" w:color="auto" w:sz="4" w:space="0"/>
                    <w:bottom w:val="single" w:color="auto" w:sz="4" w:space="0"/>
                    <w:right w:val="single" w:color="auto" w:sz="4" w:space="0"/>
                  </w:tcBorders>
                  <w:vAlign w:val="center"/>
                </w:tcPr>
                <w:p w14:paraId="369D5444">
                  <w:pPr>
                    <w:pStyle w:val="30"/>
                    <w:rPr>
                      <w:rFonts w:hint="default" w:eastAsia="宋体"/>
                      <w:color w:val="auto"/>
                      <w:highlight w:val="none"/>
                      <w:lang w:val="en-US" w:eastAsia="zh-CN"/>
                    </w:rPr>
                  </w:pPr>
                  <w:r>
                    <w:rPr>
                      <w:rFonts w:hint="eastAsia"/>
                      <w:color w:val="auto"/>
                      <w:highlight w:val="none"/>
                      <w:lang w:val="en-US" w:eastAsia="zh-CN"/>
                    </w:rPr>
                    <w:t>105</w:t>
                  </w:r>
                </w:p>
              </w:tc>
              <w:tc>
                <w:tcPr>
                  <w:tcW w:w="396" w:type="pct"/>
                  <w:tcBorders>
                    <w:top w:val="single" w:color="auto" w:sz="4" w:space="0"/>
                    <w:left w:val="single" w:color="auto" w:sz="4" w:space="0"/>
                    <w:bottom w:val="single" w:color="auto" w:sz="4" w:space="0"/>
                    <w:right w:val="single" w:color="auto" w:sz="4" w:space="0"/>
                  </w:tcBorders>
                  <w:vAlign w:val="center"/>
                </w:tcPr>
                <w:p w14:paraId="198989BC">
                  <w:pPr>
                    <w:pStyle w:val="30"/>
                    <w:rPr>
                      <w:rFonts w:hint="default" w:eastAsia="宋体"/>
                      <w:color w:val="auto"/>
                      <w:highlight w:val="none"/>
                      <w:lang w:val="en-US" w:eastAsia="zh-CN"/>
                    </w:rPr>
                  </w:pPr>
                  <w:r>
                    <w:rPr>
                      <w:rFonts w:hint="eastAsia"/>
                      <w:color w:val="auto"/>
                      <w:highlight w:val="none"/>
                      <w:lang w:val="en-US" w:eastAsia="zh-CN"/>
                    </w:rPr>
                    <w:t>100</w:t>
                  </w:r>
                </w:p>
              </w:tc>
              <w:tc>
                <w:tcPr>
                  <w:tcW w:w="481" w:type="pct"/>
                  <w:tcBorders>
                    <w:top w:val="single" w:color="auto" w:sz="4" w:space="0"/>
                    <w:left w:val="single" w:color="auto" w:sz="4" w:space="0"/>
                    <w:bottom w:val="single" w:color="auto" w:sz="4" w:space="0"/>
                    <w:right w:val="single" w:color="auto" w:sz="4" w:space="0"/>
                  </w:tcBorders>
                  <w:vAlign w:val="center"/>
                </w:tcPr>
                <w:p w14:paraId="7195D909">
                  <w:pPr>
                    <w:pStyle w:val="30"/>
                    <w:rPr>
                      <w:rFonts w:hint="default" w:eastAsia="宋体"/>
                      <w:color w:val="auto"/>
                      <w:highlight w:val="none"/>
                      <w:lang w:val="en-US" w:eastAsia="zh-CN"/>
                    </w:rPr>
                  </w:pPr>
                  <w:r>
                    <w:rPr>
                      <w:rFonts w:hint="eastAsia"/>
                      <w:color w:val="auto"/>
                      <w:highlight w:val="none"/>
                      <w:lang w:val="en-US" w:eastAsia="zh-CN"/>
                    </w:rPr>
                    <w:t>25</w:t>
                  </w:r>
                </w:p>
              </w:tc>
              <w:tc>
                <w:tcPr>
                  <w:tcW w:w="441" w:type="pct"/>
                  <w:tcBorders>
                    <w:top w:val="single" w:color="auto" w:sz="4" w:space="0"/>
                    <w:left w:val="single" w:color="auto" w:sz="4" w:space="0"/>
                    <w:bottom w:val="single" w:color="auto" w:sz="4" w:space="0"/>
                    <w:right w:val="single" w:color="auto" w:sz="4" w:space="0"/>
                  </w:tcBorders>
                  <w:vAlign w:val="center"/>
                </w:tcPr>
                <w:p w14:paraId="005E1E8E">
                  <w:pPr>
                    <w:pStyle w:val="30"/>
                    <w:rPr>
                      <w:rFonts w:hint="default" w:eastAsia="宋体"/>
                      <w:color w:val="auto"/>
                      <w:highlight w:val="none"/>
                      <w:lang w:val="en-US" w:eastAsia="zh-CN"/>
                    </w:rPr>
                  </w:pPr>
                  <w:r>
                    <w:rPr>
                      <w:rFonts w:hint="eastAsia"/>
                      <w:color w:val="auto"/>
                      <w:highlight w:val="none"/>
                      <w:lang w:val="en-US" w:eastAsia="zh-CN"/>
                    </w:rPr>
                    <w:t>10</w:t>
                  </w:r>
                </w:p>
              </w:tc>
              <w:tc>
                <w:tcPr>
                  <w:tcW w:w="396" w:type="pct"/>
                  <w:tcBorders>
                    <w:top w:val="single" w:color="auto" w:sz="4" w:space="0"/>
                    <w:left w:val="single" w:color="auto" w:sz="4" w:space="0"/>
                    <w:bottom w:val="single" w:color="auto" w:sz="4" w:space="0"/>
                    <w:right w:val="single" w:color="auto" w:sz="4" w:space="0"/>
                  </w:tcBorders>
                  <w:vAlign w:val="center"/>
                </w:tcPr>
                <w:p w14:paraId="0B8B5107">
                  <w:pPr>
                    <w:pStyle w:val="30"/>
                    <w:rPr>
                      <w:color w:val="auto"/>
                      <w:highlight w:val="none"/>
                    </w:rPr>
                  </w:pPr>
                  <w:r>
                    <w:rPr>
                      <w:rFonts w:hint="eastAsia"/>
                      <w:color w:val="auto"/>
                      <w:highlight w:val="none"/>
                    </w:rPr>
                    <w:t>100</w:t>
                  </w:r>
                </w:p>
              </w:tc>
              <w:tc>
                <w:tcPr>
                  <w:tcW w:w="396" w:type="pct"/>
                  <w:tcBorders>
                    <w:top w:val="single" w:color="auto" w:sz="4" w:space="0"/>
                    <w:left w:val="single" w:color="auto" w:sz="4" w:space="0"/>
                    <w:bottom w:val="single" w:color="auto" w:sz="4" w:space="0"/>
                    <w:right w:val="single" w:color="auto" w:sz="4" w:space="0"/>
                  </w:tcBorders>
                  <w:vAlign w:val="center"/>
                </w:tcPr>
                <w:p w14:paraId="7D4BA3DB">
                  <w:pPr>
                    <w:pStyle w:val="30"/>
                    <w:rPr>
                      <w:rFonts w:hint="default" w:eastAsia="宋体"/>
                      <w:color w:val="auto"/>
                      <w:highlight w:val="none"/>
                      <w:lang w:val="en-US" w:eastAsia="zh-CN"/>
                    </w:rPr>
                  </w:pPr>
                  <w:r>
                    <w:rPr>
                      <w:rFonts w:hint="eastAsia"/>
                      <w:color w:val="auto"/>
                      <w:highlight w:val="none"/>
                      <w:lang w:val="en-US" w:eastAsia="zh-CN"/>
                    </w:rPr>
                    <w:t>10</w:t>
                  </w:r>
                </w:p>
              </w:tc>
            </w:tr>
            <w:tr w14:paraId="5CCA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10" w:type="pct"/>
                  <w:tcBorders>
                    <w:top w:val="single" w:color="auto" w:sz="4" w:space="0"/>
                    <w:left w:val="single" w:color="auto" w:sz="4" w:space="0"/>
                    <w:bottom w:val="single" w:color="auto" w:sz="4" w:space="0"/>
                    <w:right w:val="single" w:color="auto" w:sz="4" w:space="0"/>
                  </w:tcBorders>
                  <w:vAlign w:val="center"/>
                </w:tcPr>
                <w:p w14:paraId="0B991F8F">
                  <w:pPr>
                    <w:pStyle w:val="30"/>
                    <w:rPr>
                      <w:rFonts w:hint="eastAsia"/>
                      <w:color w:val="auto"/>
                      <w:highlight w:val="none"/>
                    </w:rPr>
                  </w:pPr>
                  <w:r>
                    <w:rPr>
                      <w:rFonts w:hint="eastAsia"/>
                      <w:color w:val="auto"/>
                      <w:highlight w:val="none"/>
                    </w:rPr>
                    <w:t>本项目</w:t>
                  </w:r>
                  <w:r>
                    <w:rPr>
                      <w:rFonts w:hint="eastAsia"/>
                      <w:color w:val="auto"/>
                      <w:highlight w:val="none"/>
                      <w:lang w:eastAsia="zh-CN"/>
                    </w:rPr>
                    <w:t>东侧地块废水排口（</w:t>
                  </w:r>
                  <w:r>
                    <w:rPr>
                      <w:rFonts w:hint="eastAsia"/>
                      <w:color w:val="auto"/>
                      <w:highlight w:val="none"/>
                      <w:lang w:val="en-US" w:eastAsia="zh-CN"/>
                    </w:rPr>
                    <w:t>DW002</w:t>
                  </w:r>
                  <w:r>
                    <w:rPr>
                      <w:rFonts w:hint="eastAsia"/>
                      <w:color w:val="auto"/>
                      <w:highlight w:val="none"/>
                      <w:lang w:eastAsia="zh-CN"/>
                    </w:rPr>
                    <w:t>）</w:t>
                  </w:r>
                  <w:r>
                    <w:rPr>
                      <w:rFonts w:hint="eastAsia"/>
                      <w:color w:val="auto"/>
                      <w:highlight w:val="none"/>
                    </w:rPr>
                    <w:t>执行标准</w:t>
                  </w:r>
                </w:p>
              </w:tc>
              <w:tc>
                <w:tcPr>
                  <w:tcW w:w="402" w:type="pct"/>
                  <w:tcBorders>
                    <w:top w:val="single" w:color="auto" w:sz="4" w:space="0"/>
                    <w:left w:val="single" w:color="auto" w:sz="4" w:space="0"/>
                    <w:bottom w:val="single" w:color="auto" w:sz="4" w:space="0"/>
                    <w:right w:val="single" w:color="auto" w:sz="4" w:space="0"/>
                  </w:tcBorders>
                  <w:vAlign w:val="center"/>
                </w:tcPr>
                <w:p w14:paraId="4B1CD4C7">
                  <w:pPr>
                    <w:pStyle w:val="30"/>
                    <w:rPr>
                      <w:color w:val="auto"/>
                      <w:highlight w:val="none"/>
                    </w:rPr>
                  </w:pPr>
                  <w:r>
                    <w:rPr>
                      <w:color w:val="auto"/>
                      <w:highlight w:val="none"/>
                    </w:rPr>
                    <w:t>6~9</w:t>
                  </w:r>
                </w:p>
              </w:tc>
              <w:tc>
                <w:tcPr>
                  <w:tcW w:w="632" w:type="pct"/>
                  <w:tcBorders>
                    <w:top w:val="single" w:color="auto" w:sz="4" w:space="0"/>
                    <w:left w:val="single" w:color="auto" w:sz="4" w:space="0"/>
                    <w:bottom w:val="single" w:color="auto" w:sz="4" w:space="0"/>
                    <w:right w:val="single" w:color="auto" w:sz="4" w:space="0"/>
                  </w:tcBorders>
                  <w:vAlign w:val="center"/>
                </w:tcPr>
                <w:p w14:paraId="72ECB513">
                  <w:pPr>
                    <w:pStyle w:val="30"/>
                    <w:rPr>
                      <w:rFonts w:hint="default"/>
                      <w:color w:val="auto"/>
                      <w:highlight w:val="none"/>
                      <w:lang w:val="en-US" w:eastAsia="zh-CN"/>
                    </w:rPr>
                  </w:pPr>
                  <w:r>
                    <w:rPr>
                      <w:rFonts w:hint="eastAsia"/>
                      <w:color w:val="auto"/>
                      <w:highlight w:val="none"/>
                      <w:lang w:val="en-US" w:eastAsia="zh-CN"/>
                    </w:rPr>
                    <w:t>280</w:t>
                  </w:r>
                </w:p>
              </w:tc>
              <w:tc>
                <w:tcPr>
                  <w:tcW w:w="542" w:type="pct"/>
                  <w:tcBorders>
                    <w:top w:val="single" w:color="auto" w:sz="4" w:space="0"/>
                    <w:left w:val="single" w:color="auto" w:sz="4" w:space="0"/>
                    <w:bottom w:val="single" w:color="auto" w:sz="4" w:space="0"/>
                    <w:right w:val="single" w:color="auto" w:sz="4" w:space="0"/>
                  </w:tcBorders>
                  <w:vAlign w:val="center"/>
                </w:tcPr>
                <w:p w14:paraId="490CAFD2">
                  <w:pPr>
                    <w:pStyle w:val="30"/>
                    <w:rPr>
                      <w:rFonts w:hint="default"/>
                      <w:color w:val="auto"/>
                      <w:highlight w:val="none"/>
                      <w:lang w:val="en-US" w:eastAsia="zh-CN"/>
                    </w:rPr>
                  </w:pPr>
                  <w:r>
                    <w:rPr>
                      <w:rFonts w:hint="eastAsia"/>
                      <w:color w:val="auto"/>
                      <w:highlight w:val="none"/>
                      <w:lang w:val="en-US" w:eastAsia="zh-CN"/>
                    </w:rPr>
                    <w:t>105</w:t>
                  </w:r>
                </w:p>
              </w:tc>
              <w:tc>
                <w:tcPr>
                  <w:tcW w:w="396" w:type="pct"/>
                  <w:tcBorders>
                    <w:top w:val="single" w:color="auto" w:sz="4" w:space="0"/>
                    <w:left w:val="single" w:color="auto" w:sz="4" w:space="0"/>
                    <w:bottom w:val="single" w:color="auto" w:sz="4" w:space="0"/>
                    <w:right w:val="single" w:color="auto" w:sz="4" w:space="0"/>
                  </w:tcBorders>
                  <w:vAlign w:val="center"/>
                </w:tcPr>
                <w:p w14:paraId="568A0F92">
                  <w:pPr>
                    <w:pStyle w:val="30"/>
                    <w:rPr>
                      <w:rFonts w:hint="default"/>
                      <w:color w:val="auto"/>
                      <w:highlight w:val="none"/>
                      <w:lang w:val="en-US" w:eastAsia="zh-CN"/>
                    </w:rPr>
                  </w:pPr>
                  <w:r>
                    <w:rPr>
                      <w:rFonts w:hint="eastAsia"/>
                      <w:color w:val="auto"/>
                      <w:highlight w:val="none"/>
                      <w:lang w:val="en-US" w:eastAsia="zh-CN"/>
                    </w:rPr>
                    <w:t>130</w:t>
                  </w:r>
                </w:p>
              </w:tc>
              <w:tc>
                <w:tcPr>
                  <w:tcW w:w="481" w:type="pct"/>
                  <w:tcBorders>
                    <w:top w:val="single" w:color="auto" w:sz="4" w:space="0"/>
                    <w:left w:val="single" w:color="auto" w:sz="4" w:space="0"/>
                    <w:bottom w:val="single" w:color="auto" w:sz="4" w:space="0"/>
                    <w:right w:val="single" w:color="auto" w:sz="4" w:space="0"/>
                  </w:tcBorders>
                  <w:vAlign w:val="center"/>
                </w:tcPr>
                <w:p w14:paraId="5819F756">
                  <w:pPr>
                    <w:pStyle w:val="30"/>
                    <w:rPr>
                      <w:rFonts w:hint="default"/>
                      <w:color w:val="auto"/>
                      <w:highlight w:val="none"/>
                      <w:lang w:val="en-US" w:eastAsia="zh-CN"/>
                    </w:rPr>
                  </w:pPr>
                  <w:r>
                    <w:rPr>
                      <w:rFonts w:hint="eastAsia"/>
                      <w:color w:val="auto"/>
                      <w:highlight w:val="none"/>
                      <w:lang w:val="en-US" w:eastAsia="zh-CN"/>
                    </w:rPr>
                    <w:t>43</w:t>
                  </w:r>
                </w:p>
              </w:tc>
              <w:tc>
                <w:tcPr>
                  <w:tcW w:w="441" w:type="pct"/>
                  <w:tcBorders>
                    <w:top w:val="single" w:color="auto" w:sz="4" w:space="0"/>
                    <w:left w:val="single" w:color="auto" w:sz="4" w:space="0"/>
                    <w:bottom w:val="single" w:color="auto" w:sz="4" w:space="0"/>
                    <w:right w:val="single" w:color="auto" w:sz="4" w:space="0"/>
                  </w:tcBorders>
                  <w:vAlign w:val="center"/>
                </w:tcPr>
                <w:p w14:paraId="3306660B">
                  <w:pPr>
                    <w:pStyle w:val="30"/>
                    <w:rPr>
                      <w:rFonts w:hint="default"/>
                      <w:color w:val="auto"/>
                      <w:highlight w:val="none"/>
                      <w:lang w:val="en-US" w:eastAsia="zh-CN"/>
                    </w:rPr>
                  </w:pPr>
                  <w:r>
                    <w:rPr>
                      <w:rFonts w:hint="eastAsia"/>
                      <w:color w:val="auto"/>
                      <w:highlight w:val="none"/>
                      <w:lang w:val="en-US" w:eastAsia="zh-CN"/>
                    </w:rPr>
                    <w:t>20</w:t>
                  </w:r>
                </w:p>
              </w:tc>
              <w:tc>
                <w:tcPr>
                  <w:tcW w:w="396" w:type="pct"/>
                  <w:tcBorders>
                    <w:top w:val="single" w:color="auto" w:sz="4" w:space="0"/>
                    <w:left w:val="single" w:color="auto" w:sz="4" w:space="0"/>
                    <w:bottom w:val="single" w:color="auto" w:sz="4" w:space="0"/>
                    <w:right w:val="single" w:color="auto" w:sz="4" w:space="0"/>
                  </w:tcBorders>
                  <w:vAlign w:val="center"/>
                </w:tcPr>
                <w:p w14:paraId="1A0D2852">
                  <w:pPr>
                    <w:pStyle w:val="30"/>
                    <w:rPr>
                      <w:rFonts w:hint="eastAsia" w:eastAsia="宋体"/>
                      <w:color w:val="auto"/>
                      <w:highlight w:val="none"/>
                      <w:lang w:val="en-US" w:eastAsia="zh-CN"/>
                    </w:rPr>
                  </w:pPr>
                  <w:r>
                    <w:rPr>
                      <w:rFonts w:hint="eastAsia"/>
                      <w:color w:val="auto"/>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vAlign w:val="center"/>
                </w:tcPr>
                <w:p w14:paraId="55889C56">
                  <w:pPr>
                    <w:pStyle w:val="30"/>
                    <w:rPr>
                      <w:rFonts w:hint="default"/>
                      <w:color w:val="auto"/>
                      <w:highlight w:val="none"/>
                      <w:lang w:val="en-US" w:eastAsia="zh-CN"/>
                    </w:rPr>
                  </w:pPr>
                  <w:r>
                    <w:rPr>
                      <w:rFonts w:hint="eastAsia"/>
                      <w:color w:val="auto"/>
                      <w:highlight w:val="none"/>
                      <w:lang w:val="en-US" w:eastAsia="zh-CN"/>
                    </w:rPr>
                    <w:t>/</w:t>
                  </w:r>
                </w:p>
              </w:tc>
            </w:tr>
          </w:tbl>
          <w:p w14:paraId="518FF527">
            <w:pPr>
              <w:ind w:firstLine="480" w:firstLineChars="200"/>
              <w:rPr>
                <w:color w:val="auto"/>
                <w:highlight w:val="none"/>
              </w:rPr>
            </w:pPr>
            <w:r>
              <w:rPr>
                <w:rFonts w:hint="eastAsia"/>
                <w:color w:val="auto"/>
                <w:highlight w:val="none"/>
              </w:rPr>
              <w:t>（3）噪声排放标准</w:t>
            </w:r>
          </w:p>
          <w:p w14:paraId="17A6C1A7">
            <w:pPr>
              <w:keepNext w:val="0"/>
              <w:keepLines w:val="0"/>
              <w:widowControl/>
              <w:suppressLineNumbers w:val="0"/>
              <w:ind w:firstLine="480" w:firstLineChars="200"/>
              <w:jc w:val="left"/>
              <w:rPr>
                <w:color w:val="auto"/>
                <w:highlight w:val="none"/>
              </w:rPr>
            </w:pPr>
            <w:bookmarkStart w:id="23" w:name="OLE_LINK23"/>
            <w:r>
              <w:rPr>
                <w:color w:val="auto"/>
                <w:highlight w:val="none"/>
              </w:rPr>
              <w:t>本项目</w:t>
            </w:r>
            <w:r>
              <w:rPr>
                <w:rFonts w:hint="eastAsia" w:ascii="宋体" w:hAnsi="宋体" w:eastAsia="宋体" w:cs="宋体"/>
                <w:color w:val="auto"/>
                <w:kern w:val="0"/>
                <w:sz w:val="24"/>
                <w:szCs w:val="24"/>
                <w:highlight w:val="none"/>
                <w:lang w:val="en-US" w:eastAsia="zh-CN" w:bidi="ar"/>
              </w:rPr>
              <w:t>位于</w:t>
            </w:r>
            <w:r>
              <w:rPr>
                <w:rFonts w:hint="eastAsia" w:ascii="宋体" w:hAnsi="宋体" w:cs="宋体"/>
                <w:color w:val="auto"/>
                <w:kern w:val="0"/>
                <w:sz w:val="24"/>
                <w:szCs w:val="24"/>
                <w:highlight w:val="none"/>
                <w:lang w:val="en-US" w:eastAsia="zh-CN" w:bidi="ar"/>
              </w:rPr>
              <w:t>淮南市</w:t>
            </w:r>
            <w:r>
              <w:rPr>
                <w:rFonts w:hint="eastAsia" w:ascii="宋体" w:hAnsi="宋体" w:eastAsia="宋体" w:cs="宋体"/>
                <w:color w:val="auto"/>
                <w:kern w:val="0"/>
                <w:sz w:val="24"/>
                <w:szCs w:val="24"/>
                <w:highlight w:val="none"/>
                <w:lang w:val="en-US" w:eastAsia="zh-CN" w:bidi="ar"/>
              </w:rPr>
              <w:t>田家庵区安</w:t>
            </w:r>
            <w:r>
              <w:rPr>
                <w:rFonts w:hint="eastAsia" w:ascii="宋体" w:hAnsi="宋体" w:cs="宋体"/>
                <w:color w:val="auto"/>
                <w:kern w:val="0"/>
                <w:sz w:val="24"/>
                <w:szCs w:val="24"/>
                <w:highlight w:val="none"/>
                <w:lang w:val="en-US" w:eastAsia="zh-CN" w:bidi="ar"/>
              </w:rPr>
              <w:t>成</w:t>
            </w:r>
            <w:r>
              <w:rPr>
                <w:rFonts w:hint="eastAsia" w:ascii="宋体" w:hAnsi="宋体" w:eastAsia="宋体" w:cs="宋体"/>
                <w:color w:val="auto"/>
                <w:kern w:val="0"/>
                <w:sz w:val="24"/>
                <w:szCs w:val="24"/>
                <w:highlight w:val="none"/>
                <w:lang w:val="en-US" w:eastAsia="zh-CN" w:bidi="ar"/>
              </w:rPr>
              <w:t>镇境内，根据《淮南市中心城区声环境功能区划分方案》（</w:t>
            </w:r>
            <w:r>
              <w:rPr>
                <w:rFonts w:hint="default" w:ascii="Times New Roman" w:hAnsi="Times New Roman" w:eastAsia="宋体" w:cs="Times New Roman"/>
                <w:color w:val="auto"/>
                <w:kern w:val="0"/>
                <w:sz w:val="24"/>
                <w:szCs w:val="24"/>
                <w:highlight w:val="none"/>
                <w:lang w:val="en-US" w:eastAsia="zh-CN" w:bidi="ar"/>
              </w:rPr>
              <w:t>2021</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月</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日），项目</w:t>
            </w:r>
            <w:r>
              <w:rPr>
                <w:color w:val="auto"/>
                <w:highlight w:val="none"/>
              </w:rPr>
              <w:t>运营期厂界</w:t>
            </w:r>
            <w:r>
              <w:rPr>
                <w:rFonts w:hint="eastAsia"/>
                <w:color w:val="auto"/>
                <w:highlight w:val="none"/>
                <w:lang w:eastAsia="zh-CN"/>
              </w:rPr>
              <w:t>东、</w:t>
            </w:r>
            <w:r>
              <w:rPr>
                <w:rFonts w:hint="eastAsia"/>
                <w:color w:val="auto"/>
                <w:highlight w:val="none"/>
              </w:rPr>
              <w:t>西、南</w:t>
            </w:r>
            <w:r>
              <w:rPr>
                <w:color w:val="auto"/>
                <w:highlight w:val="none"/>
              </w:rPr>
              <w:t>侧噪声执行《工业企业厂界环境噪声排放标准》（GB12348-2008）中</w:t>
            </w:r>
            <w:r>
              <w:rPr>
                <w:rFonts w:hint="eastAsia"/>
                <w:color w:val="auto"/>
                <w:highlight w:val="none"/>
                <w:lang w:val="en-US" w:eastAsia="zh-CN"/>
              </w:rPr>
              <w:t>3</w:t>
            </w:r>
            <w:r>
              <w:rPr>
                <w:color w:val="auto"/>
                <w:highlight w:val="none"/>
              </w:rPr>
              <w:t>类标准；</w:t>
            </w:r>
            <w:r>
              <w:rPr>
                <w:rFonts w:hint="eastAsia"/>
                <w:color w:val="auto"/>
                <w:highlight w:val="none"/>
                <w:lang w:eastAsia="zh-CN"/>
              </w:rPr>
              <w:t>北侧临</w:t>
            </w:r>
            <w:r>
              <w:rPr>
                <w:rFonts w:hint="eastAsia"/>
                <w:color w:val="auto"/>
                <w:highlight w:val="none"/>
                <w:lang w:val="en-US" w:eastAsia="zh-CN"/>
              </w:rPr>
              <w:t>S225</w:t>
            </w:r>
            <w:r>
              <w:rPr>
                <w:rFonts w:hint="eastAsia"/>
                <w:color w:val="auto"/>
                <w:highlight w:val="none"/>
                <w:lang w:eastAsia="zh-CN"/>
              </w:rPr>
              <w:t>淮潘公路</w:t>
            </w:r>
            <w:r>
              <w:rPr>
                <w:rFonts w:hint="eastAsia"/>
                <w:color w:val="auto"/>
                <w:highlight w:val="none"/>
              </w:rPr>
              <w:t>，</w:t>
            </w:r>
            <w:r>
              <w:rPr>
                <w:color w:val="auto"/>
                <w:highlight w:val="none"/>
              </w:rPr>
              <w:t>噪声执行《工业企业厂界环境噪声排放标准》（GB12348-2008）中4类标准</w:t>
            </w:r>
            <w:r>
              <w:rPr>
                <w:rFonts w:hint="eastAsia"/>
                <w:color w:val="auto"/>
                <w:highlight w:val="none"/>
                <w:lang w:eastAsia="zh-CN"/>
              </w:rPr>
              <w:t>；项目东侧</w:t>
            </w:r>
            <w:r>
              <w:rPr>
                <w:rFonts w:hint="eastAsia"/>
                <w:color w:val="auto"/>
                <w:highlight w:val="none"/>
                <w:lang w:val="en-US" w:eastAsia="zh-CN"/>
              </w:rPr>
              <w:t>50m范围内环境保护目标</w:t>
            </w:r>
            <w:r>
              <w:rPr>
                <w:color w:val="auto"/>
                <w:highlight w:val="none"/>
              </w:rPr>
              <w:t>执行《工业企业厂界环境噪声排放标准》（GB12348-2008）中</w:t>
            </w:r>
            <w:r>
              <w:rPr>
                <w:rFonts w:hint="eastAsia"/>
                <w:color w:val="auto"/>
                <w:highlight w:val="none"/>
                <w:lang w:val="en-US" w:eastAsia="zh-CN"/>
              </w:rPr>
              <w:t>2</w:t>
            </w:r>
            <w:r>
              <w:rPr>
                <w:color w:val="auto"/>
                <w:highlight w:val="none"/>
              </w:rPr>
              <w:t>类标准</w:t>
            </w:r>
            <w:r>
              <w:rPr>
                <w:rFonts w:hint="eastAsia"/>
                <w:color w:val="auto"/>
                <w:highlight w:val="none"/>
                <w:lang w:eastAsia="zh-CN"/>
              </w:rPr>
              <w:t>。</w:t>
            </w:r>
            <w:r>
              <w:rPr>
                <w:color w:val="auto"/>
                <w:highlight w:val="none"/>
              </w:rPr>
              <w:t>噪声执行具体数值详见下表。</w:t>
            </w:r>
            <w:bookmarkEnd w:id="23"/>
          </w:p>
          <w:p w14:paraId="615FC6A5">
            <w:pPr>
              <w:pStyle w:val="6"/>
              <w:rPr>
                <w:color w:val="auto"/>
                <w:highlight w:val="none"/>
              </w:rPr>
            </w:pPr>
            <w:r>
              <w:rPr>
                <w:color w:val="auto"/>
                <w:highlight w:val="none"/>
              </w:rPr>
              <w:t xml:space="preserve">表 </w:t>
            </w:r>
            <w:r>
              <w:rPr>
                <w:rFonts w:hint="eastAsia"/>
                <w:color w:val="auto"/>
                <w:highlight w:val="none"/>
              </w:rPr>
              <w:t>3-</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16</w:t>
            </w:r>
            <w:r>
              <w:rPr>
                <w:color w:val="auto"/>
                <w:highlight w:val="none"/>
              </w:rPr>
              <w:fldChar w:fldCharType="end"/>
            </w:r>
            <w:r>
              <w:rPr>
                <w:rFonts w:hint="eastAsia"/>
                <w:color w:val="auto"/>
                <w:highlight w:val="none"/>
              </w:rPr>
              <w:t xml:space="preserve"> </w:t>
            </w:r>
            <w:r>
              <w:rPr>
                <w:color w:val="auto"/>
                <w:highlight w:val="none"/>
              </w:rPr>
              <w:t>《工业企业厂界环境噪声排放标准》（GB12348-2008）</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60"/>
              <w:gridCol w:w="1760"/>
              <w:gridCol w:w="1760"/>
              <w:gridCol w:w="1761"/>
            </w:tblGrid>
            <w:tr w14:paraId="7E71D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59" w:type="dxa"/>
                  <w:vMerge w:val="restart"/>
                  <w:tcBorders>
                    <w:top w:val="single" w:color="000000" w:sz="4" w:space="0"/>
                    <w:left w:val="single" w:color="000000" w:sz="4" w:space="0"/>
                    <w:right w:val="single" w:color="000000" w:sz="4" w:space="0"/>
                  </w:tcBorders>
                  <w:vAlign w:val="center"/>
                </w:tcPr>
                <w:p w14:paraId="491FDABC">
                  <w:pPr>
                    <w:pStyle w:val="30"/>
                    <w:rPr>
                      <w:color w:val="auto"/>
                      <w:highlight w:val="none"/>
                    </w:rPr>
                  </w:pPr>
                  <w:r>
                    <w:rPr>
                      <w:rFonts w:hint="eastAsia"/>
                      <w:color w:val="auto"/>
                      <w:highlight w:val="none"/>
                    </w:rPr>
                    <w:t>执行区域</w:t>
                  </w:r>
                </w:p>
              </w:tc>
              <w:tc>
                <w:tcPr>
                  <w:tcW w:w="1759" w:type="dxa"/>
                  <w:vMerge w:val="restart"/>
                  <w:tcBorders>
                    <w:top w:val="single" w:color="000000" w:sz="4" w:space="0"/>
                    <w:left w:val="single" w:color="000000" w:sz="4" w:space="0"/>
                    <w:right w:val="single" w:color="000000" w:sz="4" w:space="0"/>
                  </w:tcBorders>
                  <w:vAlign w:val="center"/>
                </w:tcPr>
                <w:p w14:paraId="42E8CD57">
                  <w:pPr>
                    <w:pStyle w:val="30"/>
                    <w:rPr>
                      <w:color w:val="auto"/>
                      <w:highlight w:val="none"/>
                    </w:rPr>
                  </w:pPr>
                  <w:r>
                    <w:rPr>
                      <w:rFonts w:hint="eastAsia"/>
                      <w:color w:val="auto"/>
                      <w:highlight w:val="none"/>
                    </w:rPr>
                    <w:t>类别</w:t>
                  </w:r>
                </w:p>
              </w:tc>
              <w:tc>
                <w:tcPr>
                  <w:tcW w:w="3519" w:type="dxa"/>
                  <w:gridSpan w:val="2"/>
                  <w:tcBorders>
                    <w:top w:val="single" w:color="000000" w:sz="4" w:space="0"/>
                    <w:left w:val="single" w:color="000000" w:sz="4" w:space="0"/>
                    <w:bottom w:val="single" w:color="auto" w:sz="4" w:space="0"/>
                    <w:right w:val="single" w:color="000000" w:sz="4" w:space="0"/>
                  </w:tcBorders>
                  <w:vAlign w:val="center"/>
                </w:tcPr>
                <w:p w14:paraId="4450F1EB">
                  <w:pPr>
                    <w:pStyle w:val="30"/>
                    <w:rPr>
                      <w:color w:val="auto"/>
                      <w:highlight w:val="none"/>
                    </w:rPr>
                  </w:pPr>
                  <w:r>
                    <w:rPr>
                      <w:rFonts w:hint="eastAsia"/>
                      <w:color w:val="auto"/>
                      <w:highlight w:val="none"/>
                      <w:lang w:eastAsia="zh-CN"/>
                    </w:rPr>
                    <w:t>排放限值</w:t>
                  </w:r>
                </w:p>
              </w:tc>
            </w:tr>
            <w:tr w14:paraId="4A8A0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59" w:type="dxa"/>
                  <w:vMerge w:val="continue"/>
                  <w:tcBorders>
                    <w:left w:val="single" w:color="000000" w:sz="4" w:space="0"/>
                    <w:bottom w:val="single" w:color="000000" w:sz="4" w:space="0"/>
                    <w:right w:val="single" w:color="000000" w:sz="4" w:space="0"/>
                  </w:tcBorders>
                  <w:vAlign w:val="center"/>
                </w:tcPr>
                <w:p w14:paraId="5236211C">
                  <w:pPr>
                    <w:pStyle w:val="30"/>
                    <w:rPr>
                      <w:color w:val="auto"/>
                      <w:highlight w:val="none"/>
                    </w:rPr>
                  </w:pPr>
                </w:p>
              </w:tc>
              <w:tc>
                <w:tcPr>
                  <w:tcW w:w="1759" w:type="dxa"/>
                  <w:vMerge w:val="continue"/>
                  <w:tcBorders>
                    <w:left w:val="single" w:color="000000" w:sz="4" w:space="0"/>
                    <w:bottom w:val="single" w:color="000000" w:sz="4" w:space="0"/>
                    <w:right w:val="single" w:color="000000" w:sz="4" w:space="0"/>
                  </w:tcBorders>
                  <w:vAlign w:val="center"/>
                </w:tcPr>
                <w:p w14:paraId="3E3CF9D2">
                  <w:pPr>
                    <w:pStyle w:val="30"/>
                    <w:rPr>
                      <w:color w:val="auto"/>
                      <w:highlight w:val="none"/>
                    </w:rPr>
                  </w:pPr>
                </w:p>
              </w:tc>
              <w:tc>
                <w:tcPr>
                  <w:tcW w:w="1759" w:type="dxa"/>
                  <w:tcBorders>
                    <w:top w:val="single" w:color="auto" w:sz="4" w:space="0"/>
                    <w:left w:val="single" w:color="000000" w:sz="4" w:space="0"/>
                    <w:bottom w:val="single" w:color="000000" w:sz="4" w:space="0"/>
                    <w:right w:val="single" w:color="auto" w:sz="4" w:space="0"/>
                  </w:tcBorders>
                  <w:vAlign w:val="center"/>
                </w:tcPr>
                <w:p w14:paraId="08E3FE0E">
                  <w:pPr>
                    <w:pStyle w:val="30"/>
                    <w:rPr>
                      <w:color w:val="auto"/>
                      <w:highlight w:val="none"/>
                    </w:rPr>
                  </w:pPr>
                  <w:r>
                    <w:rPr>
                      <w:rFonts w:hint="eastAsia"/>
                      <w:color w:val="auto"/>
                      <w:highlight w:val="none"/>
                    </w:rPr>
                    <w:t>昼间</w:t>
                  </w:r>
                </w:p>
              </w:tc>
              <w:tc>
                <w:tcPr>
                  <w:tcW w:w="1760" w:type="dxa"/>
                  <w:tcBorders>
                    <w:top w:val="single" w:color="auto" w:sz="4" w:space="0"/>
                    <w:left w:val="single" w:color="auto" w:sz="4" w:space="0"/>
                    <w:bottom w:val="single" w:color="000000" w:sz="4" w:space="0"/>
                    <w:right w:val="single" w:color="000000" w:sz="4" w:space="0"/>
                  </w:tcBorders>
                  <w:vAlign w:val="center"/>
                </w:tcPr>
                <w:p w14:paraId="02C24981">
                  <w:pPr>
                    <w:pStyle w:val="30"/>
                    <w:rPr>
                      <w:color w:val="auto"/>
                      <w:highlight w:val="none"/>
                    </w:rPr>
                  </w:pPr>
                  <w:r>
                    <w:rPr>
                      <w:rFonts w:hint="eastAsia"/>
                      <w:color w:val="auto"/>
                      <w:highlight w:val="none"/>
                    </w:rPr>
                    <w:t>夜间</w:t>
                  </w:r>
                </w:p>
              </w:tc>
            </w:tr>
            <w:tr w14:paraId="6062B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59" w:type="dxa"/>
                  <w:tcBorders>
                    <w:top w:val="single" w:color="000000" w:sz="4" w:space="0"/>
                    <w:left w:val="single" w:color="000000" w:sz="4" w:space="0"/>
                    <w:bottom w:val="single" w:color="auto" w:sz="4" w:space="0"/>
                    <w:right w:val="single" w:color="000000" w:sz="4" w:space="0"/>
                  </w:tcBorders>
                  <w:vAlign w:val="center"/>
                </w:tcPr>
                <w:p w14:paraId="14421301">
                  <w:pPr>
                    <w:pStyle w:val="30"/>
                    <w:rPr>
                      <w:color w:val="auto"/>
                      <w:highlight w:val="none"/>
                    </w:rPr>
                  </w:pPr>
                  <w:r>
                    <w:rPr>
                      <w:rFonts w:hint="eastAsia"/>
                      <w:color w:val="auto"/>
                      <w:highlight w:val="none"/>
                      <w:lang w:eastAsia="zh-CN"/>
                    </w:rPr>
                    <w:t>东、</w:t>
                  </w:r>
                  <w:r>
                    <w:rPr>
                      <w:rFonts w:hint="eastAsia"/>
                      <w:color w:val="auto"/>
                      <w:highlight w:val="none"/>
                    </w:rPr>
                    <w:t>西、南侧厂界</w:t>
                  </w:r>
                </w:p>
              </w:tc>
              <w:tc>
                <w:tcPr>
                  <w:tcW w:w="1759" w:type="dxa"/>
                  <w:tcBorders>
                    <w:top w:val="single" w:color="000000" w:sz="4" w:space="0"/>
                    <w:left w:val="single" w:color="000000" w:sz="4" w:space="0"/>
                    <w:bottom w:val="single" w:color="000000" w:sz="4" w:space="0"/>
                    <w:right w:val="single" w:color="000000" w:sz="4" w:space="0"/>
                  </w:tcBorders>
                  <w:vAlign w:val="center"/>
                </w:tcPr>
                <w:p w14:paraId="550F7140">
                  <w:pPr>
                    <w:pStyle w:val="30"/>
                    <w:rPr>
                      <w:color w:val="auto"/>
                      <w:highlight w:val="none"/>
                    </w:rPr>
                  </w:pPr>
                  <w:r>
                    <w:rPr>
                      <w:rFonts w:hint="eastAsia"/>
                      <w:color w:val="auto"/>
                      <w:highlight w:val="none"/>
                      <w:lang w:val="en-US" w:eastAsia="zh-CN"/>
                    </w:rPr>
                    <w:t>3</w:t>
                  </w:r>
                  <w:r>
                    <w:rPr>
                      <w:rFonts w:hint="eastAsia"/>
                      <w:color w:val="auto"/>
                      <w:highlight w:val="none"/>
                    </w:rPr>
                    <w:t>类标准</w:t>
                  </w:r>
                </w:p>
              </w:tc>
              <w:tc>
                <w:tcPr>
                  <w:tcW w:w="1759" w:type="dxa"/>
                  <w:tcBorders>
                    <w:top w:val="single" w:color="000000" w:sz="4" w:space="0"/>
                    <w:left w:val="single" w:color="000000" w:sz="4" w:space="0"/>
                    <w:bottom w:val="single" w:color="000000" w:sz="4" w:space="0"/>
                    <w:right w:val="single" w:color="auto" w:sz="4" w:space="0"/>
                  </w:tcBorders>
                  <w:vAlign w:val="center"/>
                </w:tcPr>
                <w:p w14:paraId="5CC7CC82">
                  <w:pPr>
                    <w:pStyle w:val="30"/>
                    <w:rPr>
                      <w:rFonts w:hint="default" w:eastAsia="宋体"/>
                      <w:color w:val="auto"/>
                      <w:highlight w:val="none"/>
                      <w:lang w:val="en-US" w:eastAsia="zh-CN"/>
                    </w:rPr>
                  </w:pPr>
                  <w:r>
                    <w:rPr>
                      <w:rFonts w:hint="eastAsia"/>
                      <w:color w:val="auto"/>
                      <w:highlight w:val="none"/>
                      <w:lang w:val="en-US" w:eastAsia="zh-CN"/>
                    </w:rPr>
                    <w:t>65</w:t>
                  </w:r>
                </w:p>
              </w:tc>
              <w:tc>
                <w:tcPr>
                  <w:tcW w:w="1760" w:type="dxa"/>
                  <w:tcBorders>
                    <w:top w:val="single" w:color="000000" w:sz="4" w:space="0"/>
                    <w:left w:val="single" w:color="auto" w:sz="4" w:space="0"/>
                    <w:bottom w:val="single" w:color="000000" w:sz="4" w:space="0"/>
                    <w:right w:val="single" w:color="000000" w:sz="4" w:space="0"/>
                  </w:tcBorders>
                  <w:vAlign w:val="center"/>
                </w:tcPr>
                <w:p w14:paraId="1B29B97B">
                  <w:pPr>
                    <w:pStyle w:val="30"/>
                    <w:rPr>
                      <w:rFonts w:hint="default" w:eastAsia="宋体"/>
                      <w:color w:val="auto"/>
                      <w:highlight w:val="none"/>
                      <w:lang w:val="en-US" w:eastAsia="zh-CN"/>
                    </w:rPr>
                  </w:pPr>
                  <w:r>
                    <w:rPr>
                      <w:rFonts w:hint="eastAsia"/>
                      <w:color w:val="auto"/>
                      <w:highlight w:val="none"/>
                      <w:lang w:val="en-US" w:eastAsia="zh-CN"/>
                    </w:rPr>
                    <w:t>55</w:t>
                  </w:r>
                </w:p>
              </w:tc>
            </w:tr>
            <w:tr w14:paraId="077BD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59" w:type="dxa"/>
                  <w:tcBorders>
                    <w:top w:val="single" w:color="auto" w:sz="4" w:space="0"/>
                    <w:left w:val="single" w:color="000000" w:sz="4" w:space="0"/>
                    <w:bottom w:val="single" w:color="auto" w:sz="4" w:space="0"/>
                    <w:right w:val="single" w:color="000000" w:sz="4" w:space="0"/>
                  </w:tcBorders>
                  <w:vAlign w:val="center"/>
                </w:tcPr>
                <w:p w14:paraId="0228BE74">
                  <w:pPr>
                    <w:pStyle w:val="30"/>
                    <w:rPr>
                      <w:color w:val="auto"/>
                      <w:highlight w:val="none"/>
                    </w:rPr>
                  </w:pPr>
                  <w:r>
                    <w:rPr>
                      <w:rFonts w:hint="eastAsia"/>
                      <w:color w:val="auto"/>
                      <w:highlight w:val="none"/>
                    </w:rPr>
                    <w:t>北侧厂界</w:t>
                  </w:r>
                </w:p>
              </w:tc>
              <w:tc>
                <w:tcPr>
                  <w:tcW w:w="1759" w:type="dxa"/>
                  <w:tcBorders>
                    <w:top w:val="single" w:color="000000" w:sz="4" w:space="0"/>
                    <w:left w:val="single" w:color="000000" w:sz="4" w:space="0"/>
                    <w:bottom w:val="single" w:color="000000" w:sz="4" w:space="0"/>
                    <w:right w:val="single" w:color="000000" w:sz="4" w:space="0"/>
                  </w:tcBorders>
                  <w:vAlign w:val="center"/>
                </w:tcPr>
                <w:p w14:paraId="35BC576E">
                  <w:pPr>
                    <w:pStyle w:val="30"/>
                    <w:rPr>
                      <w:color w:val="auto"/>
                      <w:highlight w:val="none"/>
                    </w:rPr>
                  </w:pPr>
                  <w:r>
                    <w:rPr>
                      <w:rFonts w:hint="eastAsia"/>
                      <w:color w:val="auto"/>
                      <w:highlight w:val="none"/>
                    </w:rPr>
                    <w:t>4类标准</w:t>
                  </w:r>
                </w:p>
              </w:tc>
              <w:tc>
                <w:tcPr>
                  <w:tcW w:w="1759" w:type="dxa"/>
                  <w:tcBorders>
                    <w:top w:val="single" w:color="000000" w:sz="4" w:space="0"/>
                    <w:left w:val="single" w:color="000000" w:sz="4" w:space="0"/>
                    <w:bottom w:val="single" w:color="000000" w:sz="4" w:space="0"/>
                    <w:right w:val="single" w:color="auto" w:sz="4" w:space="0"/>
                  </w:tcBorders>
                  <w:vAlign w:val="center"/>
                </w:tcPr>
                <w:p w14:paraId="1AF708F1">
                  <w:pPr>
                    <w:pStyle w:val="30"/>
                    <w:rPr>
                      <w:color w:val="auto"/>
                      <w:highlight w:val="none"/>
                    </w:rPr>
                  </w:pPr>
                  <w:r>
                    <w:rPr>
                      <w:rFonts w:hint="eastAsia"/>
                      <w:color w:val="auto"/>
                      <w:highlight w:val="none"/>
                    </w:rPr>
                    <w:t>70</w:t>
                  </w:r>
                </w:p>
              </w:tc>
              <w:tc>
                <w:tcPr>
                  <w:tcW w:w="1760" w:type="dxa"/>
                  <w:tcBorders>
                    <w:top w:val="single" w:color="000000" w:sz="4" w:space="0"/>
                    <w:left w:val="single" w:color="auto" w:sz="4" w:space="0"/>
                    <w:bottom w:val="single" w:color="000000" w:sz="4" w:space="0"/>
                    <w:right w:val="single" w:color="000000" w:sz="4" w:space="0"/>
                  </w:tcBorders>
                  <w:vAlign w:val="center"/>
                </w:tcPr>
                <w:p w14:paraId="45785958">
                  <w:pPr>
                    <w:pStyle w:val="30"/>
                    <w:rPr>
                      <w:color w:val="auto"/>
                      <w:highlight w:val="none"/>
                    </w:rPr>
                  </w:pPr>
                  <w:r>
                    <w:rPr>
                      <w:rFonts w:hint="eastAsia"/>
                      <w:color w:val="auto"/>
                      <w:highlight w:val="none"/>
                    </w:rPr>
                    <w:t>55</w:t>
                  </w:r>
                </w:p>
              </w:tc>
            </w:tr>
            <w:tr w14:paraId="659DB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59" w:type="dxa"/>
                  <w:tcBorders>
                    <w:top w:val="single" w:color="auto" w:sz="4" w:space="0"/>
                    <w:left w:val="single" w:color="000000" w:sz="4" w:space="0"/>
                    <w:bottom w:val="single" w:color="auto" w:sz="4" w:space="0"/>
                    <w:right w:val="single" w:color="000000" w:sz="4" w:space="0"/>
                  </w:tcBorders>
                  <w:vAlign w:val="center"/>
                </w:tcPr>
                <w:p w14:paraId="09730011">
                  <w:pPr>
                    <w:pStyle w:val="30"/>
                    <w:rPr>
                      <w:rFonts w:hint="eastAsia" w:eastAsia="宋体"/>
                      <w:color w:val="auto"/>
                      <w:highlight w:val="none"/>
                      <w:lang w:eastAsia="zh-CN"/>
                    </w:rPr>
                  </w:pPr>
                  <w:r>
                    <w:rPr>
                      <w:rFonts w:hint="eastAsia"/>
                      <w:color w:val="auto"/>
                      <w:highlight w:val="none"/>
                      <w:lang w:eastAsia="zh-CN"/>
                    </w:rPr>
                    <w:t>环境保护目标（下陈村）</w:t>
                  </w:r>
                </w:p>
              </w:tc>
              <w:tc>
                <w:tcPr>
                  <w:tcW w:w="1759" w:type="dxa"/>
                  <w:tcBorders>
                    <w:top w:val="single" w:color="000000" w:sz="4" w:space="0"/>
                    <w:left w:val="single" w:color="000000" w:sz="4" w:space="0"/>
                    <w:bottom w:val="single" w:color="auto" w:sz="4" w:space="0"/>
                    <w:right w:val="single" w:color="000000" w:sz="4" w:space="0"/>
                  </w:tcBorders>
                  <w:shd w:val="clear" w:color="auto" w:fill="auto"/>
                  <w:vAlign w:val="center"/>
                </w:tcPr>
                <w:p w14:paraId="1CB93820">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2类标准</w:t>
                  </w:r>
                </w:p>
              </w:tc>
              <w:tc>
                <w:tcPr>
                  <w:tcW w:w="1759" w:type="dxa"/>
                  <w:tcBorders>
                    <w:top w:val="single" w:color="000000" w:sz="4" w:space="0"/>
                    <w:left w:val="single" w:color="000000" w:sz="4" w:space="0"/>
                    <w:bottom w:val="single" w:color="auto" w:sz="4" w:space="0"/>
                    <w:right w:val="single" w:color="auto" w:sz="4" w:space="0"/>
                  </w:tcBorders>
                  <w:shd w:val="clear" w:color="auto" w:fill="auto"/>
                  <w:vAlign w:val="center"/>
                </w:tcPr>
                <w:p w14:paraId="66F5A0FA">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60</w:t>
                  </w:r>
                </w:p>
              </w:tc>
              <w:tc>
                <w:tcPr>
                  <w:tcW w:w="1760" w:type="dxa"/>
                  <w:tcBorders>
                    <w:top w:val="single" w:color="000000" w:sz="4" w:space="0"/>
                    <w:left w:val="single" w:color="auto" w:sz="4" w:space="0"/>
                    <w:bottom w:val="single" w:color="auto" w:sz="4" w:space="0"/>
                    <w:right w:val="single" w:color="000000" w:sz="4" w:space="0"/>
                  </w:tcBorders>
                  <w:shd w:val="clear" w:color="auto" w:fill="auto"/>
                  <w:vAlign w:val="center"/>
                </w:tcPr>
                <w:p w14:paraId="5B1DBC7B">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50</w:t>
                  </w:r>
                </w:p>
              </w:tc>
            </w:tr>
          </w:tbl>
          <w:p w14:paraId="331D099F">
            <w:pPr>
              <w:ind w:firstLine="480" w:firstLineChars="200"/>
              <w:rPr>
                <w:color w:val="auto"/>
                <w:highlight w:val="none"/>
              </w:rPr>
            </w:pPr>
            <w:r>
              <w:rPr>
                <w:rFonts w:hint="eastAsia"/>
                <w:color w:val="auto"/>
                <w:highlight w:val="none"/>
              </w:rPr>
              <w:t>（4）固体废物排放标准</w:t>
            </w:r>
          </w:p>
          <w:p w14:paraId="215A7FEB">
            <w:pPr>
              <w:ind w:firstLine="480" w:firstLineChars="200"/>
              <w:rPr>
                <w:color w:val="auto"/>
                <w:highlight w:val="none"/>
              </w:rPr>
            </w:pPr>
            <w:r>
              <w:rPr>
                <w:rFonts w:hint="eastAsia"/>
                <w:color w:val="auto"/>
                <w:highlight w:val="none"/>
              </w:rPr>
              <w:t>项目</w:t>
            </w:r>
            <w:r>
              <w:rPr>
                <w:color w:val="auto"/>
                <w:highlight w:val="none"/>
              </w:rPr>
              <w:t>固体废物</w:t>
            </w:r>
            <w:r>
              <w:rPr>
                <w:rFonts w:hint="eastAsia"/>
                <w:color w:val="auto"/>
                <w:highlight w:val="none"/>
              </w:rPr>
              <w:t>参照执行</w:t>
            </w:r>
            <w:r>
              <w:rPr>
                <w:color w:val="auto"/>
                <w:highlight w:val="none"/>
              </w:rPr>
              <w:t>《一般工业固体废物</w:t>
            </w:r>
            <w:r>
              <w:rPr>
                <w:rFonts w:hint="eastAsia"/>
                <w:color w:val="auto"/>
                <w:highlight w:val="none"/>
              </w:rPr>
              <w:t>贮存和填埋</w:t>
            </w:r>
            <w:r>
              <w:rPr>
                <w:color w:val="auto"/>
                <w:highlight w:val="none"/>
              </w:rPr>
              <w:t>污染</w:t>
            </w:r>
            <w:r>
              <w:rPr>
                <w:rFonts w:hint="eastAsia"/>
                <w:color w:val="auto"/>
                <w:highlight w:val="none"/>
              </w:rPr>
              <w:t>物</w:t>
            </w:r>
            <w:r>
              <w:rPr>
                <w:color w:val="auto"/>
                <w:highlight w:val="none"/>
              </w:rPr>
              <w:t>控制标准》（GB18599-20</w:t>
            </w:r>
            <w:r>
              <w:rPr>
                <w:rFonts w:hint="eastAsia"/>
                <w:color w:val="auto"/>
                <w:highlight w:val="none"/>
              </w:rPr>
              <w:t>20</w:t>
            </w:r>
            <w:r>
              <w:rPr>
                <w:color w:val="auto"/>
                <w:highlight w:val="none"/>
              </w:rPr>
              <w:t>）中的相关</w:t>
            </w:r>
            <w:r>
              <w:rPr>
                <w:rFonts w:hint="eastAsia"/>
                <w:color w:val="auto"/>
                <w:highlight w:val="none"/>
              </w:rPr>
              <w:t>规定，危险废物执行</w:t>
            </w:r>
            <w:r>
              <w:rPr>
                <w:color w:val="auto"/>
                <w:highlight w:val="none"/>
              </w:rPr>
              <w:t>《</w:t>
            </w:r>
            <w:r>
              <w:rPr>
                <w:rFonts w:hint="eastAsia"/>
                <w:color w:val="auto"/>
                <w:highlight w:val="none"/>
              </w:rPr>
              <w:t>危险废物贮存污染控制标准</w:t>
            </w:r>
            <w:r>
              <w:rPr>
                <w:color w:val="auto"/>
                <w:highlight w:val="none"/>
              </w:rPr>
              <w:t>》</w:t>
            </w:r>
            <w:r>
              <w:rPr>
                <w:rFonts w:hint="eastAsia"/>
                <w:color w:val="auto"/>
                <w:highlight w:val="none"/>
              </w:rPr>
              <w:t>（GB18597-2023）规定。</w:t>
            </w:r>
          </w:p>
        </w:tc>
      </w:tr>
      <w:tr w14:paraId="23C7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2" w:hRule="atLeast"/>
        </w:trPr>
        <w:tc>
          <w:tcPr>
            <w:tcW w:w="452" w:type="dxa"/>
            <w:vAlign w:val="center"/>
          </w:tcPr>
          <w:p w14:paraId="105C523E">
            <w:pPr>
              <w:jc w:val="center"/>
              <w:rPr>
                <w:color w:val="auto"/>
                <w:highlight w:val="none"/>
              </w:rPr>
            </w:pPr>
            <w:r>
              <w:rPr>
                <w:rFonts w:hint="eastAsia"/>
                <w:color w:val="auto"/>
                <w:highlight w:val="none"/>
              </w:rPr>
              <w:t>总量控制指标</w:t>
            </w:r>
          </w:p>
        </w:tc>
        <w:tc>
          <w:tcPr>
            <w:tcW w:w="8070" w:type="dxa"/>
          </w:tcPr>
          <w:p w14:paraId="7C2E1301">
            <w:pPr>
              <w:ind w:firstLine="480" w:firstLineChars="200"/>
              <w:rPr>
                <w:color w:val="auto"/>
                <w:highlight w:val="none"/>
              </w:rPr>
            </w:pPr>
            <w:r>
              <w:rPr>
                <w:rFonts w:hint="eastAsia"/>
                <w:color w:val="auto"/>
                <w:highlight w:val="none"/>
              </w:rPr>
              <w:t>根据“安徽省环保厅关于进一步加强建设项目新增大气主要污染物总量指标管理工作的通知”中有关规定，大气主要污染物总量指标从两项增加为四项，在</w:t>
            </w:r>
            <w:r>
              <w:rPr>
                <w:color w:val="auto"/>
                <w:highlight w:val="none"/>
              </w:rPr>
              <w:t>SO</w:t>
            </w:r>
            <w:r>
              <w:rPr>
                <w:color w:val="auto"/>
                <w:highlight w:val="none"/>
                <w:vertAlign w:val="subscript"/>
              </w:rPr>
              <w:t>2</w:t>
            </w:r>
            <w:r>
              <w:rPr>
                <w:rFonts w:hint="eastAsia"/>
                <w:color w:val="auto"/>
                <w:highlight w:val="none"/>
              </w:rPr>
              <w:t>、</w:t>
            </w:r>
            <w:r>
              <w:rPr>
                <w:color w:val="auto"/>
                <w:highlight w:val="none"/>
              </w:rPr>
              <w:t>NO</w:t>
            </w:r>
            <w:r>
              <w:rPr>
                <w:color w:val="auto"/>
                <w:highlight w:val="none"/>
                <w:vertAlign w:val="subscript"/>
              </w:rPr>
              <w:t>x</w:t>
            </w:r>
            <w:r>
              <w:rPr>
                <w:rFonts w:hint="eastAsia"/>
                <w:color w:val="auto"/>
                <w:highlight w:val="none"/>
              </w:rPr>
              <w:t>的基础上增加烟（粉）尘、挥发性有机物两项指标。</w:t>
            </w:r>
          </w:p>
          <w:p w14:paraId="030848BB">
            <w:pPr>
              <w:ind w:firstLine="480" w:firstLineChars="200"/>
              <w:rPr>
                <w:color w:val="auto"/>
                <w:highlight w:val="none"/>
              </w:rPr>
            </w:pPr>
            <w:r>
              <w:rPr>
                <w:rFonts w:hint="eastAsia"/>
                <w:color w:val="auto"/>
                <w:highlight w:val="none"/>
                <w:shd w:val="clear" w:color="auto" w:fill="FFFFFF" w:themeFill="background1"/>
              </w:rPr>
              <w:t>本项目产生的废气</w:t>
            </w:r>
            <w:r>
              <w:rPr>
                <w:rFonts w:hint="eastAsia"/>
                <w:color w:val="auto"/>
                <w:highlight w:val="none"/>
                <w:shd w:val="clear" w:color="auto" w:fill="FFFFFF" w:themeFill="background1"/>
                <w:lang w:eastAsia="zh-CN"/>
              </w:rPr>
              <w:t>中</w:t>
            </w:r>
            <w:r>
              <w:rPr>
                <w:rFonts w:hint="eastAsia"/>
                <w:color w:val="auto"/>
                <w:highlight w:val="none"/>
                <w:shd w:val="clear" w:color="auto" w:fill="FFFFFF" w:themeFill="background1"/>
              </w:rPr>
              <w:t>非甲烷总烃</w:t>
            </w:r>
            <w:r>
              <w:rPr>
                <w:rFonts w:hint="eastAsia"/>
                <w:color w:val="auto"/>
                <w:highlight w:val="none"/>
                <w:shd w:val="clear" w:color="auto" w:fill="FFFFFF" w:themeFill="background1"/>
                <w:lang w:eastAsia="zh-CN"/>
              </w:rPr>
              <w:t>排放量为</w:t>
            </w:r>
            <w:r>
              <w:rPr>
                <w:rFonts w:hint="eastAsia"/>
                <w:color w:val="auto"/>
                <w:highlight w:val="none"/>
                <w:shd w:val="clear" w:color="auto" w:fill="FFFFFF" w:themeFill="background1"/>
                <w:lang w:val="en-US" w:eastAsia="zh-CN"/>
              </w:rPr>
              <w:t>0.720t/a，</w:t>
            </w:r>
            <w:r>
              <w:rPr>
                <w:rFonts w:hint="eastAsia"/>
                <w:color w:val="auto"/>
                <w:highlight w:val="none"/>
              </w:rPr>
              <w:t>烟（粉）尘</w:t>
            </w:r>
            <w:r>
              <w:rPr>
                <w:rFonts w:hint="eastAsia"/>
                <w:color w:val="auto"/>
                <w:highlight w:val="none"/>
                <w:lang w:eastAsia="zh-CN"/>
              </w:rPr>
              <w:t>排放量为</w:t>
            </w:r>
            <w:r>
              <w:rPr>
                <w:rFonts w:hint="eastAsia"/>
                <w:color w:val="auto"/>
                <w:highlight w:val="none"/>
                <w:lang w:val="en-US" w:eastAsia="zh-CN"/>
              </w:rPr>
              <w:t>0.034kg/a。</w:t>
            </w:r>
          </w:p>
          <w:p w14:paraId="0DE3B00F">
            <w:pPr>
              <w:ind w:firstLine="480" w:firstLineChars="200"/>
              <w:rPr>
                <w:color w:val="auto"/>
                <w:highlight w:val="none"/>
              </w:rPr>
            </w:pPr>
            <w:r>
              <w:rPr>
                <w:rFonts w:hint="eastAsia"/>
                <w:color w:val="auto"/>
                <w:highlight w:val="none"/>
              </w:rPr>
              <w:t>废水：本项目废水经污水总排口</w:t>
            </w:r>
            <w:r>
              <w:rPr>
                <w:rFonts w:hint="eastAsia"/>
                <w:color w:val="auto"/>
                <w:highlight w:val="none"/>
                <w:lang w:val="en-US" w:eastAsia="zh-CN"/>
              </w:rPr>
              <w:t>纳管</w:t>
            </w:r>
            <w:r>
              <w:rPr>
                <w:rFonts w:hint="eastAsia"/>
                <w:color w:val="auto"/>
                <w:highlight w:val="none"/>
              </w:rPr>
              <w:t>排入</w:t>
            </w:r>
            <w:r>
              <w:rPr>
                <w:rFonts w:hint="eastAsia"/>
                <w:color w:val="auto"/>
                <w:highlight w:val="none"/>
                <w:lang w:eastAsia="zh-CN"/>
              </w:rPr>
              <w:t>石姚湾净水厂</w:t>
            </w:r>
            <w:r>
              <w:rPr>
                <w:rFonts w:hint="eastAsia"/>
                <w:color w:val="auto"/>
                <w:highlight w:val="none"/>
                <w:lang w:val="en-US" w:eastAsia="zh-CN"/>
              </w:rPr>
              <w:t>深度处理后</w:t>
            </w:r>
            <w:r>
              <w:rPr>
                <w:rFonts w:hint="eastAsia"/>
                <w:color w:val="auto"/>
                <w:highlight w:val="none"/>
              </w:rPr>
              <w:t>最终排入淮河。排放总量指标纳入</w:t>
            </w:r>
            <w:r>
              <w:rPr>
                <w:rFonts w:hint="eastAsia"/>
                <w:color w:val="auto"/>
                <w:highlight w:val="none"/>
                <w:lang w:eastAsia="zh-CN"/>
              </w:rPr>
              <w:t>石姚湾净水厂</w:t>
            </w:r>
            <w:r>
              <w:rPr>
                <w:rFonts w:hint="eastAsia"/>
                <w:color w:val="auto"/>
                <w:highlight w:val="none"/>
              </w:rPr>
              <w:t>污染物总量控制指标统一考核，无需另外申请总量指标。</w:t>
            </w:r>
          </w:p>
        </w:tc>
      </w:tr>
    </w:tbl>
    <w:p w14:paraId="091B9C79">
      <w:pPr>
        <w:rPr>
          <w:color w:val="auto"/>
          <w:highlight w:val="none"/>
        </w:rPr>
        <w:sectPr>
          <w:pgSz w:w="11906" w:h="16838"/>
          <w:pgMar w:top="1440" w:right="1800" w:bottom="1440" w:left="1800" w:header="851" w:footer="992" w:gutter="0"/>
          <w:cols w:space="425" w:num="1"/>
          <w:docGrid w:type="lines" w:linePitch="312" w:charSpace="0"/>
        </w:sectPr>
      </w:pPr>
    </w:p>
    <w:p w14:paraId="76BF24CD">
      <w:pPr>
        <w:pStyle w:val="2"/>
        <w:rPr>
          <w:color w:val="auto"/>
          <w:highlight w:val="none"/>
        </w:rPr>
      </w:pPr>
      <w:bookmarkStart w:id="24" w:name="_Toc12695"/>
      <w:r>
        <w:rPr>
          <w:rFonts w:hint="eastAsia"/>
          <w:color w:val="auto"/>
          <w:highlight w:val="none"/>
        </w:rPr>
        <w:t>四、主要环境影响和保护措施</w:t>
      </w:r>
      <w:bookmarkEnd w:id="24"/>
    </w:p>
    <w:tbl>
      <w:tblPr>
        <w:tblStyle w:val="25"/>
        <w:tblW w:w="8558"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7830"/>
        <w:gridCol w:w="240"/>
      </w:tblGrid>
      <w:tr w14:paraId="34FC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14:paraId="07672340">
            <w:pPr>
              <w:jc w:val="center"/>
              <w:rPr>
                <w:color w:val="auto"/>
                <w:highlight w:val="none"/>
              </w:rPr>
            </w:pPr>
            <w:r>
              <w:rPr>
                <w:rFonts w:hint="eastAsia"/>
                <w:color w:val="auto"/>
                <w:highlight w:val="none"/>
              </w:rPr>
              <w:t>施工期环境保护措施</w:t>
            </w:r>
          </w:p>
        </w:tc>
        <w:tc>
          <w:tcPr>
            <w:tcW w:w="7830" w:type="dxa"/>
          </w:tcPr>
          <w:p w14:paraId="75C29F18">
            <w:pPr>
              <w:shd w:val="clear" w:color="auto" w:fill="FFFFFF" w:themeFill="background1"/>
              <w:rPr>
                <w:color w:val="auto"/>
                <w:highlight w:val="none"/>
              </w:rPr>
            </w:pPr>
            <w:r>
              <w:rPr>
                <w:rFonts w:hint="eastAsia"/>
                <w:color w:val="auto"/>
                <w:highlight w:val="none"/>
              </w:rPr>
              <w:t>1、</w:t>
            </w:r>
            <w:r>
              <w:rPr>
                <w:color w:val="auto"/>
                <w:highlight w:val="none"/>
              </w:rPr>
              <w:t>施工期大气环境保护措施</w:t>
            </w:r>
          </w:p>
          <w:p w14:paraId="49CB316F">
            <w:pPr>
              <w:shd w:val="clear" w:color="auto" w:fill="FFFFFF" w:themeFill="background1"/>
              <w:ind w:firstLine="480" w:firstLineChars="200"/>
              <w:rPr>
                <w:color w:val="auto"/>
                <w:highlight w:val="none"/>
              </w:rPr>
            </w:pPr>
            <w:r>
              <w:rPr>
                <w:rFonts w:hint="eastAsia"/>
                <w:color w:val="auto"/>
                <w:highlight w:val="none"/>
              </w:rPr>
              <w:t>（1）</w:t>
            </w:r>
            <w:r>
              <w:rPr>
                <w:color w:val="auto"/>
                <w:highlight w:val="none"/>
              </w:rPr>
              <w:t>施工扬尘</w:t>
            </w:r>
          </w:p>
          <w:p w14:paraId="6B0CF2A1">
            <w:pPr>
              <w:shd w:val="clear" w:color="auto" w:fill="FFFFFF" w:themeFill="background1"/>
              <w:ind w:firstLine="480" w:firstLineChars="200"/>
              <w:rPr>
                <w:color w:val="auto"/>
                <w:highlight w:val="none"/>
              </w:rPr>
            </w:pPr>
            <w:r>
              <w:rPr>
                <w:color w:val="auto"/>
                <w:highlight w:val="none"/>
              </w:rPr>
              <w:t>为了减轻施工期扬尘对周边敏感点生活环境产生污染影响，针对施工期扬</w:t>
            </w:r>
            <w:r>
              <w:rPr>
                <w:rFonts w:hint="eastAsia"/>
                <w:color w:val="auto"/>
                <w:highlight w:val="none"/>
                <w:lang w:eastAsia="zh-CN"/>
              </w:rPr>
              <w:t>尘环</w:t>
            </w:r>
            <w:r>
              <w:rPr>
                <w:color w:val="auto"/>
                <w:highlight w:val="none"/>
              </w:rPr>
              <w:t>境问题，</w:t>
            </w:r>
            <w:r>
              <w:rPr>
                <w:rFonts w:hint="eastAsia"/>
                <w:color w:val="auto"/>
                <w:highlight w:val="none"/>
              </w:rPr>
              <w:t>建筑工程施工现场扬尘污染防治应做到施工范围全覆盖，同时做到工地周边围挡、物料堆放覆盖、路面硬化、土方开挖湿法作业、出入车辆清洗、渣土车辆密闭运输“六个百分之百”。</w:t>
            </w:r>
          </w:p>
          <w:p w14:paraId="05CF4982">
            <w:pPr>
              <w:shd w:val="clear" w:color="auto" w:fill="FFFFFF" w:themeFill="background1"/>
              <w:ind w:firstLine="480" w:firstLineChars="200"/>
              <w:rPr>
                <w:color w:val="auto"/>
                <w:highlight w:val="none"/>
              </w:rPr>
            </w:pPr>
            <w:r>
              <w:rPr>
                <w:color w:val="auto"/>
                <w:highlight w:val="none"/>
              </w:rPr>
              <w:t>在施工期拟采取如下控制措施：</w:t>
            </w:r>
          </w:p>
          <w:p w14:paraId="0DA26D2A">
            <w:pPr>
              <w:ind w:firstLine="480" w:firstLineChars="200"/>
              <w:rPr>
                <w:color w:val="auto"/>
                <w:highlight w:val="none"/>
              </w:rPr>
            </w:pPr>
            <w:r>
              <w:rPr>
                <w:color w:val="auto"/>
                <w:highlight w:val="none"/>
              </w:rPr>
              <w:t>①在场地围墙拆除、场地平整、地基开挖等施工过程中，作业场地四周设置1.8～2.5m高围挡，以减少扬尘扩散；围挡对减少扬尘有明显作用，当风速为2.5m/s时可使影响距离缩短40%。</w:t>
            </w:r>
          </w:p>
          <w:p w14:paraId="01C68BAA">
            <w:pPr>
              <w:ind w:firstLine="480" w:firstLineChars="200"/>
              <w:rPr>
                <w:color w:val="auto"/>
                <w:highlight w:val="none"/>
              </w:rPr>
            </w:pPr>
            <w:r>
              <w:rPr>
                <w:color w:val="auto"/>
                <w:highlight w:val="none"/>
              </w:rPr>
              <w:t>②安排专职员工对施工场地进行洒水，采取随挖随洒水，保持一定湿度，最大限度减少扬尘量，洒水次数根据天气状况而定，一般每天早、午、晚各洒水1次，若遇大风或干燥天气可适当增加洒水次数。施工场地洒水与否对扬尘的影响很大，场地洒水后，扬尘量将降低75%以上，可大大减少其对环境的影响。</w:t>
            </w:r>
          </w:p>
          <w:p w14:paraId="2433A32C">
            <w:pPr>
              <w:ind w:firstLine="480" w:firstLineChars="200"/>
              <w:rPr>
                <w:color w:val="auto"/>
                <w:highlight w:val="none"/>
              </w:rPr>
            </w:pPr>
            <w:r>
              <w:rPr>
                <w:color w:val="auto"/>
                <w:highlight w:val="none"/>
              </w:rPr>
              <w:t>③对运载建筑材料及建筑垃圾的车辆加盖</w:t>
            </w:r>
            <w:r>
              <w:rPr>
                <w:rFonts w:hint="eastAsia"/>
                <w:color w:val="auto"/>
                <w:highlight w:val="none"/>
                <w:lang w:eastAsia="zh-CN"/>
              </w:rPr>
              <w:t>篷布</w:t>
            </w:r>
            <w:r>
              <w:rPr>
                <w:color w:val="auto"/>
                <w:highlight w:val="none"/>
              </w:rPr>
              <w:t>以减少洒落，车辆行驶线路应避开居民区及中心区。施工场地出口设一座车辆清洗池，车辆驶出施工场地前，应将车厢外和轮胎冲洗干净，避免车辆将泥土带到道路上产生二次扬尘，冲洗水沉淀后循环使用。</w:t>
            </w:r>
          </w:p>
          <w:p w14:paraId="2F7E6847">
            <w:pPr>
              <w:ind w:firstLine="480" w:firstLineChars="200"/>
              <w:rPr>
                <w:color w:val="auto"/>
                <w:highlight w:val="none"/>
              </w:rPr>
            </w:pPr>
            <w:r>
              <w:rPr>
                <w:color w:val="auto"/>
                <w:highlight w:val="none"/>
              </w:rPr>
              <w:t>④在施工场地设置专人监管建筑垃圾、建筑材料的堆放、清运和处置，必要时加盖</w:t>
            </w:r>
            <w:r>
              <w:rPr>
                <w:rFonts w:hint="eastAsia"/>
                <w:color w:val="auto"/>
                <w:highlight w:val="none"/>
                <w:lang w:eastAsia="zh-CN"/>
              </w:rPr>
              <w:t>篷布</w:t>
            </w:r>
            <w:r>
              <w:rPr>
                <w:color w:val="auto"/>
                <w:highlight w:val="none"/>
              </w:rPr>
              <w:t>或洒水，防止二次扬尘污染。</w:t>
            </w:r>
          </w:p>
          <w:p w14:paraId="0D332353">
            <w:pPr>
              <w:ind w:firstLine="480" w:firstLineChars="200"/>
              <w:rPr>
                <w:color w:val="auto"/>
                <w:highlight w:val="none"/>
              </w:rPr>
            </w:pPr>
            <w:r>
              <w:rPr>
                <w:color w:val="auto"/>
                <w:highlight w:val="none"/>
              </w:rPr>
              <w:t>⑤对建筑垃圾及时处理、清运，以减少占地，防止扬尘污染，改善施工场地的环境。</w:t>
            </w:r>
          </w:p>
          <w:p w14:paraId="5F94E80F">
            <w:pPr>
              <w:ind w:firstLine="480" w:firstLineChars="200"/>
              <w:rPr>
                <w:color w:val="auto"/>
                <w:highlight w:val="none"/>
              </w:rPr>
            </w:pPr>
            <w:r>
              <w:rPr>
                <w:color w:val="auto"/>
                <w:highlight w:val="none"/>
              </w:rPr>
              <w:t>⑥施工现场禁止烧煤、沥青、油毡、橡胶、塑料、皮革、垃圾及其它产生有毒、有害烟尘或恶臭气体的物质。</w:t>
            </w:r>
          </w:p>
          <w:p w14:paraId="21F34B4F">
            <w:pPr>
              <w:ind w:firstLine="480" w:firstLineChars="200"/>
              <w:rPr>
                <w:color w:val="auto"/>
                <w:highlight w:val="none"/>
              </w:rPr>
            </w:pPr>
            <w:r>
              <w:rPr>
                <w:color w:val="auto"/>
                <w:highlight w:val="none"/>
              </w:rPr>
              <w:t>⑦坚决查处超载行为，防止路面受损。同时尽量选择对周围环境影响较小的运输路线，并限制施工区内运输车辆的车速，将卡车在施工场地的车速减至10km/h，其他区域减至30km/h。</w:t>
            </w:r>
          </w:p>
          <w:p w14:paraId="1A863709">
            <w:pPr>
              <w:ind w:firstLine="480" w:firstLineChars="200"/>
              <w:rPr>
                <w:color w:val="auto"/>
                <w:highlight w:val="none"/>
              </w:rPr>
            </w:pPr>
            <w:r>
              <w:rPr>
                <w:color w:val="auto"/>
                <w:highlight w:val="none"/>
              </w:rPr>
              <w:t>⑧</w:t>
            </w:r>
            <w:r>
              <w:rPr>
                <w:rFonts w:hint="eastAsia"/>
                <w:color w:val="auto"/>
                <w:highlight w:val="none"/>
              </w:rPr>
              <w:t>施工</w:t>
            </w:r>
            <w:r>
              <w:rPr>
                <w:color w:val="auto"/>
                <w:highlight w:val="none"/>
              </w:rPr>
              <w:t>过程会产生一定量的扬尘，采取边界围挡、裸露地面和物料覆盖和洒水抑尘等措施可控制一定的扬尘量。</w:t>
            </w:r>
            <w:r>
              <w:rPr>
                <w:rFonts w:hint="eastAsia"/>
                <w:color w:val="auto"/>
                <w:highlight w:val="none"/>
              </w:rPr>
              <w:t>项目区域</w:t>
            </w:r>
            <w:r>
              <w:rPr>
                <w:rFonts w:hint="eastAsia"/>
                <w:color w:val="auto"/>
                <w:highlight w:val="none"/>
                <w:lang w:eastAsia="zh-CN"/>
              </w:rPr>
              <w:t>东侧</w:t>
            </w:r>
            <w:r>
              <w:rPr>
                <w:rFonts w:hint="eastAsia"/>
                <w:color w:val="auto"/>
                <w:highlight w:val="none"/>
              </w:rPr>
              <w:t>距离敏感点（</w:t>
            </w:r>
            <w:r>
              <w:rPr>
                <w:rFonts w:hint="eastAsia"/>
                <w:color w:val="auto"/>
                <w:highlight w:val="none"/>
                <w:lang w:eastAsia="zh-CN"/>
              </w:rPr>
              <w:t>下陈村等</w:t>
            </w:r>
            <w:r>
              <w:rPr>
                <w:rFonts w:hint="eastAsia"/>
                <w:color w:val="auto"/>
                <w:highlight w:val="none"/>
              </w:rPr>
              <w:t>）较近，应在厂界</w:t>
            </w:r>
            <w:r>
              <w:rPr>
                <w:rFonts w:hint="eastAsia"/>
                <w:color w:val="auto"/>
                <w:highlight w:val="none"/>
                <w:lang w:eastAsia="zh-CN"/>
              </w:rPr>
              <w:t>东侧</w:t>
            </w:r>
            <w:r>
              <w:rPr>
                <w:rFonts w:hint="eastAsia"/>
                <w:color w:val="auto"/>
                <w:highlight w:val="none"/>
              </w:rPr>
              <w:t>设置1.2m以上围挡设施，可有效防止施工及拆除过程产生扬尘对敏感点的影响</w:t>
            </w:r>
            <w:r>
              <w:rPr>
                <w:color w:val="auto"/>
                <w:highlight w:val="none"/>
              </w:rPr>
              <w:t>。</w:t>
            </w:r>
          </w:p>
          <w:p w14:paraId="75EB4456">
            <w:pPr>
              <w:ind w:firstLine="480" w:firstLineChars="200"/>
              <w:rPr>
                <w:color w:val="auto"/>
                <w:highlight w:val="none"/>
              </w:rPr>
            </w:pPr>
            <w:r>
              <w:rPr>
                <w:rFonts w:hint="eastAsia"/>
                <w:color w:val="auto"/>
                <w:highlight w:val="none"/>
              </w:rPr>
              <w:t>（2）</w:t>
            </w:r>
            <w:r>
              <w:rPr>
                <w:color w:val="auto"/>
                <w:highlight w:val="none"/>
              </w:rPr>
              <w:t>施工机械废气</w:t>
            </w:r>
          </w:p>
          <w:p w14:paraId="35E3CE03">
            <w:pPr>
              <w:ind w:firstLine="480" w:firstLineChars="200"/>
              <w:rPr>
                <w:color w:val="auto"/>
                <w:highlight w:val="none"/>
              </w:rPr>
            </w:pPr>
            <w:r>
              <w:rPr>
                <w:color w:val="auto"/>
                <w:highlight w:val="none"/>
              </w:rPr>
              <w:t>以燃油为动力的施工机械、运输车辆等在施工场地附近排放一定量的废气，因施工点较为分散，且施工场地周围空旷，施工机械废气易扩散，很难积累。因此，只要加强设备维护，控制排放未完全燃烧的黑烟，对周围环境空气将不会有较大的影响。</w:t>
            </w:r>
          </w:p>
          <w:p w14:paraId="18A9108D">
            <w:pPr>
              <w:rPr>
                <w:color w:val="auto"/>
                <w:highlight w:val="none"/>
              </w:rPr>
            </w:pPr>
            <w:r>
              <w:rPr>
                <w:rFonts w:hint="eastAsia"/>
                <w:color w:val="auto"/>
                <w:highlight w:val="none"/>
              </w:rPr>
              <w:t>2、</w:t>
            </w:r>
            <w:r>
              <w:rPr>
                <w:color w:val="auto"/>
                <w:highlight w:val="none"/>
              </w:rPr>
              <w:t>施工期水环境保护措施</w:t>
            </w:r>
          </w:p>
          <w:p w14:paraId="5E19C1FC">
            <w:pPr>
              <w:ind w:firstLine="480" w:firstLineChars="200"/>
              <w:rPr>
                <w:color w:val="auto"/>
                <w:highlight w:val="none"/>
              </w:rPr>
            </w:pPr>
            <w:r>
              <w:rPr>
                <w:color w:val="auto"/>
                <w:highlight w:val="none"/>
              </w:rPr>
              <w:t>项目施工期间产生的废水主要包括施工人员的生活污水、建筑施工废水。</w:t>
            </w:r>
          </w:p>
          <w:p w14:paraId="12BD071B">
            <w:pPr>
              <w:ind w:firstLine="480" w:firstLineChars="200"/>
              <w:rPr>
                <w:color w:val="auto"/>
                <w:highlight w:val="none"/>
              </w:rPr>
            </w:pPr>
            <w:r>
              <w:rPr>
                <w:rFonts w:hint="eastAsia"/>
                <w:color w:val="auto"/>
                <w:highlight w:val="none"/>
              </w:rPr>
              <w:t>（1）</w:t>
            </w:r>
            <w:r>
              <w:rPr>
                <w:color w:val="auto"/>
                <w:highlight w:val="none"/>
              </w:rPr>
              <w:t>施工人员生活污水</w:t>
            </w:r>
          </w:p>
          <w:p w14:paraId="684D37FE">
            <w:pPr>
              <w:ind w:firstLine="480" w:firstLineChars="200"/>
              <w:rPr>
                <w:color w:val="auto"/>
                <w:highlight w:val="none"/>
              </w:rPr>
            </w:pPr>
            <w:r>
              <w:rPr>
                <w:color w:val="auto"/>
                <w:highlight w:val="none"/>
              </w:rPr>
              <w:t>施工期产生的生活废水主要为施工人员的</w:t>
            </w:r>
            <w:r>
              <w:rPr>
                <w:rFonts w:hint="eastAsia"/>
                <w:color w:val="auto"/>
                <w:highlight w:val="none"/>
                <w:lang w:eastAsia="zh-CN"/>
              </w:rPr>
              <w:t>生活污水，</w:t>
            </w:r>
            <w:r>
              <w:rPr>
                <w:color w:val="auto"/>
                <w:highlight w:val="none"/>
              </w:rPr>
              <w:t>在</w:t>
            </w:r>
            <w:r>
              <w:rPr>
                <w:rFonts w:hint="eastAsia"/>
                <w:color w:val="auto"/>
                <w:highlight w:val="none"/>
                <w:lang w:eastAsia="zh-CN"/>
              </w:rPr>
              <w:t>施工场地</w:t>
            </w:r>
            <w:r>
              <w:rPr>
                <w:color w:val="auto"/>
                <w:highlight w:val="none"/>
              </w:rPr>
              <w:t>设置移动厕所，委托环卫部门定期清运处理。因此施工期生活污水经处理后对周边地表水环境影响较小。</w:t>
            </w:r>
          </w:p>
          <w:p w14:paraId="58DC37DF">
            <w:pPr>
              <w:ind w:firstLine="480" w:firstLineChars="200"/>
              <w:rPr>
                <w:color w:val="auto"/>
                <w:highlight w:val="none"/>
              </w:rPr>
            </w:pPr>
            <w:r>
              <w:rPr>
                <w:rFonts w:hint="eastAsia"/>
                <w:color w:val="auto"/>
                <w:highlight w:val="none"/>
              </w:rPr>
              <w:t>（2）</w:t>
            </w:r>
            <w:r>
              <w:rPr>
                <w:color w:val="auto"/>
                <w:highlight w:val="none"/>
              </w:rPr>
              <w:t>施工废水</w:t>
            </w:r>
          </w:p>
          <w:p w14:paraId="16D28F50">
            <w:pPr>
              <w:ind w:firstLine="480" w:firstLineChars="200"/>
              <w:rPr>
                <w:color w:val="auto"/>
                <w:highlight w:val="none"/>
              </w:rPr>
            </w:pPr>
            <w:r>
              <w:rPr>
                <w:color w:val="auto"/>
                <w:highlight w:val="none"/>
              </w:rPr>
              <w:t>根据项目设计，项目方拟购买商品混凝土，可以大大减少施工废水的产生，因此，施工废水主要来自于施工机械的冲刷、楼地及墙面的冲洗、构件与建筑材料的保潮、墙体的浸润、材料的洗刷以及桩基础施工中排出的泥浆等。由于施工期施工废水排放不易收集和管理，废水的排放方式和排放时间具有一定的随意性，往往不受重视而随意排放，施工废水还包括少量含油废水。含油废水主要为机械维修及车辆冲洗废水，对这部分废水，施工单位采用将废水</w:t>
            </w:r>
            <w:r>
              <w:rPr>
                <w:rFonts w:hint="eastAsia"/>
                <w:color w:val="auto"/>
                <w:highlight w:val="none"/>
                <w:lang w:eastAsia="zh-CN"/>
              </w:rPr>
              <w:t>通过</w:t>
            </w:r>
            <w:r>
              <w:rPr>
                <w:color w:val="auto"/>
                <w:highlight w:val="none"/>
              </w:rPr>
              <w:t>沉淀池沉淀处理，去除SS，少量的废油被</w:t>
            </w:r>
            <w:r>
              <w:rPr>
                <w:rFonts w:hint="eastAsia"/>
                <w:color w:val="auto"/>
                <w:highlight w:val="none"/>
                <w:lang w:val="en-US" w:eastAsia="zh-CN"/>
              </w:rPr>
              <w:t>隔离</w:t>
            </w:r>
            <w:r>
              <w:rPr>
                <w:rFonts w:hint="eastAsia"/>
                <w:color w:val="auto"/>
                <w:highlight w:val="none"/>
                <w:lang w:eastAsia="zh-CN"/>
              </w:rPr>
              <w:t>在</w:t>
            </w:r>
            <w:r>
              <w:rPr>
                <w:color w:val="auto"/>
                <w:highlight w:val="none"/>
              </w:rPr>
              <w:t>沉淀池内，定期收集池内水面上的油污，</w:t>
            </w:r>
            <w:r>
              <w:rPr>
                <w:rFonts w:hint="eastAsia"/>
                <w:color w:val="auto"/>
                <w:highlight w:val="none"/>
                <w:lang w:val="en-US" w:eastAsia="zh-CN"/>
              </w:rPr>
              <w:t>沉淀池上层清水</w:t>
            </w:r>
            <w:r>
              <w:rPr>
                <w:color w:val="auto"/>
                <w:highlight w:val="none"/>
              </w:rPr>
              <w:t>用于</w:t>
            </w:r>
            <w:r>
              <w:rPr>
                <w:rFonts w:hint="eastAsia"/>
                <w:color w:val="auto"/>
                <w:highlight w:val="none"/>
                <w:lang w:val="en-US" w:eastAsia="zh-CN"/>
              </w:rPr>
              <w:t>施工</w:t>
            </w:r>
            <w:r>
              <w:rPr>
                <w:color w:val="auto"/>
                <w:highlight w:val="none"/>
              </w:rPr>
              <w:t>场地洒水。从而减轻周边水体造成影响。</w:t>
            </w:r>
          </w:p>
          <w:p w14:paraId="377770A9">
            <w:pPr>
              <w:rPr>
                <w:color w:val="auto"/>
                <w:highlight w:val="none"/>
              </w:rPr>
            </w:pPr>
            <w:r>
              <w:rPr>
                <w:rFonts w:hint="eastAsia"/>
                <w:color w:val="auto"/>
                <w:highlight w:val="none"/>
              </w:rPr>
              <w:t>3、</w:t>
            </w:r>
            <w:r>
              <w:rPr>
                <w:color w:val="auto"/>
                <w:highlight w:val="none"/>
              </w:rPr>
              <w:t>施工期声环境保护措施</w:t>
            </w:r>
          </w:p>
          <w:p w14:paraId="1C7234EB">
            <w:pPr>
              <w:ind w:firstLine="480" w:firstLineChars="200"/>
              <w:rPr>
                <w:color w:val="auto"/>
                <w:highlight w:val="none"/>
              </w:rPr>
            </w:pPr>
            <w:r>
              <w:rPr>
                <w:color w:val="auto"/>
                <w:highlight w:val="none"/>
              </w:rPr>
              <w:t>为了降低本项目施工噪声影响，建设单位在施工过程还应采取如下措施：</w:t>
            </w:r>
          </w:p>
          <w:p w14:paraId="5430F7E5">
            <w:pPr>
              <w:ind w:firstLine="480" w:firstLineChars="200"/>
              <w:rPr>
                <w:color w:val="auto"/>
                <w:highlight w:val="none"/>
              </w:rPr>
            </w:pPr>
            <w:r>
              <w:rPr>
                <w:rFonts w:hint="eastAsia"/>
                <w:color w:val="auto"/>
                <w:highlight w:val="none"/>
              </w:rPr>
              <w:t>（1）</w:t>
            </w:r>
            <w:r>
              <w:rPr>
                <w:color w:val="auto"/>
                <w:highlight w:val="none"/>
              </w:rPr>
              <w:t>鉴于施工期噪声对环境产生的影响，建设单位必须对施工时段作统筹安排，尽量避免高噪源同时进行施工；</w:t>
            </w:r>
          </w:p>
          <w:p w14:paraId="0E2856CA">
            <w:pPr>
              <w:ind w:firstLine="480" w:firstLineChars="200"/>
              <w:rPr>
                <w:color w:val="auto"/>
                <w:highlight w:val="none"/>
              </w:rPr>
            </w:pPr>
            <w:r>
              <w:rPr>
                <w:rFonts w:hint="eastAsia"/>
                <w:color w:val="auto"/>
                <w:highlight w:val="none"/>
              </w:rPr>
              <w:t>（2）</w:t>
            </w:r>
            <w:r>
              <w:rPr>
                <w:color w:val="auto"/>
                <w:highlight w:val="none"/>
              </w:rPr>
              <w:t>施工期间必须按《建筑施工场界环境噪声排放标准》（GB12523-2011）进行施工时间、施工噪声的控制，夜间禁止施工。如根据工况要求必须连续作业，必须得到当地生态环境部门的许可方可施工，并可在必要时采用柔性吸声屏替代目前通用的尼龙质地的围挡；</w:t>
            </w:r>
          </w:p>
          <w:p w14:paraId="2A8D9E52">
            <w:pPr>
              <w:ind w:firstLine="480" w:firstLineChars="200"/>
              <w:rPr>
                <w:color w:val="auto"/>
                <w:highlight w:val="none"/>
              </w:rPr>
            </w:pPr>
            <w:r>
              <w:rPr>
                <w:rFonts w:hint="eastAsia"/>
                <w:color w:val="auto"/>
                <w:highlight w:val="none"/>
              </w:rPr>
              <w:t>（3）</w:t>
            </w:r>
            <w:r>
              <w:rPr>
                <w:color w:val="auto"/>
                <w:highlight w:val="none"/>
              </w:rPr>
              <w:t>选用施工设备时将设备噪声作为一项重要的选取指标，尽量选用低噪声设备，并对产生噪声的施工设备加强维护和维修工作，以减少机械故障噪声的产生；</w:t>
            </w:r>
          </w:p>
          <w:p w14:paraId="7688DFA8">
            <w:pPr>
              <w:ind w:firstLine="480" w:firstLineChars="200"/>
              <w:rPr>
                <w:color w:val="auto"/>
                <w:highlight w:val="none"/>
              </w:rPr>
            </w:pPr>
            <w:r>
              <w:rPr>
                <w:rFonts w:hint="eastAsia"/>
                <w:color w:val="auto"/>
                <w:highlight w:val="none"/>
              </w:rPr>
              <w:t>（4）</w:t>
            </w:r>
            <w:r>
              <w:rPr>
                <w:color w:val="auto"/>
                <w:highlight w:val="none"/>
              </w:rPr>
              <w:t>制定合理的运输线路，车辆运输应尽量避开居民区。结合本项目周边敏感点的分布情况，在施工期安排合理的运输路线以避开居住区，汽车</w:t>
            </w:r>
            <w:r>
              <w:rPr>
                <w:rFonts w:hint="eastAsia"/>
                <w:color w:val="auto"/>
                <w:highlight w:val="none"/>
                <w:lang w:eastAsia="zh-CN"/>
              </w:rPr>
              <w:t>途经</w:t>
            </w:r>
            <w:r>
              <w:rPr>
                <w:color w:val="auto"/>
                <w:highlight w:val="none"/>
              </w:rPr>
              <w:t>居住区时应减速慢行，晚间运输用灯光示警，禁鸣喇叭；</w:t>
            </w:r>
          </w:p>
          <w:p w14:paraId="1EF1D4A1">
            <w:pPr>
              <w:ind w:firstLine="480" w:firstLineChars="200"/>
              <w:rPr>
                <w:color w:val="auto"/>
                <w:highlight w:val="none"/>
              </w:rPr>
            </w:pPr>
            <w:r>
              <w:rPr>
                <w:rFonts w:hint="eastAsia"/>
                <w:color w:val="auto"/>
                <w:highlight w:val="none"/>
              </w:rPr>
              <w:t>（5）</w:t>
            </w:r>
            <w:r>
              <w:rPr>
                <w:color w:val="auto"/>
                <w:highlight w:val="none"/>
              </w:rPr>
              <w:t>夜间施工作业</w:t>
            </w:r>
            <w:r>
              <w:rPr>
                <w:rFonts w:hint="eastAsia"/>
                <w:color w:val="auto"/>
                <w:highlight w:val="none"/>
                <w:lang w:eastAsia="zh-CN"/>
              </w:rPr>
              <w:t>必须</w:t>
            </w:r>
            <w:r>
              <w:rPr>
                <w:color w:val="auto"/>
                <w:highlight w:val="none"/>
              </w:rPr>
              <w:t>向周边居民公布施工的时间，并征求附近易受影响居民对工程建设的意见和建议，协调好与周边居民及单位之间的关系，取得民众的理解，避免引起噪声投诉。</w:t>
            </w:r>
          </w:p>
          <w:p w14:paraId="22E323B6">
            <w:pPr>
              <w:ind w:firstLine="480" w:firstLineChars="200"/>
              <w:rPr>
                <w:color w:val="auto"/>
                <w:highlight w:val="none"/>
              </w:rPr>
            </w:pPr>
            <w:r>
              <w:rPr>
                <w:color w:val="auto"/>
                <w:highlight w:val="none"/>
              </w:rPr>
              <w:t>建设单位落实以上防治措施后，可使噪声对项目周围环境保护目标的影响降至最小。施工结束，影响即消失，不会对周边环境造成大的影响。</w:t>
            </w:r>
          </w:p>
          <w:p w14:paraId="529130DA">
            <w:pPr>
              <w:rPr>
                <w:color w:val="auto"/>
                <w:highlight w:val="none"/>
              </w:rPr>
            </w:pPr>
            <w:r>
              <w:rPr>
                <w:rFonts w:hint="eastAsia"/>
                <w:color w:val="auto"/>
                <w:highlight w:val="none"/>
              </w:rPr>
              <w:t>4、</w:t>
            </w:r>
            <w:r>
              <w:rPr>
                <w:color w:val="auto"/>
                <w:highlight w:val="none"/>
              </w:rPr>
              <w:t>施工期固体废物环境保护措施</w:t>
            </w:r>
          </w:p>
          <w:p w14:paraId="19B0E30A">
            <w:pPr>
              <w:ind w:firstLine="480" w:firstLineChars="200"/>
              <w:rPr>
                <w:color w:val="auto"/>
                <w:highlight w:val="none"/>
              </w:rPr>
            </w:pPr>
            <w:r>
              <w:rPr>
                <w:rFonts w:hint="eastAsia"/>
                <w:color w:val="auto"/>
                <w:highlight w:val="none"/>
              </w:rPr>
              <w:t>施工期固体废物主要包括场地平整及基础开挖土石方、施工人员的生活垃圾、剩余建筑等对环境的影响</w:t>
            </w:r>
            <w:r>
              <w:rPr>
                <w:color w:val="auto"/>
                <w:highlight w:val="none"/>
              </w:rPr>
              <w:t>。</w:t>
            </w:r>
          </w:p>
          <w:p w14:paraId="4C6712F7">
            <w:pPr>
              <w:ind w:firstLine="480" w:firstLineChars="200"/>
              <w:rPr>
                <w:color w:val="auto"/>
                <w:highlight w:val="none"/>
              </w:rPr>
            </w:pPr>
            <w:r>
              <w:rPr>
                <w:color w:val="auto"/>
                <w:highlight w:val="none"/>
              </w:rPr>
              <w:t>为降低施工固体废物的环境影响，建设单位应采取如下措施：</w:t>
            </w:r>
          </w:p>
          <w:p w14:paraId="375C7747">
            <w:pPr>
              <w:ind w:firstLine="480" w:firstLineChars="200"/>
              <w:rPr>
                <w:color w:val="auto"/>
                <w:highlight w:val="none"/>
              </w:rPr>
            </w:pPr>
            <w:r>
              <w:rPr>
                <w:rFonts w:hint="eastAsia"/>
                <w:color w:val="auto"/>
                <w:highlight w:val="none"/>
              </w:rPr>
              <w:t>（1）在施工期间，严禁向区域外抛掷生活垃圾。建筑垃圾作为区域回填土；施工人员的生活垃圾应放置到指定的垃圾箱（桶）里，由环卫部门送至垃圾场统一及时处理，避免污染环境，影响人群健康。生活垃圾如不及时清运处理，则会腐烂变质，滋生蚊虫苍蝇，产生恶臭，传染疾病，从而对周围环境和作业人员的健康带来不利影响，因此施工场地内应设临时收集施工垃圾的垃圾站，定期送指定垃圾处置场所进行处理。</w:t>
            </w:r>
          </w:p>
          <w:p w14:paraId="4EC234E5">
            <w:pPr>
              <w:ind w:firstLine="480" w:firstLineChars="200"/>
              <w:rPr>
                <w:rFonts w:hint="eastAsia"/>
                <w:color w:val="auto"/>
                <w:highlight w:val="none"/>
              </w:rPr>
            </w:pPr>
            <w:r>
              <w:rPr>
                <w:rFonts w:hint="eastAsia"/>
                <w:color w:val="auto"/>
                <w:highlight w:val="none"/>
              </w:rPr>
              <w:t>（2）建筑垃圾应遵照建筑垃圾管理办法进行处置，土建工程垃圾一般在施工后都可以作为区域回填土及时回填，加以综合利用，防止因其长期堆放而产生扬尘。但为了保护该区地下水，禁止利用生活垃圾和废物回填沟、坑等。</w:t>
            </w:r>
          </w:p>
          <w:p w14:paraId="7E8FD5A5">
            <w:pPr>
              <w:rPr>
                <w:rFonts w:hint="eastAsia"/>
                <w:color w:val="auto"/>
                <w:highlight w:val="none"/>
                <w:lang w:val="en-US" w:eastAsia="zh-CN"/>
              </w:rPr>
            </w:pPr>
            <w:r>
              <w:rPr>
                <w:rFonts w:hint="eastAsia"/>
                <w:color w:val="auto"/>
                <w:highlight w:val="none"/>
                <w:lang w:val="en-US" w:eastAsia="zh-CN"/>
              </w:rPr>
              <w:t>5、针对性</w:t>
            </w:r>
            <w:r>
              <w:rPr>
                <w:rFonts w:hint="eastAsia"/>
                <w:color w:val="auto"/>
                <w:highlight w:val="none"/>
                <w:lang w:eastAsia="zh-CN"/>
              </w:rPr>
              <w:t>东</w:t>
            </w:r>
            <w:r>
              <w:rPr>
                <w:rFonts w:hint="eastAsia"/>
                <w:color w:val="auto"/>
                <w:highlight w:val="none"/>
              </w:rPr>
              <w:t>侧</w:t>
            </w:r>
            <w:r>
              <w:rPr>
                <w:rFonts w:hint="eastAsia"/>
                <w:color w:val="auto"/>
                <w:highlight w:val="none"/>
                <w:lang w:eastAsia="zh-CN"/>
              </w:rPr>
              <w:t>居民区</w:t>
            </w:r>
            <w:r>
              <w:rPr>
                <w:rFonts w:hint="eastAsia"/>
                <w:color w:val="auto"/>
                <w:highlight w:val="none"/>
              </w:rPr>
              <w:t>环境保护措施</w:t>
            </w:r>
          </w:p>
          <w:p w14:paraId="431C1B25">
            <w:pPr>
              <w:ind w:firstLine="480" w:firstLineChars="200"/>
              <w:rPr>
                <w:color w:val="auto"/>
                <w:highlight w:val="none"/>
              </w:rPr>
            </w:pPr>
            <w:r>
              <w:rPr>
                <w:rFonts w:hint="eastAsia"/>
                <w:color w:val="auto"/>
                <w:highlight w:val="none"/>
              </w:rPr>
              <w:t>本项目距离</w:t>
            </w:r>
            <w:r>
              <w:rPr>
                <w:rFonts w:hint="eastAsia"/>
                <w:color w:val="auto"/>
                <w:highlight w:val="none"/>
                <w:lang w:eastAsia="zh-CN"/>
              </w:rPr>
              <w:t>东侧</w:t>
            </w:r>
            <w:r>
              <w:rPr>
                <w:rFonts w:hint="eastAsia"/>
                <w:color w:val="auto"/>
                <w:highlight w:val="none"/>
              </w:rPr>
              <w:t>居民区较近，对此施工期针对性采取以下工程措施：</w:t>
            </w:r>
          </w:p>
          <w:p w14:paraId="04580AE1">
            <w:pPr>
              <w:numPr>
                <w:ilvl w:val="0"/>
                <w:numId w:val="0"/>
              </w:numPr>
              <w:ind w:firstLine="480" w:firstLineChars="200"/>
              <w:rPr>
                <w:rFonts w:hint="eastAsia"/>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（1）</w:t>
            </w:r>
            <w:r>
              <w:rPr>
                <w:rFonts w:hint="default"/>
                <w:color w:val="auto"/>
                <w:highlight w:val="none"/>
              </w:rPr>
              <w:t>合理规划施工时间‌：尽量避开居民休息时间进行施工，减少噪声对居民的影响。同时，合理安排施工计划，避免在风力较大的日子进行土方作业，以减少扬尘污染</w:t>
            </w:r>
            <w:r>
              <w:rPr>
                <w:rFonts w:hint="eastAsia"/>
                <w:color w:val="auto"/>
                <w:highlight w:val="none"/>
                <w:lang w:eastAsia="zh-CN"/>
              </w:rPr>
              <w:t>。</w:t>
            </w:r>
          </w:p>
          <w:p w14:paraId="7FFFA549">
            <w:pPr>
              <w:numPr>
                <w:ilvl w:val="0"/>
                <w:numId w:val="0"/>
              </w:numPr>
              <w:ind w:firstLine="480" w:firstLineChars="200"/>
              <w:rPr>
                <w:rFonts w:hint="eastAsia"/>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（2）</w:t>
            </w:r>
            <w:r>
              <w:rPr>
                <w:rFonts w:hint="default"/>
                <w:color w:val="auto"/>
                <w:highlight w:val="none"/>
              </w:rPr>
              <w:t>‌选用低噪声设备和采取减振措施‌：采用低噪声的施工设备和技术，如低噪声的挖掘机、振捣器等，减少设备运行时产生的噪声。对于振动较大的施工活动，采取减振措施，如铺设减震垫、使用减震器等，减少振动产生的噪声</w:t>
            </w:r>
            <w:r>
              <w:rPr>
                <w:rFonts w:hint="eastAsia"/>
                <w:color w:val="auto"/>
                <w:highlight w:val="none"/>
                <w:lang w:eastAsia="zh-CN"/>
              </w:rPr>
              <w:t>。</w:t>
            </w:r>
          </w:p>
          <w:p w14:paraId="5308F663">
            <w:pPr>
              <w:numPr>
                <w:ilvl w:val="0"/>
                <w:numId w:val="0"/>
              </w:numPr>
              <w:ind w:firstLine="480" w:firstLineChars="200"/>
              <w:rPr>
                <w:rFonts w:hint="eastAsia"/>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（3）</w:t>
            </w:r>
            <w:r>
              <w:rPr>
                <w:rFonts w:hint="default"/>
                <w:color w:val="auto"/>
                <w:highlight w:val="none"/>
              </w:rPr>
              <w:t>‌合理布置施工场地‌：将施工场地布置在远离居民区的地方，并采用隔音板、隔音罩等隔音材料对施工场地进行围挡，减少噪声对周围居民的影响。同时，采取绿化措施，在施工场地周围种植树木、草坪等，吸收环境中的噪音</w:t>
            </w:r>
            <w:r>
              <w:rPr>
                <w:rFonts w:hint="eastAsia"/>
                <w:color w:val="auto"/>
                <w:highlight w:val="none"/>
                <w:lang w:eastAsia="zh-CN"/>
              </w:rPr>
              <w:t>。</w:t>
            </w:r>
          </w:p>
          <w:p w14:paraId="241BAB05">
            <w:pPr>
              <w:numPr>
                <w:ilvl w:val="0"/>
                <w:numId w:val="0"/>
              </w:numPr>
              <w:ind w:firstLine="480" w:firstLineChars="200"/>
              <w:rPr>
                <w:rFonts w:hint="eastAsia"/>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（4）</w:t>
            </w:r>
            <w:r>
              <w:rPr>
                <w:rFonts w:hint="default"/>
                <w:color w:val="auto"/>
                <w:highlight w:val="none"/>
              </w:rPr>
              <w:t>‌加强施工现场管理‌：施工企业应加强对施工现场的管理，制定严格的施工噪声和大气污染控制制度，确保施工人员遵守相关规定和要求。合理安排人员，避免因人员不足而导致设备空转产生噪声</w:t>
            </w:r>
          </w:p>
          <w:p w14:paraId="6F0E473F">
            <w:pPr>
              <w:ind w:firstLine="480" w:firstLineChars="200"/>
              <w:rPr>
                <w:color w:val="auto"/>
                <w:highlight w:val="none"/>
              </w:rPr>
            </w:pPr>
            <w:r>
              <w:rPr>
                <w:color w:val="auto"/>
                <w:highlight w:val="none"/>
              </w:rPr>
              <w:t>在采取上述有效技术和管理措施后，生活垃圾、施工垃圾对环境的影响可以降至最低。</w:t>
            </w:r>
          </w:p>
        </w:tc>
        <w:tc>
          <w:tcPr>
            <w:tcW w:w="240" w:type="dxa"/>
          </w:tcPr>
          <w:p w14:paraId="26AA6771">
            <w:pPr>
              <w:ind w:firstLine="480" w:firstLineChars="200"/>
              <w:rPr>
                <w:color w:val="auto"/>
                <w:highlight w:val="none"/>
              </w:rPr>
            </w:pPr>
          </w:p>
        </w:tc>
      </w:tr>
      <w:tr w14:paraId="63F6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2" w:hRule="atLeast"/>
        </w:trPr>
        <w:tc>
          <w:tcPr>
            <w:tcW w:w="488" w:type="dxa"/>
            <w:vAlign w:val="center"/>
          </w:tcPr>
          <w:p w14:paraId="1F257C48">
            <w:pPr>
              <w:jc w:val="center"/>
              <w:rPr>
                <w:rFonts w:hint="eastAsia"/>
                <w:color w:val="auto"/>
                <w:highlight w:val="none"/>
              </w:rPr>
            </w:pPr>
            <w:r>
              <w:rPr>
                <w:rFonts w:hint="eastAsia"/>
                <w:color w:val="auto"/>
                <w:highlight w:val="none"/>
              </w:rPr>
              <w:t>运营期环境影响和保护措施</w:t>
            </w:r>
          </w:p>
        </w:tc>
        <w:tc>
          <w:tcPr>
            <w:tcW w:w="7830" w:type="dxa"/>
          </w:tcPr>
          <w:p w14:paraId="2A6B01CD">
            <w:pPr>
              <w:jc w:val="left"/>
              <w:rPr>
                <w:b/>
                <w:bCs/>
                <w:color w:val="auto"/>
                <w:highlight w:val="none"/>
              </w:rPr>
            </w:pPr>
            <w:r>
              <w:rPr>
                <w:rFonts w:hint="eastAsia"/>
                <w:b/>
                <w:bCs/>
                <w:color w:val="auto"/>
                <w:highlight w:val="none"/>
              </w:rPr>
              <w:t>一、</w:t>
            </w:r>
            <w:r>
              <w:rPr>
                <w:b/>
                <w:bCs/>
                <w:color w:val="auto"/>
                <w:highlight w:val="none"/>
              </w:rPr>
              <w:t>大气污染源强及环境影响和保护措施</w:t>
            </w:r>
          </w:p>
          <w:p w14:paraId="18000142">
            <w:pPr>
              <w:rPr>
                <w:color w:val="auto"/>
                <w:highlight w:val="none"/>
              </w:rPr>
            </w:pPr>
            <w:r>
              <w:rPr>
                <w:rFonts w:hint="eastAsia"/>
                <w:color w:val="auto"/>
                <w:highlight w:val="none"/>
              </w:rPr>
              <w:t>1、废气源强核算</w:t>
            </w:r>
          </w:p>
          <w:p w14:paraId="4099287C">
            <w:pPr>
              <w:ind w:firstLine="480" w:firstLineChars="200"/>
              <w:rPr>
                <w:color w:val="auto"/>
                <w:highlight w:val="none"/>
              </w:rPr>
            </w:pPr>
            <w:r>
              <w:rPr>
                <w:rFonts w:hint="eastAsia"/>
                <w:color w:val="auto"/>
                <w:highlight w:val="none"/>
              </w:rPr>
              <w:t>本项目营运期产生的废气主要为成品油卸油、储油、加油过程中产生的油气G</w:t>
            </w:r>
            <w:r>
              <w:rPr>
                <w:rFonts w:hint="eastAsia"/>
                <w:color w:val="auto"/>
                <w:highlight w:val="none"/>
                <w:lang w:val="en-US" w:eastAsia="zh-CN"/>
              </w:rPr>
              <w:t>1</w:t>
            </w:r>
            <w:r>
              <w:rPr>
                <w:rFonts w:hint="eastAsia"/>
                <w:color w:val="auto"/>
                <w:highlight w:val="none"/>
              </w:rPr>
              <w:t>（以非甲烷总烃计）、</w:t>
            </w:r>
            <w:r>
              <w:rPr>
                <w:rFonts w:hint="eastAsia"/>
                <w:color w:val="auto"/>
                <w:highlight w:val="none"/>
                <w:lang w:eastAsia="zh-CN"/>
              </w:rPr>
              <w:t>尿素加注废气</w:t>
            </w:r>
            <w:r>
              <w:rPr>
                <w:rFonts w:hint="eastAsia"/>
                <w:color w:val="auto"/>
                <w:highlight w:val="none"/>
                <w:lang w:val="en-US" w:eastAsia="zh-CN"/>
              </w:rPr>
              <w:t>G2、</w:t>
            </w:r>
            <w:r>
              <w:rPr>
                <w:rFonts w:hint="eastAsia"/>
                <w:color w:val="auto"/>
                <w:highlight w:val="none"/>
              </w:rPr>
              <w:t>餐饮油烟G</w:t>
            </w:r>
            <w:r>
              <w:rPr>
                <w:rFonts w:hint="eastAsia"/>
                <w:color w:val="auto"/>
                <w:highlight w:val="none"/>
                <w:lang w:val="en-US" w:eastAsia="zh-CN"/>
              </w:rPr>
              <w:t>3</w:t>
            </w:r>
            <w:r>
              <w:rPr>
                <w:rFonts w:hint="eastAsia"/>
                <w:color w:val="auto"/>
                <w:highlight w:val="none"/>
              </w:rPr>
              <w:t>、车辆维修过程中产生的焊接烟尘G</w:t>
            </w:r>
            <w:r>
              <w:rPr>
                <w:rFonts w:hint="eastAsia"/>
                <w:color w:val="auto"/>
                <w:highlight w:val="none"/>
                <w:lang w:val="en-US" w:eastAsia="zh-CN"/>
              </w:rPr>
              <w:t>4</w:t>
            </w:r>
            <w:r>
              <w:rPr>
                <w:rFonts w:hint="eastAsia"/>
                <w:color w:val="auto"/>
                <w:highlight w:val="none"/>
              </w:rPr>
              <w:t>以及汽车尾气G</w:t>
            </w:r>
            <w:r>
              <w:rPr>
                <w:rFonts w:hint="eastAsia"/>
                <w:color w:val="auto"/>
                <w:highlight w:val="none"/>
                <w:lang w:val="en-US" w:eastAsia="zh-CN"/>
              </w:rPr>
              <w:t>5</w:t>
            </w:r>
            <w:r>
              <w:rPr>
                <w:rFonts w:hint="eastAsia"/>
                <w:color w:val="auto"/>
                <w:highlight w:val="none"/>
              </w:rPr>
              <w:t>。</w:t>
            </w:r>
          </w:p>
          <w:p w14:paraId="202C486B">
            <w:pPr>
              <w:ind w:firstLine="480" w:firstLineChars="200"/>
              <w:rPr>
                <w:color w:val="auto"/>
                <w:highlight w:val="none"/>
              </w:rPr>
            </w:pPr>
            <w:r>
              <w:rPr>
                <w:rFonts w:hint="eastAsia"/>
                <w:color w:val="auto"/>
                <w:highlight w:val="none"/>
              </w:rPr>
              <w:t>（1）油气G</w:t>
            </w:r>
            <w:r>
              <w:rPr>
                <w:rFonts w:hint="eastAsia"/>
                <w:color w:val="auto"/>
                <w:highlight w:val="none"/>
                <w:lang w:val="en-US" w:eastAsia="zh-CN"/>
              </w:rPr>
              <w:t>1</w:t>
            </w:r>
            <w:r>
              <w:rPr>
                <w:rFonts w:hint="eastAsia"/>
                <w:color w:val="auto"/>
                <w:highlight w:val="none"/>
              </w:rPr>
              <w:t>（以非甲烷总烃计）</w:t>
            </w:r>
          </w:p>
          <w:p w14:paraId="43CD372C">
            <w:pPr>
              <w:ind w:firstLine="480" w:firstLineChars="200"/>
              <w:rPr>
                <w:color w:val="auto"/>
                <w:highlight w:val="none"/>
              </w:rPr>
            </w:pPr>
            <w:r>
              <w:rPr>
                <w:color w:val="auto"/>
                <w:highlight w:val="none"/>
              </w:rPr>
              <w:t>储油罐</w:t>
            </w:r>
            <w:r>
              <w:rPr>
                <w:rFonts w:hint="eastAsia"/>
                <w:color w:val="auto"/>
                <w:highlight w:val="none"/>
              </w:rPr>
              <w:t>大呼吸时产生油气通过卸油油气回收系统处理后</w:t>
            </w:r>
            <w:r>
              <w:rPr>
                <w:rFonts w:hint="eastAsia"/>
                <w:color w:val="auto"/>
                <w:highlight w:val="none"/>
                <w:lang w:eastAsia="zh-CN"/>
              </w:rPr>
              <w:t>通过不低于</w:t>
            </w:r>
            <w:r>
              <w:rPr>
                <w:rFonts w:hint="eastAsia"/>
                <w:color w:val="auto"/>
                <w:highlight w:val="none"/>
                <w:lang w:val="en-US" w:eastAsia="zh-CN"/>
              </w:rPr>
              <w:t>4m的排气口DA001</w:t>
            </w:r>
            <w:r>
              <w:rPr>
                <w:rFonts w:hint="eastAsia"/>
                <w:color w:val="auto"/>
                <w:highlight w:val="none"/>
              </w:rPr>
              <w:t>排放，</w:t>
            </w:r>
            <w:r>
              <w:rPr>
                <w:color w:val="auto"/>
                <w:highlight w:val="none"/>
              </w:rPr>
              <w:t>进行小呼吸时</w:t>
            </w:r>
            <w:r>
              <w:rPr>
                <w:rFonts w:hint="eastAsia"/>
                <w:color w:val="auto"/>
                <w:highlight w:val="none"/>
              </w:rPr>
              <w:t>产生油气直接</w:t>
            </w:r>
            <w:r>
              <w:rPr>
                <w:color w:val="auto"/>
                <w:highlight w:val="none"/>
              </w:rPr>
              <w:t>排放</w:t>
            </w:r>
            <w:r>
              <w:rPr>
                <w:rFonts w:hint="eastAsia"/>
                <w:color w:val="auto"/>
                <w:highlight w:val="none"/>
              </w:rPr>
              <w:t>。</w:t>
            </w:r>
          </w:p>
          <w:p w14:paraId="1145ED3B">
            <w:pPr>
              <w:ind w:firstLine="480" w:firstLineChars="200"/>
              <w:rPr>
                <w:color w:val="auto"/>
                <w:highlight w:val="none"/>
              </w:rPr>
            </w:pPr>
            <w:r>
              <w:rPr>
                <w:rFonts w:hint="eastAsia"/>
                <w:color w:val="auto"/>
                <w:highlight w:val="none"/>
              </w:rPr>
              <w:t>①储油罐大呼吸损失</w:t>
            </w:r>
          </w:p>
          <w:p w14:paraId="61501D1E">
            <w:pPr>
              <w:ind w:firstLine="480" w:firstLineChars="200"/>
              <w:rPr>
                <w:color w:val="auto"/>
                <w:highlight w:val="none"/>
              </w:rPr>
            </w:pPr>
            <w:r>
              <w:rPr>
                <w:rFonts w:hint="eastAsia"/>
                <w:color w:val="auto"/>
                <w:highlight w:val="none"/>
              </w:rPr>
              <w:t>储罐大呼吸损失是指油罐进行进油作业时所呼出的油蒸汽而造成的油品蒸发损失。油罐进油时，由于</w:t>
            </w:r>
            <w:r>
              <w:rPr>
                <w:rFonts w:hint="eastAsia"/>
                <w:color w:val="auto"/>
                <w:highlight w:val="none"/>
                <w:lang w:eastAsia="zh-CN"/>
              </w:rPr>
              <w:t>液面</w:t>
            </w:r>
            <w:r>
              <w:rPr>
                <w:rFonts w:hint="eastAsia"/>
                <w:color w:val="auto"/>
                <w:highlight w:val="none"/>
              </w:rPr>
              <w:t>逐渐升高，气体空间逐渐减少，罐内压力增大，当压力超过呼吸阀控制压力时，一定浓度的油蒸汽开始从呼吸阀呼出，直到油罐停止收油。本项目采用卸油油气回收系统将油罐车内的油气导入罐车内，可减少油罐收油时的大呼吸损失。</w:t>
            </w:r>
          </w:p>
          <w:p w14:paraId="01A54490">
            <w:pPr>
              <w:ind w:firstLine="480" w:firstLineChars="200"/>
              <w:rPr>
                <w:color w:val="auto"/>
                <w:highlight w:val="none"/>
              </w:rPr>
            </w:pPr>
            <w:r>
              <w:rPr>
                <w:rFonts w:hint="eastAsia"/>
                <w:color w:val="auto"/>
                <w:highlight w:val="none"/>
              </w:rPr>
              <w:t>②储罐小呼吸损失</w:t>
            </w:r>
          </w:p>
          <w:p w14:paraId="7E411790">
            <w:pPr>
              <w:ind w:firstLine="480" w:firstLineChars="200"/>
              <w:rPr>
                <w:color w:val="auto"/>
                <w:highlight w:val="none"/>
              </w:rPr>
            </w:pPr>
            <w:r>
              <w:rPr>
                <w:color w:val="auto"/>
                <w:highlight w:val="none"/>
              </w:rPr>
              <w:t>油罐在没有收发油作业的情况下，随着外界气温、压力在一天内的升降周期变化，罐内气体空间温度、油品蒸发速度、油气浓度和蒸汽压力也随之变化。这种排出油蒸汽和呼入空气的过程造成的油气损失，叫小呼吸损失。</w:t>
            </w:r>
          </w:p>
          <w:p w14:paraId="6F067F9F">
            <w:pPr>
              <w:ind w:firstLine="480" w:firstLineChars="200"/>
              <w:rPr>
                <w:color w:val="auto"/>
                <w:highlight w:val="none"/>
              </w:rPr>
            </w:pPr>
            <w:r>
              <w:rPr>
                <w:rFonts w:hint="eastAsia"/>
                <w:color w:val="auto"/>
                <w:highlight w:val="none"/>
              </w:rPr>
              <w:t>③加油作业损失</w:t>
            </w:r>
          </w:p>
          <w:p w14:paraId="6A1EE63A">
            <w:pPr>
              <w:ind w:firstLine="480" w:firstLineChars="200"/>
              <w:rPr>
                <w:color w:val="auto"/>
                <w:highlight w:val="none"/>
              </w:rPr>
            </w:pPr>
            <w:r>
              <w:rPr>
                <w:rFonts w:hint="eastAsia"/>
                <w:color w:val="auto"/>
                <w:highlight w:val="none"/>
              </w:rPr>
              <w:t>加油作业损失主要指为车辆加油时，油品进入汽车油箱，油箱内的烃类气体被油品置换排入大气。本项目采用加油油气回收</w:t>
            </w:r>
            <w:r>
              <w:rPr>
                <w:rFonts w:hint="eastAsia"/>
                <w:color w:val="auto"/>
                <w:highlight w:val="none"/>
                <w:lang w:eastAsia="zh-CN"/>
              </w:rPr>
              <w:t>系统</w:t>
            </w:r>
            <w:r>
              <w:rPr>
                <w:rFonts w:hint="eastAsia"/>
                <w:color w:val="auto"/>
                <w:highlight w:val="none"/>
              </w:rPr>
              <w:t>，经真空泵将汽车油箱内的烃类气体吸入储油罐内，管路直接通入油罐底部，可使一部分油气转化为油，减少加油作业损失。</w:t>
            </w:r>
          </w:p>
          <w:p w14:paraId="18BCEBE8">
            <w:pPr>
              <w:ind w:firstLine="480" w:firstLineChars="200"/>
              <w:rPr>
                <w:color w:val="auto"/>
                <w:highlight w:val="none"/>
              </w:rPr>
            </w:pPr>
            <w:r>
              <w:rPr>
                <w:color w:val="auto"/>
                <w:highlight w:val="none"/>
              </w:rPr>
              <w:t>根据《中国加油站VOC排放污染现状及控制》</w:t>
            </w:r>
            <w:r>
              <w:rPr>
                <w:rFonts w:hint="eastAsia"/>
                <w:color w:val="auto"/>
                <w:highlight w:val="none"/>
              </w:rPr>
              <w:t>（环境科学第27卷第8期2006年8月，作者：沈旻嘉，郝吉明，王丽涛）</w:t>
            </w:r>
            <w:r>
              <w:rPr>
                <w:color w:val="auto"/>
                <w:highlight w:val="none"/>
              </w:rPr>
              <w:t>，</w:t>
            </w:r>
            <w:r>
              <w:rPr>
                <w:rFonts w:hint="eastAsia"/>
                <w:color w:val="auto"/>
                <w:highlight w:val="none"/>
              </w:rPr>
              <w:t>本项目</w:t>
            </w:r>
            <w:r>
              <w:rPr>
                <w:color w:val="auto"/>
                <w:highlight w:val="none"/>
              </w:rPr>
              <w:t>具体各</w:t>
            </w:r>
            <w:r>
              <w:rPr>
                <w:rFonts w:hint="eastAsia"/>
                <w:color w:val="auto"/>
                <w:highlight w:val="none"/>
              </w:rPr>
              <w:t>产生</w:t>
            </w:r>
            <w:r>
              <w:rPr>
                <w:color w:val="auto"/>
                <w:highlight w:val="none"/>
              </w:rPr>
              <w:t>环节的</w:t>
            </w:r>
            <w:r>
              <w:rPr>
                <w:rFonts w:hint="eastAsia"/>
                <w:color w:val="auto"/>
                <w:highlight w:val="none"/>
              </w:rPr>
              <w:t>排放因子见下表</w:t>
            </w:r>
            <w:r>
              <w:rPr>
                <w:color w:val="auto"/>
                <w:highlight w:val="none"/>
              </w:rPr>
              <w:t>。</w:t>
            </w:r>
          </w:p>
          <w:p w14:paraId="01B77312">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 xml:space="preserve"> </w:t>
            </w:r>
            <w:r>
              <w:rPr>
                <w:bCs/>
                <w:color w:val="auto"/>
                <w:highlight w:val="none"/>
              </w:rPr>
              <w:t>加油</w:t>
            </w:r>
            <w:r>
              <w:rPr>
                <w:rFonts w:hint="eastAsia"/>
                <w:bCs/>
                <w:color w:val="auto"/>
                <w:highlight w:val="none"/>
              </w:rPr>
              <w:t>作业</w:t>
            </w:r>
            <w:r>
              <w:rPr>
                <w:bCs/>
                <w:color w:val="auto"/>
                <w:highlight w:val="none"/>
              </w:rPr>
              <w:t>非甲烷总烃</w:t>
            </w:r>
            <w:r>
              <w:rPr>
                <w:rFonts w:hint="eastAsia"/>
                <w:bCs/>
                <w:color w:val="auto"/>
                <w:highlight w:val="none"/>
              </w:rPr>
              <w:t>排放因子</w:t>
            </w:r>
            <w:r>
              <w:rPr>
                <w:bCs/>
                <w:color w:val="auto"/>
                <w:highlight w:val="none"/>
              </w:rPr>
              <w:t>（kg/t）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4124"/>
              <w:gridCol w:w="2173"/>
            </w:tblGrid>
            <w:tr w14:paraId="170E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55FCCAFF">
                  <w:pPr>
                    <w:pStyle w:val="30"/>
                    <w:rPr>
                      <w:color w:val="auto"/>
                      <w:highlight w:val="none"/>
                    </w:rPr>
                  </w:pPr>
                  <w:r>
                    <w:rPr>
                      <w:color w:val="auto"/>
                      <w:highlight w:val="none"/>
                    </w:rPr>
                    <w:t>项目</w:t>
                  </w:r>
                </w:p>
              </w:tc>
              <w:tc>
                <w:tcPr>
                  <w:tcW w:w="2712" w:type="pct"/>
                  <w:tcBorders>
                    <w:tl2br w:val="nil"/>
                    <w:tr2bl w:val="nil"/>
                  </w:tcBorders>
                  <w:vAlign w:val="center"/>
                </w:tcPr>
                <w:p w14:paraId="4CDC7B33">
                  <w:pPr>
                    <w:pStyle w:val="30"/>
                    <w:rPr>
                      <w:color w:val="auto"/>
                      <w:highlight w:val="none"/>
                    </w:rPr>
                  </w:pPr>
                  <w:r>
                    <w:rPr>
                      <w:color w:val="auto"/>
                      <w:highlight w:val="none"/>
                    </w:rPr>
                    <w:t>活动过程</w:t>
                  </w:r>
                </w:p>
              </w:tc>
              <w:tc>
                <w:tcPr>
                  <w:tcW w:w="1429" w:type="pct"/>
                  <w:tcBorders>
                    <w:tl2br w:val="nil"/>
                    <w:tr2bl w:val="nil"/>
                  </w:tcBorders>
                  <w:vAlign w:val="center"/>
                </w:tcPr>
                <w:p w14:paraId="727AE7F0">
                  <w:pPr>
                    <w:pStyle w:val="30"/>
                    <w:rPr>
                      <w:color w:val="auto"/>
                      <w:highlight w:val="none"/>
                    </w:rPr>
                  </w:pPr>
                  <w:r>
                    <w:rPr>
                      <w:rFonts w:hint="eastAsia"/>
                      <w:color w:val="auto"/>
                      <w:highlight w:val="none"/>
                    </w:rPr>
                    <w:t>排放因子</w:t>
                  </w:r>
                </w:p>
              </w:tc>
            </w:tr>
            <w:tr w14:paraId="38C2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restart"/>
                  <w:tcBorders>
                    <w:tl2br w:val="nil"/>
                    <w:tr2bl w:val="nil"/>
                  </w:tcBorders>
                  <w:vAlign w:val="center"/>
                </w:tcPr>
                <w:p w14:paraId="53308E5A">
                  <w:pPr>
                    <w:pStyle w:val="30"/>
                    <w:rPr>
                      <w:color w:val="auto"/>
                      <w:highlight w:val="none"/>
                    </w:rPr>
                  </w:pPr>
                  <w:r>
                    <w:rPr>
                      <w:color w:val="auto"/>
                      <w:highlight w:val="none"/>
                    </w:rPr>
                    <w:t>汽油</w:t>
                  </w:r>
                </w:p>
              </w:tc>
              <w:tc>
                <w:tcPr>
                  <w:tcW w:w="2712" w:type="pct"/>
                  <w:tcBorders>
                    <w:tl2br w:val="nil"/>
                    <w:tr2bl w:val="nil"/>
                  </w:tcBorders>
                  <w:vAlign w:val="center"/>
                </w:tcPr>
                <w:p w14:paraId="11476BC0">
                  <w:pPr>
                    <w:pStyle w:val="30"/>
                    <w:rPr>
                      <w:color w:val="auto"/>
                      <w:highlight w:val="none"/>
                    </w:rPr>
                  </w:pPr>
                  <w:r>
                    <w:rPr>
                      <w:color w:val="auto"/>
                      <w:highlight w:val="none"/>
                    </w:rPr>
                    <w:t>加油过程挥发排放</w:t>
                  </w:r>
                </w:p>
              </w:tc>
              <w:tc>
                <w:tcPr>
                  <w:tcW w:w="1429" w:type="pct"/>
                  <w:tcBorders>
                    <w:tl2br w:val="nil"/>
                    <w:tr2bl w:val="nil"/>
                  </w:tcBorders>
                  <w:vAlign w:val="center"/>
                </w:tcPr>
                <w:p w14:paraId="6C3223BB">
                  <w:pPr>
                    <w:pStyle w:val="30"/>
                    <w:rPr>
                      <w:color w:val="auto"/>
                      <w:highlight w:val="none"/>
                    </w:rPr>
                  </w:pPr>
                  <w:r>
                    <w:rPr>
                      <w:color w:val="auto"/>
                      <w:highlight w:val="none"/>
                    </w:rPr>
                    <w:t>2.49</w:t>
                  </w:r>
                </w:p>
              </w:tc>
            </w:tr>
            <w:tr w14:paraId="6A91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46C8C5C6">
                  <w:pPr>
                    <w:pStyle w:val="30"/>
                    <w:rPr>
                      <w:color w:val="auto"/>
                      <w:highlight w:val="none"/>
                    </w:rPr>
                  </w:pPr>
                </w:p>
              </w:tc>
              <w:tc>
                <w:tcPr>
                  <w:tcW w:w="2712" w:type="pct"/>
                  <w:tcBorders>
                    <w:tl2br w:val="nil"/>
                    <w:tr2bl w:val="nil"/>
                  </w:tcBorders>
                  <w:vAlign w:val="center"/>
                </w:tcPr>
                <w:p w14:paraId="5D79019F">
                  <w:pPr>
                    <w:pStyle w:val="30"/>
                    <w:rPr>
                      <w:color w:val="auto"/>
                      <w:highlight w:val="none"/>
                    </w:rPr>
                  </w:pPr>
                  <w:r>
                    <w:rPr>
                      <w:color w:val="auto"/>
                      <w:highlight w:val="none"/>
                    </w:rPr>
                    <w:t>储油罐（小呼吸损失）</w:t>
                  </w:r>
                </w:p>
              </w:tc>
              <w:tc>
                <w:tcPr>
                  <w:tcW w:w="1429" w:type="pct"/>
                  <w:tcBorders>
                    <w:tl2br w:val="nil"/>
                    <w:tr2bl w:val="nil"/>
                  </w:tcBorders>
                  <w:vAlign w:val="center"/>
                </w:tcPr>
                <w:p w14:paraId="372707C2">
                  <w:pPr>
                    <w:pStyle w:val="30"/>
                    <w:rPr>
                      <w:color w:val="auto"/>
                      <w:highlight w:val="none"/>
                    </w:rPr>
                  </w:pPr>
                  <w:r>
                    <w:rPr>
                      <w:color w:val="auto"/>
                      <w:highlight w:val="none"/>
                    </w:rPr>
                    <w:t>0.16</w:t>
                  </w:r>
                </w:p>
              </w:tc>
            </w:tr>
            <w:tr w14:paraId="625A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759AC5D5">
                  <w:pPr>
                    <w:pStyle w:val="30"/>
                    <w:rPr>
                      <w:color w:val="auto"/>
                      <w:highlight w:val="none"/>
                    </w:rPr>
                  </w:pPr>
                </w:p>
              </w:tc>
              <w:tc>
                <w:tcPr>
                  <w:tcW w:w="2712" w:type="pct"/>
                  <w:tcBorders>
                    <w:tl2br w:val="nil"/>
                    <w:tr2bl w:val="nil"/>
                  </w:tcBorders>
                  <w:vAlign w:val="center"/>
                </w:tcPr>
                <w:p w14:paraId="322EA7F9">
                  <w:pPr>
                    <w:pStyle w:val="30"/>
                    <w:rPr>
                      <w:color w:val="auto"/>
                      <w:highlight w:val="none"/>
                    </w:rPr>
                  </w:pPr>
                  <w:r>
                    <w:rPr>
                      <w:color w:val="auto"/>
                      <w:highlight w:val="none"/>
                    </w:rPr>
                    <w:t>卸油过程损失（大呼吸损失）</w:t>
                  </w:r>
                </w:p>
              </w:tc>
              <w:tc>
                <w:tcPr>
                  <w:tcW w:w="1429" w:type="pct"/>
                  <w:tcBorders>
                    <w:tl2br w:val="nil"/>
                    <w:tr2bl w:val="nil"/>
                  </w:tcBorders>
                  <w:vAlign w:val="center"/>
                </w:tcPr>
                <w:p w14:paraId="1A3B1F88">
                  <w:pPr>
                    <w:pStyle w:val="30"/>
                    <w:rPr>
                      <w:color w:val="auto"/>
                      <w:highlight w:val="none"/>
                    </w:rPr>
                  </w:pPr>
                  <w:r>
                    <w:rPr>
                      <w:color w:val="auto"/>
                      <w:highlight w:val="none"/>
                    </w:rPr>
                    <w:t>2.3</w:t>
                  </w:r>
                </w:p>
              </w:tc>
            </w:tr>
            <w:tr w14:paraId="66C2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6B314DAA">
                  <w:pPr>
                    <w:pStyle w:val="30"/>
                    <w:rPr>
                      <w:color w:val="auto"/>
                      <w:highlight w:val="none"/>
                    </w:rPr>
                  </w:pPr>
                </w:p>
              </w:tc>
              <w:tc>
                <w:tcPr>
                  <w:tcW w:w="2712" w:type="pct"/>
                  <w:tcBorders>
                    <w:tl2br w:val="nil"/>
                    <w:tr2bl w:val="nil"/>
                  </w:tcBorders>
                  <w:vAlign w:val="center"/>
                </w:tcPr>
                <w:p w14:paraId="3AA9553C">
                  <w:pPr>
                    <w:pStyle w:val="30"/>
                    <w:rPr>
                      <w:color w:val="auto"/>
                      <w:highlight w:val="none"/>
                    </w:rPr>
                  </w:pPr>
                  <w:r>
                    <w:rPr>
                      <w:color w:val="auto"/>
                      <w:highlight w:val="none"/>
                    </w:rPr>
                    <w:t>总计</w:t>
                  </w:r>
                </w:p>
              </w:tc>
              <w:tc>
                <w:tcPr>
                  <w:tcW w:w="1429" w:type="pct"/>
                  <w:tcBorders>
                    <w:tl2br w:val="nil"/>
                    <w:tr2bl w:val="nil"/>
                  </w:tcBorders>
                  <w:vAlign w:val="center"/>
                </w:tcPr>
                <w:p w14:paraId="18A465E7">
                  <w:pPr>
                    <w:pStyle w:val="30"/>
                    <w:rPr>
                      <w:color w:val="auto"/>
                      <w:highlight w:val="none"/>
                    </w:rPr>
                  </w:pPr>
                  <w:r>
                    <w:rPr>
                      <w:color w:val="auto"/>
                      <w:highlight w:val="none"/>
                    </w:rPr>
                    <w:t>4.95</w:t>
                  </w:r>
                </w:p>
              </w:tc>
            </w:tr>
            <w:tr w14:paraId="4E10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restart"/>
                  <w:tcBorders>
                    <w:tl2br w:val="nil"/>
                    <w:tr2bl w:val="nil"/>
                  </w:tcBorders>
                  <w:vAlign w:val="center"/>
                </w:tcPr>
                <w:p w14:paraId="335F1A63">
                  <w:pPr>
                    <w:pStyle w:val="30"/>
                    <w:rPr>
                      <w:color w:val="auto"/>
                      <w:highlight w:val="none"/>
                    </w:rPr>
                  </w:pPr>
                  <w:r>
                    <w:rPr>
                      <w:color w:val="auto"/>
                      <w:highlight w:val="none"/>
                    </w:rPr>
                    <w:t>柴油</w:t>
                  </w:r>
                </w:p>
              </w:tc>
              <w:tc>
                <w:tcPr>
                  <w:tcW w:w="2712" w:type="pct"/>
                  <w:tcBorders>
                    <w:tl2br w:val="nil"/>
                    <w:tr2bl w:val="nil"/>
                  </w:tcBorders>
                  <w:vAlign w:val="center"/>
                </w:tcPr>
                <w:p w14:paraId="44B5BC4D">
                  <w:pPr>
                    <w:pStyle w:val="30"/>
                    <w:rPr>
                      <w:color w:val="auto"/>
                      <w:highlight w:val="none"/>
                    </w:rPr>
                  </w:pPr>
                  <w:r>
                    <w:rPr>
                      <w:color w:val="auto"/>
                      <w:highlight w:val="none"/>
                    </w:rPr>
                    <w:t>加油过程挥发排放</w:t>
                  </w:r>
                </w:p>
              </w:tc>
              <w:tc>
                <w:tcPr>
                  <w:tcW w:w="1429" w:type="pct"/>
                  <w:tcBorders>
                    <w:tl2br w:val="nil"/>
                    <w:tr2bl w:val="nil"/>
                  </w:tcBorders>
                  <w:vAlign w:val="center"/>
                </w:tcPr>
                <w:p w14:paraId="7304093F">
                  <w:pPr>
                    <w:pStyle w:val="30"/>
                    <w:rPr>
                      <w:color w:val="auto"/>
                      <w:highlight w:val="none"/>
                    </w:rPr>
                  </w:pPr>
                  <w:r>
                    <w:rPr>
                      <w:color w:val="auto"/>
                      <w:highlight w:val="none"/>
                    </w:rPr>
                    <w:t>0.048</w:t>
                  </w:r>
                </w:p>
              </w:tc>
            </w:tr>
            <w:tr w14:paraId="5D85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3D253DE5">
                  <w:pPr>
                    <w:pStyle w:val="30"/>
                    <w:rPr>
                      <w:color w:val="auto"/>
                      <w:highlight w:val="none"/>
                    </w:rPr>
                  </w:pPr>
                </w:p>
              </w:tc>
              <w:tc>
                <w:tcPr>
                  <w:tcW w:w="2712" w:type="pct"/>
                  <w:tcBorders>
                    <w:tl2br w:val="nil"/>
                    <w:tr2bl w:val="nil"/>
                  </w:tcBorders>
                  <w:vAlign w:val="center"/>
                </w:tcPr>
                <w:p w14:paraId="10E9492E">
                  <w:pPr>
                    <w:pStyle w:val="30"/>
                    <w:rPr>
                      <w:color w:val="auto"/>
                      <w:highlight w:val="none"/>
                    </w:rPr>
                  </w:pPr>
                  <w:r>
                    <w:rPr>
                      <w:color w:val="auto"/>
                      <w:highlight w:val="none"/>
                    </w:rPr>
                    <w:t>储油罐（小呼吸损失）</w:t>
                  </w:r>
                </w:p>
              </w:tc>
              <w:tc>
                <w:tcPr>
                  <w:tcW w:w="1429" w:type="pct"/>
                  <w:tcBorders>
                    <w:tl2br w:val="nil"/>
                    <w:tr2bl w:val="nil"/>
                  </w:tcBorders>
                  <w:vAlign w:val="center"/>
                </w:tcPr>
                <w:p w14:paraId="324AA033">
                  <w:pPr>
                    <w:pStyle w:val="30"/>
                    <w:rPr>
                      <w:color w:val="auto"/>
                      <w:highlight w:val="none"/>
                    </w:rPr>
                  </w:pPr>
                  <w:r>
                    <w:rPr>
                      <w:color w:val="auto"/>
                      <w:highlight w:val="none"/>
                    </w:rPr>
                    <w:t>-</w:t>
                  </w:r>
                </w:p>
              </w:tc>
            </w:tr>
            <w:tr w14:paraId="32DB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21DE1CB0">
                  <w:pPr>
                    <w:pStyle w:val="30"/>
                    <w:rPr>
                      <w:color w:val="auto"/>
                      <w:highlight w:val="none"/>
                    </w:rPr>
                  </w:pPr>
                </w:p>
              </w:tc>
              <w:tc>
                <w:tcPr>
                  <w:tcW w:w="2712" w:type="pct"/>
                  <w:tcBorders>
                    <w:tl2br w:val="nil"/>
                    <w:tr2bl w:val="nil"/>
                  </w:tcBorders>
                  <w:vAlign w:val="center"/>
                </w:tcPr>
                <w:p w14:paraId="126FD99B">
                  <w:pPr>
                    <w:pStyle w:val="30"/>
                    <w:rPr>
                      <w:color w:val="auto"/>
                      <w:highlight w:val="none"/>
                    </w:rPr>
                  </w:pPr>
                  <w:r>
                    <w:rPr>
                      <w:color w:val="auto"/>
                      <w:highlight w:val="none"/>
                    </w:rPr>
                    <w:t>卸油过程损失（大呼吸损失）</w:t>
                  </w:r>
                </w:p>
              </w:tc>
              <w:tc>
                <w:tcPr>
                  <w:tcW w:w="1429" w:type="pct"/>
                  <w:tcBorders>
                    <w:tl2br w:val="nil"/>
                    <w:tr2bl w:val="nil"/>
                  </w:tcBorders>
                  <w:vAlign w:val="center"/>
                </w:tcPr>
                <w:p w14:paraId="7A3390C0">
                  <w:pPr>
                    <w:pStyle w:val="30"/>
                    <w:rPr>
                      <w:color w:val="auto"/>
                      <w:highlight w:val="none"/>
                    </w:rPr>
                  </w:pPr>
                  <w:r>
                    <w:rPr>
                      <w:color w:val="auto"/>
                      <w:highlight w:val="none"/>
                    </w:rPr>
                    <w:t>0.027</w:t>
                  </w:r>
                </w:p>
              </w:tc>
            </w:tr>
            <w:tr w14:paraId="0E59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0F34A86D">
                  <w:pPr>
                    <w:pStyle w:val="30"/>
                    <w:rPr>
                      <w:color w:val="auto"/>
                      <w:highlight w:val="none"/>
                    </w:rPr>
                  </w:pPr>
                </w:p>
              </w:tc>
              <w:tc>
                <w:tcPr>
                  <w:tcW w:w="2712" w:type="pct"/>
                  <w:tcBorders>
                    <w:tl2br w:val="nil"/>
                    <w:tr2bl w:val="nil"/>
                  </w:tcBorders>
                  <w:vAlign w:val="center"/>
                </w:tcPr>
                <w:p w14:paraId="320016F3">
                  <w:pPr>
                    <w:pStyle w:val="30"/>
                    <w:rPr>
                      <w:color w:val="auto"/>
                      <w:highlight w:val="none"/>
                    </w:rPr>
                  </w:pPr>
                  <w:r>
                    <w:rPr>
                      <w:color w:val="auto"/>
                      <w:highlight w:val="none"/>
                    </w:rPr>
                    <w:t>总计</w:t>
                  </w:r>
                </w:p>
              </w:tc>
              <w:tc>
                <w:tcPr>
                  <w:tcW w:w="1429" w:type="pct"/>
                  <w:tcBorders>
                    <w:tl2br w:val="nil"/>
                    <w:tr2bl w:val="nil"/>
                  </w:tcBorders>
                  <w:vAlign w:val="center"/>
                </w:tcPr>
                <w:p w14:paraId="0550EB45">
                  <w:pPr>
                    <w:pStyle w:val="30"/>
                    <w:rPr>
                      <w:color w:val="auto"/>
                      <w:highlight w:val="none"/>
                    </w:rPr>
                  </w:pPr>
                  <w:r>
                    <w:rPr>
                      <w:color w:val="auto"/>
                      <w:highlight w:val="none"/>
                    </w:rPr>
                    <w:t>0.075</w:t>
                  </w:r>
                </w:p>
              </w:tc>
            </w:tr>
          </w:tbl>
          <w:p w14:paraId="1F4729F2">
            <w:pPr>
              <w:ind w:firstLine="480" w:firstLineChars="200"/>
              <w:rPr>
                <w:rFonts w:hint="default" w:eastAsia="宋体"/>
                <w:color w:val="auto"/>
                <w:highlight w:val="none"/>
                <w:lang w:val="en-US" w:eastAsia="zh-CN"/>
              </w:rPr>
            </w:pPr>
            <w:r>
              <w:rPr>
                <w:rFonts w:hint="eastAsia"/>
                <w:color w:val="auto"/>
                <w:highlight w:val="none"/>
              </w:rPr>
              <w:t>本项目年销售汽油</w:t>
            </w:r>
            <w:r>
              <w:rPr>
                <w:rFonts w:hint="eastAsia"/>
                <w:color w:val="auto"/>
                <w:highlight w:val="none"/>
                <w:lang w:val="en-US" w:eastAsia="zh-CN"/>
              </w:rPr>
              <w:t>1000</w:t>
            </w:r>
            <w:r>
              <w:rPr>
                <w:rFonts w:hint="eastAsia"/>
                <w:color w:val="auto"/>
                <w:highlight w:val="none"/>
              </w:rPr>
              <w:t>t，销售柴油</w:t>
            </w:r>
            <w:r>
              <w:rPr>
                <w:rFonts w:hint="eastAsia"/>
                <w:color w:val="auto"/>
                <w:highlight w:val="none"/>
                <w:lang w:val="en-US" w:eastAsia="zh-CN"/>
              </w:rPr>
              <w:t>3000</w:t>
            </w:r>
            <w:r>
              <w:rPr>
                <w:rFonts w:hint="eastAsia"/>
                <w:color w:val="auto"/>
                <w:highlight w:val="none"/>
              </w:rPr>
              <w:t>t，根据上表中排放系数，计算该项目加油过程中挥发性有机物产排情况。</w:t>
            </w:r>
            <w:r>
              <w:rPr>
                <w:rFonts w:hint="eastAsia"/>
                <w:color w:val="auto"/>
                <w:highlight w:val="none"/>
                <w:lang w:eastAsia="zh-CN"/>
              </w:rPr>
              <w:t>三次油气回收装置回收效率一般在</w:t>
            </w:r>
            <w:r>
              <w:rPr>
                <w:rFonts w:hint="eastAsia"/>
                <w:color w:val="auto"/>
                <w:highlight w:val="none"/>
                <w:lang w:val="en-US" w:eastAsia="zh-CN"/>
              </w:rPr>
              <w:t>95%以上，本次评价保守考虑，按90%计。</w:t>
            </w:r>
          </w:p>
          <w:p w14:paraId="6D7263FA">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 xml:space="preserve"> 加油挥发性有机物产排计算一览表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677"/>
              <w:gridCol w:w="1303"/>
              <w:gridCol w:w="1008"/>
              <w:gridCol w:w="1040"/>
              <w:gridCol w:w="1039"/>
              <w:gridCol w:w="928"/>
              <w:gridCol w:w="970"/>
            </w:tblGrid>
            <w:tr w14:paraId="29733A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Align w:val="center"/>
                </w:tcPr>
                <w:p w14:paraId="5BED6D77">
                  <w:pPr>
                    <w:pStyle w:val="30"/>
                    <w:rPr>
                      <w:color w:val="auto"/>
                      <w:highlight w:val="none"/>
                    </w:rPr>
                  </w:pPr>
                  <w:r>
                    <w:rPr>
                      <w:color w:val="auto"/>
                      <w:highlight w:val="none"/>
                    </w:rPr>
                    <w:t>项目</w:t>
                  </w:r>
                </w:p>
              </w:tc>
              <w:tc>
                <w:tcPr>
                  <w:tcW w:w="445" w:type="pct"/>
                  <w:vAlign w:val="center"/>
                </w:tcPr>
                <w:p w14:paraId="6BCFE0F0">
                  <w:pPr>
                    <w:pStyle w:val="30"/>
                    <w:rPr>
                      <w:color w:val="auto"/>
                      <w:highlight w:val="none"/>
                    </w:rPr>
                  </w:pPr>
                  <w:r>
                    <w:rPr>
                      <w:color w:val="auto"/>
                      <w:highlight w:val="none"/>
                    </w:rPr>
                    <w:t>油品种类</w:t>
                  </w:r>
                </w:p>
              </w:tc>
              <w:tc>
                <w:tcPr>
                  <w:tcW w:w="857" w:type="pct"/>
                  <w:vAlign w:val="center"/>
                </w:tcPr>
                <w:p w14:paraId="1A569012">
                  <w:pPr>
                    <w:pStyle w:val="30"/>
                    <w:rPr>
                      <w:color w:val="auto"/>
                      <w:highlight w:val="none"/>
                    </w:rPr>
                  </w:pPr>
                  <w:r>
                    <w:rPr>
                      <w:color w:val="auto"/>
                      <w:highlight w:val="none"/>
                    </w:rPr>
                    <w:t>项目</w:t>
                  </w:r>
                </w:p>
              </w:tc>
              <w:tc>
                <w:tcPr>
                  <w:tcW w:w="663" w:type="pct"/>
                  <w:vAlign w:val="center"/>
                </w:tcPr>
                <w:p w14:paraId="20BA7D39">
                  <w:pPr>
                    <w:pStyle w:val="30"/>
                    <w:rPr>
                      <w:color w:val="auto"/>
                      <w:highlight w:val="none"/>
                    </w:rPr>
                  </w:pPr>
                  <w:r>
                    <w:rPr>
                      <w:color w:val="auto"/>
                      <w:highlight w:val="none"/>
                    </w:rPr>
                    <w:t>年通过量（t/a）</w:t>
                  </w:r>
                </w:p>
              </w:tc>
              <w:tc>
                <w:tcPr>
                  <w:tcW w:w="684" w:type="pct"/>
                  <w:vAlign w:val="center"/>
                </w:tcPr>
                <w:p w14:paraId="2AEB6819">
                  <w:pPr>
                    <w:pStyle w:val="30"/>
                    <w:rPr>
                      <w:color w:val="auto"/>
                      <w:highlight w:val="none"/>
                    </w:rPr>
                  </w:pPr>
                  <w:r>
                    <w:rPr>
                      <w:color w:val="auto"/>
                      <w:highlight w:val="none"/>
                    </w:rPr>
                    <w:t>产污系数（kg/t）</w:t>
                  </w:r>
                </w:p>
              </w:tc>
              <w:tc>
                <w:tcPr>
                  <w:tcW w:w="683" w:type="pct"/>
                  <w:vAlign w:val="center"/>
                </w:tcPr>
                <w:p w14:paraId="56BD4746">
                  <w:pPr>
                    <w:pStyle w:val="30"/>
                    <w:rPr>
                      <w:color w:val="auto"/>
                      <w:highlight w:val="none"/>
                    </w:rPr>
                  </w:pPr>
                  <w:r>
                    <w:rPr>
                      <w:color w:val="auto"/>
                      <w:highlight w:val="none"/>
                    </w:rPr>
                    <w:t>产生量（t/a）</w:t>
                  </w:r>
                </w:p>
              </w:tc>
              <w:tc>
                <w:tcPr>
                  <w:tcW w:w="610" w:type="pct"/>
                  <w:vAlign w:val="center"/>
                </w:tcPr>
                <w:p w14:paraId="7EDCA63F">
                  <w:pPr>
                    <w:pStyle w:val="30"/>
                    <w:rPr>
                      <w:color w:val="auto"/>
                      <w:highlight w:val="none"/>
                    </w:rPr>
                  </w:pPr>
                  <w:r>
                    <w:rPr>
                      <w:color w:val="auto"/>
                      <w:highlight w:val="none"/>
                    </w:rPr>
                    <w:t>治理措施及处理效率</w:t>
                  </w:r>
                </w:p>
              </w:tc>
              <w:tc>
                <w:tcPr>
                  <w:tcW w:w="638" w:type="pct"/>
                  <w:vAlign w:val="center"/>
                </w:tcPr>
                <w:p w14:paraId="5E232D85">
                  <w:pPr>
                    <w:pStyle w:val="30"/>
                    <w:rPr>
                      <w:color w:val="auto"/>
                      <w:highlight w:val="none"/>
                    </w:rPr>
                  </w:pPr>
                  <w:r>
                    <w:rPr>
                      <w:color w:val="auto"/>
                      <w:highlight w:val="none"/>
                    </w:rPr>
                    <w:t>排放量（t/a）</w:t>
                  </w:r>
                </w:p>
              </w:tc>
            </w:tr>
            <w:tr w14:paraId="0B3FAB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restart"/>
                  <w:vAlign w:val="center"/>
                </w:tcPr>
                <w:p w14:paraId="4A96AC9A">
                  <w:pPr>
                    <w:pStyle w:val="30"/>
                    <w:rPr>
                      <w:rFonts w:hint="eastAsia" w:eastAsia="宋体"/>
                      <w:color w:val="auto"/>
                      <w:highlight w:val="none"/>
                      <w:lang w:eastAsia="zh-CN"/>
                    </w:rPr>
                  </w:pPr>
                  <w:r>
                    <w:rPr>
                      <w:rFonts w:hint="eastAsia"/>
                      <w:color w:val="auto"/>
                      <w:highlight w:val="none"/>
                      <w:lang w:eastAsia="zh-CN"/>
                    </w:rPr>
                    <w:t>综合能源站</w:t>
                  </w:r>
                </w:p>
              </w:tc>
              <w:tc>
                <w:tcPr>
                  <w:tcW w:w="445" w:type="pct"/>
                  <w:vMerge w:val="restart"/>
                  <w:vAlign w:val="center"/>
                </w:tcPr>
                <w:p w14:paraId="2FA007D0">
                  <w:pPr>
                    <w:pStyle w:val="30"/>
                    <w:rPr>
                      <w:color w:val="auto"/>
                      <w:highlight w:val="none"/>
                    </w:rPr>
                  </w:pPr>
                  <w:r>
                    <w:rPr>
                      <w:color w:val="auto"/>
                      <w:highlight w:val="none"/>
                    </w:rPr>
                    <w:t>汽油</w:t>
                  </w:r>
                </w:p>
              </w:tc>
              <w:tc>
                <w:tcPr>
                  <w:tcW w:w="857" w:type="pct"/>
                  <w:vAlign w:val="center"/>
                </w:tcPr>
                <w:p w14:paraId="3B5FCF98">
                  <w:pPr>
                    <w:pStyle w:val="30"/>
                    <w:rPr>
                      <w:color w:val="auto"/>
                      <w:highlight w:val="none"/>
                    </w:rPr>
                  </w:pPr>
                  <w:r>
                    <w:rPr>
                      <w:color w:val="auto"/>
                      <w:highlight w:val="none"/>
                    </w:rPr>
                    <w:t>储罐小呼吸</w:t>
                  </w:r>
                </w:p>
              </w:tc>
              <w:tc>
                <w:tcPr>
                  <w:tcW w:w="663" w:type="pct"/>
                  <w:vMerge w:val="restart"/>
                  <w:vAlign w:val="center"/>
                </w:tcPr>
                <w:p w14:paraId="6667C7DC">
                  <w:pPr>
                    <w:pStyle w:val="30"/>
                    <w:bidi w:val="0"/>
                    <w:rPr>
                      <w:color w:val="auto"/>
                      <w:highlight w:val="none"/>
                    </w:rPr>
                  </w:pPr>
                  <w:r>
                    <w:rPr>
                      <w:rFonts w:hint="default"/>
                      <w:color w:val="auto"/>
                      <w:highlight w:val="none"/>
                      <w:lang w:val="en-US" w:eastAsia="zh-CN"/>
                    </w:rPr>
                    <w:t>1000</w:t>
                  </w:r>
                </w:p>
              </w:tc>
              <w:tc>
                <w:tcPr>
                  <w:tcW w:w="684" w:type="pct"/>
                  <w:vAlign w:val="center"/>
                </w:tcPr>
                <w:p w14:paraId="132A2C11">
                  <w:pPr>
                    <w:pStyle w:val="30"/>
                    <w:bidi w:val="0"/>
                    <w:rPr>
                      <w:color w:val="auto"/>
                      <w:highlight w:val="none"/>
                    </w:rPr>
                  </w:pPr>
                  <w:r>
                    <w:rPr>
                      <w:rFonts w:hint="default"/>
                      <w:color w:val="auto"/>
                      <w:highlight w:val="none"/>
                      <w:lang w:val="en-US" w:eastAsia="zh-CN"/>
                    </w:rPr>
                    <w:t>0.16</w:t>
                  </w:r>
                </w:p>
              </w:tc>
              <w:tc>
                <w:tcPr>
                  <w:tcW w:w="683" w:type="pct"/>
                  <w:tcBorders>
                    <w:bottom w:val="single" w:color="000000" w:sz="4" w:space="0"/>
                  </w:tcBorders>
                  <w:vAlign w:val="center"/>
                </w:tcPr>
                <w:p w14:paraId="089AF483">
                  <w:pPr>
                    <w:pStyle w:val="30"/>
                    <w:bidi w:val="0"/>
                    <w:rPr>
                      <w:color w:val="auto"/>
                      <w:highlight w:val="none"/>
                    </w:rPr>
                  </w:pPr>
                  <w:r>
                    <w:rPr>
                      <w:rFonts w:hint="default"/>
                      <w:color w:val="auto"/>
                      <w:highlight w:val="none"/>
                      <w:lang w:val="en-US" w:eastAsia="zh-CN"/>
                    </w:rPr>
                    <w:t xml:space="preserve">0.160 </w:t>
                  </w:r>
                </w:p>
              </w:tc>
              <w:tc>
                <w:tcPr>
                  <w:tcW w:w="610" w:type="pct"/>
                  <w:vMerge w:val="restart"/>
                  <w:vAlign w:val="center"/>
                </w:tcPr>
                <w:p w14:paraId="197D11B2">
                  <w:pPr>
                    <w:pStyle w:val="30"/>
                    <w:bidi w:val="0"/>
                    <w:rPr>
                      <w:color w:val="auto"/>
                      <w:highlight w:val="none"/>
                    </w:rPr>
                  </w:pPr>
                  <w:r>
                    <w:rPr>
                      <w:rFonts w:hint="eastAsia"/>
                      <w:color w:val="auto"/>
                      <w:highlight w:val="none"/>
                      <w:lang w:val="en-US" w:eastAsia="zh-CN"/>
                    </w:rPr>
                    <w:t>三次油气回收系统回收效率</w:t>
                  </w:r>
                  <w:r>
                    <w:rPr>
                      <w:color w:val="auto"/>
                      <w:highlight w:val="none"/>
                      <w:lang w:val="en-US" w:eastAsia="zh-CN"/>
                    </w:rPr>
                    <w:t>90%</w:t>
                  </w:r>
                </w:p>
              </w:tc>
              <w:tc>
                <w:tcPr>
                  <w:tcW w:w="638" w:type="pct"/>
                  <w:vAlign w:val="center"/>
                </w:tcPr>
                <w:p w14:paraId="1EE219F5">
                  <w:pPr>
                    <w:pStyle w:val="30"/>
                    <w:bidi w:val="0"/>
                    <w:rPr>
                      <w:rFonts w:hint="default"/>
                      <w:color w:val="auto"/>
                      <w:highlight w:val="none"/>
                      <w:lang w:val="en-US" w:eastAsia="zh-CN"/>
                    </w:rPr>
                  </w:pPr>
                  <w:r>
                    <w:rPr>
                      <w:rFonts w:hint="default"/>
                      <w:color w:val="auto"/>
                      <w:highlight w:val="none"/>
                      <w:lang w:val="en-US" w:eastAsia="zh-CN"/>
                    </w:rPr>
                    <w:t xml:space="preserve">0.016 </w:t>
                  </w:r>
                </w:p>
              </w:tc>
            </w:tr>
            <w:tr w14:paraId="061A41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683B0168">
                  <w:pPr>
                    <w:pStyle w:val="30"/>
                    <w:rPr>
                      <w:color w:val="auto"/>
                      <w:highlight w:val="none"/>
                    </w:rPr>
                  </w:pPr>
                </w:p>
              </w:tc>
              <w:tc>
                <w:tcPr>
                  <w:tcW w:w="445" w:type="pct"/>
                  <w:vMerge w:val="continue"/>
                  <w:vAlign w:val="center"/>
                </w:tcPr>
                <w:p w14:paraId="182A2E27">
                  <w:pPr>
                    <w:pStyle w:val="30"/>
                    <w:rPr>
                      <w:color w:val="auto"/>
                      <w:highlight w:val="none"/>
                    </w:rPr>
                  </w:pPr>
                </w:p>
              </w:tc>
              <w:tc>
                <w:tcPr>
                  <w:tcW w:w="857" w:type="pct"/>
                  <w:vAlign w:val="center"/>
                </w:tcPr>
                <w:p w14:paraId="24E1E277">
                  <w:pPr>
                    <w:pStyle w:val="30"/>
                    <w:rPr>
                      <w:color w:val="auto"/>
                      <w:highlight w:val="none"/>
                    </w:rPr>
                  </w:pPr>
                  <w:r>
                    <w:rPr>
                      <w:color w:val="auto"/>
                      <w:highlight w:val="none"/>
                    </w:rPr>
                    <w:t>储罐大呼吸</w:t>
                  </w:r>
                </w:p>
              </w:tc>
              <w:tc>
                <w:tcPr>
                  <w:tcW w:w="663" w:type="pct"/>
                  <w:vMerge w:val="continue"/>
                  <w:vAlign w:val="center"/>
                </w:tcPr>
                <w:p w14:paraId="0AAF6843">
                  <w:pPr>
                    <w:pStyle w:val="30"/>
                    <w:bidi w:val="0"/>
                    <w:rPr>
                      <w:color w:val="auto"/>
                      <w:highlight w:val="none"/>
                    </w:rPr>
                  </w:pPr>
                </w:p>
              </w:tc>
              <w:tc>
                <w:tcPr>
                  <w:tcW w:w="684" w:type="pct"/>
                  <w:vAlign w:val="center"/>
                </w:tcPr>
                <w:p w14:paraId="771BD5FF">
                  <w:pPr>
                    <w:pStyle w:val="30"/>
                    <w:bidi w:val="0"/>
                    <w:rPr>
                      <w:color w:val="auto"/>
                      <w:highlight w:val="none"/>
                    </w:rPr>
                  </w:pPr>
                  <w:r>
                    <w:rPr>
                      <w:rFonts w:hint="default"/>
                      <w:color w:val="auto"/>
                      <w:highlight w:val="none"/>
                      <w:lang w:val="en-US" w:eastAsia="zh-CN"/>
                    </w:rPr>
                    <w:t>2.3</w:t>
                  </w:r>
                </w:p>
              </w:tc>
              <w:tc>
                <w:tcPr>
                  <w:tcW w:w="683" w:type="pct"/>
                  <w:tcBorders>
                    <w:top w:val="single" w:color="000000" w:sz="4" w:space="0"/>
                  </w:tcBorders>
                  <w:vAlign w:val="center"/>
                </w:tcPr>
                <w:p w14:paraId="3908DC72">
                  <w:pPr>
                    <w:pStyle w:val="30"/>
                    <w:bidi w:val="0"/>
                    <w:rPr>
                      <w:color w:val="auto"/>
                      <w:highlight w:val="none"/>
                    </w:rPr>
                  </w:pPr>
                  <w:r>
                    <w:rPr>
                      <w:rFonts w:hint="default"/>
                      <w:color w:val="auto"/>
                      <w:highlight w:val="none"/>
                      <w:lang w:val="en-US" w:eastAsia="zh-CN"/>
                    </w:rPr>
                    <w:t xml:space="preserve">2.300 </w:t>
                  </w:r>
                </w:p>
              </w:tc>
              <w:tc>
                <w:tcPr>
                  <w:tcW w:w="610" w:type="pct"/>
                  <w:vMerge w:val="continue"/>
                  <w:vAlign w:val="center"/>
                </w:tcPr>
                <w:p w14:paraId="357ECD88">
                  <w:pPr>
                    <w:pStyle w:val="30"/>
                    <w:bidi w:val="0"/>
                    <w:rPr>
                      <w:color w:val="auto"/>
                      <w:highlight w:val="none"/>
                    </w:rPr>
                  </w:pPr>
                </w:p>
              </w:tc>
              <w:tc>
                <w:tcPr>
                  <w:tcW w:w="638" w:type="pct"/>
                  <w:vAlign w:val="center"/>
                </w:tcPr>
                <w:p w14:paraId="19EB3370">
                  <w:pPr>
                    <w:pStyle w:val="30"/>
                    <w:bidi w:val="0"/>
                    <w:rPr>
                      <w:rFonts w:hint="default"/>
                      <w:color w:val="auto"/>
                      <w:highlight w:val="none"/>
                      <w:lang w:val="en-US" w:eastAsia="zh-CN"/>
                    </w:rPr>
                  </w:pPr>
                  <w:r>
                    <w:rPr>
                      <w:rFonts w:hint="default"/>
                      <w:color w:val="auto"/>
                      <w:highlight w:val="none"/>
                      <w:lang w:val="en-US" w:eastAsia="zh-CN"/>
                    </w:rPr>
                    <w:t xml:space="preserve">0.230 </w:t>
                  </w:r>
                </w:p>
              </w:tc>
            </w:tr>
            <w:tr w14:paraId="4C5A93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548F34F9">
                  <w:pPr>
                    <w:pStyle w:val="30"/>
                    <w:rPr>
                      <w:color w:val="auto"/>
                      <w:highlight w:val="none"/>
                    </w:rPr>
                  </w:pPr>
                </w:p>
              </w:tc>
              <w:tc>
                <w:tcPr>
                  <w:tcW w:w="445" w:type="pct"/>
                  <w:vMerge w:val="continue"/>
                  <w:vAlign w:val="center"/>
                </w:tcPr>
                <w:p w14:paraId="3B31964C">
                  <w:pPr>
                    <w:pStyle w:val="30"/>
                    <w:rPr>
                      <w:color w:val="auto"/>
                      <w:highlight w:val="none"/>
                    </w:rPr>
                  </w:pPr>
                </w:p>
              </w:tc>
              <w:tc>
                <w:tcPr>
                  <w:tcW w:w="857" w:type="pct"/>
                  <w:vAlign w:val="center"/>
                </w:tcPr>
                <w:p w14:paraId="25707EAA">
                  <w:pPr>
                    <w:pStyle w:val="30"/>
                    <w:rPr>
                      <w:color w:val="auto"/>
                      <w:highlight w:val="none"/>
                    </w:rPr>
                  </w:pPr>
                  <w:r>
                    <w:rPr>
                      <w:color w:val="auto"/>
                      <w:highlight w:val="none"/>
                    </w:rPr>
                    <w:t>加油损失</w:t>
                  </w:r>
                </w:p>
              </w:tc>
              <w:tc>
                <w:tcPr>
                  <w:tcW w:w="663" w:type="pct"/>
                  <w:vMerge w:val="continue"/>
                  <w:tcBorders>
                    <w:bottom w:val="single" w:color="000000" w:sz="4" w:space="0"/>
                  </w:tcBorders>
                  <w:vAlign w:val="center"/>
                </w:tcPr>
                <w:p w14:paraId="1CBA6B42">
                  <w:pPr>
                    <w:pStyle w:val="30"/>
                    <w:bidi w:val="0"/>
                    <w:rPr>
                      <w:color w:val="auto"/>
                      <w:highlight w:val="none"/>
                    </w:rPr>
                  </w:pPr>
                </w:p>
              </w:tc>
              <w:tc>
                <w:tcPr>
                  <w:tcW w:w="684" w:type="pct"/>
                  <w:vAlign w:val="center"/>
                </w:tcPr>
                <w:p w14:paraId="6F6C9B22">
                  <w:pPr>
                    <w:pStyle w:val="30"/>
                    <w:bidi w:val="0"/>
                    <w:rPr>
                      <w:color w:val="auto"/>
                      <w:highlight w:val="none"/>
                    </w:rPr>
                  </w:pPr>
                  <w:r>
                    <w:rPr>
                      <w:rFonts w:hint="default"/>
                      <w:color w:val="auto"/>
                      <w:highlight w:val="none"/>
                      <w:lang w:val="en-US" w:eastAsia="zh-CN"/>
                    </w:rPr>
                    <w:t>2.49</w:t>
                  </w:r>
                </w:p>
              </w:tc>
              <w:tc>
                <w:tcPr>
                  <w:tcW w:w="683" w:type="pct"/>
                  <w:tcBorders>
                    <w:top w:val="single" w:color="000000" w:sz="4" w:space="0"/>
                    <w:bottom w:val="single" w:color="000000" w:sz="4" w:space="0"/>
                  </w:tcBorders>
                  <w:vAlign w:val="center"/>
                </w:tcPr>
                <w:p w14:paraId="43F30967">
                  <w:pPr>
                    <w:pStyle w:val="30"/>
                    <w:bidi w:val="0"/>
                    <w:rPr>
                      <w:color w:val="auto"/>
                      <w:highlight w:val="none"/>
                    </w:rPr>
                  </w:pPr>
                  <w:r>
                    <w:rPr>
                      <w:rFonts w:hint="default"/>
                      <w:color w:val="auto"/>
                      <w:highlight w:val="none"/>
                      <w:lang w:val="en-US" w:eastAsia="zh-CN"/>
                    </w:rPr>
                    <w:t xml:space="preserve">2.490 </w:t>
                  </w:r>
                </w:p>
              </w:tc>
              <w:tc>
                <w:tcPr>
                  <w:tcW w:w="610" w:type="pct"/>
                  <w:vMerge w:val="continue"/>
                  <w:vAlign w:val="center"/>
                </w:tcPr>
                <w:p w14:paraId="08879D82">
                  <w:pPr>
                    <w:pStyle w:val="30"/>
                    <w:bidi w:val="0"/>
                    <w:rPr>
                      <w:color w:val="auto"/>
                      <w:highlight w:val="none"/>
                    </w:rPr>
                  </w:pPr>
                </w:p>
              </w:tc>
              <w:tc>
                <w:tcPr>
                  <w:tcW w:w="638" w:type="pct"/>
                  <w:vAlign w:val="center"/>
                </w:tcPr>
                <w:p w14:paraId="3A91CC75">
                  <w:pPr>
                    <w:pStyle w:val="30"/>
                    <w:bidi w:val="0"/>
                    <w:rPr>
                      <w:rFonts w:hint="default"/>
                      <w:color w:val="auto"/>
                      <w:highlight w:val="none"/>
                      <w:lang w:val="en-US" w:eastAsia="zh-CN"/>
                    </w:rPr>
                  </w:pPr>
                  <w:r>
                    <w:rPr>
                      <w:rFonts w:hint="default"/>
                      <w:color w:val="auto"/>
                      <w:highlight w:val="none"/>
                      <w:lang w:val="en-US" w:eastAsia="zh-CN"/>
                    </w:rPr>
                    <w:t xml:space="preserve">0.249 </w:t>
                  </w:r>
                </w:p>
              </w:tc>
            </w:tr>
            <w:tr w14:paraId="2E1E51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2E222D04">
                  <w:pPr>
                    <w:pStyle w:val="30"/>
                    <w:rPr>
                      <w:color w:val="auto"/>
                      <w:highlight w:val="none"/>
                    </w:rPr>
                  </w:pPr>
                </w:p>
              </w:tc>
              <w:tc>
                <w:tcPr>
                  <w:tcW w:w="445" w:type="pct"/>
                  <w:vMerge w:val="continue"/>
                  <w:vAlign w:val="center"/>
                </w:tcPr>
                <w:p w14:paraId="28163E74">
                  <w:pPr>
                    <w:pStyle w:val="30"/>
                    <w:rPr>
                      <w:color w:val="auto"/>
                      <w:highlight w:val="none"/>
                    </w:rPr>
                  </w:pPr>
                </w:p>
              </w:tc>
              <w:tc>
                <w:tcPr>
                  <w:tcW w:w="857" w:type="pct"/>
                  <w:vAlign w:val="center"/>
                </w:tcPr>
                <w:p w14:paraId="4A0290FB">
                  <w:pPr>
                    <w:pStyle w:val="30"/>
                    <w:rPr>
                      <w:rFonts w:hint="eastAsia" w:eastAsia="宋体"/>
                      <w:color w:val="auto"/>
                      <w:highlight w:val="none"/>
                      <w:lang w:eastAsia="zh-CN"/>
                    </w:rPr>
                  </w:pPr>
                  <w:r>
                    <w:rPr>
                      <w:rFonts w:hint="eastAsia"/>
                      <w:color w:val="auto"/>
                      <w:highlight w:val="none"/>
                      <w:lang w:eastAsia="zh-CN"/>
                    </w:rPr>
                    <w:t>合计</w:t>
                  </w:r>
                </w:p>
              </w:tc>
              <w:tc>
                <w:tcPr>
                  <w:tcW w:w="663" w:type="pct"/>
                  <w:tcBorders>
                    <w:bottom w:val="single" w:color="000000" w:sz="4" w:space="0"/>
                  </w:tcBorders>
                  <w:vAlign w:val="center"/>
                </w:tcPr>
                <w:p w14:paraId="7214B557">
                  <w:pPr>
                    <w:pStyle w:val="30"/>
                    <w:bidi w:val="0"/>
                    <w:rPr>
                      <w:rFonts w:hint="eastAsia" w:eastAsia="宋体"/>
                      <w:color w:val="auto"/>
                      <w:highlight w:val="none"/>
                      <w:lang w:val="en-US" w:eastAsia="zh-CN"/>
                    </w:rPr>
                  </w:pPr>
                  <w:r>
                    <w:rPr>
                      <w:rFonts w:hint="eastAsia"/>
                      <w:color w:val="auto"/>
                      <w:highlight w:val="none"/>
                      <w:lang w:val="en-US" w:eastAsia="zh-CN"/>
                    </w:rPr>
                    <w:t>/</w:t>
                  </w:r>
                </w:p>
              </w:tc>
              <w:tc>
                <w:tcPr>
                  <w:tcW w:w="684" w:type="pct"/>
                  <w:vAlign w:val="center"/>
                </w:tcPr>
                <w:p w14:paraId="64E3D78F">
                  <w:pPr>
                    <w:pStyle w:val="30"/>
                    <w:bidi w:val="0"/>
                    <w:rPr>
                      <w:rFonts w:hint="default"/>
                      <w:color w:val="auto"/>
                      <w:highlight w:val="none"/>
                      <w:lang w:val="en-US" w:eastAsia="zh-CN"/>
                    </w:rPr>
                  </w:pPr>
                  <w:r>
                    <w:rPr>
                      <w:rFonts w:hint="eastAsia"/>
                      <w:color w:val="auto"/>
                      <w:highlight w:val="none"/>
                      <w:lang w:val="en-US" w:eastAsia="zh-CN"/>
                    </w:rPr>
                    <w:t>/</w:t>
                  </w:r>
                </w:p>
              </w:tc>
              <w:tc>
                <w:tcPr>
                  <w:tcW w:w="683" w:type="pct"/>
                  <w:tcBorders>
                    <w:top w:val="single" w:color="000000" w:sz="4" w:space="0"/>
                    <w:bottom w:val="single" w:color="000000" w:sz="4" w:space="0"/>
                  </w:tcBorders>
                  <w:vAlign w:val="center"/>
                </w:tcPr>
                <w:p w14:paraId="72ACB94D">
                  <w:pPr>
                    <w:pStyle w:val="30"/>
                    <w:bidi w:val="0"/>
                    <w:rPr>
                      <w:rFonts w:hint="default"/>
                      <w:color w:val="auto"/>
                      <w:highlight w:val="none"/>
                      <w:lang w:val="en-US" w:eastAsia="zh-CN"/>
                    </w:rPr>
                  </w:pPr>
                  <w:r>
                    <w:rPr>
                      <w:rFonts w:hint="eastAsia"/>
                      <w:color w:val="auto"/>
                      <w:highlight w:val="none"/>
                      <w:lang w:val="en-US" w:eastAsia="zh-CN"/>
                    </w:rPr>
                    <w:t>4.95</w:t>
                  </w:r>
                </w:p>
              </w:tc>
              <w:tc>
                <w:tcPr>
                  <w:tcW w:w="610" w:type="pct"/>
                  <w:vMerge w:val="continue"/>
                  <w:tcBorders>
                    <w:bottom w:val="single" w:color="000000" w:sz="4" w:space="0"/>
                  </w:tcBorders>
                  <w:vAlign w:val="center"/>
                </w:tcPr>
                <w:p w14:paraId="0EC336FD">
                  <w:pPr>
                    <w:pStyle w:val="30"/>
                    <w:bidi w:val="0"/>
                    <w:rPr>
                      <w:color w:val="auto"/>
                      <w:highlight w:val="none"/>
                    </w:rPr>
                  </w:pPr>
                </w:p>
              </w:tc>
              <w:tc>
                <w:tcPr>
                  <w:tcW w:w="638" w:type="pct"/>
                  <w:vAlign w:val="center"/>
                </w:tcPr>
                <w:p w14:paraId="53D56153">
                  <w:pPr>
                    <w:pStyle w:val="30"/>
                    <w:bidi w:val="0"/>
                    <w:rPr>
                      <w:rFonts w:hint="default"/>
                      <w:color w:val="auto"/>
                      <w:highlight w:val="none"/>
                      <w:lang w:val="en-US" w:eastAsia="zh-CN"/>
                    </w:rPr>
                  </w:pPr>
                  <w:r>
                    <w:rPr>
                      <w:rFonts w:hint="eastAsia"/>
                      <w:color w:val="auto"/>
                      <w:highlight w:val="none"/>
                      <w:lang w:val="en-US" w:eastAsia="zh-CN"/>
                    </w:rPr>
                    <w:t>0.495</w:t>
                  </w:r>
                </w:p>
              </w:tc>
            </w:tr>
            <w:tr w14:paraId="344AE0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01B3D1F3">
                  <w:pPr>
                    <w:pStyle w:val="30"/>
                    <w:rPr>
                      <w:color w:val="auto"/>
                      <w:highlight w:val="none"/>
                    </w:rPr>
                  </w:pPr>
                </w:p>
              </w:tc>
              <w:tc>
                <w:tcPr>
                  <w:tcW w:w="445" w:type="pct"/>
                  <w:vMerge w:val="restart"/>
                  <w:vAlign w:val="center"/>
                </w:tcPr>
                <w:p w14:paraId="0A83B166">
                  <w:pPr>
                    <w:pStyle w:val="30"/>
                    <w:rPr>
                      <w:color w:val="auto"/>
                      <w:highlight w:val="none"/>
                    </w:rPr>
                  </w:pPr>
                  <w:r>
                    <w:rPr>
                      <w:color w:val="auto"/>
                      <w:highlight w:val="none"/>
                    </w:rPr>
                    <w:t>柴油</w:t>
                  </w:r>
                </w:p>
              </w:tc>
              <w:tc>
                <w:tcPr>
                  <w:tcW w:w="857" w:type="pct"/>
                  <w:vAlign w:val="center"/>
                </w:tcPr>
                <w:p w14:paraId="4D9121C1">
                  <w:pPr>
                    <w:pStyle w:val="30"/>
                    <w:rPr>
                      <w:color w:val="auto"/>
                      <w:highlight w:val="none"/>
                    </w:rPr>
                  </w:pPr>
                  <w:r>
                    <w:rPr>
                      <w:color w:val="auto"/>
                      <w:highlight w:val="none"/>
                    </w:rPr>
                    <w:t>储罐小呼吸</w:t>
                  </w:r>
                </w:p>
              </w:tc>
              <w:tc>
                <w:tcPr>
                  <w:tcW w:w="663" w:type="pct"/>
                  <w:vMerge w:val="restart"/>
                  <w:tcBorders>
                    <w:top w:val="single" w:color="000000" w:sz="4" w:space="0"/>
                  </w:tcBorders>
                  <w:vAlign w:val="center"/>
                </w:tcPr>
                <w:p w14:paraId="5FD87C47">
                  <w:pPr>
                    <w:pStyle w:val="30"/>
                    <w:bidi w:val="0"/>
                    <w:rPr>
                      <w:color w:val="auto"/>
                      <w:highlight w:val="none"/>
                    </w:rPr>
                  </w:pPr>
                  <w:r>
                    <w:rPr>
                      <w:rFonts w:hint="default"/>
                      <w:color w:val="auto"/>
                      <w:highlight w:val="none"/>
                      <w:lang w:val="en-US" w:eastAsia="zh-CN"/>
                    </w:rPr>
                    <w:t>3000</w:t>
                  </w:r>
                </w:p>
              </w:tc>
              <w:tc>
                <w:tcPr>
                  <w:tcW w:w="684" w:type="pct"/>
                  <w:vAlign w:val="center"/>
                </w:tcPr>
                <w:p w14:paraId="1DBE3502">
                  <w:pPr>
                    <w:pStyle w:val="30"/>
                    <w:bidi w:val="0"/>
                    <w:rPr>
                      <w:color w:val="auto"/>
                      <w:highlight w:val="none"/>
                    </w:rPr>
                  </w:pPr>
                  <w:r>
                    <w:rPr>
                      <w:rFonts w:hint="default"/>
                      <w:color w:val="auto"/>
                      <w:highlight w:val="none"/>
                      <w:lang w:val="en-US" w:eastAsia="zh-CN"/>
                    </w:rPr>
                    <w:t>/</w:t>
                  </w:r>
                </w:p>
              </w:tc>
              <w:tc>
                <w:tcPr>
                  <w:tcW w:w="683" w:type="pct"/>
                  <w:tcBorders>
                    <w:top w:val="single" w:color="000000" w:sz="4" w:space="0"/>
                  </w:tcBorders>
                  <w:vAlign w:val="center"/>
                </w:tcPr>
                <w:p w14:paraId="52651F56">
                  <w:pPr>
                    <w:pStyle w:val="30"/>
                    <w:bidi w:val="0"/>
                    <w:rPr>
                      <w:color w:val="auto"/>
                      <w:highlight w:val="none"/>
                    </w:rPr>
                  </w:pPr>
                  <w:r>
                    <w:rPr>
                      <w:rFonts w:hint="default"/>
                      <w:color w:val="auto"/>
                      <w:highlight w:val="none"/>
                      <w:lang w:val="en-US" w:eastAsia="zh-CN"/>
                    </w:rPr>
                    <w:t>/</w:t>
                  </w:r>
                </w:p>
              </w:tc>
              <w:tc>
                <w:tcPr>
                  <w:tcW w:w="610" w:type="pct"/>
                  <w:vMerge w:val="restart"/>
                  <w:tcBorders>
                    <w:top w:val="single" w:color="000000" w:sz="4" w:space="0"/>
                  </w:tcBorders>
                  <w:vAlign w:val="center"/>
                </w:tcPr>
                <w:p w14:paraId="77640FD1">
                  <w:pPr>
                    <w:pStyle w:val="30"/>
                    <w:bidi w:val="0"/>
                    <w:rPr>
                      <w:color w:val="auto"/>
                      <w:highlight w:val="none"/>
                    </w:rPr>
                  </w:pPr>
                  <w:r>
                    <w:rPr>
                      <w:rFonts w:hint="default"/>
                      <w:color w:val="auto"/>
                      <w:highlight w:val="none"/>
                      <w:lang w:val="en-US" w:eastAsia="zh-CN"/>
                    </w:rPr>
                    <w:t>/</w:t>
                  </w:r>
                </w:p>
              </w:tc>
              <w:tc>
                <w:tcPr>
                  <w:tcW w:w="638" w:type="pct"/>
                  <w:vAlign w:val="center"/>
                </w:tcPr>
                <w:p w14:paraId="31CF03C1">
                  <w:pPr>
                    <w:pStyle w:val="30"/>
                    <w:bidi w:val="0"/>
                    <w:rPr>
                      <w:color w:val="auto"/>
                      <w:highlight w:val="none"/>
                    </w:rPr>
                  </w:pPr>
                  <w:r>
                    <w:rPr>
                      <w:rFonts w:hint="default"/>
                      <w:color w:val="auto"/>
                      <w:highlight w:val="none"/>
                      <w:lang w:val="en-US" w:eastAsia="zh-CN"/>
                    </w:rPr>
                    <w:t>/</w:t>
                  </w:r>
                </w:p>
              </w:tc>
            </w:tr>
            <w:tr w14:paraId="4FCDF3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252E06E0">
                  <w:pPr>
                    <w:pStyle w:val="30"/>
                    <w:rPr>
                      <w:color w:val="auto"/>
                      <w:highlight w:val="none"/>
                    </w:rPr>
                  </w:pPr>
                </w:p>
              </w:tc>
              <w:tc>
                <w:tcPr>
                  <w:tcW w:w="445" w:type="pct"/>
                  <w:vMerge w:val="continue"/>
                  <w:vAlign w:val="center"/>
                </w:tcPr>
                <w:p w14:paraId="37A7498C">
                  <w:pPr>
                    <w:pStyle w:val="30"/>
                    <w:rPr>
                      <w:color w:val="auto"/>
                      <w:highlight w:val="none"/>
                    </w:rPr>
                  </w:pPr>
                </w:p>
              </w:tc>
              <w:tc>
                <w:tcPr>
                  <w:tcW w:w="857" w:type="pct"/>
                  <w:vAlign w:val="center"/>
                </w:tcPr>
                <w:p w14:paraId="68D6AFFE">
                  <w:pPr>
                    <w:pStyle w:val="30"/>
                    <w:rPr>
                      <w:color w:val="auto"/>
                      <w:highlight w:val="none"/>
                    </w:rPr>
                  </w:pPr>
                  <w:r>
                    <w:rPr>
                      <w:color w:val="auto"/>
                      <w:highlight w:val="none"/>
                    </w:rPr>
                    <w:t>储罐大呼吸</w:t>
                  </w:r>
                </w:p>
              </w:tc>
              <w:tc>
                <w:tcPr>
                  <w:tcW w:w="663" w:type="pct"/>
                  <w:vMerge w:val="continue"/>
                  <w:vAlign w:val="center"/>
                </w:tcPr>
                <w:p w14:paraId="5276D889">
                  <w:pPr>
                    <w:pStyle w:val="30"/>
                    <w:bidi w:val="0"/>
                    <w:rPr>
                      <w:color w:val="auto"/>
                      <w:highlight w:val="none"/>
                    </w:rPr>
                  </w:pPr>
                </w:p>
              </w:tc>
              <w:tc>
                <w:tcPr>
                  <w:tcW w:w="684" w:type="pct"/>
                  <w:vAlign w:val="center"/>
                </w:tcPr>
                <w:p w14:paraId="08FE861D">
                  <w:pPr>
                    <w:pStyle w:val="30"/>
                    <w:bidi w:val="0"/>
                    <w:rPr>
                      <w:color w:val="auto"/>
                      <w:highlight w:val="none"/>
                    </w:rPr>
                  </w:pPr>
                  <w:r>
                    <w:rPr>
                      <w:rFonts w:hint="default"/>
                      <w:color w:val="auto"/>
                      <w:highlight w:val="none"/>
                      <w:lang w:val="en-US" w:eastAsia="zh-CN"/>
                    </w:rPr>
                    <w:t>0.027</w:t>
                  </w:r>
                </w:p>
              </w:tc>
              <w:tc>
                <w:tcPr>
                  <w:tcW w:w="683" w:type="pct"/>
                  <w:tcBorders>
                    <w:top w:val="single" w:color="000000" w:sz="4" w:space="0"/>
                    <w:bottom w:val="single" w:color="000000" w:sz="4" w:space="0"/>
                  </w:tcBorders>
                  <w:vAlign w:val="center"/>
                </w:tcPr>
                <w:p w14:paraId="6D193C95">
                  <w:pPr>
                    <w:pStyle w:val="30"/>
                    <w:bidi w:val="0"/>
                    <w:rPr>
                      <w:color w:val="auto"/>
                      <w:highlight w:val="none"/>
                    </w:rPr>
                  </w:pPr>
                  <w:r>
                    <w:rPr>
                      <w:rFonts w:hint="default"/>
                      <w:color w:val="auto"/>
                      <w:highlight w:val="none"/>
                      <w:lang w:val="en-US" w:eastAsia="zh-CN"/>
                    </w:rPr>
                    <w:t xml:space="preserve">0.081 </w:t>
                  </w:r>
                </w:p>
              </w:tc>
              <w:tc>
                <w:tcPr>
                  <w:tcW w:w="610" w:type="pct"/>
                  <w:vMerge w:val="continue"/>
                  <w:tcBorders>
                    <w:top w:val="single" w:color="000000" w:sz="4" w:space="0"/>
                    <w:bottom w:val="single" w:color="000000" w:sz="4" w:space="0"/>
                  </w:tcBorders>
                  <w:vAlign w:val="center"/>
                </w:tcPr>
                <w:p w14:paraId="2581375F">
                  <w:pPr>
                    <w:pStyle w:val="30"/>
                    <w:bidi w:val="0"/>
                    <w:rPr>
                      <w:color w:val="auto"/>
                      <w:highlight w:val="none"/>
                    </w:rPr>
                  </w:pPr>
                </w:p>
              </w:tc>
              <w:tc>
                <w:tcPr>
                  <w:tcW w:w="638" w:type="pct"/>
                  <w:vAlign w:val="center"/>
                </w:tcPr>
                <w:p w14:paraId="4F43EFFE">
                  <w:pPr>
                    <w:pStyle w:val="30"/>
                    <w:bidi w:val="0"/>
                    <w:rPr>
                      <w:color w:val="auto"/>
                      <w:highlight w:val="none"/>
                    </w:rPr>
                  </w:pPr>
                  <w:r>
                    <w:rPr>
                      <w:rFonts w:hint="default"/>
                      <w:color w:val="auto"/>
                      <w:highlight w:val="none"/>
                      <w:lang w:val="en-US" w:eastAsia="zh-CN"/>
                    </w:rPr>
                    <w:t xml:space="preserve">0.081 </w:t>
                  </w:r>
                </w:p>
              </w:tc>
            </w:tr>
            <w:tr w14:paraId="2DFA35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3E379FE0">
                  <w:pPr>
                    <w:pStyle w:val="30"/>
                    <w:rPr>
                      <w:color w:val="auto"/>
                      <w:highlight w:val="none"/>
                    </w:rPr>
                  </w:pPr>
                </w:p>
              </w:tc>
              <w:tc>
                <w:tcPr>
                  <w:tcW w:w="445" w:type="pct"/>
                  <w:vMerge w:val="continue"/>
                  <w:vAlign w:val="center"/>
                </w:tcPr>
                <w:p w14:paraId="61DBE8E3">
                  <w:pPr>
                    <w:pStyle w:val="30"/>
                    <w:rPr>
                      <w:color w:val="auto"/>
                      <w:highlight w:val="none"/>
                    </w:rPr>
                  </w:pPr>
                </w:p>
              </w:tc>
              <w:tc>
                <w:tcPr>
                  <w:tcW w:w="857" w:type="pct"/>
                  <w:vAlign w:val="center"/>
                </w:tcPr>
                <w:p w14:paraId="649AEE24">
                  <w:pPr>
                    <w:pStyle w:val="30"/>
                    <w:rPr>
                      <w:color w:val="auto"/>
                      <w:highlight w:val="none"/>
                    </w:rPr>
                  </w:pPr>
                  <w:r>
                    <w:rPr>
                      <w:color w:val="auto"/>
                      <w:highlight w:val="none"/>
                    </w:rPr>
                    <w:t>加油损失</w:t>
                  </w:r>
                </w:p>
              </w:tc>
              <w:tc>
                <w:tcPr>
                  <w:tcW w:w="663" w:type="pct"/>
                  <w:vMerge w:val="continue"/>
                  <w:vAlign w:val="center"/>
                </w:tcPr>
                <w:p w14:paraId="422FB51A">
                  <w:pPr>
                    <w:pStyle w:val="30"/>
                    <w:bidi w:val="0"/>
                    <w:rPr>
                      <w:color w:val="auto"/>
                      <w:highlight w:val="none"/>
                    </w:rPr>
                  </w:pPr>
                </w:p>
              </w:tc>
              <w:tc>
                <w:tcPr>
                  <w:tcW w:w="684" w:type="pct"/>
                  <w:vAlign w:val="center"/>
                </w:tcPr>
                <w:p w14:paraId="6FE5A957">
                  <w:pPr>
                    <w:pStyle w:val="30"/>
                    <w:bidi w:val="0"/>
                    <w:rPr>
                      <w:color w:val="auto"/>
                      <w:highlight w:val="none"/>
                    </w:rPr>
                  </w:pPr>
                  <w:r>
                    <w:rPr>
                      <w:rFonts w:hint="default"/>
                      <w:color w:val="auto"/>
                      <w:highlight w:val="none"/>
                      <w:lang w:val="en-US" w:eastAsia="zh-CN"/>
                    </w:rPr>
                    <w:t>0.048</w:t>
                  </w:r>
                </w:p>
              </w:tc>
              <w:tc>
                <w:tcPr>
                  <w:tcW w:w="683" w:type="pct"/>
                  <w:tcBorders>
                    <w:top w:val="single" w:color="000000" w:sz="4" w:space="0"/>
                    <w:bottom w:val="single" w:color="000000" w:sz="4" w:space="0"/>
                  </w:tcBorders>
                  <w:vAlign w:val="center"/>
                </w:tcPr>
                <w:p w14:paraId="097071A9">
                  <w:pPr>
                    <w:pStyle w:val="30"/>
                    <w:bidi w:val="0"/>
                    <w:rPr>
                      <w:color w:val="auto"/>
                      <w:highlight w:val="none"/>
                    </w:rPr>
                  </w:pPr>
                  <w:r>
                    <w:rPr>
                      <w:rFonts w:hint="default"/>
                      <w:color w:val="auto"/>
                      <w:highlight w:val="none"/>
                      <w:lang w:val="en-US" w:eastAsia="zh-CN"/>
                    </w:rPr>
                    <w:t xml:space="preserve">0.144 </w:t>
                  </w:r>
                </w:p>
              </w:tc>
              <w:tc>
                <w:tcPr>
                  <w:tcW w:w="610" w:type="pct"/>
                  <w:vMerge w:val="continue"/>
                  <w:tcBorders>
                    <w:top w:val="single" w:color="000000" w:sz="4" w:space="0"/>
                    <w:bottom w:val="single" w:color="000000" w:sz="4" w:space="0"/>
                  </w:tcBorders>
                  <w:vAlign w:val="center"/>
                </w:tcPr>
                <w:p w14:paraId="7880B796">
                  <w:pPr>
                    <w:pStyle w:val="30"/>
                    <w:bidi w:val="0"/>
                    <w:rPr>
                      <w:color w:val="auto"/>
                      <w:highlight w:val="none"/>
                    </w:rPr>
                  </w:pPr>
                </w:p>
              </w:tc>
              <w:tc>
                <w:tcPr>
                  <w:tcW w:w="638" w:type="pct"/>
                  <w:vAlign w:val="center"/>
                </w:tcPr>
                <w:p w14:paraId="208AA445">
                  <w:pPr>
                    <w:pStyle w:val="30"/>
                    <w:bidi w:val="0"/>
                    <w:rPr>
                      <w:color w:val="auto"/>
                      <w:highlight w:val="none"/>
                    </w:rPr>
                  </w:pPr>
                  <w:r>
                    <w:rPr>
                      <w:rFonts w:hint="default"/>
                      <w:color w:val="auto"/>
                      <w:highlight w:val="none"/>
                      <w:lang w:val="en-US" w:eastAsia="zh-CN"/>
                    </w:rPr>
                    <w:t xml:space="preserve">0.144 </w:t>
                  </w:r>
                </w:p>
              </w:tc>
            </w:tr>
            <w:tr w14:paraId="20B576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6990F918">
                  <w:pPr>
                    <w:pStyle w:val="30"/>
                    <w:rPr>
                      <w:color w:val="auto"/>
                      <w:highlight w:val="none"/>
                    </w:rPr>
                  </w:pPr>
                </w:p>
              </w:tc>
              <w:tc>
                <w:tcPr>
                  <w:tcW w:w="445" w:type="pct"/>
                  <w:vMerge w:val="continue"/>
                  <w:vAlign w:val="center"/>
                </w:tcPr>
                <w:p w14:paraId="5D104BA7">
                  <w:pPr>
                    <w:pStyle w:val="30"/>
                    <w:rPr>
                      <w:color w:val="auto"/>
                      <w:highlight w:val="none"/>
                    </w:rPr>
                  </w:pPr>
                </w:p>
              </w:tc>
              <w:tc>
                <w:tcPr>
                  <w:tcW w:w="857" w:type="pct"/>
                  <w:vAlign w:val="center"/>
                </w:tcPr>
                <w:p w14:paraId="6B25E097">
                  <w:pPr>
                    <w:pStyle w:val="30"/>
                    <w:rPr>
                      <w:rFonts w:hint="eastAsia" w:eastAsia="宋体"/>
                      <w:color w:val="auto"/>
                      <w:highlight w:val="none"/>
                      <w:lang w:eastAsia="zh-CN"/>
                    </w:rPr>
                  </w:pPr>
                  <w:r>
                    <w:rPr>
                      <w:rFonts w:hint="eastAsia"/>
                      <w:color w:val="auto"/>
                      <w:highlight w:val="none"/>
                      <w:lang w:eastAsia="zh-CN"/>
                    </w:rPr>
                    <w:t>合计</w:t>
                  </w:r>
                </w:p>
              </w:tc>
              <w:tc>
                <w:tcPr>
                  <w:tcW w:w="663" w:type="pct"/>
                  <w:vAlign w:val="center"/>
                </w:tcPr>
                <w:p w14:paraId="50C1C1BC">
                  <w:pPr>
                    <w:pStyle w:val="30"/>
                    <w:bidi w:val="0"/>
                    <w:rPr>
                      <w:rFonts w:hint="eastAsia" w:eastAsia="宋体"/>
                      <w:color w:val="auto"/>
                      <w:highlight w:val="none"/>
                      <w:lang w:val="en-US" w:eastAsia="zh-CN"/>
                    </w:rPr>
                  </w:pPr>
                  <w:r>
                    <w:rPr>
                      <w:rFonts w:hint="eastAsia"/>
                      <w:color w:val="auto"/>
                      <w:highlight w:val="none"/>
                      <w:lang w:val="en-US" w:eastAsia="zh-CN"/>
                    </w:rPr>
                    <w:t>/</w:t>
                  </w:r>
                </w:p>
              </w:tc>
              <w:tc>
                <w:tcPr>
                  <w:tcW w:w="684" w:type="pct"/>
                  <w:vAlign w:val="center"/>
                </w:tcPr>
                <w:p w14:paraId="2F93D470">
                  <w:pPr>
                    <w:pStyle w:val="30"/>
                    <w:bidi w:val="0"/>
                    <w:rPr>
                      <w:rFonts w:hint="default"/>
                      <w:color w:val="auto"/>
                      <w:highlight w:val="none"/>
                      <w:lang w:val="en-US" w:eastAsia="zh-CN"/>
                    </w:rPr>
                  </w:pPr>
                  <w:r>
                    <w:rPr>
                      <w:rFonts w:hint="eastAsia"/>
                      <w:color w:val="auto"/>
                      <w:highlight w:val="none"/>
                      <w:lang w:val="en-US" w:eastAsia="zh-CN"/>
                    </w:rPr>
                    <w:t>/</w:t>
                  </w:r>
                </w:p>
              </w:tc>
              <w:tc>
                <w:tcPr>
                  <w:tcW w:w="683" w:type="pct"/>
                  <w:tcBorders>
                    <w:top w:val="single" w:color="000000" w:sz="4" w:space="0"/>
                    <w:bottom w:val="single" w:color="000000" w:sz="4" w:space="0"/>
                  </w:tcBorders>
                  <w:vAlign w:val="center"/>
                </w:tcPr>
                <w:p w14:paraId="06350697">
                  <w:pPr>
                    <w:pStyle w:val="30"/>
                    <w:bidi w:val="0"/>
                    <w:rPr>
                      <w:rFonts w:hint="default"/>
                      <w:color w:val="auto"/>
                      <w:highlight w:val="none"/>
                      <w:lang w:val="en-US" w:eastAsia="zh-CN"/>
                    </w:rPr>
                  </w:pPr>
                  <w:r>
                    <w:rPr>
                      <w:rFonts w:hint="eastAsia"/>
                      <w:color w:val="auto"/>
                      <w:highlight w:val="none"/>
                      <w:lang w:val="en-US" w:eastAsia="zh-CN"/>
                    </w:rPr>
                    <w:t>0.225</w:t>
                  </w:r>
                </w:p>
              </w:tc>
              <w:tc>
                <w:tcPr>
                  <w:tcW w:w="610" w:type="pct"/>
                  <w:tcBorders>
                    <w:top w:val="single" w:color="000000" w:sz="4" w:space="0"/>
                    <w:bottom w:val="single" w:color="000000" w:sz="4" w:space="0"/>
                  </w:tcBorders>
                  <w:vAlign w:val="center"/>
                </w:tcPr>
                <w:p w14:paraId="77FE6885">
                  <w:pPr>
                    <w:pStyle w:val="30"/>
                    <w:bidi w:val="0"/>
                    <w:rPr>
                      <w:rFonts w:hint="eastAsia" w:eastAsia="宋体"/>
                      <w:color w:val="auto"/>
                      <w:highlight w:val="none"/>
                      <w:lang w:val="en-US" w:eastAsia="zh-CN"/>
                    </w:rPr>
                  </w:pPr>
                  <w:r>
                    <w:rPr>
                      <w:rFonts w:hint="eastAsia"/>
                      <w:color w:val="auto"/>
                      <w:highlight w:val="none"/>
                      <w:lang w:val="en-US" w:eastAsia="zh-CN"/>
                    </w:rPr>
                    <w:t>/</w:t>
                  </w:r>
                </w:p>
              </w:tc>
              <w:tc>
                <w:tcPr>
                  <w:tcW w:w="638" w:type="pct"/>
                  <w:vAlign w:val="center"/>
                </w:tcPr>
                <w:p w14:paraId="1689E872">
                  <w:pPr>
                    <w:pStyle w:val="30"/>
                    <w:bidi w:val="0"/>
                    <w:rPr>
                      <w:rFonts w:hint="default"/>
                      <w:color w:val="auto"/>
                      <w:highlight w:val="none"/>
                      <w:lang w:val="en-US" w:eastAsia="zh-CN"/>
                    </w:rPr>
                  </w:pPr>
                  <w:r>
                    <w:rPr>
                      <w:rFonts w:hint="eastAsia"/>
                      <w:color w:val="auto"/>
                      <w:highlight w:val="none"/>
                      <w:lang w:val="en-US" w:eastAsia="zh-CN"/>
                    </w:rPr>
                    <w:t>0.225</w:t>
                  </w:r>
                </w:p>
              </w:tc>
            </w:tr>
            <w:tr w14:paraId="69B271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0" w:type="pct"/>
                  <w:gridSpan w:val="3"/>
                  <w:vAlign w:val="center"/>
                </w:tcPr>
                <w:p w14:paraId="455FD9F8">
                  <w:pPr>
                    <w:pStyle w:val="30"/>
                    <w:rPr>
                      <w:rFonts w:hint="eastAsia" w:eastAsia="宋体"/>
                      <w:color w:val="auto"/>
                      <w:highlight w:val="none"/>
                      <w:lang w:eastAsia="zh-CN"/>
                    </w:rPr>
                  </w:pPr>
                  <w:r>
                    <w:rPr>
                      <w:rFonts w:hint="eastAsia"/>
                      <w:color w:val="auto"/>
                      <w:highlight w:val="none"/>
                      <w:lang w:eastAsia="zh-CN"/>
                    </w:rPr>
                    <w:t>总计</w:t>
                  </w:r>
                </w:p>
              </w:tc>
              <w:tc>
                <w:tcPr>
                  <w:tcW w:w="663" w:type="pct"/>
                  <w:vAlign w:val="center"/>
                </w:tcPr>
                <w:p w14:paraId="6C54F093">
                  <w:pPr>
                    <w:pStyle w:val="30"/>
                    <w:bidi w:val="0"/>
                    <w:rPr>
                      <w:color w:val="auto"/>
                      <w:highlight w:val="none"/>
                    </w:rPr>
                  </w:pPr>
                  <w:r>
                    <w:rPr>
                      <w:rFonts w:hint="default"/>
                      <w:color w:val="auto"/>
                      <w:highlight w:val="none"/>
                      <w:lang w:val="en-US" w:eastAsia="zh-CN"/>
                    </w:rPr>
                    <w:t>/</w:t>
                  </w:r>
                </w:p>
              </w:tc>
              <w:tc>
                <w:tcPr>
                  <w:tcW w:w="684" w:type="pct"/>
                  <w:vAlign w:val="center"/>
                </w:tcPr>
                <w:p w14:paraId="757ED27F">
                  <w:pPr>
                    <w:pStyle w:val="30"/>
                    <w:bidi w:val="0"/>
                    <w:rPr>
                      <w:color w:val="auto"/>
                      <w:highlight w:val="none"/>
                    </w:rPr>
                  </w:pPr>
                  <w:r>
                    <w:rPr>
                      <w:rFonts w:hint="default"/>
                      <w:color w:val="auto"/>
                      <w:highlight w:val="none"/>
                      <w:lang w:val="en-US" w:eastAsia="zh-CN"/>
                    </w:rPr>
                    <w:t>/</w:t>
                  </w:r>
                </w:p>
              </w:tc>
              <w:tc>
                <w:tcPr>
                  <w:tcW w:w="683" w:type="pct"/>
                  <w:vAlign w:val="center"/>
                </w:tcPr>
                <w:p w14:paraId="3CB22CC4">
                  <w:pPr>
                    <w:pStyle w:val="30"/>
                    <w:bidi w:val="0"/>
                    <w:rPr>
                      <w:color w:val="auto"/>
                      <w:highlight w:val="none"/>
                    </w:rPr>
                  </w:pPr>
                  <w:r>
                    <w:rPr>
                      <w:rFonts w:hint="default"/>
                      <w:color w:val="auto"/>
                      <w:highlight w:val="none"/>
                      <w:lang w:val="en-US" w:eastAsia="zh-CN"/>
                    </w:rPr>
                    <w:t xml:space="preserve">5.175 </w:t>
                  </w:r>
                </w:p>
              </w:tc>
              <w:tc>
                <w:tcPr>
                  <w:tcW w:w="610" w:type="pct"/>
                  <w:vAlign w:val="center"/>
                </w:tcPr>
                <w:p w14:paraId="6895A312">
                  <w:pPr>
                    <w:pStyle w:val="30"/>
                    <w:bidi w:val="0"/>
                    <w:rPr>
                      <w:color w:val="auto"/>
                      <w:highlight w:val="none"/>
                    </w:rPr>
                  </w:pPr>
                  <w:r>
                    <w:rPr>
                      <w:rFonts w:hint="default"/>
                      <w:color w:val="auto"/>
                      <w:highlight w:val="none"/>
                      <w:lang w:val="en-US" w:eastAsia="zh-CN"/>
                    </w:rPr>
                    <w:t>/</w:t>
                  </w:r>
                </w:p>
              </w:tc>
              <w:tc>
                <w:tcPr>
                  <w:tcW w:w="638" w:type="pct"/>
                  <w:vAlign w:val="center"/>
                </w:tcPr>
                <w:p w14:paraId="0B8C567A">
                  <w:pPr>
                    <w:pStyle w:val="30"/>
                    <w:bidi w:val="0"/>
                    <w:rPr>
                      <w:rFonts w:hint="default"/>
                      <w:color w:val="auto"/>
                      <w:highlight w:val="none"/>
                      <w:lang w:val="en-US" w:eastAsia="zh-CN"/>
                    </w:rPr>
                  </w:pPr>
                  <w:r>
                    <w:rPr>
                      <w:rFonts w:hint="default"/>
                      <w:color w:val="auto"/>
                      <w:highlight w:val="none"/>
                      <w:lang w:val="en-US" w:eastAsia="zh-CN"/>
                    </w:rPr>
                    <w:t>0.72</w:t>
                  </w:r>
                </w:p>
              </w:tc>
            </w:tr>
          </w:tbl>
          <w:p w14:paraId="0C181E2F">
            <w:pPr>
              <w:ind w:firstLine="480" w:firstLineChars="200"/>
              <w:rPr>
                <w:rFonts w:hint="eastAsia"/>
                <w:color w:val="auto"/>
                <w:kern w:val="0"/>
                <w:highlight w:val="none"/>
                <w:lang w:val="en-US" w:eastAsia="zh-CN"/>
              </w:rPr>
            </w:pPr>
            <w:r>
              <w:rPr>
                <w:color w:val="auto"/>
                <w:highlight w:val="none"/>
              </w:rPr>
              <w:t>根据《加油站大气污染物排放标准》（GB20952-2020），油气经油气回收处理装置处理后通过不低于4m的排气口</w:t>
            </w:r>
            <w:r>
              <w:rPr>
                <w:rFonts w:hint="eastAsia"/>
                <w:color w:val="auto"/>
                <w:highlight w:val="none"/>
                <w:lang w:eastAsia="zh-CN"/>
              </w:rPr>
              <w:t>（</w:t>
            </w:r>
            <w:r>
              <w:rPr>
                <w:rFonts w:hint="eastAsia"/>
                <w:color w:val="auto"/>
                <w:highlight w:val="none"/>
                <w:lang w:val="en-US" w:eastAsia="zh-CN"/>
              </w:rPr>
              <w:t>DA001</w:t>
            </w:r>
            <w:r>
              <w:rPr>
                <w:rFonts w:hint="eastAsia"/>
                <w:color w:val="auto"/>
                <w:highlight w:val="none"/>
                <w:lang w:eastAsia="zh-CN"/>
              </w:rPr>
              <w:t>）</w:t>
            </w:r>
            <w:r>
              <w:rPr>
                <w:color w:val="auto"/>
                <w:highlight w:val="none"/>
              </w:rPr>
              <w:t>排放，从监管及验收考虑，本项目将其列入有组织情况进行统计，实际</w:t>
            </w:r>
            <w:r>
              <w:rPr>
                <w:rFonts w:hint="eastAsia"/>
                <w:color w:val="auto"/>
                <w:highlight w:val="none"/>
                <w:lang w:eastAsia="zh-CN"/>
              </w:rPr>
              <w:t>排放</w:t>
            </w:r>
            <w:r>
              <w:rPr>
                <w:color w:val="auto"/>
                <w:highlight w:val="none"/>
              </w:rPr>
              <w:t>仍为无组织。由上表可知，项目废气主要污染物非甲烷总烃</w:t>
            </w:r>
            <w:r>
              <w:rPr>
                <w:rFonts w:hint="eastAsia"/>
                <w:color w:val="auto"/>
                <w:highlight w:val="none"/>
                <w:lang w:eastAsia="zh-CN"/>
              </w:rPr>
              <w:t>总</w:t>
            </w:r>
            <w:r>
              <w:rPr>
                <w:color w:val="auto"/>
                <w:highlight w:val="none"/>
              </w:rPr>
              <w:t>排放量为</w:t>
            </w:r>
            <w:r>
              <w:rPr>
                <w:rFonts w:hint="eastAsia"/>
                <w:color w:val="auto"/>
                <w:highlight w:val="none"/>
              </w:rPr>
              <w:t>0.</w:t>
            </w:r>
            <w:r>
              <w:rPr>
                <w:rFonts w:hint="eastAsia"/>
                <w:color w:val="auto"/>
                <w:highlight w:val="none"/>
                <w:lang w:val="en-US" w:eastAsia="zh-CN"/>
              </w:rPr>
              <w:t>720</w:t>
            </w:r>
            <w:r>
              <w:rPr>
                <w:color w:val="auto"/>
                <w:highlight w:val="none"/>
              </w:rPr>
              <w:t>t/a。</w:t>
            </w:r>
            <w:r>
              <w:rPr>
                <w:color w:val="auto"/>
                <w:kern w:val="0"/>
                <w:highlight w:val="none"/>
              </w:rPr>
              <w:t>项目</w:t>
            </w:r>
            <w:r>
              <w:rPr>
                <w:rFonts w:hint="eastAsia"/>
                <w:color w:val="auto"/>
                <w:kern w:val="0"/>
                <w:highlight w:val="none"/>
                <w:lang w:eastAsia="zh-CN"/>
              </w:rPr>
              <w:t>内部</w:t>
            </w:r>
            <w:r>
              <w:rPr>
                <w:rFonts w:hint="eastAsia"/>
                <w:color w:val="auto"/>
                <w:kern w:val="0"/>
                <w:highlight w:val="none"/>
              </w:rPr>
              <w:t>综合能源站</w:t>
            </w:r>
            <w:r>
              <w:rPr>
                <w:color w:val="auto"/>
                <w:kern w:val="0"/>
                <w:highlight w:val="none"/>
              </w:rPr>
              <w:t>站址</w:t>
            </w:r>
            <w:r>
              <w:rPr>
                <w:rFonts w:hint="eastAsia"/>
                <w:color w:val="auto"/>
                <w:kern w:val="0"/>
                <w:highlight w:val="none"/>
                <w:lang w:eastAsia="zh-CN"/>
              </w:rPr>
              <w:t>场地</w:t>
            </w:r>
            <w:r>
              <w:rPr>
                <w:color w:val="auto"/>
                <w:kern w:val="0"/>
                <w:highlight w:val="none"/>
              </w:rPr>
              <w:t>开阔，空气流动良好，且经油气回收系统处理后的非甲烷总烃排放量较小，可很快在大气中扩散</w:t>
            </w:r>
            <w:r>
              <w:rPr>
                <w:rFonts w:hint="eastAsia"/>
                <w:color w:val="auto"/>
                <w:kern w:val="0"/>
                <w:highlight w:val="none"/>
                <w:lang w:eastAsia="zh-CN"/>
              </w:rPr>
              <w:t>，</w:t>
            </w:r>
            <w:r>
              <w:rPr>
                <w:rFonts w:hint="eastAsia"/>
                <w:color w:val="auto"/>
                <w:kern w:val="0"/>
                <w:highlight w:val="none"/>
                <w:lang w:val="en-US" w:eastAsia="zh-CN"/>
              </w:rPr>
              <w:t>非甲烷总烃排放</w:t>
            </w:r>
            <w:r>
              <w:rPr>
                <w:color w:val="auto"/>
                <w:kern w:val="0"/>
                <w:highlight w:val="none"/>
              </w:rPr>
              <w:t>可满足《加油站大气污染物排放标准》（GB20952-2020）</w:t>
            </w:r>
            <w:r>
              <w:rPr>
                <w:rFonts w:hint="eastAsia"/>
                <w:color w:val="auto"/>
                <w:kern w:val="0"/>
                <w:highlight w:val="none"/>
                <w:lang w:eastAsia="zh-CN"/>
              </w:rPr>
              <w:t>中</w:t>
            </w:r>
            <w:r>
              <w:rPr>
                <w:color w:val="auto"/>
                <w:kern w:val="0"/>
                <w:highlight w:val="none"/>
              </w:rPr>
              <w:t>排放限值要求。</w:t>
            </w:r>
          </w:p>
          <w:p w14:paraId="54BAAA17">
            <w:pPr>
              <w:bidi w:val="0"/>
              <w:ind w:firstLine="480" w:firstLineChars="20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尿素加注</w:t>
            </w:r>
            <w:r>
              <w:rPr>
                <w:rFonts w:hint="eastAsia"/>
                <w:color w:val="auto"/>
                <w:highlight w:val="none"/>
                <w:lang w:eastAsia="zh-CN"/>
              </w:rPr>
              <w:t>废气</w:t>
            </w:r>
            <w:r>
              <w:rPr>
                <w:rFonts w:hint="eastAsia"/>
                <w:color w:val="auto"/>
                <w:highlight w:val="none"/>
                <w:lang w:val="en-US" w:eastAsia="zh-CN"/>
              </w:rPr>
              <w:t>G2</w:t>
            </w:r>
          </w:p>
          <w:p w14:paraId="49575512">
            <w:pPr>
              <w:bidi w:val="0"/>
              <w:ind w:firstLine="480" w:firstLineChars="200"/>
              <w:rPr>
                <w:rFonts w:hint="eastAsia"/>
                <w:color w:val="auto"/>
                <w:highlight w:val="none"/>
                <w:lang w:eastAsia="zh-CN"/>
              </w:rPr>
            </w:pPr>
            <w:r>
              <w:rPr>
                <w:rFonts w:hint="eastAsia"/>
                <w:color w:val="auto"/>
                <w:highlight w:val="none"/>
              </w:rPr>
              <w:t>本项目配置</w:t>
            </w:r>
            <w:r>
              <w:rPr>
                <w:rFonts w:hint="eastAsia"/>
                <w:color w:val="auto"/>
                <w:highlight w:val="none"/>
                <w:lang w:eastAsia="zh-CN"/>
              </w:rPr>
              <w:t>两</w:t>
            </w:r>
            <w:r>
              <w:rPr>
                <w:rFonts w:hint="eastAsia"/>
                <w:color w:val="auto"/>
                <w:highlight w:val="none"/>
              </w:rPr>
              <w:t>台尿素加注机，为柴油车辆提供尿素加注服务。</w:t>
            </w:r>
            <w:r>
              <w:rPr>
                <w:rFonts w:hint="eastAsia"/>
                <w:color w:val="auto"/>
                <w:highlight w:val="none"/>
                <w:lang w:eastAsia="zh-CN"/>
              </w:rPr>
              <w:t>根据建设单位提供资料，</w:t>
            </w:r>
            <w:r>
              <w:rPr>
                <w:rFonts w:hint="eastAsia"/>
                <w:color w:val="auto"/>
                <w:highlight w:val="none"/>
              </w:rPr>
              <w:t>尿素加注过程会产生</w:t>
            </w:r>
            <w:r>
              <w:rPr>
                <w:rFonts w:hint="eastAsia"/>
                <w:color w:val="auto"/>
                <w:highlight w:val="none"/>
                <w:lang w:val="en-US" w:eastAsia="zh-CN"/>
              </w:rPr>
              <w:t>少量的氨</w:t>
            </w:r>
            <w:r>
              <w:rPr>
                <w:rFonts w:hint="eastAsia"/>
                <w:color w:val="auto"/>
                <w:highlight w:val="none"/>
              </w:rPr>
              <w:t>，呈无组织形式排放，尿素规格为32.5%，年用量为150t，氨占比28%，挥发量约为1%，则氨的排放量为0.137t/a。</w:t>
            </w:r>
          </w:p>
          <w:p w14:paraId="7CC73875">
            <w:pPr>
              <w:ind w:firstLine="480" w:firstLineChars="20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餐饮油烟G</w:t>
            </w:r>
            <w:r>
              <w:rPr>
                <w:rFonts w:hint="eastAsia"/>
                <w:color w:val="auto"/>
                <w:highlight w:val="none"/>
                <w:lang w:val="en-US" w:eastAsia="zh-CN"/>
              </w:rPr>
              <w:t>3</w:t>
            </w:r>
          </w:p>
          <w:p w14:paraId="2CC759CB">
            <w:pPr>
              <w:ind w:firstLine="480" w:firstLineChars="200"/>
              <w:rPr>
                <w:color w:val="auto"/>
                <w:highlight w:val="none"/>
              </w:rPr>
            </w:pPr>
            <w:r>
              <w:rPr>
                <w:rFonts w:hint="eastAsia"/>
                <w:bCs/>
                <w:color w:val="auto"/>
                <w:highlight w:val="none"/>
                <w:lang w:eastAsia="zh-CN"/>
              </w:rPr>
              <w:t>智慧货运服务中心</w:t>
            </w:r>
            <w:r>
              <w:rPr>
                <w:rFonts w:hint="eastAsia"/>
                <w:bCs/>
                <w:color w:val="auto"/>
                <w:highlight w:val="none"/>
              </w:rPr>
              <w:t>一层设置餐饮服务，</w:t>
            </w:r>
            <w:r>
              <w:rPr>
                <w:bCs/>
                <w:color w:val="auto"/>
                <w:highlight w:val="none"/>
              </w:rPr>
              <w:t>每天吃饭人数（含旅客及员工）</w:t>
            </w:r>
            <w:r>
              <w:rPr>
                <w:rFonts w:hint="eastAsia"/>
                <w:bCs/>
                <w:color w:val="auto"/>
                <w:highlight w:val="none"/>
              </w:rPr>
              <w:t>预计</w:t>
            </w:r>
            <w:r>
              <w:rPr>
                <w:rFonts w:hint="eastAsia"/>
                <w:bCs/>
                <w:color w:val="auto"/>
                <w:highlight w:val="none"/>
                <w:lang w:val="en-US" w:eastAsia="zh-CN"/>
              </w:rPr>
              <w:t>300</w:t>
            </w:r>
            <w:r>
              <w:rPr>
                <w:bCs/>
                <w:color w:val="auto"/>
                <w:highlight w:val="none"/>
              </w:rPr>
              <w:t>人，</w:t>
            </w:r>
            <w:r>
              <w:rPr>
                <w:color w:val="auto"/>
                <w:highlight w:val="none"/>
              </w:rPr>
              <w:t>人均食用油日用量约</w:t>
            </w:r>
            <w:r>
              <w:rPr>
                <w:rFonts w:hint="eastAsia"/>
                <w:color w:val="auto"/>
                <w:highlight w:val="none"/>
              </w:rPr>
              <w:t>20</w:t>
            </w:r>
            <w:r>
              <w:rPr>
                <w:color w:val="auto"/>
                <w:highlight w:val="none"/>
              </w:rPr>
              <w:t>g/人</w:t>
            </w:r>
            <w:r>
              <w:rPr>
                <w:rFonts w:hint="eastAsia"/>
                <w:color w:val="auto"/>
                <w:highlight w:val="none"/>
              </w:rPr>
              <w:t>，则</w:t>
            </w:r>
            <w:r>
              <w:rPr>
                <w:color w:val="auto"/>
                <w:highlight w:val="none"/>
              </w:rPr>
              <w:t>食用油消耗量为</w:t>
            </w:r>
            <w:r>
              <w:rPr>
                <w:rFonts w:hint="eastAsia"/>
                <w:color w:val="auto"/>
                <w:highlight w:val="none"/>
                <w:lang w:val="en-US" w:eastAsia="zh-CN"/>
              </w:rPr>
              <w:t>6</w:t>
            </w:r>
            <w:r>
              <w:rPr>
                <w:color w:val="auto"/>
                <w:highlight w:val="none"/>
              </w:rPr>
              <w:t>kg/d</w:t>
            </w:r>
            <w:r>
              <w:rPr>
                <w:rFonts w:hint="eastAsia"/>
                <w:color w:val="auto"/>
                <w:highlight w:val="none"/>
                <w:lang w:eastAsia="zh-CN"/>
              </w:rPr>
              <w:t>。油烟产生量按使用量的</w:t>
            </w:r>
            <w:r>
              <w:rPr>
                <w:rFonts w:hint="eastAsia"/>
                <w:color w:val="auto"/>
                <w:highlight w:val="none"/>
                <w:lang w:val="en-US" w:eastAsia="zh-CN"/>
              </w:rPr>
              <w:t>3%计算，则</w:t>
            </w:r>
            <w:r>
              <w:rPr>
                <w:rFonts w:hint="eastAsia"/>
                <w:color w:val="auto"/>
                <w:highlight w:val="none"/>
              </w:rPr>
              <w:t>餐饮油烟产生量为</w:t>
            </w:r>
            <w:r>
              <w:rPr>
                <w:rFonts w:hint="eastAsia"/>
                <w:color w:val="auto"/>
                <w:highlight w:val="none"/>
                <w:lang w:val="en-US" w:eastAsia="zh-CN"/>
              </w:rPr>
              <w:t>65.7</w:t>
            </w:r>
            <w:r>
              <w:rPr>
                <w:color w:val="auto"/>
                <w:highlight w:val="none"/>
              </w:rPr>
              <w:t>kg/a</w:t>
            </w:r>
            <w:r>
              <w:rPr>
                <w:rFonts w:hint="eastAsia"/>
                <w:color w:val="auto"/>
                <w:highlight w:val="none"/>
              </w:rPr>
              <w:t>，</w:t>
            </w:r>
            <w:r>
              <w:rPr>
                <w:rFonts w:hint="eastAsia"/>
                <w:bCs/>
                <w:color w:val="auto"/>
                <w:highlight w:val="none"/>
              </w:rPr>
              <w:t>厨房拟</w:t>
            </w:r>
            <w:r>
              <w:rPr>
                <w:bCs/>
                <w:color w:val="auto"/>
                <w:highlight w:val="none"/>
              </w:rPr>
              <w:t>设置</w:t>
            </w:r>
            <w:r>
              <w:rPr>
                <w:rFonts w:hint="eastAsia"/>
                <w:bCs/>
                <w:color w:val="auto"/>
                <w:highlight w:val="none"/>
              </w:rPr>
              <w:t>6</w:t>
            </w:r>
            <w:r>
              <w:rPr>
                <w:bCs/>
                <w:color w:val="auto"/>
                <w:highlight w:val="none"/>
              </w:rPr>
              <w:t>个灶头，</w:t>
            </w:r>
            <w:r>
              <w:rPr>
                <w:rFonts w:hint="eastAsia"/>
                <w:color w:val="auto"/>
                <w:kern w:val="0"/>
                <w:highlight w:val="none"/>
              </w:rPr>
              <w:t>设1台总风量为</w:t>
            </w:r>
            <w:r>
              <w:rPr>
                <w:rFonts w:hint="eastAsia"/>
                <w:color w:val="auto"/>
                <w:kern w:val="0"/>
                <w:highlight w:val="none"/>
                <w:lang w:val="en-US" w:eastAsia="zh-CN"/>
              </w:rPr>
              <w:t>4000</w:t>
            </w:r>
            <w:r>
              <w:rPr>
                <w:rFonts w:hint="eastAsia"/>
                <w:color w:val="auto"/>
                <w:kern w:val="0"/>
                <w:highlight w:val="none"/>
              </w:rPr>
              <w:t>m</w:t>
            </w:r>
            <w:r>
              <w:rPr>
                <w:rFonts w:hint="eastAsia"/>
                <w:color w:val="auto"/>
                <w:kern w:val="0"/>
                <w:highlight w:val="none"/>
                <w:vertAlign w:val="superscript"/>
              </w:rPr>
              <w:t>3</w:t>
            </w:r>
            <w:r>
              <w:rPr>
                <w:rFonts w:hint="eastAsia"/>
                <w:color w:val="auto"/>
                <w:kern w:val="0"/>
                <w:highlight w:val="none"/>
              </w:rPr>
              <w:t>/h的油烟净化器，每天运行6小时，油烟废气经过净化效率不低于85%的油烟净化器处理后经专用排气筒排放。采取上述措施，则油烟排放量为</w:t>
            </w:r>
            <w:r>
              <w:rPr>
                <w:rFonts w:hint="eastAsia"/>
                <w:color w:val="auto"/>
                <w:kern w:val="0"/>
                <w:highlight w:val="none"/>
                <w:lang w:val="en-US" w:eastAsia="zh-CN"/>
              </w:rPr>
              <w:t>9.855</w:t>
            </w:r>
            <w:r>
              <w:rPr>
                <w:rFonts w:hint="eastAsia"/>
                <w:color w:val="auto"/>
                <w:kern w:val="0"/>
                <w:highlight w:val="none"/>
              </w:rPr>
              <w:t>kg/a，排放浓度为</w:t>
            </w:r>
            <w:r>
              <w:rPr>
                <w:rFonts w:hint="eastAsia"/>
                <w:color w:val="auto"/>
                <w:kern w:val="0"/>
                <w:highlight w:val="none"/>
                <w:lang w:val="en-US" w:eastAsia="zh-CN"/>
              </w:rPr>
              <w:t>1.125</w:t>
            </w:r>
            <w:r>
              <w:rPr>
                <w:rFonts w:hint="eastAsia"/>
                <w:color w:val="auto"/>
                <w:kern w:val="0"/>
                <w:highlight w:val="none"/>
              </w:rPr>
              <w:t>mg/m</w:t>
            </w:r>
            <w:r>
              <w:rPr>
                <w:rFonts w:hint="eastAsia"/>
                <w:color w:val="auto"/>
                <w:kern w:val="0"/>
                <w:highlight w:val="none"/>
                <w:vertAlign w:val="superscript"/>
              </w:rPr>
              <w:t>3</w:t>
            </w:r>
            <w:r>
              <w:rPr>
                <w:rFonts w:hint="eastAsia"/>
                <w:color w:val="auto"/>
                <w:kern w:val="0"/>
                <w:highlight w:val="none"/>
              </w:rPr>
              <w:t>，达到《饮食业油烟排放标准（试行）》（GB18483-2001）标准中“大型规模”要求，对周围环境影响较小</w:t>
            </w:r>
            <w:r>
              <w:rPr>
                <w:color w:val="auto"/>
                <w:highlight w:val="none"/>
              </w:rPr>
              <w:t>。</w:t>
            </w:r>
          </w:p>
          <w:p w14:paraId="756A0A12">
            <w:pPr>
              <w:ind w:firstLine="480" w:firstLineChars="200"/>
              <w:rPr>
                <w:rFonts w:hint="eastAsia" w:eastAsia="宋体"/>
                <w:color w:val="auto"/>
                <w:kern w:val="0"/>
                <w:highlight w:val="none"/>
                <w:lang w:eastAsia="zh-CN"/>
              </w:rPr>
            </w:pPr>
            <w:r>
              <w:rPr>
                <w:rFonts w:hint="eastAsia"/>
                <w:color w:val="auto"/>
                <w:kern w:val="0"/>
                <w:highlight w:val="none"/>
              </w:rPr>
              <w:t>（</w:t>
            </w:r>
            <w:r>
              <w:rPr>
                <w:rFonts w:hint="eastAsia"/>
                <w:color w:val="auto"/>
                <w:kern w:val="0"/>
                <w:highlight w:val="none"/>
                <w:lang w:val="en-US" w:eastAsia="zh-CN"/>
              </w:rPr>
              <w:t>4</w:t>
            </w:r>
            <w:r>
              <w:rPr>
                <w:rFonts w:hint="eastAsia"/>
                <w:color w:val="auto"/>
                <w:kern w:val="0"/>
                <w:highlight w:val="none"/>
              </w:rPr>
              <w:t>）焊接烟尘G</w:t>
            </w:r>
            <w:r>
              <w:rPr>
                <w:rFonts w:hint="eastAsia"/>
                <w:color w:val="auto"/>
                <w:kern w:val="0"/>
                <w:highlight w:val="none"/>
                <w:lang w:val="en-US" w:eastAsia="zh-CN"/>
              </w:rPr>
              <w:t>4</w:t>
            </w:r>
          </w:p>
          <w:p w14:paraId="4F82C224">
            <w:pPr>
              <w:widowControl/>
              <w:ind w:firstLine="480" w:firstLineChars="200"/>
              <w:jc w:val="left"/>
              <w:rPr>
                <w:color w:val="auto"/>
                <w:highlight w:val="none"/>
              </w:rPr>
            </w:pPr>
            <w:r>
              <w:rPr>
                <w:rFonts w:hint="eastAsia"/>
                <w:color w:val="auto"/>
                <w:highlight w:val="none"/>
              </w:rPr>
              <w:t>车辆维修</w:t>
            </w:r>
            <w:r>
              <w:rPr>
                <w:color w:val="auto"/>
                <w:highlight w:val="none"/>
              </w:rPr>
              <w:t>过程</w:t>
            </w:r>
            <w:r>
              <w:rPr>
                <w:rFonts w:hint="eastAsia"/>
                <w:color w:val="auto"/>
                <w:highlight w:val="none"/>
              </w:rPr>
              <w:t>中少量</w:t>
            </w:r>
            <w:r>
              <w:rPr>
                <w:color w:val="auto"/>
                <w:highlight w:val="none"/>
              </w:rPr>
              <w:t>使用到焊接，焊接过程会产生焊接烟尘，项目采用二氧化碳焊机，采用</w:t>
            </w:r>
            <w:r>
              <w:rPr>
                <w:rFonts w:hint="eastAsia"/>
                <w:color w:val="auto"/>
                <w:highlight w:val="none"/>
                <w:lang w:eastAsia="zh-CN"/>
              </w:rPr>
              <w:t>无铅</w:t>
            </w:r>
            <w:r>
              <w:rPr>
                <w:color w:val="auto"/>
                <w:highlight w:val="none"/>
              </w:rPr>
              <w:t>环保药芯焊丝，焊接烟尘产生量参考</w:t>
            </w:r>
            <w:r>
              <w:rPr>
                <w:rFonts w:hint="eastAsia"/>
                <w:color w:val="auto"/>
                <w:highlight w:val="none"/>
              </w:rPr>
              <w:t>2021年6月11日</w:t>
            </w:r>
            <w:r>
              <w:rPr>
                <w:color w:val="auto"/>
                <w:highlight w:val="none"/>
              </w:rPr>
              <w:t>生态环境部发布的《排放源统计调查产排污核算方法</w:t>
            </w:r>
            <w:r>
              <w:rPr>
                <w:rFonts w:hint="eastAsia"/>
                <w:color w:val="auto"/>
                <w:highlight w:val="none"/>
              </w:rPr>
              <w:t>和</w:t>
            </w:r>
            <w:r>
              <w:rPr>
                <w:color w:val="auto"/>
                <w:highlight w:val="none"/>
              </w:rPr>
              <w:t>系数手册》中的</w:t>
            </w:r>
            <w:r>
              <w:rPr>
                <w:rFonts w:hint="eastAsia"/>
                <w:color w:val="auto"/>
                <w:highlight w:val="none"/>
              </w:rPr>
              <w:t>“</w:t>
            </w:r>
            <w:r>
              <w:rPr>
                <w:color w:val="auto"/>
                <w:highlight w:val="none"/>
              </w:rPr>
              <w:t>432通用设备修理产排系数表09焊接-实芯焊丝中颗粒物的产污系数9.19kg/t-原料，项目CO</w:t>
            </w:r>
            <w:r>
              <w:rPr>
                <w:color w:val="auto"/>
                <w:highlight w:val="none"/>
                <w:vertAlign w:val="subscript"/>
              </w:rPr>
              <w:t>2</w:t>
            </w:r>
            <w:r>
              <w:rPr>
                <w:color w:val="auto"/>
                <w:highlight w:val="none"/>
              </w:rPr>
              <w:t>保护焊焊接过程中焊丝</w:t>
            </w:r>
            <w:r>
              <w:rPr>
                <w:rFonts w:hint="eastAsia"/>
                <w:color w:val="auto"/>
                <w:highlight w:val="none"/>
              </w:rPr>
              <w:t>年</w:t>
            </w:r>
            <w:r>
              <w:rPr>
                <w:color w:val="auto"/>
                <w:highlight w:val="none"/>
              </w:rPr>
              <w:t>用量为</w:t>
            </w:r>
            <w:r>
              <w:rPr>
                <w:rFonts w:hint="eastAsia"/>
                <w:color w:val="auto"/>
                <w:highlight w:val="none"/>
              </w:rPr>
              <w:t>25kg</w:t>
            </w:r>
            <w:r>
              <w:rPr>
                <w:color w:val="auto"/>
                <w:highlight w:val="none"/>
              </w:rPr>
              <w:t>，则焊接烟尘</w:t>
            </w:r>
            <w:r>
              <w:rPr>
                <w:rFonts w:hint="eastAsia"/>
                <w:color w:val="auto"/>
                <w:highlight w:val="none"/>
              </w:rPr>
              <w:t>的产生量为0.23kg/a。</w:t>
            </w:r>
            <w:r>
              <w:rPr>
                <w:rFonts w:hint="eastAsia"/>
                <w:color w:val="auto"/>
                <w:highlight w:val="none"/>
                <w:lang w:eastAsia="zh-CN"/>
              </w:rPr>
              <w:t>焊接过程</w:t>
            </w:r>
            <w:r>
              <w:rPr>
                <w:rFonts w:hint="eastAsia"/>
                <w:color w:val="auto"/>
                <w:highlight w:val="none"/>
              </w:rPr>
              <w:t>产生的颗粒物经移动式焊烟净化器处理后无组织排放，移动式焊烟净化器的效率以</w:t>
            </w:r>
            <w:r>
              <w:rPr>
                <w:rFonts w:hint="eastAsia"/>
                <w:color w:val="auto"/>
                <w:highlight w:val="none"/>
                <w:lang w:val="en-US" w:eastAsia="zh-CN"/>
              </w:rPr>
              <w:t>85</w:t>
            </w:r>
            <w:r>
              <w:rPr>
                <w:rFonts w:hint="eastAsia"/>
                <w:color w:val="auto"/>
                <w:highlight w:val="none"/>
              </w:rPr>
              <w:t>%计，则焊接烟尘排放量为0.0</w:t>
            </w:r>
            <w:r>
              <w:rPr>
                <w:rFonts w:hint="eastAsia"/>
                <w:color w:val="auto"/>
                <w:highlight w:val="none"/>
                <w:lang w:val="en-US" w:eastAsia="zh-CN"/>
              </w:rPr>
              <w:t>34</w:t>
            </w:r>
            <w:r>
              <w:rPr>
                <w:rFonts w:hint="eastAsia"/>
                <w:color w:val="auto"/>
                <w:highlight w:val="none"/>
              </w:rPr>
              <w:t>kg</w:t>
            </w:r>
            <w:r>
              <w:rPr>
                <w:color w:val="auto"/>
                <w:highlight w:val="none"/>
              </w:rPr>
              <w:t>/a</w:t>
            </w:r>
            <w:r>
              <w:rPr>
                <w:rFonts w:hint="eastAsia"/>
                <w:color w:val="auto"/>
                <w:highlight w:val="none"/>
              </w:rPr>
              <w:t>。</w:t>
            </w:r>
          </w:p>
          <w:p w14:paraId="28A025E5">
            <w:pPr>
              <w:ind w:firstLine="480" w:firstLineChars="200"/>
              <w:rPr>
                <w:rFonts w:hint="eastAsia" w:eastAsia="宋体"/>
                <w:color w:val="auto"/>
                <w:highlight w:val="none"/>
                <w:lang w:eastAsia="zh-CN"/>
              </w:rPr>
            </w:pPr>
            <w:r>
              <w:rPr>
                <w:rFonts w:hint="eastAsia"/>
                <w:color w:val="auto"/>
                <w:highlight w:val="none"/>
              </w:rPr>
              <w:t>（</w:t>
            </w:r>
            <w:r>
              <w:rPr>
                <w:rFonts w:hint="eastAsia"/>
                <w:color w:val="auto"/>
                <w:highlight w:val="none"/>
                <w:lang w:val="en-US" w:eastAsia="zh-CN"/>
              </w:rPr>
              <w:t>5</w:t>
            </w:r>
            <w:r>
              <w:rPr>
                <w:rFonts w:hint="eastAsia"/>
                <w:color w:val="auto"/>
                <w:highlight w:val="none"/>
              </w:rPr>
              <w:t>）汽车尾气G</w:t>
            </w:r>
            <w:r>
              <w:rPr>
                <w:rFonts w:hint="eastAsia"/>
                <w:color w:val="auto"/>
                <w:highlight w:val="none"/>
                <w:lang w:val="en-US" w:eastAsia="zh-CN"/>
              </w:rPr>
              <w:t>5</w:t>
            </w:r>
          </w:p>
          <w:p w14:paraId="7680A8C5">
            <w:pPr>
              <w:ind w:firstLine="480" w:firstLineChars="200"/>
              <w:rPr>
                <w:color w:val="auto"/>
                <w:highlight w:val="none"/>
              </w:rPr>
            </w:pPr>
            <w:r>
              <w:rPr>
                <w:rFonts w:hint="eastAsia"/>
                <w:color w:val="auto"/>
                <w:highlight w:val="none"/>
              </w:rPr>
              <w:t>本项目主要为通行车辆服务，</w:t>
            </w:r>
            <w:r>
              <w:rPr>
                <w:rFonts w:hint="eastAsia"/>
                <w:color w:val="auto"/>
                <w:highlight w:val="none"/>
                <w:lang w:eastAsia="zh-CN"/>
              </w:rPr>
              <w:t>进出车辆</w:t>
            </w:r>
            <w:r>
              <w:rPr>
                <w:rFonts w:hint="eastAsia"/>
                <w:color w:val="auto"/>
                <w:highlight w:val="none"/>
              </w:rPr>
              <w:t>会产生少量尾气，尾气中主要污染物为</w:t>
            </w:r>
            <w:r>
              <w:rPr>
                <w:color w:val="auto"/>
                <w:highlight w:val="none"/>
              </w:rPr>
              <w:t>CO、SO</w:t>
            </w:r>
            <w:r>
              <w:rPr>
                <w:color w:val="auto"/>
                <w:highlight w:val="none"/>
                <w:vertAlign w:val="subscript"/>
              </w:rPr>
              <w:t>2</w:t>
            </w:r>
            <w:r>
              <w:rPr>
                <w:color w:val="auto"/>
                <w:highlight w:val="none"/>
              </w:rPr>
              <w:t>、THC、NO</w:t>
            </w:r>
            <w:r>
              <w:rPr>
                <w:color w:val="auto"/>
                <w:highlight w:val="none"/>
                <w:vertAlign w:val="subscript"/>
              </w:rPr>
              <w:t>x</w:t>
            </w:r>
            <w:r>
              <w:rPr>
                <w:color w:val="auto"/>
                <w:highlight w:val="none"/>
              </w:rPr>
              <w:t>，呈无组织排放</w:t>
            </w:r>
            <w:r>
              <w:rPr>
                <w:rFonts w:hint="eastAsia"/>
                <w:color w:val="auto"/>
                <w:highlight w:val="none"/>
              </w:rPr>
              <w:t>。停车场所设泊车位较多，四周建设绿化带。汽车停留时间短，且项目周边场地较为平整开阔，利于汽车尾气的稀释扩散。</w:t>
            </w:r>
            <w:r>
              <w:rPr>
                <w:rFonts w:hint="eastAsia"/>
                <w:color w:val="auto"/>
                <w:highlight w:val="none"/>
                <w:lang w:val="en-US" w:eastAsia="zh-CN"/>
              </w:rPr>
              <w:t>同时汽车尾气</w:t>
            </w:r>
            <w:r>
              <w:rPr>
                <w:rFonts w:hint="eastAsia"/>
                <w:color w:val="auto"/>
                <w:highlight w:val="none"/>
              </w:rPr>
              <w:t>污染物经过大气稀释扩散及周边绿化的吸附</w:t>
            </w:r>
            <w:r>
              <w:rPr>
                <w:rFonts w:hint="eastAsia"/>
                <w:color w:val="auto"/>
                <w:highlight w:val="none"/>
                <w:lang w:val="en-US" w:eastAsia="zh-CN"/>
              </w:rPr>
              <w:t>后</w:t>
            </w:r>
            <w:r>
              <w:rPr>
                <w:rFonts w:hint="eastAsia"/>
                <w:color w:val="auto"/>
                <w:highlight w:val="none"/>
              </w:rPr>
              <w:t>，对周边大气环境影响较小。</w:t>
            </w:r>
          </w:p>
          <w:p w14:paraId="0005538A">
            <w:pPr>
              <w:ind w:firstLine="480" w:firstLineChars="200"/>
              <w:rPr>
                <w:color w:val="auto"/>
                <w:highlight w:val="none"/>
              </w:rPr>
            </w:pPr>
            <w:r>
              <w:rPr>
                <w:rFonts w:hint="eastAsia"/>
                <w:color w:val="auto"/>
                <w:highlight w:val="none"/>
              </w:rPr>
              <w:t>2、废气非正常工况分析</w:t>
            </w:r>
          </w:p>
          <w:p w14:paraId="47B4B762">
            <w:pPr>
              <w:autoSpaceDE w:val="0"/>
              <w:autoSpaceDN w:val="0"/>
              <w:snapToGrid w:val="0"/>
              <w:ind w:firstLine="480"/>
              <w:rPr>
                <w:bCs/>
                <w:color w:val="auto"/>
                <w:highlight w:val="none"/>
              </w:rPr>
            </w:pPr>
            <w:r>
              <w:rPr>
                <w:rFonts w:hint="eastAsia"/>
                <w:bCs/>
                <w:color w:val="auto"/>
                <w:highlight w:val="none"/>
              </w:rPr>
              <w:t>本项目非正常工况主要考虑油气回收系统完全失效的情况，本次评价按最不利的情况考虑，即废气处理设施完全失效，处理效率为0的情况。根据工程分析，非正常工况下废气</w:t>
            </w:r>
            <w:r>
              <w:rPr>
                <w:bCs/>
                <w:color w:val="auto"/>
                <w:highlight w:val="none"/>
              </w:rPr>
              <w:t>排放情况见</w:t>
            </w:r>
            <w:r>
              <w:rPr>
                <w:rFonts w:hint="eastAsia"/>
                <w:bCs/>
                <w:color w:val="auto"/>
                <w:highlight w:val="none"/>
              </w:rPr>
              <w:t>下表</w:t>
            </w:r>
            <w:r>
              <w:rPr>
                <w:bCs/>
                <w:color w:val="auto"/>
                <w:highlight w:val="none"/>
              </w:rPr>
              <w:t>。</w:t>
            </w:r>
          </w:p>
          <w:p w14:paraId="010C6667">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 xml:space="preserve"> </w:t>
            </w:r>
            <w:r>
              <w:rPr>
                <w:color w:val="auto"/>
                <w:kern w:val="0"/>
                <w:szCs w:val="18"/>
                <w:highlight w:val="none"/>
              </w:rPr>
              <w:t>非正常排放情况项目废气排放情况表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32"/>
              <w:gridCol w:w="732"/>
              <w:gridCol w:w="733"/>
              <w:gridCol w:w="897"/>
              <w:gridCol w:w="733"/>
              <w:gridCol w:w="733"/>
              <w:gridCol w:w="1153"/>
              <w:gridCol w:w="994"/>
              <w:gridCol w:w="897"/>
            </w:tblGrid>
            <w:tr w14:paraId="76A6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Merge w:val="restart"/>
                  <w:vAlign w:val="center"/>
                </w:tcPr>
                <w:p w14:paraId="1806FB98">
                  <w:pPr>
                    <w:pStyle w:val="30"/>
                    <w:rPr>
                      <w:color w:val="auto"/>
                      <w:highlight w:val="none"/>
                    </w:rPr>
                  </w:pPr>
                  <w:r>
                    <w:rPr>
                      <w:color w:val="auto"/>
                      <w:highlight w:val="none"/>
                    </w:rPr>
                    <w:t>项目</w:t>
                  </w:r>
                </w:p>
              </w:tc>
              <w:tc>
                <w:tcPr>
                  <w:tcW w:w="340" w:type="dxa"/>
                  <w:vMerge w:val="restart"/>
                  <w:vAlign w:val="center"/>
                </w:tcPr>
                <w:p w14:paraId="774FE8D9">
                  <w:pPr>
                    <w:pStyle w:val="30"/>
                    <w:rPr>
                      <w:color w:val="auto"/>
                      <w:highlight w:val="none"/>
                    </w:rPr>
                  </w:pPr>
                  <w:r>
                    <w:rPr>
                      <w:color w:val="auto"/>
                      <w:highlight w:val="none"/>
                    </w:rPr>
                    <w:t>产排污环节</w:t>
                  </w:r>
                </w:p>
              </w:tc>
              <w:tc>
                <w:tcPr>
                  <w:tcW w:w="340" w:type="dxa"/>
                  <w:vMerge w:val="restart"/>
                  <w:vAlign w:val="center"/>
                </w:tcPr>
                <w:p w14:paraId="2CDDAAFA">
                  <w:pPr>
                    <w:pStyle w:val="30"/>
                    <w:rPr>
                      <w:color w:val="auto"/>
                      <w:highlight w:val="none"/>
                    </w:rPr>
                  </w:pPr>
                  <w:r>
                    <w:rPr>
                      <w:color w:val="auto"/>
                      <w:highlight w:val="none"/>
                    </w:rPr>
                    <w:t>污染因子</w:t>
                  </w:r>
                </w:p>
              </w:tc>
              <w:tc>
                <w:tcPr>
                  <w:tcW w:w="340" w:type="dxa"/>
                  <w:vMerge w:val="restart"/>
                  <w:vAlign w:val="center"/>
                </w:tcPr>
                <w:p w14:paraId="119E44F5">
                  <w:pPr>
                    <w:pStyle w:val="30"/>
                    <w:rPr>
                      <w:color w:val="auto"/>
                      <w:highlight w:val="none"/>
                    </w:rPr>
                  </w:pPr>
                  <w:r>
                    <w:rPr>
                      <w:color w:val="auto"/>
                      <w:highlight w:val="none"/>
                    </w:rPr>
                    <w:t>非正常排放原因</w:t>
                  </w:r>
                </w:p>
              </w:tc>
              <w:tc>
                <w:tcPr>
                  <w:tcW w:w="340" w:type="dxa"/>
                  <w:vMerge w:val="restart"/>
                  <w:vAlign w:val="center"/>
                </w:tcPr>
                <w:p w14:paraId="01F35250">
                  <w:pPr>
                    <w:pStyle w:val="30"/>
                    <w:rPr>
                      <w:color w:val="auto"/>
                      <w:highlight w:val="none"/>
                    </w:rPr>
                  </w:pPr>
                  <w:r>
                    <w:rPr>
                      <w:color w:val="auto"/>
                      <w:highlight w:val="none"/>
                    </w:rPr>
                    <w:t>频次</w:t>
                  </w:r>
                </w:p>
              </w:tc>
              <w:tc>
                <w:tcPr>
                  <w:tcW w:w="340" w:type="dxa"/>
                  <w:vMerge w:val="restart"/>
                  <w:vAlign w:val="center"/>
                </w:tcPr>
                <w:p w14:paraId="34019475">
                  <w:pPr>
                    <w:pStyle w:val="30"/>
                    <w:rPr>
                      <w:color w:val="auto"/>
                      <w:highlight w:val="none"/>
                    </w:rPr>
                  </w:pPr>
                  <w:r>
                    <w:rPr>
                      <w:color w:val="auto"/>
                      <w:highlight w:val="none"/>
                    </w:rPr>
                    <w:t>持续时间</w:t>
                  </w:r>
                </w:p>
              </w:tc>
              <w:tc>
                <w:tcPr>
                  <w:tcW w:w="340" w:type="dxa"/>
                  <w:gridSpan w:val="2"/>
                  <w:vAlign w:val="center"/>
                </w:tcPr>
                <w:p w14:paraId="4DA046F3">
                  <w:pPr>
                    <w:pStyle w:val="30"/>
                    <w:rPr>
                      <w:color w:val="auto"/>
                      <w:highlight w:val="none"/>
                    </w:rPr>
                  </w:pPr>
                  <w:r>
                    <w:rPr>
                      <w:color w:val="auto"/>
                      <w:highlight w:val="none"/>
                    </w:rPr>
                    <w:t>排放情况</w:t>
                  </w:r>
                </w:p>
              </w:tc>
              <w:tc>
                <w:tcPr>
                  <w:tcW w:w="340" w:type="dxa"/>
                  <w:vMerge w:val="restart"/>
                  <w:vAlign w:val="center"/>
                </w:tcPr>
                <w:p w14:paraId="5219D5DB">
                  <w:pPr>
                    <w:pStyle w:val="30"/>
                    <w:rPr>
                      <w:color w:val="auto"/>
                      <w:highlight w:val="none"/>
                    </w:rPr>
                  </w:pPr>
                  <w:r>
                    <w:rPr>
                      <w:color w:val="auto"/>
                      <w:highlight w:val="none"/>
                    </w:rPr>
                    <w:t>控制措施</w:t>
                  </w:r>
                </w:p>
              </w:tc>
            </w:tr>
            <w:tr w14:paraId="0394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Merge w:val="continue"/>
                  <w:vAlign w:val="center"/>
                </w:tcPr>
                <w:p w14:paraId="7DC7529B">
                  <w:pPr>
                    <w:pStyle w:val="30"/>
                    <w:rPr>
                      <w:color w:val="auto"/>
                      <w:highlight w:val="none"/>
                    </w:rPr>
                  </w:pPr>
                </w:p>
              </w:tc>
              <w:tc>
                <w:tcPr>
                  <w:tcW w:w="340" w:type="dxa"/>
                  <w:vMerge w:val="continue"/>
                  <w:vAlign w:val="center"/>
                </w:tcPr>
                <w:p w14:paraId="1C8BD40F">
                  <w:pPr>
                    <w:pStyle w:val="30"/>
                    <w:rPr>
                      <w:color w:val="auto"/>
                      <w:highlight w:val="none"/>
                    </w:rPr>
                  </w:pPr>
                </w:p>
              </w:tc>
              <w:tc>
                <w:tcPr>
                  <w:tcW w:w="340" w:type="dxa"/>
                  <w:vMerge w:val="continue"/>
                  <w:vAlign w:val="center"/>
                </w:tcPr>
                <w:p w14:paraId="0F908573">
                  <w:pPr>
                    <w:pStyle w:val="30"/>
                    <w:rPr>
                      <w:color w:val="auto"/>
                      <w:highlight w:val="none"/>
                    </w:rPr>
                  </w:pPr>
                </w:p>
              </w:tc>
              <w:tc>
                <w:tcPr>
                  <w:tcW w:w="340" w:type="dxa"/>
                  <w:vMerge w:val="continue"/>
                  <w:vAlign w:val="center"/>
                </w:tcPr>
                <w:p w14:paraId="40291197">
                  <w:pPr>
                    <w:pStyle w:val="30"/>
                    <w:rPr>
                      <w:color w:val="auto"/>
                      <w:highlight w:val="none"/>
                    </w:rPr>
                  </w:pPr>
                </w:p>
              </w:tc>
              <w:tc>
                <w:tcPr>
                  <w:tcW w:w="340" w:type="dxa"/>
                  <w:vMerge w:val="continue"/>
                  <w:vAlign w:val="center"/>
                </w:tcPr>
                <w:p w14:paraId="78EE97D8">
                  <w:pPr>
                    <w:pStyle w:val="30"/>
                    <w:rPr>
                      <w:color w:val="auto"/>
                      <w:highlight w:val="none"/>
                    </w:rPr>
                  </w:pPr>
                </w:p>
              </w:tc>
              <w:tc>
                <w:tcPr>
                  <w:tcW w:w="340" w:type="dxa"/>
                  <w:vMerge w:val="continue"/>
                  <w:vAlign w:val="center"/>
                </w:tcPr>
                <w:p w14:paraId="1323C8E6">
                  <w:pPr>
                    <w:pStyle w:val="30"/>
                    <w:rPr>
                      <w:color w:val="auto"/>
                      <w:highlight w:val="none"/>
                    </w:rPr>
                  </w:pPr>
                </w:p>
              </w:tc>
              <w:tc>
                <w:tcPr>
                  <w:tcW w:w="340" w:type="dxa"/>
                  <w:vAlign w:val="center"/>
                </w:tcPr>
                <w:p w14:paraId="2E0E65AE">
                  <w:pPr>
                    <w:pStyle w:val="30"/>
                    <w:rPr>
                      <w:color w:val="auto"/>
                      <w:highlight w:val="none"/>
                    </w:rPr>
                  </w:pPr>
                  <w:r>
                    <w:rPr>
                      <w:color w:val="auto"/>
                      <w:highlight w:val="none"/>
                    </w:rPr>
                    <w:t>排放浓度mg/m</w:t>
                  </w:r>
                  <w:r>
                    <w:rPr>
                      <w:color w:val="auto"/>
                      <w:highlight w:val="none"/>
                      <w:vertAlign w:val="superscript"/>
                    </w:rPr>
                    <w:t>3</w:t>
                  </w:r>
                </w:p>
              </w:tc>
              <w:tc>
                <w:tcPr>
                  <w:tcW w:w="340" w:type="dxa"/>
                  <w:vAlign w:val="center"/>
                </w:tcPr>
                <w:p w14:paraId="5A56D832">
                  <w:pPr>
                    <w:pStyle w:val="30"/>
                    <w:rPr>
                      <w:color w:val="auto"/>
                      <w:highlight w:val="none"/>
                    </w:rPr>
                  </w:pPr>
                  <w:r>
                    <w:rPr>
                      <w:color w:val="auto"/>
                      <w:highlight w:val="none"/>
                    </w:rPr>
                    <w:t>排放速率kg/h</w:t>
                  </w:r>
                </w:p>
              </w:tc>
              <w:tc>
                <w:tcPr>
                  <w:tcW w:w="340" w:type="dxa"/>
                  <w:vMerge w:val="continue"/>
                  <w:vAlign w:val="center"/>
                </w:tcPr>
                <w:p w14:paraId="084E6759">
                  <w:pPr>
                    <w:pStyle w:val="30"/>
                    <w:rPr>
                      <w:color w:val="auto"/>
                      <w:highlight w:val="none"/>
                    </w:rPr>
                  </w:pPr>
                </w:p>
              </w:tc>
            </w:tr>
            <w:tr w14:paraId="7E6B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2" w:hRule="atLeast"/>
                <w:jc w:val="center"/>
              </w:trPr>
              <w:tc>
                <w:tcPr>
                  <w:tcW w:w="340" w:type="dxa"/>
                  <w:vMerge w:val="restart"/>
                  <w:vAlign w:val="center"/>
                </w:tcPr>
                <w:p w14:paraId="177796A0">
                  <w:pPr>
                    <w:pStyle w:val="30"/>
                    <w:rPr>
                      <w:color w:val="auto"/>
                      <w:highlight w:val="none"/>
                    </w:rPr>
                  </w:pPr>
                  <w:r>
                    <w:rPr>
                      <w:rFonts w:hint="eastAsia"/>
                      <w:color w:val="auto"/>
                      <w:highlight w:val="none"/>
                    </w:rPr>
                    <w:t>加油站</w:t>
                  </w:r>
                </w:p>
              </w:tc>
              <w:tc>
                <w:tcPr>
                  <w:tcW w:w="340" w:type="dxa"/>
                  <w:vAlign w:val="center"/>
                </w:tcPr>
                <w:p w14:paraId="6A9CABE6">
                  <w:pPr>
                    <w:pStyle w:val="30"/>
                    <w:rPr>
                      <w:color w:val="auto"/>
                      <w:highlight w:val="none"/>
                    </w:rPr>
                  </w:pPr>
                  <w:r>
                    <w:rPr>
                      <w:color w:val="auto"/>
                      <w:highlight w:val="none"/>
                    </w:rPr>
                    <w:t>加油</w:t>
                  </w:r>
                </w:p>
              </w:tc>
              <w:tc>
                <w:tcPr>
                  <w:tcW w:w="340" w:type="dxa"/>
                  <w:vAlign w:val="center"/>
                </w:tcPr>
                <w:p w14:paraId="497E3A32">
                  <w:pPr>
                    <w:pStyle w:val="30"/>
                    <w:rPr>
                      <w:color w:val="auto"/>
                      <w:highlight w:val="none"/>
                    </w:rPr>
                  </w:pPr>
                  <w:r>
                    <w:rPr>
                      <w:color w:val="auto"/>
                      <w:highlight w:val="none"/>
                    </w:rPr>
                    <w:t>非甲烷总烃</w:t>
                  </w:r>
                </w:p>
              </w:tc>
              <w:tc>
                <w:tcPr>
                  <w:tcW w:w="340" w:type="dxa"/>
                  <w:vMerge w:val="restart"/>
                  <w:vAlign w:val="center"/>
                </w:tcPr>
                <w:p w14:paraId="73A2BC5A">
                  <w:pPr>
                    <w:pStyle w:val="30"/>
                    <w:rPr>
                      <w:color w:val="auto"/>
                      <w:highlight w:val="none"/>
                    </w:rPr>
                  </w:pPr>
                  <w:r>
                    <w:rPr>
                      <w:color w:val="auto"/>
                      <w:highlight w:val="none"/>
                    </w:rPr>
                    <w:t>油气回收系统发生故障，回收效率为0</w:t>
                  </w:r>
                </w:p>
              </w:tc>
              <w:tc>
                <w:tcPr>
                  <w:tcW w:w="340" w:type="dxa"/>
                  <w:vAlign w:val="center"/>
                </w:tcPr>
                <w:p w14:paraId="723250C9">
                  <w:pPr>
                    <w:pStyle w:val="30"/>
                    <w:rPr>
                      <w:color w:val="auto"/>
                      <w:highlight w:val="none"/>
                    </w:rPr>
                  </w:pPr>
                  <w:r>
                    <w:rPr>
                      <w:color w:val="auto"/>
                      <w:highlight w:val="none"/>
                    </w:rPr>
                    <w:t>1次/a</w:t>
                  </w:r>
                </w:p>
              </w:tc>
              <w:tc>
                <w:tcPr>
                  <w:tcW w:w="340" w:type="dxa"/>
                  <w:vAlign w:val="center"/>
                </w:tcPr>
                <w:p w14:paraId="07044E7F">
                  <w:pPr>
                    <w:pStyle w:val="30"/>
                    <w:rPr>
                      <w:color w:val="auto"/>
                      <w:highlight w:val="none"/>
                    </w:rPr>
                  </w:pPr>
                  <w:r>
                    <w:rPr>
                      <w:color w:val="auto"/>
                      <w:highlight w:val="none"/>
                    </w:rPr>
                    <w:t>1h/次</w:t>
                  </w:r>
                </w:p>
              </w:tc>
              <w:tc>
                <w:tcPr>
                  <w:tcW w:w="340" w:type="dxa"/>
                  <w:vMerge w:val="restart"/>
                  <w:vAlign w:val="center"/>
                </w:tcPr>
                <w:p w14:paraId="0A7EAC58">
                  <w:pPr>
                    <w:pStyle w:val="30"/>
                    <w:rPr>
                      <w:color w:val="auto"/>
                      <w:highlight w:val="none"/>
                    </w:rPr>
                  </w:pPr>
                  <w:r>
                    <w:rPr>
                      <w:color w:val="auto"/>
                      <w:highlight w:val="none"/>
                    </w:rPr>
                    <w:t>/</w:t>
                  </w:r>
                </w:p>
              </w:tc>
              <w:tc>
                <w:tcPr>
                  <w:tcW w:w="340" w:type="dxa"/>
                  <w:vMerge w:val="restart"/>
                  <w:vAlign w:val="center"/>
                </w:tcPr>
                <w:p w14:paraId="67AFCBC7">
                  <w:pPr>
                    <w:pStyle w:val="30"/>
                    <w:rPr>
                      <w:rFonts w:hint="default" w:eastAsia="宋体"/>
                      <w:color w:val="auto"/>
                      <w:highlight w:val="none"/>
                      <w:lang w:val="en-US" w:eastAsia="zh-CN"/>
                    </w:rPr>
                  </w:pPr>
                  <w:r>
                    <w:rPr>
                      <w:rFonts w:hint="eastAsia"/>
                      <w:color w:val="auto"/>
                      <w:highlight w:val="none"/>
                      <w:lang w:val="en-US" w:eastAsia="zh-CN"/>
                    </w:rPr>
                    <w:t>0.591</w:t>
                  </w:r>
                </w:p>
              </w:tc>
              <w:tc>
                <w:tcPr>
                  <w:tcW w:w="340" w:type="dxa"/>
                  <w:vMerge w:val="restart"/>
                  <w:vAlign w:val="center"/>
                </w:tcPr>
                <w:p w14:paraId="6C5926F3">
                  <w:pPr>
                    <w:pStyle w:val="30"/>
                    <w:rPr>
                      <w:rFonts w:hint="eastAsia" w:eastAsia="宋体"/>
                      <w:color w:val="auto"/>
                      <w:highlight w:val="none"/>
                      <w:lang w:eastAsia="zh-CN"/>
                    </w:rPr>
                  </w:pPr>
                  <w:r>
                    <w:rPr>
                      <w:color w:val="auto"/>
                      <w:highlight w:val="none"/>
                    </w:rPr>
                    <w:t>企业应加强管理，一旦废气治理系统故障，立即停产检修，防止事故废气排放</w:t>
                  </w:r>
                  <w:r>
                    <w:rPr>
                      <w:rFonts w:hint="eastAsia"/>
                      <w:color w:val="auto"/>
                      <w:highlight w:val="none"/>
                      <w:lang w:eastAsia="zh-CN"/>
                    </w:rPr>
                    <w:t>。</w:t>
                  </w:r>
                </w:p>
              </w:tc>
            </w:tr>
            <w:tr w14:paraId="615A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Merge w:val="continue"/>
                  <w:vAlign w:val="center"/>
                </w:tcPr>
                <w:p w14:paraId="7C897FC7">
                  <w:pPr>
                    <w:pStyle w:val="30"/>
                    <w:rPr>
                      <w:color w:val="auto"/>
                      <w:highlight w:val="none"/>
                    </w:rPr>
                  </w:pPr>
                </w:p>
              </w:tc>
              <w:tc>
                <w:tcPr>
                  <w:tcW w:w="340" w:type="dxa"/>
                  <w:vAlign w:val="center"/>
                </w:tcPr>
                <w:p w14:paraId="68D6272A">
                  <w:pPr>
                    <w:pStyle w:val="30"/>
                    <w:rPr>
                      <w:color w:val="auto"/>
                      <w:highlight w:val="none"/>
                    </w:rPr>
                  </w:pPr>
                  <w:r>
                    <w:rPr>
                      <w:color w:val="auto"/>
                      <w:highlight w:val="none"/>
                    </w:rPr>
                    <w:t>汽油卸油</w:t>
                  </w:r>
                </w:p>
              </w:tc>
              <w:tc>
                <w:tcPr>
                  <w:tcW w:w="340" w:type="dxa"/>
                  <w:vAlign w:val="center"/>
                </w:tcPr>
                <w:p w14:paraId="59F5D4CA">
                  <w:pPr>
                    <w:pStyle w:val="30"/>
                    <w:rPr>
                      <w:color w:val="auto"/>
                      <w:highlight w:val="none"/>
                    </w:rPr>
                  </w:pPr>
                  <w:r>
                    <w:rPr>
                      <w:color w:val="auto"/>
                      <w:highlight w:val="none"/>
                    </w:rPr>
                    <w:t>非甲烷总烃</w:t>
                  </w:r>
                </w:p>
              </w:tc>
              <w:tc>
                <w:tcPr>
                  <w:tcW w:w="340" w:type="dxa"/>
                  <w:vMerge w:val="continue"/>
                  <w:vAlign w:val="center"/>
                </w:tcPr>
                <w:p w14:paraId="5663E0F0">
                  <w:pPr>
                    <w:pStyle w:val="30"/>
                    <w:rPr>
                      <w:color w:val="auto"/>
                      <w:highlight w:val="none"/>
                    </w:rPr>
                  </w:pPr>
                </w:p>
              </w:tc>
              <w:tc>
                <w:tcPr>
                  <w:tcW w:w="340" w:type="dxa"/>
                  <w:vAlign w:val="center"/>
                </w:tcPr>
                <w:p w14:paraId="56738967">
                  <w:pPr>
                    <w:pStyle w:val="30"/>
                    <w:rPr>
                      <w:color w:val="auto"/>
                      <w:highlight w:val="none"/>
                    </w:rPr>
                  </w:pPr>
                  <w:r>
                    <w:rPr>
                      <w:color w:val="auto"/>
                      <w:highlight w:val="none"/>
                    </w:rPr>
                    <w:t>1次/a</w:t>
                  </w:r>
                </w:p>
              </w:tc>
              <w:tc>
                <w:tcPr>
                  <w:tcW w:w="340" w:type="dxa"/>
                  <w:vAlign w:val="center"/>
                </w:tcPr>
                <w:p w14:paraId="552E6CF2">
                  <w:pPr>
                    <w:pStyle w:val="30"/>
                    <w:rPr>
                      <w:color w:val="auto"/>
                      <w:highlight w:val="none"/>
                    </w:rPr>
                  </w:pPr>
                  <w:r>
                    <w:rPr>
                      <w:color w:val="auto"/>
                      <w:highlight w:val="none"/>
                    </w:rPr>
                    <w:t>1h/次</w:t>
                  </w:r>
                </w:p>
              </w:tc>
              <w:tc>
                <w:tcPr>
                  <w:tcW w:w="340" w:type="dxa"/>
                  <w:vMerge w:val="continue"/>
                  <w:vAlign w:val="center"/>
                </w:tcPr>
                <w:p w14:paraId="38562A16">
                  <w:pPr>
                    <w:pStyle w:val="30"/>
                    <w:rPr>
                      <w:color w:val="auto"/>
                      <w:highlight w:val="none"/>
                    </w:rPr>
                  </w:pPr>
                </w:p>
              </w:tc>
              <w:tc>
                <w:tcPr>
                  <w:tcW w:w="340" w:type="dxa"/>
                  <w:vMerge w:val="continue"/>
                  <w:vAlign w:val="center"/>
                </w:tcPr>
                <w:p w14:paraId="58F65DDB">
                  <w:pPr>
                    <w:pStyle w:val="30"/>
                    <w:rPr>
                      <w:color w:val="auto"/>
                      <w:highlight w:val="none"/>
                    </w:rPr>
                  </w:pPr>
                </w:p>
              </w:tc>
              <w:tc>
                <w:tcPr>
                  <w:tcW w:w="340" w:type="dxa"/>
                  <w:vMerge w:val="continue"/>
                  <w:vAlign w:val="center"/>
                </w:tcPr>
                <w:p w14:paraId="406D8ED7">
                  <w:pPr>
                    <w:pStyle w:val="30"/>
                    <w:rPr>
                      <w:color w:val="auto"/>
                      <w:highlight w:val="none"/>
                    </w:rPr>
                  </w:pPr>
                </w:p>
              </w:tc>
            </w:tr>
          </w:tbl>
          <w:p w14:paraId="4A6B65F4">
            <w:pPr>
              <w:autoSpaceDE w:val="0"/>
              <w:autoSpaceDN w:val="0"/>
              <w:snapToGrid w:val="0"/>
              <w:ind w:firstLine="480"/>
              <w:rPr>
                <w:bCs/>
                <w:color w:val="auto"/>
                <w:highlight w:val="none"/>
              </w:rPr>
            </w:pPr>
            <w:r>
              <w:rPr>
                <w:bCs/>
                <w:color w:val="auto"/>
                <w:highlight w:val="none"/>
              </w:rPr>
              <w:t>为防止废气非正常排放，建设单位必须加强废气污染治理设施的管理，定期检修，确保废气污染治理设施正常运行，应采取以下措施确保废气达标排放：</w:t>
            </w:r>
          </w:p>
          <w:p w14:paraId="0D31DEC5">
            <w:pPr>
              <w:autoSpaceDE w:val="0"/>
              <w:autoSpaceDN w:val="0"/>
              <w:snapToGrid w:val="0"/>
              <w:ind w:firstLine="480"/>
              <w:rPr>
                <w:bCs/>
                <w:color w:val="auto"/>
                <w:highlight w:val="none"/>
              </w:rPr>
            </w:pPr>
            <w:r>
              <w:rPr>
                <w:bCs/>
                <w:color w:val="auto"/>
                <w:highlight w:val="none"/>
              </w:rPr>
              <w:t>①安排专人负责环保设备的日常维护和管理，</w:t>
            </w:r>
            <w:r>
              <w:rPr>
                <w:rFonts w:hint="eastAsia"/>
                <w:bCs/>
                <w:color w:val="auto"/>
                <w:highlight w:val="none"/>
                <w:lang w:eastAsia="zh-CN"/>
              </w:rPr>
              <w:t>每隔</w:t>
            </w:r>
            <w:r>
              <w:rPr>
                <w:bCs/>
                <w:color w:val="auto"/>
                <w:highlight w:val="none"/>
              </w:rPr>
              <w:t>固定时间检查、汇报情况，及时发现废气处理设备的隐患，确保废气处理设施正常运行；</w:t>
            </w:r>
          </w:p>
          <w:p w14:paraId="0DE48E2E">
            <w:pPr>
              <w:autoSpaceDE w:val="0"/>
              <w:autoSpaceDN w:val="0"/>
              <w:snapToGrid w:val="0"/>
              <w:ind w:firstLine="480"/>
              <w:rPr>
                <w:bCs/>
                <w:color w:val="auto"/>
                <w:highlight w:val="none"/>
              </w:rPr>
            </w:pPr>
            <w:r>
              <w:rPr>
                <w:bCs/>
                <w:color w:val="auto"/>
                <w:highlight w:val="none"/>
              </w:rPr>
              <w:t>②建立健全的环保管理机构，对环保管理人员和技术人员进行岗位培训，委托具有专业资质的</w:t>
            </w:r>
            <w:r>
              <w:rPr>
                <w:rFonts w:hint="eastAsia"/>
                <w:bCs/>
                <w:color w:val="auto"/>
                <w:highlight w:val="none"/>
                <w:lang w:eastAsia="zh-CN"/>
              </w:rPr>
              <w:t>环境监测</w:t>
            </w:r>
            <w:r>
              <w:rPr>
                <w:bCs/>
                <w:color w:val="auto"/>
                <w:highlight w:val="none"/>
              </w:rPr>
              <w:t>单位对项目排放的各类污染物进行定期检测；</w:t>
            </w:r>
          </w:p>
          <w:p w14:paraId="2975C195">
            <w:pPr>
              <w:autoSpaceDE w:val="0"/>
              <w:autoSpaceDN w:val="0"/>
              <w:snapToGrid w:val="0"/>
              <w:ind w:firstLine="480"/>
              <w:rPr>
                <w:bCs/>
                <w:color w:val="auto"/>
                <w:highlight w:val="none"/>
              </w:rPr>
            </w:pPr>
            <w:r>
              <w:rPr>
                <w:bCs/>
                <w:color w:val="auto"/>
                <w:highlight w:val="none"/>
              </w:rPr>
              <w:t>③应定期维护、检修废气污染治理设施，以保持废气污染治理设施的处理效果；</w:t>
            </w:r>
          </w:p>
          <w:p w14:paraId="443F69A3">
            <w:pPr>
              <w:autoSpaceDE w:val="0"/>
              <w:autoSpaceDN w:val="0"/>
              <w:snapToGrid w:val="0"/>
              <w:ind w:firstLine="480"/>
              <w:rPr>
                <w:bCs/>
                <w:color w:val="auto"/>
                <w:highlight w:val="none"/>
              </w:rPr>
            </w:pPr>
            <w:r>
              <w:rPr>
                <w:bCs/>
                <w:color w:val="auto"/>
                <w:highlight w:val="none"/>
              </w:rPr>
              <w:t>④固定顶管管体应保持完好，不应有孔洞、缝隙，避免油气挥发；</w:t>
            </w:r>
          </w:p>
          <w:p w14:paraId="56322999">
            <w:pPr>
              <w:autoSpaceDE w:val="0"/>
              <w:autoSpaceDN w:val="0"/>
              <w:snapToGrid w:val="0"/>
              <w:ind w:firstLine="480"/>
              <w:rPr>
                <w:bCs/>
                <w:color w:val="auto"/>
                <w:highlight w:val="none"/>
              </w:rPr>
            </w:pPr>
            <w:r>
              <w:rPr>
                <w:bCs/>
                <w:color w:val="auto"/>
                <w:highlight w:val="none"/>
              </w:rPr>
              <w:t>⑤储罐附件开口（孔），除采样、计量、例行检查、维护和其他正常活动外，应密闭；</w:t>
            </w:r>
          </w:p>
          <w:p w14:paraId="2075C63A">
            <w:pPr>
              <w:autoSpaceDE w:val="0"/>
              <w:autoSpaceDN w:val="0"/>
              <w:snapToGrid w:val="0"/>
              <w:ind w:firstLine="480"/>
              <w:rPr>
                <w:color w:val="auto"/>
                <w:highlight w:val="none"/>
              </w:rPr>
            </w:pPr>
            <w:r>
              <w:rPr>
                <w:bCs/>
                <w:color w:val="auto"/>
                <w:highlight w:val="none"/>
              </w:rPr>
              <w:t>⑥定期检查呼吸阀的定压是否符合设定要求。</w:t>
            </w:r>
          </w:p>
          <w:p w14:paraId="304DA64C">
            <w:pPr>
              <w:ind w:firstLine="480" w:firstLineChars="200"/>
              <w:rPr>
                <w:color w:val="auto"/>
                <w:highlight w:val="none"/>
              </w:rPr>
            </w:pPr>
            <w:r>
              <w:rPr>
                <w:rFonts w:hint="eastAsia"/>
                <w:color w:val="auto"/>
                <w:highlight w:val="none"/>
              </w:rPr>
              <w:t>3、废气收集处理措施可行性分析</w:t>
            </w:r>
          </w:p>
          <w:p w14:paraId="6B0A9B45">
            <w:pPr>
              <w:ind w:firstLine="480" w:firstLineChars="200"/>
              <w:rPr>
                <w:color w:val="auto"/>
                <w:highlight w:val="none"/>
              </w:rPr>
            </w:pPr>
            <w:r>
              <w:rPr>
                <w:color w:val="auto"/>
                <w:highlight w:val="none"/>
              </w:rPr>
              <w:t>本项目产生的废气主要来自于</w:t>
            </w:r>
            <w:r>
              <w:rPr>
                <w:rFonts w:hint="eastAsia"/>
                <w:color w:val="auto"/>
                <w:highlight w:val="none"/>
                <w:lang w:eastAsia="zh-CN"/>
              </w:rPr>
              <w:t>内部综合能源站</w:t>
            </w:r>
            <w:r>
              <w:rPr>
                <w:color w:val="auto"/>
                <w:highlight w:val="none"/>
              </w:rPr>
              <w:t>储油罐呼吸损耗、油罐车卸油灌注以及加油</w:t>
            </w:r>
            <w:r>
              <w:rPr>
                <w:rFonts w:hint="eastAsia"/>
                <w:color w:val="auto"/>
                <w:highlight w:val="none"/>
              </w:rPr>
              <w:t>加气</w:t>
            </w:r>
            <w:r>
              <w:rPr>
                <w:color w:val="auto"/>
                <w:highlight w:val="none"/>
              </w:rPr>
              <w:t>作业过程中排放的少量油气、过往车辆产生的少量汽车尾气。</w:t>
            </w:r>
          </w:p>
          <w:p w14:paraId="2EF9A759">
            <w:pPr>
              <w:ind w:firstLine="480" w:firstLineChars="200"/>
              <w:rPr>
                <w:color w:val="auto"/>
                <w:highlight w:val="none"/>
              </w:rPr>
            </w:pPr>
            <w:r>
              <w:rPr>
                <w:color w:val="auto"/>
                <w:highlight w:val="none"/>
              </w:rPr>
              <w:t>本项目场地开阔，过往车辆产生的汽车尾气易于扩散，对周围环境影响较小。</w:t>
            </w:r>
          </w:p>
          <w:p w14:paraId="7A5416A9">
            <w:pPr>
              <w:ind w:firstLine="480" w:firstLineChars="200"/>
              <w:rPr>
                <w:color w:val="auto"/>
                <w:highlight w:val="none"/>
              </w:rPr>
            </w:pPr>
            <w:r>
              <w:rPr>
                <w:rFonts w:hint="eastAsia"/>
                <w:color w:val="auto"/>
                <w:highlight w:val="none"/>
              </w:rPr>
              <w:t>本项目采用埋地式储油罐，</w:t>
            </w:r>
            <w:r>
              <w:rPr>
                <w:color w:val="auto"/>
                <w:highlight w:val="none"/>
              </w:rPr>
              <w:t>油气经油气回收处理装置处理后通过不低于4m的排气口</w:t>
            </w:r>
            <w:r>
              <w:rPr>
                <w:rFonts w:hint="eastAsia"/>
                <w:color w:val="auto"/>
                <w:highlight w:val="none"/>
                <w:lang w:eastAsia="zh-CN"/>
              </w:rPr>
              <w:t>（</w:t>
            </w:r>
            <w:r>
              <w:rPr>
                <w:rFonts w:hint="eastAsia"/>
                <w:color w:val="auto"/>
                <w:highlight w:val="none"/>
                <w:lang w:val="en-US" w:eastAsia="zh-CN"/>
              </w:rPr>
              <w:t>DA001</w:t>
            </w:r>
            <w:r>
              <w:rPr>
                <w:rFonts w:hint="eastAsia"/>
                <w:color w:val="auto"/>
                <w:highlight w:val="none"/>
                <w:lang w:eastAsia="zh-CN"/>
              </w:rPr>
              <w:t>）</w:t>
            </w:r>
            <w:r>
              <w:rPr>
                <w:color w:val="auto"/>
                <w:highlight w:val="none"/>
              </w:rPr>
              <w:t>排放</w:t>
            </w:r>
            <w:r>
              <w:rPr>
                <w:rFonts w:hint="eastAsia"/>
                <w:color w:val="auto"/>
                <w:highlight w:val="none"/>
              </w:rPr>
              <w:t>。</w:t>
            </w:r>
            <w:r>
              <w:rPr>
                <w:rFonts w:hint="eastAsia" w:ascii="Times New Roman" w:hAnsi="Times New Roman" w:eastAsia="宋体" w:cs="Times New Roman"/>
                <w:b w:val="0"/>
                <w:color w:val="auto"/>
                <w:highlight w:val="none"/>
              </w:rPr>
              <w:t>对照《排污许可证申请与核发技术规范储油库、加油站》（HJ1118-2020）附录F中“表F.1加油站排污单位废气治理可行技术参照表”可知，本项目拟采取的废气治理措施为可行技术。</w:t>
            </w:r>
            <w:r>
              <w:rPr>
                <w:rFonts w:hint="eastAsia"/>
                <w:color w:val="auto"/>
                <w:highlight w:val="none"/>
              </w:rPr>
              <w:t>采用上述污染治理措施后，废气排放量较少，对周边环境影响不大。此外，企业需加强管理，确保废气回收设施正常运行，杜绝非正常工况的发生。因此，本项目建成后，大气环境影响可接受，项目大气污染物排放方案可行。</w:t>
            </w:r>
          </w:p>
          <w:p w14:paraId="08AAE54B">
            <w:pPr>
              <w:ind w:firstLine="480" w:firstLineChars="200"/>
              <w:rPr>
                <w:color w:val="auto"/>
                <w:highlight w:val="none"/>
              </w:rPr>
            </w:pPr>
            <w:r>
              <w:rPr>
                <w:rFonts w:hint="eastAsia"/>
                <w:color w:val="auto"/>
                <w:highlight w:val="none"/>
              </w:rPr>
              <w:t>综上，</w:t>
            </w:r>
            <w:r>
              <w:rPr>
                <w:color w:val="auto"/>
                <w:highlight w:val="none"/>
              </w:rPr>
              <w:t>经采取以上措施后，项目区</w:t>
            </w:r>
            <w:r>
              <w:rPr>
                <w:rFonts w:hint="eastAsia"/>
                <w:color w:val="auto"/>
                <w:highlight w:val="none"/>
              </w:rPr>
              <w:t>废</w:t>
            </w:r>
            <w:r>
              <w:rPr>
                <w:color w:val="auto"/>
                <w:highlight w:val="none"/>
              </w:rPr>
              <w:t>气对周边环境影响较小</w:t>
            </w:r>
            <w:r>
              <w:rPr>
                <w:rFonts w:hint="eastAsia"/>
                <w:color w:val="auto"/>
                <w:highlight w:val="none"/>
              </w:rPr>
              <w:t>，不会改变项目区的大气环境功能。</w:t>
            </w:r>
          </w:p>
          <w:p w14:paraId="0C7C3A56">
            <w:pPr>
              <w:ind w:firstLine="480" w:firstLineChars="200"/>
              <w:rPr>
                <w:color w:val="auto"/>
                <w:highlight w:val="none"/>
              </w:rPr>
            </w:pPr>
            <w:r>
              <w:rPr>
                <w:rFonts w:hint="eastAsia"/>
                <w:color w:val="auto"/>
                <w:highlight w:val="none"/>
              </w:rPr>
              <w:t>4、废气监测要求</w:t>
            </w:r>
          </w:p>
          <w:p w14:paraId="6A94109B">
            <w:pPr>
              <w:ind w:firstLine="480" w:firstLineChars="200"/>
              <w:rPr>
                <w:color w:val="auto"/>
                <w:highlight w:val="none"/>
              </w:rPr>
            </w:pPr>
            <w:r>
              <w:rPr>
                <w:color w:val="auto"/>
                <w:highlight w:val="none"/>
              </w:rPr>
              <w:t>根据《排污单位自行监测技术指南 储油库、加油站》（HJ 1249-2022）</w:t>
            </w:r>
            <w:r>
              <w:rPr>
                <w:rFonts w:hint="eastAsia"/>
                <w:color w:val="auto"/>
                <w:highlight w:val="none"/>
              </w:rPr>
              <w:t>、</w:t>
            </w:r>
            <w:r>
              <w:rPr>
                <w:color w:val="auto"/>
                <w:spacing w:val="-1"/>
                <w:highlight w:val="none"/>
              </w:rPr>
              <w:t>《排污单位自行监测技术指南</w:t>
            </w:r>
            <w:r>
              <w:rPr>
                <w:rFonts w:hint="eastAsia"/>
                <w:color w:val="auto"/>
                <w:spacing w:val="-1"/>
                <w:highlight w:val="none"/>
              </w:rPr>
              <w:t xml:space="preserve"> </w:t>
            </w:r>
            <w:r>
              <w:rPr>
                <w:color w:val="auto"/>
                <w:spacing w:val="-1"/>
                <w:highlight w:val="none"/>
              </w:rPr>
              <w:t>总则》（HJ819-2017）</w:t>
            </w:r>
            <w:r>
              <w:rPr>
                <w:color w:val="auto"/>
                <w:highlight w:val="none"/>
              </w:rPr>
              <w:t>，项目废气监测计划见</w:t>
            </w:r>
            <w:r>
              <w:rPr>
                <w:rFonts w:hint="eastAsia"/>
                <w:color w:val="auto"/>
                <w:highlight w:val="none"/>
              </w:rPr>
              <w:t>下表</w:t>
            </w:r>
            <w:r>
              <w:rPr>
                <w:color w:val="auto"/>
                <w:highlight w:val="none"/>
              </w:rPr>
              <w:t>。</w:t>
            </w:r>
          </w:p>
          <w:p w14:paraId="1DD3C1AE">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 xml:space="preserve"> </w:t>
            </w:r>
            <w:r>
              <w:rPr>
                <w:color w:val="auto"/>
                <w:kern w:val="0"/>
                <w:szCs w:val="18"/>
                <w:highlight w:val="none"/>
              </w:rPr>
              <w:t>废气监测计划一览表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214"/>
              <w:gridCol w:w="982"/>
              <w:gridCol w:w="4208"/>
            </w:tblGrid>
            <w:tr w14:paraId="73CD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Align w:val="center"/>
                </w:tcPr>
                <w:p w14:paraId="5120EEF1">
                  <w:pPr>
                    <w:pStyle w:val="30"/>
                    <w:rPr>
                      <w:color w:val="auto"/>
                      <w:highlight w:val="none"/>
                    </w:rPr>
                  </w:pPr>
                  <w:r>
                    <w:rPr>
                      <w:color w:val="auto"/>
                      <w:highlight w:val="none"/>
                    </w:rPr>
                    <w:t>监测点位</w:t>
                  </w:r>
                </w:p>
              </w:tc>
              <w:tc>
                <w:tcPr>
                  <w:tcW w:w="1214" w:type="dxa"/>
                  <w:vAlign w:val="center"/>
                </w:tcPr>
                <w:p w14:paraId="20A3D4B9">
                  <w:pPr>
                    <w:pStyle w:val="30"/>
                    <w:rPr>
                      <w:color w:val="auto"/>
                      <w:highlight w:val="none"/>
                    </w:rPr>
                  </w:pPr>
                  <w:r>
                    <w:rPr>
                      <w:color w:val="auto"/>
                      <w:highlight w:val="none"/>
                    </w:rPr>
                    <w:t>监测指标</w:t>
                  </w:r>
                </w:p>
              </w:tc>
              <w:tc>
                <w:tcPr>
                  <w:tcW w:w="982" w:type="dxa"/>
                  <w:vAlign w:val="center"/>
                </w:tcPr>
                <w:p w14:paraId="2E9724D0">
                  <w:pPr>
                    <w:pStyle w:val="30"/>
                    <w:rPr>
                      <w:color w:val="auto"/>
                      <w:highlight w:val="none"/>
                    </w:rPr>
                  </w:pPr>
                  <w:r>
                    <w:rPr>
                      <w:color w:val="auto"/>
                      <w:highlight w:val="none"/>
                    </w:rPr>
                    <w:t>监测频次</w:t>
                  </w:r>
                </w:p>
              </w:tc>
              <w:tc>
                <w:tcPr>
                  <w:tcW w:w="4208" w:type="dxa"/>
                  <w:vAlign w:val="center"/>
                </w:tcPr>
                <w:p w14:paraId="0FF14D7B">
                  <w:pPr>
                    <w:pStyle w:val="30"/>
                    <w:rPr>
                      <w:color w:val="auto"/>
                      <w:highlight w:val="none"/>
                    </w:rPr>
                  </w:pPr>
                  <w:r>
                    <w:rPr>
                      <w:color w:val="auto"/>
                      <w:highlight w:val="none"/>
                    </w:rPr>
                    <w:t>执行排放标准</w:t>
                  </w:r>
                </w:p>
              </w:tc>
            </w:tr>
            <w:tr w14:paraId="33F1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shd w:val="clear" w:color="auto" w:fill="auto"/>
                  <w:vAlign w:val="center"/>
                </w:tcPr>
                <w:p w14:paraId="2822735A">
                  <w:pPr>
                    <w:pStyle w:val="30"/>
                    <w:rPr>
                      <w:color w:val="auto"/>
                      <w:highlight w:val="none"/>
                    </w:rPr>
                  </w:pPr>
                  <w:r>
                    <w:rPr>
                      <w:rFonts w:hint="eastAsia"/>
                      <w:color w:val="auto"/>
                      <w:highlight w:val="none"/>
                    </w:rPr>
                    <w:t>项目厂界</w:t>
                  </w:r>
                </w:p>
              </w:tc>
              <w:tc>
                <w:tcPr>
                  <w:tcW w:w="1214" w:type="dxa"/>
                  <w:shd w:val="clear" w:color="auto" w:fill="auto"/>
                  <w:vAlign w:val="center"/>
                </w:tcPr>
                <w:p w14:paraId="625A9DD9">
                  <w:pPr>
                    <w:pStyle w:val="30"/>
                    <w:rPr>
                      <w:color w:val="auto"/>
                      <w:highlight w:val="none"/>
                    </w:rPr>
                  </w:pPr>
                  <w:r>
                    <w:rPr>
                      <w:rFonts w:hint="eastAsia"/>
                      <w:color w:val="auto"/>
                      <w:highlight w:val="none"/>
                    </w:rPr>
                    <w:t>颗粒物</w:t>
                  </w:r>
                </w:p>
              </w:tc>
              <w:tc>
                <w:tcPr>
                  <w:tcW w:w="982" w:type="dxa"/>
                  <w:shd w:val="clear" w:color="auto" w:fill="auto"/>
                  <w:vAlign w:val="center"/>
                </w:tcPr>
                <w:p w14:paraId="50CFAC3B">
                  <w:pPr>
                    <w:pStyle w:val="30"/>
                    <w:rPr>
                      <w:color w:val="auto"/>
                      <w:highlight w:val="none"/>
                    </w:rPr>
                  </w:pPr>
                  <w:r>
                    <w:rPr>
                      <w:color w:val="auto"/>
                      <w:highlight w:val="none"/>
                    </w:rPr>
                    <w:t>1次/年</w:t>
                  </w:r>
                </w:p>
              </w:tc>
              <w:tc>
                <w:tcPr>
                  <w:tcW w:w="4208" w:type="dxa"/>
                  <w:shd w:val="clear" w:color="auto" w:fill="auto"/>
                  <w:vAlign w:val="center"/>
                </w:tcPr>
                <w:p w14:paraId="5482A2C8">
                  <w:pPr>
                    <w:pStyle w:val="30"/>
                    <w:rPr>
                      <w:color w:val="auto"/>
                      <w:highlight w:val="none"/>
                    </w:rPr>
                  </w:pPr>
                  <w:r>
                    <w:rPr>
                      <w:rFonts w:hint="eastAsia"/>
                      <w:color w:val="auto"/>
                      <w:highlight w:val="none"/>
                    </w:rPr>
                    <w:t>《大气污染物综合排放标准》（GB16297-1996）</w:t>
                  </w:r>
                </w:p>
              </w:tc>
            </w:tr>
            <w:tr w14:paraId="63FE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Align w:val="center"/>
                </w:tcPr>
                <w:p w14:paraId="5F2F7B86">
                  <w:pPr>
                    <w:pStyle w:val="30"/>
                    <w:rPr>
                      <w:rFonts w:hint="default" w:eastAsia="宋体"/>
                      <w:color w:val="auto"/>
                      <w:highlight w:val="none"/>
                      <w:lang w:val="en-US" w:eastAsia="zh-CN"/>
                    </w:rPr>
                  </w:pPr>
                  <w:r>
                    <w:rPr>
                      <w:rFonts w:hint="eastAsia"/>
                      <w:color w:val="auto"/>
                      <w:highlight w:val="none"/>
                      <w:lang w:val="en-US" w:eastAsia="zh-CN"/>
                    </w:rPr>
                    <w:t>DA001</w:t>
                  </w:r>
                </w:p>
              </w:tc>
              <w:tc>
                <w:tcPr>
                  <w:tcW w:w="1214" w:type="dxa"/>
                  <w:shd w:val="clear" w:color="auto" w:fill="auto"/>
                  <w:vAlign w:val="center"/>
                </w:tcPr>
                <w:p w14:paraId="4E8C8671">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非甲烷总烃</w:t>
                  </w:r>
                </w:p>
              </w:tc>
              <w:tc>
                <w:tcPr>
                  <w:tcW w:w="982" w:type="dxa"/>
                  <w:vAlign w:val="center"/>
                </w:tcPr>
                <w:p w14:paraId="1609E452">
                  <w:pPr>
                    <w:pStyle w:val="30"/>
                    <w:rPr>
                      <w:color w:val="auto"/>
                      <w:highlight w:val="none"/>
                    </w:rPr>
                  </w:pPr>
                  <w:r>
                    <w:rPr>
                      <w:color w:val="auto"/>
                      <w:highlight w:val="none"/>
                    </w:rPr>
                    <w:t>1次/年</w:t>
                  </w:r>
                </w:p>
              </w:tc>
              <w:tc>
                <w:tcPr>
                  <w:tcW w:w="4208" w:type="dxa"/>
                  <w:vMerge w:val="restart"/>
                  <w:vAlign w:val="center"/>
                </w:tcPr>
                <w:p w14:paraId="51488236">
                  <w:pPr>
                    <w:pStyle w:val="30"/>
                    <w:rPr>
                      <w:color w:val="auto"/>
                      <w:highlight w:val="none"/>
                      <w:lang w:val="zh-CN"/>
                    </w:rPr>
                  </w:pPr>
                  <w:r>
                    <w:rPr>
                      <w:color w:val="auto"/>
                      <w:highlight w:val="none"/>
                    </w:rPr>
                    <w:t>《加油站大气污染物排放标准》（GB20952-2020）</w:t>
                  </w:r>
                  <w:r>
                    <w:rPr>
                      <w:rFonts w:hint="eastAsia"/>
                      <w:color w:val="auto"/>
                      <w:highlight w:val="none"/>
                    </w:rPr>
                    <w:t>排放限值</w:t>
                  </w:r>
                </w:p>
              </w:tc>
            </w:tr>
            <w:tr w14:paraId="74C7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Align w:val="center"/>
                </w:tcPr>
                <w:p w14:paraId="5ADE0EA1">
                  <w:pPr>
                    <w:pStyle w:val="30"/>
                    <w:rPr>
                      <w:color w:val="auto"/>
                      <w:highlight w:val="none"/>
                    </w:rPr>
                  </w:pPr>
                  <w:r>
                    <w:rPr>
                      <w:rFonts w:hint="eastAsia"/>
                      <w:color w:val="auto"/>
                      <w:highlight w:val="none"/>
                    </w:rPr>
                    <w:t>综合能源站边界</w:t>
                  </w:r>
                </w:p>
              </w:tc>
              <w:tc>
                <w:tcPr>
                  <w:tcW w:w="1214" w:type="dxa"/>
                  <w:vAlign w:val="center"/>
                </w:tcPr>
                <w:p w14:paraId="6260572B">
                  <w:pPr>
                    <w:pStyle w:val="30"/>
                    <w:rPr>
                      <w:color w:val="auto"/>
                      <w:highlight w:val="none"/>
                    </w:rPr>
                  </w:pPr>
                  <w:r>
                    <w:rPr>
                      <w:color w:val="auto"/>
                      <w:highlight w:val="none"/>
                    </w:rPr>
                    <w:t>非甲烷总烃</w:t>
                  </w:r>
                </w:p>
              </w:tc>
              <w:tc>
                <w:tcPr>
                  <w:tcW w:w="982" w:type="dxa"/>
                  <w:vAlign w:val="center"/>
                </w:tcPr>
                <w:p w14:paraId="49D2C909">
                  <w:pPr>
                    <w:pStyle w:val="30"/>
                    <w:rPr>
                      <w:color w:val="auto"/>
                      <w:highlight w:val="none"/>
                    </w:rPr>
                  </w:pPr>
                  <w:r>
                    <w:rPr>
                      <w:color w:val="auto"/>
                      <w:highlight w:val="none"/>
                    </w:rPr>
                    <w:t>1次/年</w:t>
                  </w:r>
                </w:p>
              </w:tc>
              <w:tc>
                <w:tcPr>
                  <w:tcW w:w="4208" w:type="dxa"/>
                  <w:vMerge w:val="continue"/>
                  <w:vAlign w:val="center"/>
                </w:tcPr>
                <w:p w14:paraId="67D933EC">
                  <w:pPr>
                    <w:pStyle w:val="30"/>
                    <w:rPr>
                      <w:color w:val="auto"/>
                      <w:highlight w:val="none"/>
                      <w:lang w:val="zh-CN"/>
                    </w:rPr>
                  </w:pPr>
                </w:p>
              </w:tc>
            </w:tr>
            <w:tr w14:paraId="4CDC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Align w:val="center"/>
                </w:tcPr>
                <w:p w14:paraId="03009B46">
                  <w:pPr>
                    <w:pStyle w:val="30"/>
                    <w:rPr>
                      <w:color w:val="auto"/>
                      <w:highlight w:val="none"/>
                    </w:rPr>
                  </w:pPr>
                  <w:r>
                    <w:rPr>
                      <w:rFonts w:hint="eastAsia"/>
                      <w:color w:val="auto"/>
                      <w:highlight w:val="none"/>
                    </w:rPr>
                    <w:t>综合能源站油气回收系统密闭点</w:t>
                  </w:r>
                </w:p>
              </w:tc>
              <w:tc>
                <w:tcPr>
                  <w:tcW w:w="1214" w:type="dxa"/>
                  <w:vAlign w:val="center"/>
                </w:tcPr>
                <w:p w14:paraId="3FDA4389">
                  <w:pPr>
                    <w:pStyle w:val="30"/>
                    <w:rPr>
                      <w:color w:val="auto"/>
                      <w:highlight w:val="none"/>
                    </w:rPr>
                  </w:pPr>
                  <w:r>
                    <w:rPr>
                      <w:rFonts w:hint="eastAsia"/>
                      <w:color w:val="auto"/>
                      <w:highlight w:val="none"/>
                    </w:rPr>
                    <w:t>泄漏检测值</w:t>
                  </w:r>
                </w:p>
              </w:tc>
              <w:tc>
                <w:tcPr>
                  <w:tcW w:w="982" w:type="dxa"/>
                  <w:vAlign w:val="center"/>
                </w:tcPr>
                <w:p w14:paraId="4EA2ED83">
                  <w:pPr>
                    <w:pStyle w:val="30"/>
                    <w:rPr>
                      <w:color w:val="auto"/>
                      <w:highlight w:val="none"/>
                    </w:rPr>
                  </w:pPr>
                  <w:r>
                    <w:rPr>
                      <w:rFonts w:hint="eastAsia"/>
                      <w:color w:val="auto"/>
                      <w:highlight w:val="none"/>
                    </w:rPr>
                    <w:t>1次/年</w:t>
                  </w:r>
                </w:p>
              </w:tc>
              <w:tc>
                <w:tcPr>
                  <w:tcW w:w="4208" w:type="dxa"/>
                  <w:vMerge w:val="continue"/>
                  <w:vAlign w:val="center"/>
                </w:tcPr>
                <w:p w14:paraId="557DD12B">
                  <w:pPr>
                    <w:pStyle w:val="30"/>
                    <w:rPr>
                      <w:color w:val="auto"/>
                      <w:highlight w:val="none"/>
                    </w:rPr>
                  </w:pPr>
                </w:p>
              </w:tc>
            </w:tr>
            <w:tr w14:paraId="4503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Align w:val="center"/>
                </w:tcPr>
                <w:p w14:paraId="24577857">
                  <w:pPr>
                    <w:pStyle w:val="30"/>
                    <w:rPr>
                      <w:color w:val="auto"/>
                      <w:highlight w:val="none"/>
                    </w:rPr>
                  </w:pPr>
                  <w:r>
                    <w:rPr>
                      <w:rFonts w:hint="eastAsia"/>
                      <w:color w:val="auto"/>
                      <w:highlight w:val="none"/>
                    </w:rPr>
                    <w:t>油气回收系统</w:t>
                  </w:r>
                </w:p>
              </w:tc>
              <w:tc>
                <w:tcPr>
                  <w:tcW w:w="1214" w:type="dxa"/>
                  <w:vAlign w:val="center"/>
                </w:tcPr>
                <w:p w14:paraId="5B008A0F">
                  <w:pPr>
                    <w:pStyle w:val="30"/>
                    <w:rPr>
                      <w:color w:val="auto"/>
                      <w:highlight w:val="none"/>
                    </w:rPr>
                  </w:pPr>
                  <w:r>
                    <w:rPr>
                      <w:rFonts w:hint="eastAsia"/>
                      <w:color w:val="auto"/>
                      <w:highlight w:val="none"/>
                    </w:rPr>
                    <w:t>气液比、密闭性、液阻</w:t>
                  </w:r>
                </w:p>
              </w:tc>
              <w:tc>
                <w:tcPr>
                  <w:tcW w:w="982" w:type="dxa"/>
                  <w:vAlign w:val="center"/>
                </w:tcPr>
                <w:p w14:paraId="14DBD80F">
                  <w:pPr>
                    <w:pStyle w:val="30"/>
                    <w:rPr>
                      <w:color w:val="auto"/>
                      <w:highlight w:val="none"/>
                    </w:rPr>
                  </w:pPr>
                  <w:r>
                    <w:rPr>
                      <w:rFonts w:hint="eastAsia"/>
                      <w:color w:val="auto"/>
                      <w:highlight w:val="none"/>
                    </w:rPr>
                    <w:t>1次/年</w:t>
                  </w:r>
                </w:p>
              </w:tc>
              <w:tc>
                <w:tcPr>
                  <w:tcW w:w="4208" w:type="dxa"/>
                  <w:vMerge w:val="continue"/>
                  <w:vAlign w:val="center"/>
                </w:tcPr>
                <w:p w14:paraId="6EFAB0AE">
                  <w:pPr>
                    <w:pStyle w:val="30"/>
                    <w:rPr>
                      <w:color w:val="auto"/>
                      <w:highlight w:val="none"/>
                    </w:rPr>
                  </w:pPr>
                </w:p>
              </w:tc>
            </w:tr>
            <w:tr w14:paraId="3CD3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Align w:val="center"/>
                </w:tcPr>
                <w:p w14:paraId="5D601B1C">
                  <w:pPr>
                    <w:pStyle w:val="30"/>
                    <w:rPr>
                      <w:color w:val="auto"/>
                      <w:highlight w:val="none"/>
                    </w:rPr>
                  </w:pPr>
                  <w:r>
                    <w:rPr>
                      <w:rFonts w:hint="eastAsia"/>
                      <w:color w:val="auto"/>
                      <w:highlight w:val="none"/>
                    </w:rPr>
                    <w:t>综合能源站</w:t>
                  </w:r>
                  <w:r>
                    <w:rPr>
                      <w:color w:val="auto"/>
                      <w:highlight w:val="none"/>
                    </w:rPr>
                    <w:t>区域内</w:t>
                  </w:r>
                </w:p>
              </w:tc>
              <w:tc>
                <w:tcPr>
                  <w:tcW w:w="1214" w:type="dxa"/>
                  <w:vAlign w:val="center"/>
                </w:tcPr>
                <w:p w14:paraId="0AA28C68">
                  <w:pPr>
                    <w:pStyle w:val="30"/>
                    <w:rPr>
                      <w:color w:val="auto"/>
                      <w:highlight w:val="none"/>
                    </w:rPr>
                  </w:pPr>
                  <w:r>
                    <w:rPr>
                      <w:color w:val="auto"/>
                      <w:highlight w:val="none"/>
                    </w:rPr>
                    <w:t>非甲烷总烃</w:t>
                  </w:r>
                </w:p>
              </w:tc>
              <w:tc>
                <w:tcPr>
                  <w:tcW w:w="982" w:type="dxa"/>
                  <w:vAlign w:val="center"/>
                </w:tcPr>
                <w:p w14:paraId="165E3C52">
                  <w:pPr>
                    <w:pStyle w:val="30"/>
                    <w:rPr>
                      <w:color w:val="auto"/>
                      <w:highlight w:val="none"/>
                    </w:rPr>
                  </w:pPr>
                  <w:r>
                    <w:rPr>
                      <w:color w:val="auto"/>
                      <w:highlight w:val="none"/>
                    </w:rPr>
                    <w:t>1次/年</w:t>
                  </w:r>
                </w:p>
              </w:tc>
              <w:tc>
                <w:tcPr>
                  <w:tcW w:w="4208" w:type="dxa"/>
                  <w:vAlign w:val="center"/>
                </w:tcPr>
                <w:p w14:paraId="0958468B">
                  <w:pPr>
                    <w:pStyle w:val="30"/>
                    <w:rPr>
                      <w:color w:val="auto"/>
                      <w:highlight w:val="none"/>
                    </w:rPr>
                  </w:pPr>
                  <w:r>
                    <w:rPr>
                      <w:color w:val="auto"/>
                      <w:highlight w:val="none"/>
                    </w:rPr>
                    <w:t>《挥发性有机物无组织排放控制标准》（GB37822-2019）</w:t>
                  </w:r>
                </w:p>
              </w:tc>
            </w:tr>
            <w:tr w14:paraId="6522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Align w:val="center"/>
                </w:tcPr>
                <w:p w14:paraId="6A7317AE">
                  <w:pPr>
                    <w:pStyle w:val="30"/>
                    <w:rPr>
                      <w:color w:val="auto"/>
                      <w:highlight w:val="none"/>
                    </w:rPr>
                  </w:pPr>
                  <w:r>
                    <w:rPr>
                      <w:rFonts w:hint="eastAsia"/>
                      <w:color w:val="auto"/>
                      <w:highlight w:val="none"/>
                    </w:rPr>
                    <w:t>餐饮油烟废气排放口</w:t>
                  </w:r>
                </w:p>
              </w:tc>
              <w:tc>
                <w:tcPr>
                  <w:tcW w:w="1214" w:type="dxa"/>
                  <w:vAlign w:val="center"/>
                </w:tcPr>
                <w:p w14:paraId="43853262">
                  <w:pPr>
                    <w:pStyle w:val="30"/>
                    <w:rPr>
                      <w:color w:val="auto"/>
                      <w:highlight w:val="none"/>
                    </w:rPr>
                  </w:pPr>
                  <w:r>
                    <w:rPr>
                      <w:rFonts w:hint="eastAsia"/>
                      <w:color w:val="auto"/>
                      <w:highlight w:val="none"/>
                    </w:rPr>
                    <w:t>油烟</w:t>
                  </w:r>
                </w:p>
              </w:tc>
              <w:tc>
                <w:tcPr>
                  <w:tcW w:w="982" w:type="dxa"/>
                  <w:vAlign w:val="center"/>
                </w:tcPr>
                <w:p w14:paraId="50F03604">
                  <w:pPr>
                    <w:pStyle w:val="30"/>
                    <w:rPr>
                      <w:color w:val="auto"/>
                      <w:highlight w:val="none"/>
                    </w:rPr>
                  </w:pPr>
                  <w:r>
                    <w:rPr>
                      <w:color w:val="auto"/>
                      <w:highlight w:val="none"/>
                    </w:rPr>
                    <w:t>1次/年</w:t>
                  </w:r>
                </w:p>
              </w:tc>
              <w:tc>
                <w:tcPr>
                  <w:tcW w:w="4208" w:type="dxa"/>
                  <w:vAlign w:val="center"/>
                </w:tcPr>
                <w:p w14:paraId="3AC2CFCB">
                  <w:pPr>
                    <w:pStyle w:val="30"/>
                    <w:rPr>
                      <w:color w:val="auto"/>
                      <w:highlight w:val="none"/>
                    </w:rPr>
                  </w:pPr>
                  <w:r>
                    <w:rPr>
                      <w:rFonts w:hint="eastAsia"/>
                      <w:color w:val="auto"/>
                      <w:szCs w:val="24"/>
                      <w:highlight w:val="none"/>
                    </w:rPr>
                    <w:t>《饮食业油烟排放标准（试行）》（GB18483-2001）</w:t>
                  </w:r>
                </w:p>
              </w:tc>
            </w:tr>
          </w:tbl>
          <w:p w14:paraId="6B8A3F97">
            <w:pPr>
              <w:rPr>
                <w:color w:val="auto"/>
                <w:highlight w:val="none"/>
              </w:rPr>
            </w:pPr>
            <w:r>
              <w:rPr>
                <w:rFonts w:hint="eastAsia"/>
                <w:b/>
                <w:bCs/>
                <w:color w:val="auto"/>
                <w:highlight w:val="none"/>
              </w:rPr>
              <w:t>二、</w:t>
            </w:r>
            <w:r>
              <w:rPr>
                <w:b/>
                <w:bCs/>
                <w:color w:val="auto"/>
                <w:highlight w:val="none"/>
              </w:rPr>
              <w:t>废水污染源强及环境影响和保护措施</w:t>
            </w:r>
          </w:p>
          <w:p w14:paraId="324BB2E2">
            <w:pPr>
              <w:rPr>
                <w:color w:val="auto"/>
                <w:highlight w:val="none"/>
              </w:rPr>
            </w:pPr>
            <w:r>
              <w:rPr>
                <w:rFonts w:hint="eastAsia"/>
                <w:color w:val="auto"/>
                <w:highlight w:val="none"/>
              </w:rPr>
              <w:t>1、废水源强核算</w:t>
            </w:r>
          </w:p>
          <w:p w14:paraId="667BBFA0">
            <w:pPr>
              <w:ind w:firstLine="480" w:firstLineChars="200"/>
              <w:rPr>
                <w:color w:val="auto"/>
                <w:highlight w:val="none"/>
              </w:rPr>
            </w:pPr>
            <w:r>
              <w:rPr>
                <w:rFonts w:hint="eastAsia"/>
                <w:color w:val="auto"/>
                <w:highlight w:val="none"/>
              </w:rPr>
              <w:t>（1）生活污水</w:t>
            </w:r>
          </w:p>
          <w:p w14:paraId="41393631">
            <w:pPr>
              <w:ind w:firstLine="480" w:firstLineChars="200"/>
              <w:rPr>
                <w:rFonts w:cs="宋体"/>
                <w:color w:val="auto"/>
                <w:highlight w:val="none"/>
              </w:rPr>
            </w:pPr>
            <w:r>
              <w:rPr>
                <w:rFonts w:hint="eastAsia" w:cs="宋体"/>
                <w:color w:val="auto"/>
                <w:highlight w:val="none"/>
              </w:rPr>
              <w:t>本项目运营期生活污水主要来自员工生活及往来人员产生废水。</w:t>
            </w:r>
          </w:p>
          <w:p w14:paraId="5D79AF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highlight w:val="none"/>
              </w:rPr>
            </w:pPr>
            <w:r>
              <w:rPr>
                <w:rFonts w:hint="eastAsia" w:cs="宋体"/>
                <w:color w:val="auto"/>
                <w:highlight w:val="none"/>
                <w:lang w:eastAsia="zh-CN"/>
              </w:rPr>
              <w:t>①智慧货运服务中心、</w:t>
            </w:r>
            <w:r>
              <w:rPr>
                <w:rFonts w:hint="eastAsia" w:cs="宋体"/>
                <w:color w:val="auto"/>
                <w:highlight w:val="none"/>
              </w:rPr>
              <w:t>智慧货运维修中心生活污水</w:t>
            </w:r>
          </w:p>
          <w:p w14:paraId="68B914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highlight w:val="none"/>
              </w:rPr>
            </w:pPr>
            <w:r>
              <w:rPr>
                <w:rFonts w:hint="eastAsia" w:cs="宋体"/>
                <w:color w:val="auto"/>
                <w:highlight w:val="none"/>
              </w:rPr>
              <w:t>项目</w:t>
            </w:r>
            <w:r>
              <w:rPr>
                <w:rFonts w:hint="eastAsia" w:cs="宋体"/>
                <w:color w:val="auto"/>
                <w:highlight w:val="none"/>
                <w:lang w:eastAsia="zh-CN"/>
              </w:rPr>
              <w:t>智慧货运服务中心、</w:t>
            </w:r>
            <w:r>
              <w:rPr>
                <w:rFonts w:hint="eastAsia" w:cs="宋体"/>
                <w:color w:val="auto"/>
                <w:highlight w:val="none"/>
              </w:rPr>
              <w:t>智慧货运维修中心设置劳动定员共</w:t>
            </w:r>
            <w:r>
              <w:rPr>
                <w:rFonts w:hint="eastAsia" w:cs="宋体"/>
                <w:color w:val="auto"/>
                <w:highlight w:val="none"/>
                <w:lang w:val="en-US" w:eastAsia="zh-CN"/>
              </w:rPr>
              <w:t>24</w:t>
            </w:r>
            <w:r>
              <w:rPr>
                <w:rFonts w:hint="eastAsia" w:cs="宋体"/>
                <w:color w:val="auto"/>
                <w:highlight w:val="none"/>
              </w:rPr>
              <w:t>人，年工作365天，</w:t>
            </w:r>
            <w:r>
              <w:rPr>
                <w:rFonts w:hint="eastAsia" w:cs="宋体"/>
                <w:color w:val="auto"/>
                <w:highlight w:val="none"/>
                <w:lang w:eastAsia="zh-CN"/>
              </w:rPr>
              <w:t>根据经验数据，</w:t>
            </w:r>
            <w:r>
              <w:rPr>
                <w:rFonts w:hint="eastAsia" w:cs="宋体"/>
                <w:color w:val="auto"/>
                <w:highlight w:val="none"/>
              </w:rPr>
              <w:t>各类公共建筑、办公及服务场所</w:t>
            </w:r>
            <w:r>
              <w:rPr>
                <w:rFonts w:hint="eastAsia" w:cs="宋体"/>
                <w:color w:val="auto"/>
                <w:highlight w:val="none"/>
                <w:lang w:eastAsia="zh-CN"/>
              </w:rPr>
              <w:t>中</w:t>
            </w:r>
            <w:r>
              <w:rPr>
                <w:rFonts w:hint="eastAsia" w:cs="宋体"/>
                <w:color w:val="auto"/>
                <w:highlight w:val="none"/>
              </w:rPr>
              <w:t>工作人员的人均生活用水</w:t>
            </w:r>
            <w:r>
              <w:rPr>
                <w:rFonts w:hint="eastAsia" w:cs="宋体"/>
                <w:color w:val="auto"/>
                <w:highlight w:val="none"/>
                <w:lang w:eastAsia="zh-CN"/>
              </w:rPr>
              <w:t>定额一般为</w:t>
            </w:r>
            <w:r>
              <w:rPr>
                <w:rFonts w:hint="eastAsia" w:cs="宋体"/>
                <w:color w:val="auto"/>
                <w:highlight w:val="none"/>
              </w:rPr>
              <w:t>40-60L</w:t>
            </w:r>
            <w:r>
              <w:rPr>
                <w:rFonts w:hint="eastAsia" w:cs="宋体"/>
                <w:color w:val="auto"/>
                <w:highlight w:val="none"/>
                <w:lang w:val="en-US" w:eastAsia="zh-CN"/>
              </w:rPr>
              <w:t>/</w:t>
            </w:r>
            <w:r>
              <w:rPr>
                <w:rFonts w:hint="eastAsia" w:cs="宋体"/>
                <w:color w:val="auto"/>
                <w:highlight w:val="none"/>
              </w:rPr>
              <w:t>人・d</w:t>
            </w:r>
            <w:r>
              <w:rPr>
                <w:rFonts w:hint="eastAsia" w:cs="宋体"/>
                <w:color w:val="auto"/>
                <w:highlight w:val="none"/>
                <w:lang w:eastAsia="zh-CN"/>
              </w:rPr>
              <w:t>，本项目以</w:t>
            </w:r>
            <w:r>
              <w:rPr>
                <w:rFonts w:hint="eastAsia" w:cs="宋体"/>
                <w:color w:val="auto"/>
                <w:highlight w:val="none"/>
              </w:rPr>
              <w:t>50L/人·d计，用水量约为1.</w:t>
            </w:r>
            <w:r>
              <w:rPr>
                <w:rFonts w:hint="eastAsia" w:cs="宋体"/>
                <w:color w:val="auto"/>
                <w:highlight w:val="none"/>
                <w:lang w:val="en-US" w:eastAsia="zh-CN"/>
              </w:rPr>
              <w:t>2</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cs="宋体"/>
                <w:color w:val="auto"/>
                <w:highlight w:val="none"/>
                <w:lang w:val="en-US" w:eastAsia="zh-CN"/>
              </w:rPr>
              <w:t>438</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/a），排水系数取0.8，产生生活污水</w:t>
            </w:r>
            <w:r>
              <w:rPr>
                <w:rFonts w:hint="eastAsia" w:cs="宋体"/>
                <w:color w:val="auto"/>
                <w:highlight w:val="none"/>
                <w:lang w:val="en-US" w:eastAsia="zh-CN"/>
              </w:rPr>
              <w:t>1.0</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cs="宋体"/>
                <w:color w:val="auto"/>
                <w:highlight w:val="none"/>
                <w:lang w:val="en-US" w:eastAsia="zh-CN"/>
              </w:rPr>
              <w:t>350.4</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p>
          <w:p w14:paraId="2464E16F">
            <w:pPr>
              <w:widowControl/>
              <w:kinsoku w:val="0"/>
              <w:autoSpaceDE w:val="0"/>
              <w:autoSpaceDN w:val="0"/>
              <w:adjustRightInd w:val="0"/>
              <w:snapToGrid w:val="0"/>
              <w:ind w:firstLine="480" w:firstLineChars="200"/>
              <w:jc w:val="left"/>
              <w:textAlignment w:val="baseline"/>
              <w:rPr>
                <w:rFonts w:hint="eastAsia" w:ascii="宋体" w:hAnsi="宋体"/>
                <w:color w:val="auto"/>
                <w:highlight w:val="none"/>
              </w:rPr>
            </w:pPr>
            <w:r>
              <w:rPr>
                <w:rFonts w:hint="eastAsia"/>
                <w:color w:val="auto"/>
                <w:highlight w:val="none"/>
              </w:rPr>
              <w:t>根据建设单位提供资料，本项目建成后往来人员约</w:t>
            </w:r>
            <w:r>
              <w:rPr>
                <w:rFonts w:hint="eastAsia"/>
                <w:color w:val="auto"/>
                <w:highlight w:val="none"/>
                <w:lang w:val="en-US" w:eastAsia="zh-CN"/>
              </w:rPr>
              <w:t>45</w:t>
            </w:r>
            <w:r>
              <w:rPr>
                <w:rFonts w:hint="eastAsia"/>
                <w:color w:val="auto"/>
                <w:highlight w:val="none"/>
              </w:rPr>
              <w:t>0人/天，</w:t>
            </w:r>
            <w:bookmarkStart w:id="25" w:name="OLE_LINK25"/>
            <w:r>
              <w:rPr>
                <w:rFonts w:hint="eastAsia"/>
                <w:color w:val="auto"/>
                <w:highlight w:val="none"/>
              </w:rPr>
              <w:t>如厕按旅客数量的</w:t>
            </w:r>
            <w:r>
              <w:rPr>
                <w:rFonts w:hint="eastAsia"/>
                <w:color w:val="auto"/>
                <w:highlight w:val="none"/>
                <w:lang w:val="en-US" w:eastAsia="zh-CN"/>
              </w:rPr>
              <w:t>5</w:t>
            </w:r>
            <w:r>
              <w:rPr>
                <w:rFonts w:hint="eastAsia"/>
                <w:color w:val="auto"/>
                <w:highlight w:val="none"/>
              </w:rPr>
              <w:t>0%计，用水量以20L/人·天计，</w:t>
            </w:r>
            <w:bookmarkStart w:id="26" w:name="OLE_LINK26"/>
            <w:r>
              <w:rPr>
                <w:rFonts w:hint="eastAsia"/>
                <w:color w:val="auto"/>
                <w:highlight w:val="none"/>
              </w:rPr>
              <w:t>则往来人员生活用水为</w:t>
            </w:r>
            <w:r>
              <w:rPr>
                <w:rFonts w:hint="eastAsia"/>
                <w:color w:val="auto"/>
                <w:highlight w:val="none"/>
                <w:lang w:val="en-US" w:eastAsia="zh-CN"/>
              </w:rPr>
              <w:t>4.5</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1642.5</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w:t>
            </w:r>
            <w:bookmarkEnd w:id="25"/>
            <w:bookmarkEnd w:id="26"/>
            <w:r>
              <w:rPr>
                <w:rFonts w:hint="eastAsia" w:ascii="宋体" w:hAnsi="宋体"/>
                <w:color w:val="auto"/>
                <w:highlight w:val="none"/>
              </w:rPr>
              <w:t>，排水系数取</w:t>
            </w:r>
            <w:r>
              <w:rPr>
                <w:rFonts w:hint="eastAsia" w:ascii="TimesNewRomanPSMT" w:hAnsi="TimesNewRomanPSMT" w:eastAsia="TimesNewRomanPSMT"/>
                <w:color w:val="auto"/>
                <w:highlight w:val="none"/>
              </w:rPr>
              <w:t>0.8</w:t>
            </w:r>
            <w:r>
              <w:rPr>
                <w:rFonts w:hint="eastAsia" w:ascii="宋体" w:hAnsi="宋体"/>
                <w:color w:val="auto"/>
                <w:highlight w:val="none"/>
              </w:rPr>
              <w:t>，产生生活污水</w:t>
            </w:r>
            <w:r>
              <w:rPr>
                <w:rFonts w:hint="eastAsia" w:ascii="TimesNewRomanPSMT" w:hAnsi="TimesNewRomanPSMT"/>
                <w:color w:val="auto"/>
                <w:highlight w:val="none"/>
                <w:lang w:val="en-US" w:eastAsia="zh-CN"/>
              </w:rPr>
              <w:t>3.6</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1314</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w:t>
            </w:r>
          </w:p>
          <w:p w14:paraId="0A08DDEB">
            <w:pPr>
              <w:widowControl/>
              <w:kinsoku w:val="0"/>
              <w:autoSpaceDE w:val="0"/>
              <w:autoSpaceDN w:val="0"/>
              <w:adjustRightInd w:val="0"/>
              <w:snapToGrid w:val="0"/>
              <w:ind w:firstLine="480" w:firstLineChars="200"/>
              <w:jc w:val="left"/>
              <w:textAlignment w:val="baseline"/>
              <w:rPr>
                <w:rFonts w:hint="eastAsia" w:ascii="宋体" w:hAnsi="宋体"/>
                <w:color w:val="auto"/>
                <w:highlight w:val="none"/>
              </w:rPr>
            </w:pPr>
            <w:r>
              <w:rPr>
                <w:rFonts w:hint="eastAsia" w:ascii="宋体" w:hAnsi="宋体"/>
                <w:color w:val="auto"/>
                <w:highlight w:val="none"/>
              </w:rPr>
              <w:t>综上，本项目</w:t>
            </w:r>
            <w:r>
              <w:rPr>
                <w:rFonts w:hint="eastAsia" w:ascii="宋体" w:hAnsi="宋体"/>
                <w:color w:val="auto"/>
                <w:highlight w:val="none"/>
                <w:lang w:eastAsia="zh-CN"/>
              </w:rPr>
              <w:t>西侧地块产生的</w:t>
            </w:r>
            <w:r>
              <w:rPr>
                <w:rFonts w:hint="eastAsia" w:ascii="宋体" w:hAnsi="宋体"/>
                <w:color w:val="auto"/>
                <w:highlight w:val="none"/>
              </w:rPr>
              <w:t>生活用水量为</w:t>
            </w:r>
            <w:r>
              <w:rPr>
                <w:rFonts w:hint="eastAsia" w:ascii="TimesNewRomanPSMT" w:hAnsi="TimesNewRomanPSMT"/>
                <w:color w:val="auto"/>
                <w:highlight w:val="none"/>
                <w:lang w:val="en-US" w:eastAsia="zh-CN"/>
              </w:rPr>
              <w:t>5.7</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2080.5</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），生活污水</w:t>
            </w:r>
            <w:r>
              <w:rPr>
                <w:rFonts w:hint="eastAsia" w:ascii="TimesNewRomanPSMT" w:hAnsi="TimesNewRomanPSMT" w:eastAsia="TimesNewRomanPSMT"/>
                <w:color w:val="auto"/>
                <w:highlight w:val="none"/>
              </w:rPr>
              <w:t>量为</w:t>
            </w:r>
            <w:r>
              <w:rPr>
                <w:rFonts w:hint="eastAsia" w:ascii="TimesNewRomanPSMT" w:hAnsi="TimesNewRomanPSMT"/>
                <w:color w:val="auto"/>
                <w:highlight w:val="none"/>
                <w:lang w:val="en-US" w:eastAsia="zh-CN"/>
              </w:rPr>
              <w:t>4.56</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1664.4</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），生活污水</w:t>
            </w:r>
            <w:r>
              <w:rPr>
                <w:rFonts w:hint="eastAsia" w:ascii="TimesNewRomanPSMT" w:hAnsi="TimesNewRomanPSMT" w:eastAsia="TimesNewRomanPSMT"/>
                <w:color w:val="auto"/>
                <w:highlight w:val="none"/>
              </w:rPr>
              <w:t>中主要污染</w:t>
            </w:r>
            <w:r>
              <w:rPr>
                <w:rFonts w:hint="eastAsia" w:ascii="宋体" w:hAnsi="宋体"/>
                <w:color w:val="auto"/>
                <w:highlight w:val="none"/>
              </w:rPr>
              <w:t>因子为</w:t>
            </w:r>
            <w:r>
              <w:rPr>
                <w:rFonts w:hint="eastAsia" w:ascii="TimesNewRomanPSMT" w:hAnsi="TimesNewRomanPSMT" w:eastAsia="TimesNewRomanPSMT"/>
                <w:color w:val="auto"/>
                <w:highlight w:val="none"/>
              </w:rPr>
              <w:t>COD</w:t>
            </w:r>
            <w:r>
              <w:rPr>
                <w:rFonts w:hint="eastAsia" w:ascii="TimesNewRomanPSMT" w:hAnsi="TimesNewRomanPSMT"/>
                <w:color w:val="auto"/>
                <w:highlight w:val="none"/>
              </w:rPr>
              <w:t>cr</w:t>
            </w:r>
            <w:r>
              <w:rPr>
                <w:rFonts w:hint="eastAsia" w:ascii="宋体" w:hAnsi="宋体"/>
                <w:color w:val="auto"/>
                <w:highlight w:val="none"/>
              </w:rPr>
              <w:t>、</w:t>
            </w:r>
            <w:r>
              <w:rPr>
                <w:rFonts w:hint="eastAsia" w:ascii="TimesNewRomanPSMT" w:hAnsi="TimesNewRomanPSMT" w:eastAsia="TimesNewRomanPSMT"/>
                <w:color w:val="auto"/>
                <w:highlight w:val="none"/>
              </w:rPr>
              <w:t>BOD</w:t>
            </w:r>
            <w:r>
              <w:rPr>
                <w:rFonts w:hint="eastAsia" w:ascii="TimesNewRomanPSMT" w:hAnsi="TimesNewRomanPSMT" w:eastAsia="TimesNewRomanPSMT"/>
                <w:color w:val="auto"/>
                <w:highlight w:val="none"/>
                <w:vertAlign w:val="subscript"/>
              </w:rPr>
              <w:t>5</w:t>
            </w:r>
            <w:r>
              <w:rPr>
                <w:rFonts w:hint="eastAsia" w:ascii="宋体" w:hAnsi="宋体"/>
                <w:color w:val="auto"/>
                <w:highlight w:val="none"/>
              </w:rPr>
              <w:t>、</w:t>
            </w:r>
            <w:r>
              <w:rPr>
                <w:rFonts w:hint="eastAsia" w:ascii="TimesNewRomanPSMT" w:hAnsi="TimesNewRomanPSMT" w:eastAsia="TimesNewRomanPSMT"/>
                <w:color w:val="auto"/>
                <w:highlight w:val="none"/>
              </w:rPr>
              <w:t>SS</w:t>
            </w:r>
            <w:r>
              <w:rPr>
                <w:rFonts w:hint="eastAsia" w:ascii="宋体" w:hAnsi="宋体"/>
                <w:color w:val="auto"/>
                <w:highlight w:val="none"/>
              </w:rPr>
              <w:t>、氨氮，</w:t>
            </w:r>
            <w:r>
              <w:rPr>
                <w:color w:val="auto"/>
                <w:highlight w:val="none"/>
              </w:rPr>
              <w:t>废水中各污染因子产生浓度为CODcr：3</w:t>
            </w:r>
            <w:r>
              <w:rPr>
                <w:rFonts w:hint="eastAsia"/>
                <w:color w:val="auto"/>
                <w:highlight w:val="none"/>
              </w:rPr>
              <w:t>0</w:t>
            </w:r>
            <w:r>
              <w:rPr>
                <w:color w:val="auto"/>
                <w:highlight w:val="none"/>
              </w:rPr>
              <w:t>0mg/L、BOD</w:t>
            </w:r>
            <w:r>
              <w:rPr>
                <w:color w:val="auto"/>
                <w:highlight w:val="none"/>
                <w:vertAlign w:val="subscript"/>
              </w:rPr>
              <w:t>5</w:t>
            </w:r>
            <w:r>
              <w:rPr>
                <w:color w:val="auto"/>
                <w:highlight w:val="none"/>
              </w:rPr>
              <w:t>：</w:t>
            </w:r>
            <w:r>
              <w:rPr>
                <w:rFonts w:hint="eastAsia"/>
                <w:color w:val="auto"/>
                <w:highlight w:val="none"/>
                <w:lang w:val="en-US" w:eastAsia="zh-CN"/>
              </w:rPr>
              <w:t>100</w:t>
            </w:r>
            <w:r>
              <w:rPr>
                <w:color w:val="auto"/>
                <w:highlight w:val="none"/>
              </w:rPr>
              <w:t>mg/L、SS：</w:t>
            </w:r>
            <w:r>
              <w:rPr>
                <w:rFonts w:hint="eastAsia"/>
                <w:color w:val="auto"/>
                <w:highlight w:val="none"/>
              </w:rPr>
              <w:t>200</w:t>
            </w:r>
            <w:r>
              <w:rPr>
                <w:color w:val="auto"/>
                <w:highlight w:val="none"/>
              </w:rPr>
              <w:t>mg/L、NH</w:t>
            </w:r>
            <w:r>
              <w:rPr>
                <w:color w:val="auto"/>
                <w:highlight w:val="none"/>
                <w:vertAlign w:val="subscript"/>
              </w:rPr>
              <w:t>3</w:t>
            </w:r>
            <w:r>
              <w:rPr>
                <w:color w:val="auto"/>
                <w:highlight w:val="none"/>
              </w:rPr>
              <w:t>-N：</w:t>
            </w:r>
            <w:r>
              <w:rPr>
                <w:rFonts w:hint="eastAsia"/>
                <w:color w:val="auto"/>
                <w:highlight w:val="none"/>
              </w:rPr>
              <w:t>20</w:t>
            </w:r>
            <w:r>
              <w:rPr>
                <w:color w:val="auto"/>
                <w:highlight w:val="none"/>
              </w:rPr>
              <w:t>mg/L</w:t>
            </w:r>
            <w:r>
              <w:rPr>
                <w:rFonts w:hint="eastAsia" w:ascii="宋体" w:hAnsi="宋体"/>
                <w:color w:val="auto"/>
                <w:highlight w:val="none"/>
              </w:rPr>
              <w:t>，则生活污水中污染物产生量为：</w:t>
            </w:r>
            <w:r>
              <w:rPr>
                <w:color w:val="auto"/>
                <w:highlight w:val="none"/>
              </w:rPr>
              <w:t>CODcr：</w:t>
            </w:r>
            <w:r>
              <w:rPr>
                <w:rFonts w:hint="eastAsia"/>
                <w:color w:val="auto"/>
                <w:highlight w:val="none"/>
                <w:lang w:val="en-US" w:eastAsia="zh-CN"/>
              </w:rPr>
              <w:t>0.499</w:t>
            </w:r>
            <w:r>
              <w:rPr>
                <w:rFonts w:hint="eastAsia"/>
                <w:color w:val="auto"/>
                <w:highlight w:val="none"/>
              </w:rPr>
              <w:t>t/a</w:t>
            </w:r>
            <w:r>
              <w:rPr>
                <w:color w:val="auto"/>
                <w:highlight w:val="none"/>
              </w:rPr>
              <w:t>、BOD</w:t>
            </w:r>
            <w:r>
              <w:rPr>
                <w:color w:val="auto"/>
                <w:highlight w:val="none"/>
                <w:vertAlign w:val="subscript"/>
              </w:rPr>
              <w:t>5</w:t>
            </w:r>
            <w:r>
              <w:rPr>
                <w:color w:val="auto"/>
                <w:highlight w:val="none"/>
              </w:rPr>
              <w:t>：</w:t>
            </w:r>
            <w:r>
              <w:rPr>
                <w:rFonts w:hint="eastAsia"/>
                <w:color w:val="auto"/>
                <w:highlight w:val="none"/>
                <w:lang w:val="en-US" w:eastAsia="zh-CN"/>
              </w:rPr>
              <w:t>0.166</w:t>
            </w:r>
            <w:r>
              <w:rPr>
                <w:rFonts w:hint="eastAsia"/>
                <w:color w:val="auto"/>
                <w:highlight w:val="none"/>
              </w:rPr>
              <w:t>t/a</w:t>
            </w:r>
            <w:r>
              <w:rPr>
                <w:color w:val="auto"/>
                <w:highlight w:val="none"/>
              </w:rPr>
              <w:t>、NH</w:t>
            </w:r>
            <w:r>
              <w:rPr>
                <w:color w:val="auto"/>
                <w:highlight w:val="none"/>
                <w:vertAlign w:val="subscript"/>
              </w:rPr>
              <w:t>3</w:t>
            </w:r>
            <w:r>
              <w:rPr>
                <w:color w:val="auto"/>
                <w:highlight w:val="none"/>
              </w:rPr>
              <w:t>-N：</w:t>
            </w:r>
            <w:r>
              <w:rPr>
                <w:rFonts w:hint="eastAsia"/>
                <w:color w:val="auto"/>
                <w:highlight w:val="none"/>
              </w:rPr>
              <w:t>0.</w:t>
            </w:r>
            <w:r>
              <w:rPr>
                <w:rFonts w:hint="eastAsia"/>
                <w:color w:val="auto"/>
                <w:highlight w:val="none"/>
                <w:lang w:val="en-US" w:eastAsia="zh-CN"/>
              </w:rPr>
              <w:t>033</w:t>
            </w:r>
            <w:r>
              <w:rPr>
                <w:rFonts w:hint="eastAsia"/>
                <w:color w:val="auto"/>
                <w:highlight w:val="none"/>
              </w:rPr>
              <w:t>t/a</w:t>
            </w:r>
            <w:r>
              <w:rPr>
                <w:color w:val="auto"/>
                <w:highlight w:val="none"/>
              </w:rPr>
              <w:t>、SS：</w:t>
            </w:r>
            <w:r>
              <w:rPr>
                <w:rFonts w:hint="eastAsia"/>
                <w:color w:val="auto"/>
                <w:highlight w:val="none"/>
              </w:rPr>
              <w:t>0.</w:t>
            </w:r>
            <w:r>
              <w:rPr>
                <w:rFonts w:hint="eastAsia"/>
                <w:color w:val="auto"/>
                <w:highlight w:val="none"/>
                <w:lang w:val="en-US" w:eastAsia="zh-CN"/>
              </w:rPr>
              <w:t>333</w:t>
            </w:r>
            <w:r>
              <w:rPr>
                <w:rFonts w:hint="eastAsia"/>
                <w:color w:val="auto"/>
                <w:highlight w:val="none"/>
              </w:rPr>
              <w:t>t/a。</w:t>
            </w:r>
            <w:r>
              <w:rPr>
                <w:rFonts w:hint="eastAsia" w:ascii="宋体" w:hAnsi="宋体"/>
                <w:color w:val="auto"/>
                <w:highlight w:val="none"/>
              </w:rPr>
              <w:t>生活污水经化粪池处理后，</w:t>
            </w:r>
            <w:r>
              <w:rPr>
                <w:color w:val="auto"/>
                <w:highlight w:val="none"/>
              </w:rPr>
              <w:t>排入市政污水管网</w:t>
            </w:r>
            <w:r>
              <w:rPr>
                <w:rFonts w:hint="eastAsia"/>
                <w:color w:val="auto"/>
                <w:highlight w:val="none"/>
              </w:rPr>
              <w:t>，进入</w:t>
            </w:r>
            <w:r>
              <w:rPr>
                <w:rFonts w:hint="eastAsia"/>
                <w:color w:val="auto"/>
                <w:highlight w:val="none"/>
                <w:lang w:eastAsia="zh-CN"/>
              </w:rPr>
              <w:t>石姚湾净水厂</w:t>
            </w:r>
            <w:r>
              <w:rPr>
                <w:rFonts w:hint="eastAsia" w:ascii="宋体" w:hAnsi="宋体"/>
                <w:color w:val="auto"/>
                <w:highlight w:val="none"/>
              </w:rPr>
              <w:t>进行处理。</w:t>
            </w:r>
          </w:p>
          <w:p w14:paraId="6703DCDE">
            <w:pPr>
              <w:ind w:firstLine="480" w:firstLineChars="200"/>
              <w:rPr>
                <w:color w:val="auto"/>
                <w:highlight w:val="none"/>
              </w:rPr>
            </w:pPr>
            <w:r>
              <w:rPr>
                <w:rFonts w:hint="eastAsia"/>
                <w:color w:val="auto"/>
                <w:highlight w:val="none"/>
                <w:lang w:eastAsia="zh-CN"/>
              </w:rPr>
              <w:t>②</w:t>
            </w:r>
            <w:r>
              <w:rPr>
                <w:rFonts w:hint="eastAsia"/>
                <w:bCs/>
                <w:color w:val="auto"/>
                <w:highlight w:val="none"/>
                <w:lang w:eastAsia="zh-CN"/>
              </w:rPr>
              <w:t>内部综合能源站</w:t>
            </w:r>
            <w:r>
              <w:rPr>
                <w:rFonts w:hint="eastAsia"/>
                <w:color w:val="auto"/>
                <w:highlight w:val="none"/>
              </w:rPr>
              <w:t>生活污水</w:t>
            </w:r>
          </w:p>
          <w:p w14:paraId="39CAF5F0">
            <w:pPr>
              <w:ind w:firstLine="480" w:firstLineChars="200"/>
              <w:rPr>
                <w:rFonts w:hint="eastAsia" w:ascii="宋体" w:hAnsi="宋体"/>
                <w:color w:val="auto"/>
                <w:highlight w:val="none"/>
              </w:rPr>
            </w:pPr>
            <w:r>
              <w:rPr>
                <w:rFonts w:hint="eastAsia" w:cs="宋体"/>
                <w:color w:val="auto"/>
                <w:highlight w:val="none"/>
              </w:rPr>
              <w:t>项目</w:t>
            </w:r>
            <w:r>
              <w:rPr>
                <w:rFonts w:hint="eastAsia"/>
                <w:bCs/>
                <w:color w:val="auto"/>
                <w:highlight w:val="none"/>
                <w:lang w:eastAsia="zh-CN"/>
              </w:rPr>
              <w:t>内部综合能源站</w:t>
            </w:r>
            <w:r>
              <w:rPr>
                <w:rFonts w:hint="eastAsia" w:cs="宋体"/>
                <w:color w:val="auto"/>
                <w:highlight w:val="none"/>
              </w:rPr>
              <w:t>设置劳动定员共</w:t>
            </w:r>
            <w:r>
              <w:rPr>
                <w:rFonts w:hint="eastAsia" w:cs="宋体"/>
                <w:color w:val="auto"/>
                <w:highlight w:val="none"/>
                <w:lang w:val="en-US" w:eastAsia="zh-CN"/>
              </w:rPr>
              <w:t>6</w:t>
            </w:r>
            <w:r>
              <w:rPr>
                <w:rFonts w:hint="eastAsia" w:cs="宋体"/>
                <w:color w:val="auto"/>
                <w:highlight w:val="none"/>
              </w:rPr>
              <w:t>人，年工作365天，人均用水量按50L/人·d计，用水量约为</w:t>
            </w:r>
            <w:r>
              <w:rPr>
                <w:rFonts w:hint="eastAsia" w:cs="宋体"/>
                <w:color w:val="auto"/>
                <w:highlight w:val="none"/>
                <w:lang w:val="en-US" w:eastAsia="zh-CN"/>
              </w:rPr>
              <w:t>0.3</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cs="宋体"/>
                <w:color w:val="auto"/>
                <w:highlight w:val="none"/>
                <w:lang w:val="en-US" w:eastAsia="zh-CN"/>
              </w:rPr>
              <w:t>109.5</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/a），排水系数取0.8，产生生活污水</w:t>
            </w:r>
            <w:r>
              <w:rPr>
                <w:rFonts w:hint="eastAsia" w:cs="宋体"/>
                <w:color w:val="auto"/>
                <w:highlight w:val="none"/>
                <w:lang w:val="en-US" w:eastAsia="zh-CN"/>
              </w:rPr>
              <w:t>0.2</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cs="宋体"/>
                <w:color w:val="auto"/>
                <w:highlight w:val="none"/>
                <w:lang w:val="en-US" w:eastAsia="zh-CN"/>
              </w:rPr>
              <w:t>87.6</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w:t>
            </w:r>
          </w:p>
          <w:p w14:paraId="691F14D0">
            <w:pPr>
              <w:widowControl/>
              <w:kinsoku w:val="0"/>
              <w:autoSpaceDE w:val="0"/>
              <w:autoSpaceDN w:val="0"/>
              <w:adjustRightInd w:val="0"/>
              <w:snapToGrid w:val="0"/>
              <w:ind w:firstLine="480" w:firstLineChars="200"/>
              <w:jc w:val="left"/>
              <w:textAlignment w:val="baseline"/>
              <w:rPr>
                <w:rFonts w:hint="eastAsia" w:ascii="宋体" w:hAnsi="宋体"/>
                <w:color w:val="auto"/>
                <w:highlight w:val="none"/>
              </w:rPr>
            </w:pPr>
            <w:r>
              <w:rPr>
                <w:rFonts w:hint="eastAsia"/>
                <w:color w:val="auto"/>
                <w:highlight w:val="none"/>
              </w:rPr>
              <w:t>根据建设单位提供资料，本项目建成后往来人员约</w:t>
            </w:r>
            <w:r>
              <w:rPr>
                <w:rFonts w:hint="eastAsia"/>
                <w:color w:val="auto"/>
                <w:highlight w:val="none"/>
                <w:lang w:val="en-US" w:eastAsia="zh-CN"/>
              </w:rPr>
              <w:t>200</w:t>
            </w:r>
            <w:r>
              <w:rPr>
                <w:rFonts w:hint="eastAsia"/>
                <w:color w:val="auto"/>
                <w:highlight w:val="none"/>
              </w:rPr>
              <w:t>人/天，如厕按旅客数量的</w:t>
            </w:r>
            <w:r>
              <w:rPr>
                <w:rFonts w:hint="eastAsia"/>
                <w:color w:val="auto"/>
                <w:highlight w:val="none"/>
                <w:lang w:val="en-US" w:eastAsia="zh-CN"/>
              </w:rPr>
              <w:t>5</w:t>
            </w:r>
            <w:r>
              <w:rPr>
                <w:rFonts w:hint="eastAsia"/>
                <w:color w:val="auto"/>
                <w:highlight w:val="none"/>
              </w:rPr>
              <w:t>0%计，用水量以20L/人·天计，则往来人员生活用水为</w:t>
            </w:r>
            <w:r>
              <w:rPr>
                <w:rFonts w:hint="eastAsia"/>
                <w:color w:val="auto"/>
                <w:highlight w:val="none"/>
                <w:lang w:val="en-US" w:eastAsia="zh-CN"/>
              </w:rPr>
              <w:t>2</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730</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），排水系数取</w:t>
            </w:r>
            <w:r>
              <w:rPr>
                <w:rFonts w:hint="eastAsia" w:ascii="TimesNewRomanPSMT" w:hAnsi="TimesNewRomanPSMT" w:eastAsia="TimesNewRomanPSMT"/>
                <w:color w:val="auto"/>
                <w:highlight w:val="none"/>
              </w:rPr>
              <w:t>0.8</w:t>
            </w:r>
            <w:r>
              <w:rPr>
                <w:rFonts w:hint="eastAsia" w:ascii="宋体" w:hAnsi="宋体"/>
                <w:color w:val="auto"/>
                <w:highlight w:val="none"/>
              </w:rPr>
              <w:t>，产生生活污水</w:t>
            </w:r>
            <w:r>
              <w:rPr>
                <w:rFonts w:hint="eastAsia" w:ascii="TimesNewRomanPSMT" w:hAnsi="TimesNewRomanPSMT"/>
                <w:color w:val="auto"/>
                <w:highlight w:val="none"/>
                <w:lang w:val="en-US" w:eastAsia="zh-CN"/>
              </w:rPr>
              <w:t>1.6</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584</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w:t>
            </w:r>
          </w:p>
          <w:p w14:paraId="377F1A2E">
            <w:pPr>
              <w:pStyle w:val="9"/>
              <w:ind w:firstLine="480" w:firstLineChars="200"/>
              <w:rPr>
                <w:rFonts w:hint="eastAsia"/>
                <w:color w:val="auto"/>
                <w:highlight w:val="none"/>
              </w:rPr>
            </w:pPr>
            <w:r>
              <w:rPr>
                <w:rFonts w:hint="eastAsia" w:ascii="宋体" w:hAnsi="宋体"/>
                <w:color w:val="auto"/>
                <w:highlight w:val="none"/>
              </w:rPr>
              <w:t>综上，本项目</w:t>
            </w:r>
            <w:r>
              <w:rPr>
                <w:rFonts w:hint="eastAsia" w:ascii="宋体" w:hAnsi="宋体"/>
                <w:color w:val="auto"/>
                <w:highlight w:val="none"/>
                <w:lang w:eastAsia="zh-CN"/>
              </w:rPr>
              <w:t>东侧地块产生的</w:t>
            </w:r>
            <w:r>
              <w:rPr>
                <w:rFonts w:hint="eastAsia" w:ascii="宋体" w:hAnsi="宋体"/>
                <w:color w:val="auto"/>
                <w:highlight w:val="none"/>
              </w:rPr>
              <w:t>生活用水量为</w:t>
            </w:r>
            <w:r>
              <w:rPr>
                <w:rFonts w:hint="eastAsia" w:ascii="TimesNewRomanPSMT" w:hAnsi="TimesNewRomanPSMT"/>
                <w:color w:val="auto"/>
                <w:highlight w:val="none"/>
                <w:lang w:val="en-US" w:eastAsia="zh-CN"/>
              </w:rPr>
              <w:t>2.3</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839.5</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），生活污水</w:t>
            </w:r>
            <w:r>
              <w:rPr>
                <w:rFonts w:hint="eastAsia" w:ascii="TimesNewRomanPSMT" w:hAnsi="TimesNewRomanPSMT" w:eastAsia="TimesNewRomanPSMT"/>
                <w:color w:val="auto"/>
                <w:highlight w:val="none"/>
              </w:rPr>
              <w:t>量为</w:t>
            </w:r>
            <w:r>
              <w:rPr>
                <w:rFonts w:hint="eastAsia" w:ascii="TimesNewRomanPSMT" w:hAnsi="TimesNewRomanPSMT" w:eastAsia="宋体"/>
                <w:color w:val="auto"/>
                <w:highlight w:val="none"/>
                <w:lang w:val="en-US" w:eastAsia="zh-CN"/>
              </w:rPr>
              <w:t>1.84</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ascii="宋体" w:hAnsi="宋体"/>
                <w:color w:val="auto"/>
                <w:highlight w:val="none"/>
              </w:rPr>
              <w:t>（</w:t>
            </w:r>
            <w:r>
              <w:rPr>
                <w:rFonts w:hint="eastAsia" w:ascii="TimesNewRomanPSMT" w:hAnsi="TimesNewRomanPSMT"/>
                <w:color w:val="auto"/>
                <w:highlight w:val="none"/>
                <w:lang w:val="en-US" w:eastAsia="zh-CN"/>
              </w:rPr>
              <w:t>671.6</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rFonts w:hint="eastAsia" w:ascii="宋体" w:hAnsi="宋体"/>
                <w:color w:val="auto"/>
                <w:highlight w:val="none"/>
              </w:rPr>
              <w:t>），生活污水</w:t>
            </w:r>
            <w:r>
              <w:rPr>
                <w:rFonts w:hint="eastAsia" w:ascii="TimesNewRomanPSMT" w:hAnsi="TimesNewRomanPSMT" w:eastAsia="TimesNewRomanPSMT"/>
                <w:color w:val="auto"/>
                <w:highlight w:val="none"/>
              </w:rPr>
              <w:t>中主要污染</w:t>
            </w:r>
            <w:r>
              <w:rPr>
                <w:rFonts w:hint="eastAsia" w:ascii="宋体" w:hAnsi="宋体"/>
                <w:color w:val="auto"/>
                <w:highlight w:val="none"/>
              </w:rPr>
              <w:t>因子为</w:t>
            </w:r>
            <w:r>
              <w:rPr>
                <w:rFonts w:hint="eastAsia" w:ascii="TimesNewRomanPSMT" w:hAnsi="TimesNewRomanPSMT" w:eastAsia="TimesNewRomanPSMT"/>
                <w:color w:val="auto"/>
                <w:highlight w:val="none"/>
              </w:rPr>
              <w:t>COD</w:t>
            </w:r>
            <w:r>
              <w:rPr>
                <w:rFonts w:hint="eastAsia" w:ascii="TimesNewRomanPSMT" w:hAnsi="TimesNewRomanPSMT"/>
                <w:color w:val="auto"/>
                <w:highlight w:val="none"/>
              </w:rPr>
              <w:t>cr</w:t>
            </w:r>
            <w:r>
              <w:rPr>
                <w:rFonts w:hint="eastAsia" w:ascii="宋体" w:hAnsi="宋体"/>
                <w:color w:val="auto"/>
                <w:highlight w:val="none"/>
              </w:rPr>
              <w:t>、</w:t>
            </w:r>
            <w:r>
              <w:rPr>
                <w:rFonts w:hint="eastAsia" w:ascii="TimesNewRomanPSMT" w:hAnsi="TimesNewRomanPSMT" w:eastAsia="TimesNewRomanPSMT"/>
                <w:color w:val="auto"/>
                <w:highlight w:val="none"/>
              </w:rPr>
              <w:t>BOD</w:t>
            </w:r>
            <w:r>
              <w:rPr>
                <w:rFonts w:hint="eastAsia" w:ascii="TimesNewRomanPSMT" w:hAnsi="TimesNewRomanPSMT" w:eastAsia="TimesNewRomanPSMT"/>
                <w:color w:val="auto"/>
                <w:highlight w:val="none"/>
                <w:vertAlign w:val="subscript"/>
              </w:rPr>
              <w:t>5</w:t>
            </w:r>
            <w:r>
              <w:rPr>
                <w:rFonts w:hint="eastAsia" w:ascii="宋体" w:hAnsi="宋体"/>
                <w:color w:val="auto"/>
                <w:highlight w:val="none"/>
              </w:rPr>
              <w:t>、</w:t>
            </w:r>
            <w:r>
              <w:rPr>
                <w:rFonts w:hint="eastAsia" w:ascii="TimesNewRomanPSMT" w:hAnsi="TimesNewRomanPSMT" w:eastAsia="TimesNewRomanPSMT"/>
                <w:color w:val="auto"/>
                <w:highlight w:val="none"/>
              </w:rPr>
              <w:t>SS</w:t>
            </w:r>
            <w:r>
              <w:rPr>
                <w:rFonts w:hint="eastAsia" w:ascii="宋体" w:hAnsi="宋体"/>
                <w:color w:val="auto"/>
                <w:highlight w:val="none"/>
              </w:rPr>
              <w:t>、氨氮，</w:t>
            </w:r>
            <w:r>
              <w:rPr>
                <w:color w:val="auto"/>
                <w:highlight w:val="none"/>
              </w:rPr>
              <w:t>废水中各污染因子产生浓度为CODcr：3</w:t>
            </w:r>
            <w:r>
              <w:rPr>
                <w:rFonts w:hint="eastAsia"/>
                <w:color w:val="auto"/>
                <w:highlight w:val="none"/>
              </w:rPr>
              <w:t>0</w:t>
            </w:r>
            <w:r>
              <w:rPr>
                <w:color w:val="auto"/>
                <w:highlight w:val="none"/>
              </w:rPr>
              <w:t>0mg/L、BOD</w:t>
            </w:r>
            <w:r>
              <w:rPr>
                <w:color w:val="auto"/>
                <w:highlight w:val="none"/>
                <w:vertAlign w:val="subscript"/>
              </w:rPr>
              <w:t>5</w:t>
            </w:r>
            <w:r>
              <w:rPr>
                <w:color w:val="auto"/>
                <w:highlight w:val="none"/>
              </w:rPr>
              <w:t>：</w:t>
            </w:r>
            <w:r>
              <w:rPr>
                <w:rFonts w:hint="eastAsia"/>
                <w:color w:val="auto"/>
                <w:highlight w:val="none"/>
                <w:lang w:val="en-US" w:eastAsia="zh-CN"/>
              </w:rPr>
              <w:t>100</w:t>
            </w:r>
            <w:r>
              <w:rPr>
                <w:color w:val="auto"/>
                <w:highlight w:val="none"/>
              </w:rPr>
              <w:t>mg/L、SS：</w:t>
            </w:r>
            <w:r>
              <w:rPr>
                <w:rFonts w:hint="eastAsia"/>
                <w:color w:val="auto"/>
                <w:highlight w:val="none"/>
              </w:rPr>
              <w:t>200</w:t>
            </w:r>
            <w:r>
              <w:rPr>
                <w:color w:val="auto"/>
                <w:highlight w:val="none"/>
              </w:rPr>
              <w:t>mg/L、NH</w:t>
            </w:r>
            <w:r>
              <w:rPr>
                <w:color w:val="auto"/>
                <w:highlight w:val="none"/>
                <w:vertAlign w:val="subscript"/>
              </w:rPr>
              <w:t>3</w:t>
            </w:r>
            <w:r>
              <w:rPr>
                <w:color w:val="auto"/>
                <w:highlight w:val="none"/>
              </w:rPr>
              <w:t>-N：</w:t>
            </w:r>
            <w:r>
              <w:rPr>
                <w:rFonts w:hint="eastAsia"/>
                <w:color w:val="auto"/>
                <w:highlight w:val="none"/>
              </w:rPr>
              <w:t>20</w:t>
            </w:r>
            <w:r>
              <w:rPr>
                <w:color w:val="auto"/>
                <w:highlight w:val="none"/>
              </w:rPr>
              <w:t>mg/L</w:t>
            </w:r>
            <w:r>
              <w:rPr>
                <w:rFonts w:hint="eastAsia" w:ascii="宋体" w:hAnsi="宋体"/>
                <w:color w:val="auto"/>
                <w:highlight w:val="none"/>
              </w:rPr>
              <w:t>，则生活污水中污染物产生量为：</w:t>
            </w:r>
            <w:r>
              <w:rPr>
                <w:color w:val="auto"/>
                <w:highlight w:val="none"/>
              </w:rPr>
              <w:t>CODcr：</w:t>
            </w:r>
            <w:r>
              <w:rPr>
                <w:rFonts w:hint="eastAsia"/>
                <w:color w:val="auto"/>
                <w:highlight w:val="none"/>
                <w:lang w:val="en-US" w:eastAsia="zh-CN"/>
              </w:rPr>
              <w:t>0.201</w:t>
            </w:r>
            <w:r>
              <w:rPr>
                <w:rFonts w:hint="eastAsia"/>
                <w:color w:val="auto"/>
                <w:highlight w:val="none"/>
              </w:rPr>
              <w:t>t/a</w:t>
            </w:r>
            <w:r>
              <w:rPr>
                <w:color w:val="auto"/>
                <w:highlight w:val="none"/>
              </w:rPr>
              <w:t>、BOD</w:t>
            </w:r>
            <w:r>
              <w:rPr>
                <w:color w:val="auto"/>
                <w:highlight w:val="none"/>
                <w:vertAlign w:val="subscript"/>
              </w:rPr>
              <w:t>5</w:t>
            </w:r>
            <w:r>
              <w:rPr>
                <w:color w:val="auto"/>
                <w:highlight w:val="none"/>
              </w:rPr>
              <w:t>：</w:t>
            </w:r>
            <w:r>
              <w:rPr>
                <w:rFonts w:hint="eastAsia"/>
                <w:color w:val="auto"/>
                <w:highlight w:val="none"/>
                <w:lang w:val="en-US" w:eastAsia="zh-CN"/>
              </w:rPr>
              <w:t>0.067</w:t>
            </w:r>
            <w:r>
              <w:rPr>
                <w:rFonts w:hint="eastAsia"/>
                <w:color w:val="auto"/>
                <w:highlight w:val="none"/>
              </w:rPr>
              <w:t>t/a</w:t>
            </w:r>
            <w:r>
              <w:rPr>
                <w:color w:val="auto"/>
                <w:highlight w:val="none"/>
              </w:rPr>
              <w:t>、NH</w:t>
            </w:r>
            <w:r>
              <w:rPr>
                <w:color w:val="auto"/>
                <w:highlight w:val="none"/>
                <w:vertAlign w:val="subscript"/>
              </w:rPr>
              <w:t>3</w:t>
            </w:r>
            <w:r>
              <w:rPr>
                <w:color w:val="auto"/>
                <w:highlight w:val="none"/>
              </w:rPr>
              <w:t>-N：</w:t>
            </w:r>
            <w:r>
              <w:rPr>
                <w:rFonts w:hint="eastAsia"/>
                <w:color w:val="auto"/>
                <w:highlight w:val="none"/>
              </w:rPr>
              <w:t>0.</w:t>
            </w:r>
            <w:r>
              <w:rPr>
                <w:rFonts w:hint="eastAsia"/>
                <w:color w:val="auto"/>
                <w:highlight w:val="none"/>
                <w:lang w:val="en-US" w:eastAsia="zh-CN"/>
              </w:rPr>
              <w:t>013</w:t>
            </w:r>
            <w:r>
              <w:rPr>
                <w:rFonts w:hint="eastAsia"/>
                <w:color w:val="auto"/>
                <w:highlight w:val="none"/>
              </w:rPr>
              <w:t>t/a</w:t>
            </w:r>
            <w:r>
              <w:rPr>
                <w:color w:val="auto"/>
                <w:highlight w:val="none"/>
              </w:rPr>
              <w:t>、SS：</w:t>
            </w:r>
            <w:r>
              <w:rPr>
                <w:rFonts w:hint="eastAsia"/>
                <w:color w:val="auto"/>
                <w:highlight w:val="none"/>
              </w:rPr>
              <w:t>0.</w:t>
            </w:r>
            <w:r>
              <w:rPr>
                <w:rFonts w:hint="eastAsia"/>
                <w:color w:val="auto"/>
                <w:highlight w:val="none"/>
                <w:lang w:val="en-US" w:eastAsia="zh-CN"/>
              </w:rPr>
              <w:t>134</w:t>
            </w:r>
            <w:r>
              <w:rPr>
                <w:rFonts w:hint="eastAsia"/>
                <w:color w:val="auto"/>
                <w:highlight w:val="none"/>
              </w:rPr>
              <w:t>t/a。</w:t>
            </w:r>
            <w:r>
              <w:rPr>
                <w:rFonts w:hint="eastAsia" w:ascii="宋体" w:hAnsi="宋体"/>
                <w:color w:val="auto"/>
                <w:highlight w:val="none"/>
              </w:rPr>
              <w:t>生活污水经化粪池处理后，</w:t>
            </w:r>
            <w:r>
              <w:rPr>
                <w:color w:val="auto"/>
                <w:highlight w:val="none"/>
              </w:rPr>
              <w:t>排入市政污水管网</w:t>
            </w:r>
            <w:r>
              <w:rPr>
                <w:rFonts w:hint="eastAsia"/>
                <w:color w:val="auto"/>
                <w:highlight w:val="none"/>
              </w:rPr>
              <w:t>，进入</w:t>
            </w:r>
            <w:r>
              <w:rPr>
                <w:rFonts w:hint="eastAsia"/>
                <w:color w:val="auto"/>
                <w:highlight w:val="none"/>
                <w:lang w:eastAsia="zh-CN"/>
              </w:rPr>
              <w:t>石姚湾净水厂</w:t>
            </w:r>
            <w:r>
              <w:rPr>
                <w:rFonts w:hint="eastAsia" w:ascii="宋体" w:hAnsi="宋体"/>
                <w:color w:val="auto"/>
                <w:highlight w:val="none"/>
              </w:rPr>
              <w:t>进行处理。</w:t>
            </w:r>
          </w:p>
          <w:p w14:paraId="736EE0A5">
            <w:pPr>
              <w:ind w:firstLine="480" w:firstLineChars="200"/>
              <w:rPr>
                <w:color w:val="auto"/>
                <w:highlight w:val="none"/>
              </w:rPr>
            </w:pPr>
            <w:r>
              <w:rPr>
                <w:rFonts w:hint="eastAsia"/>
                <w:color w:val="auto"/>
                <w:highlight w:val="none"/>
              </w:rPr>
              <w:t>（2）餐饮废水</w:t>
            </w:r>
          </w:p>
          <w:p w14:paraId="57492C5C">
            <w:pPr>
              <w:ind w:firstLine="480" w:firstLineChars="200"/>
              <w:rPr>
                <w:color w:val="auto"/>
                <w:highlight w:val="none"/>
              </w:rPr>
            </w:pPr>
            <w:r>
              <w:rPr>
                <w:color w:val="auto"/>
                <w:highlight w:val="none"/>
              </w:rPr>
              <w:t>项目</w:t>
            </w:r>
            <w:r>
              <w:rPr>
                <w:rFonts w:hint="eastAsia"/>
                <w:color w:val="auto"/>
                <w:highlight w:val="none"/>
              </w:rPr>
              <w:t>餐饮服务就餐人数共3</w:t>
            </w:r>
            <w:r>
              <w:rPr>
                <w:rFonts w:hint="eastAsia"/>
                <w:color w:val="auto"/>
                <w:highlight w:val="none"/>
                <w:lang w:val="en-US" w:eastAsia="zh-CN"/>
              </w:rPr>
              <w:t>0</w:t>
            </w:r>
            <w:r>
              <w:rPr>
                <w:rFonts w:hint="eastAsia"/>
                <w:color w:val="auto"/>
                <w:highlight w:val="none"/>
              </w:rPr>
              <w:t>0人，</w:t>
            </w:r>
            <w:r>
              <w:rPr>
                <w:color w:val="auto"/>
                <w:highlight w:val="none"/>
              </w:rPr>
              <w:t>用水取20L/人·d计，则用水量为</w:t>
            </w:r>
            <w:r>
              <w:rPr>
                <w:rFonts w:hint="eastAsia"/>
                <w:color w:val="auto"/>
                <w:highlight w:val="none"/>
                <w:lang w:val="en-US" w:eastAsia="zh-CN"/>
              </w:rPr>
              <w:t>6</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color w:val="auto"/>
                <w:highlight w:val="none"/>
                <w:lang w:val="en-US" w:eastAsia="zh-CN"/>
              </w:rPr>
              <w:t>2190</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color w:val="auto"/>
                <w:highlight w:val="none"/>
              </w:rPr>
              <w:t>，排水系数以0.8计，则</w:t>
            </w:r>
            <w:r>
              <w:rPr>
                <w:rFonts w:hint="eastAsia"/>
                <w:color w:val="auto"/>
                <w:highlight w:val="none"/>
              </w:rPr>
              <w:t>餐饮废水</w:t>
            </w:r>
            <w:r>
              <w:rPr>
                <w:color w:val="auto"/>
                <w:highlight w:val="none"/>
              </w:rPr>
              <w:t>产生量为</w:t>
            </w:r>
            <w:r>
              <w:rPr>
                <w:rFonts w:hint="eastAsia"/>
                <w:color w:val="auto"/>
                <w:highlight w:val="none"/>
                <w:lang w:val="en-US" w:eastAsia="zh-CN"/>
              </w:rPr>
              <w:t>4.8</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/d（</w:t>
            </w:r>
            <w:r>
              <w:rPr>
                <w:rFonts w:hint="eastAsia"/>
                <w:color w:val="auto"/>
                <w:highlight w:val="none"/>
                <w:lang w:val="en-US" w:eastAsia="zh-CN"/>
              </w:rPr>
              <w:t>1752</w:t>
            </w:r>
            <w:r>
              <w:rPr>
                <w:rFonts w:hint="eastAsia" w:cs="宋体"/>
                <w:color w:val="auto"/>
                <w:highlight w:val="none"/>
              </w:rPr>
              <w:t>m</w:t>
            </w:r>
            <w:r>
              <w:rPr>
                <w:rFonts w:hint="eastAsia" w:cs="宋体"/>
                <w:color w:val="auto"/>
                <w:highlight w:val="none"/>
                <w:vertAlign w:val="superscript"/>
              </w:rPr>
              <w:t>3</w:t>
            </w:r>
            <w:r>
              <w:rPr>
                <w:rFonts w:hint="eastAsia" w:cs="宋体"/>
                <w:color w:val="auto"/>
                <w:highlight w:val="none"/>
              </w:rPr>
              <w:t>/a）</w:t>
            </w:r>
            <w:r>
              <w:rPr>
                <w:color w:val="auto"/>
                <w:highlight w:val="none"/>
              </w:rPr>
              <w:t>，</w:t>
            </w:r>
            <w:r>
              <w:rPr>
                <w:color w:val="auto"/>
                <w:kern w:val="24"/>
                <w:szCs w:val="21"/>
                <w:highlight w:val="none"/>
              </w:rPr>
              <w:t>废水污染物</w:t>
            </w:r>
            <w:r>
              <w:rPr>
                <w:rFonts w:hint="eastAsia"/>
                <w:color w:val="auto"/>
                <w:kern w:val="24"/>
                <w:szCs w:val="21"/>
                <w:highlight w:val="none"/>
                <w:lang w:eastAsia="zh-CN"/>
              </w:rPr>
              <w:t>产生</w:t>
            </w:r>
            <w:r>
              <w:rPr>
                <w:rFonts w:hint="eastAsia"/>
                <w:color w:val="auto"/>
                <w:kern w:val="24"/>
                <w:szCs w:val="21"/>
                <w:highlight w:val="none"/>
              </w:rPr>
              <w:t>浓度为：</w:t>
            </w:r>
            <w:r>
              <w:rPr>
                <w:color w:val="auto"/>
                <w:highlight w:val="none"/>
              </w:rPr>
              <w:t>CODcr：3</w:t>
            </w:r>
            <w:r>
              <w:rPr>
                <w:rFonts w:hint="eastAsia"/>
                <w:color w:val="auto"/>
                <w:highlight w:val="none"/>
              </w:rPr>
              <w:t>0</w:t>
            </w:r>
            <w:r>
              <w:rPr>
                <w:color w:val="auto"/>
                <w:highlight w:val="none"/>
              </w:rPr>
              <w:t>0mg/L、BOD</w:t>
            </w:r>
            <w:r>
              <w:rPr>
                <w:color w:val="auto"/>
                <w:highlight w:val="none"/>
                <w:vertAlign w:val="subscript"/>
              </w:rPr>
              <w:t>5</w:t>
            </w:r>
            <w:r>
              <w:rPr>
                <w:color w:val="auto"/>
                <w:highlight w:val="none"/>
              </w:rPr>
              <w:t>：</w:t>
            </w:r>
            <w:r>
              <w:rPr>
                <w:rFonts w:hint="eastAsia"/>
                <w:color w:val="auto"/>
                <w:highlight w:val="none"/>
              </w:rPr>
              <w:t>1</w:t>
            </w:r>
            <w:r>
              <w:rPr>
                <w:rFonts w:hint="eastAsia"/>
                <w:color w:val="auto"/>
                <w:highlight w:val="none"/>
                <w:lang w:val="en-US" w:eastAsia="zh-CN"/>
              </w:rPr>
              <w:t>00</w:t>
            </w:r>
            <w:r>
              <w:rPr>
                <w:color w:val="auto"/>
                <w:highlight w:val="none"/>
              </w:rPr>
              <w:t>mg/L、NH</w:t>
            </w:r>
            <w:r>
              <w:rPr>
                <w:color w:val="auto"/>
                <w:highlight w:val="none"/>
                <w:vertAlign w:val="subscript"/>
              </w:rPr>
              <w:t>3</w:t>
            </w:r>
            <w:r>
              <w:rPr>
                <w:color w:val="auto"/>
                <w:highlight w:val="none"/>
              </w:rPr>
              <w:t>-N：</w:t>
            </w:r>
            <w:r>
              <w:rPr>
                <w:rFonts w:hint="eastAsia"/>
                <w:color w:val="auto"/>
                <w:highlight w:val="none"/>
              </w:rPr>
              <w:t>20</w:t>
            </w:r>
            <w:r>
              <w:rPr>
                <w:color w:val="auto"/>
                <w:highlight w:val="none"/>
              </w:rPr>
              <w:t>mg/L、SS：</w:t>
            </w:r>
            <w:r>
              <w:rPr>
                <w:rFonts w:hint="eastAsia"/>
                <w:color w:val="auto"/>
                <w:highlight w:val="none"/>
              </w:rPr>
              <w:t>200</w:t>
            </w:r>
            <w:r>
              <w:rPr>
                <w:color w:val="auto"/>
                <w:highlight w:val="none"/>
              </w:rPr>
              <w:t>mg/L</w:t>
            </w:r>
            <w:r>
              <w:rPr>
                <w:rFonts w:hint="eastAsia" w:ascii="宋体" w:hAnsi="宋体"/>
                <w:color w:val="auto"/>
                <w:highlight w:val="none"/>
              </w:rPr>
              <w:t>、动植物油</w:t>
            </w:r>
            <w:r>
              <w:rPr>
                <w:rFonts w:hint="eastAsia"/>
                <w:color w:val="auto"/>
                <w:highlight w:val="none"/>
              </w:rPr>
              <w:t>：120</w:t>
            </w:r>
            <w:r>
              <w:rPr>
                <w:color w:val="auto"/>
                <w:highlight w:val="none"/>
              </w:rPr>
              <w:t>mg/L</w:t>
            </w:r>
            <w:r>
              <w:rPr>
                <w:color w:val="auto"/>
                <w:kern w:val="24"/>
                <w:szCs w:val="21"/>
                <w:highlight w:val="none"/>
              </w:rPr>
              <w:t>，则污染物产生量为：</w:t>
            </w:r>
            <w:r>
              <w:rPr>
                <w:color w:val="auto"/>
                <w:highlight w:val="none"/>
              </w:rPr>
              <w:t>CODcr：</w:t>
            </w:r>
            <w:r>
              <w:rPr>
                <w:rFonts w:hint="eastAsia"/>
                <w:color w:val="auto"/>
                <w:highlight w:val="none"/>
                <w:lang w:val="en-US" w:eastAsia="zh-CN"/>
              </w:rPr>
              <w:t>0.526</w:t>
            </w:r>
            <w:r>
              <w:rPr>
                <w:rFonts w:hint="eastAsia"/>
                <w:color w:val="auto"/>
                <w:highlight w:val="none"/>
              </w:rPr>
              <w:t>t/a</w:t>
            </w:r>
            <w:r>
              <w:rPr>
                <w:color w:val="auto"/>
                <w:highlight w:val="none"/>
              </w:rPr>
              <w:t>、BOD</w:t>
            </w:r>
            <w:r>
              <w:rPr>
                <w:color w:val="auto"/>
                <w:highlight w:val="none"/>
                <w:vertAlign w:val="subscript"/>
              </w:rPr>
              <w:t>5</w:t>
            </w:r>
            <w:r>
              <w:rPr>
                <w:color w:val="auto"/>
                <w:highlight w:val="none"/>
              </w:rPr>
              <w:t>：</w:t>
            </w:r>
            <w:r>
              <w:rPr>
                <w:rFonts w:hint="eastAsia"/>
                <w:color w:val="auto"/>
                <w:highlight w:val="none"/>
              </w:rPr>
              <w:t>0</w:t>
            </w:r>
            <w:r>
              <w:rPr>
                <w:rFonts w:hint="eastAsia"/>
                <w:color w:val="auto"/>
                <w:highlight w:val="none"/>
                <w:lang w:val="en-US" w:eastAsia="zh-CN"/>
              </w:rPr>
              <w:t>.175</w:t>
            </w:r>
            <w:r>
              <w:rPr>
                <w:rFonts w:hint="eastAsia"/>
                <w:color w:val="auto"/>
                <w:highlight w:val="none"/>
              </w:rPr>
              <w:t>t/a</w:t>
            </w:r>
            <w:r>
              <w:rPr>
                <w:color w:val="auto"/>
                <w:highlight w:val="none"/>
              </w:rPr>
              <w:t>、NH</w:t>
            </w:r>
            <w:r>
              <w:rPr>
                <w:color w:val="auto"/>
                <w:highlight w:val="none"/>
                <w:vertAlign w:val="subscript"/>
              </w:rPr>
              <w:t>3</w:t>
            </w:r>
            <w:r>
              <w:rPr>
                <w:color w:val="auto"/>
                <w:highlight w:val="none"/>
              </w:rPr>
              <w:t>-N：</w:t>
            </w:r>
            <w:r>
              <w:rPr>
                <w:rFonts w:hint="eastAsia"/>
                <w:color w:val="auto"/>
                <w:highlight w:val="none"/>
              </w:rPr>
              <w:t>0.0</w:t>
            </w:r>
            <w:r>
              <w:rPr>
                <w:rFonts w:hint="eastAsia"/>
                <w:color w:val="auto"/>
                <w:highlight w:val="none"/>
                <w:lang w:val="en-US" w:eastAsia="zh-CN"/>
              </w:rPr>
              <w:t>35</w:t>
            </w:r>
            <w:r>
              <w:rPr>
                <w:rFonts w:hint="eastAsia"/>
                <w:color w:val="auto"/>
                <w:highlight w:val="none"/>
              </w:rPr>
              <w:t>/a</w:t>
            </w:r>
            <w:r>
              <w:rPr>
                <w:color w:val="auto"/>
                <w:highlight w:val="none"/>
              </w:rPr>
              <w:t>、SS：</w:t>
            </w:r>
            <w:r>
              <w:rPr>
                <w:rFonts w:hint="eastAsia"/>
                <w:color w:val="auto"/>
                <w:highlight w:val="none"/>
              </w:rPr>
              <w:t>0.</w:t>
            </w:r>
            <w:r>
              <w:rPr>
                <w:rFonts w:hint="eastAsia"/>
                <w:color w:val="auto"/>
                <w:highlight w:val="none"/>
                <w:lang w:val="en-US" w:eastAsia="zh-CN"/>
              </w:rPr>
              <w:t>350</w:t>
            </w:r>
            <w:r>
              <w:rPr>
                <w:rFonts w:hint="eastAsia"/>
                <w:color w:val="auto"/>
                <w:highlight w:val="none"/>
              </w:rPr>
              <w:t>t/a</w:t>
            </w:r>
            <w:r>
              <w:rPr>
                <w:rFonts w:hint="eastAsia" w:ascii="宋体" w:hAnsi="宋体"/>
                <w:color w:val="auto"/>
                <w:highlight w:val="none"/>
              </w:rPr>
              <w:t>、动植物油</w:t>
            </w:r>
            <w:r>
              <w:rPr>
                <w:rFonts w:hint="eastAsia"/>
                <w:color w:val="auto"/>
                <w:highlight w:val="none"/>
              </w:rPr>
              <w:t>：0.2</w:t>
            </w:r>
            <w:r>
              <w:rPr>
                <w:rFonts w:hint="eastAsia"/>
                <w:color w:val="auto"/>
                <w:highlight w:val="none"/>
                <w:lang w:val="en-US" w:eastAsia="zh-CN"/>
              </w:rPr>
              <w:t>10</w:t>
            </w:r>
            <w:r>
              <w:rPr>
                <w:rFonts w:hint="eastAsia"/>
                <w:color w:val="auto"/>
                <w:highlight w:val="none"/>
              </w:rPr>
              <w:t>t/a</w:t>
            </w:r>
            <w:r>
              <w:rPr>
                <w:color w:val="auto"/>
                <w:kern w:val="24"/>
                <w:szCs w:val="21"/>
                <w:highlight w:val="none"/>
              </w:rPr>
              <w:t>。</w:t>
            </w:r>
            <w:r>
              <w:rPr>
                <w:rFonts w:hint="eastAsia"/>
                <w:color w:val="auto"/>
                <w:highlight w:val="none"/>
              </w:rPr>
              <w:t>餐饮废水</w:t>
            </w:r>
            <w:r>
              <w:rPr>
                <w:color w:val="auto"/>
                <w:highlight w:val="none"/>
              </w:rPr>
              <w:t>经隔油池处理后</w:t>
            </w:r>
            <w:r>
              <w:rPr>
                <w:rFonts w:hint="eastAsia"/>
                <w:color w:val="auto"/>
                <w:highlight w:val="none"/>
              </w:rPr>
              <w:t>进入化粪池处理</w:t>
            </w:r>
            <w:r>
              <w:rPr>
                <w:rFonts w:hint="eastAsia" w:ascii="宋体" w:hAnsi="宋体"/>
                <w:color w:val="auto"/>
                <w:highlight w:val="none"/>
              </w:rPr>
              <w:t>，</w:t>
            </w:r>
            <w:r>
              <w:rPr>
                <w:color w:val="auto"/>
                <w:highlight w:val="none"/>
              </w:rPr>
              <w:t>排入市政污水管网，接管</w:t>
            </w:r>
            <w:r>
              <w:rPr>
                <w:rFonts w:hint="eastAsia"/>
                <w:color w:val="auto"/>
                <w:highlight w:val="none"/>
                <w:lang w:eastAsia="zh-CN"/>
              </w:rPr>
              <w:t>石姚湾净水厂</w:t>
            </w:r>
            <w:r>
              <w:rPr>
                <w:rFonts w:hint="eastAsia" w:ascii="宋体" w:hAnsi="宋体"/>
                <w:color w:val="auto"/>
                <w:highlight w:val="none"/>
              </w:rPr>
              <w:t>进行处理</w:t>
            </w:r>
            <w:r>
              <w:rPr>
                <w:rFonts w:hint="eastAsia"/>
                <w:color w:val="auto"/>
                <w:highlight w:val="none"/>
              </w:rPr>
              <w:t>。</w:t>
            </w:r>
          </w:p>
          <w:p w14:paraId="7319717B">
            <w:pPr>
              <w:ind w:firstLine="480" w:firstLineChars="200"/>
              <w:rPr>
                <w:color w:val="auto"/>
                <w:highlight w:val="none"/>
              </w:rPr>
            </w:pPr>
            <w:r>
              <w:rPr>
                <w:rFonts w:hint="eastAsia"/>
                <w:color w:val="auto"/>
                <w:highlight w:val="none"/>
              </w:rPr>
              <w:t>（4）地面冲洗废水</w:t>
            </w:r>
          </w:p>
          <w:p w14:paraId="0E603EBE">
            <w:pPr>
              <w:ind w:firstLine="480" w:firstLineChars="200"/>
              <w:rPr>
                <w:color w:val="auto"/>
                <w:highlight w:val="none"/>
              </w:rPr>
            </w:pPr>
            <w:r>
              <w:rPr>
                <w:rFonts w:hint="eastAsia"/>
                <w:color w:val="auto"/>
                <w:highlight w:val="none"/>
                <w:lang w:eastAsia="zh-CN"/>
              </w:rPr>
              <w:t>①</w:t>
            </w:r>
            <w:r>
              <w:rPr>
                <w:rFonts w:hint="eastAsia"/>
                <w:color w:val="auto"/>
                <w:highlight w:val="none"/>
              </w:rPr>
              <w:t>加油区地面冲洗废水</w:t>
            </w:r>
          </w:p>
          <w:p w14:paraId="7D43714E">
            <w:pPr>
              <w:ind w:firstLine="480" w:firstLineChars="200"/>
              <w:rPr>
                <w:color w:val="auto"/>
                <w:highlight w:val="none"/>
              </w:rPr>
            </w:pPr>
            <w:bookmarkStart w:id="27" w:name="OLE_LINK28"/>
            <w:r>
              <w:rPr>
                <w:rFonts w:hint="eastAsia"/>
                <w:color w:val="auto"/>
                <w:highlight w:val="none"/>
              </w:rPr>
              <w:t>综合能源站加油区面积约为</w:t>
            </w:r>
            <w:r>
              <w:rPr>
                <w:rFonts w:hint="eastAsia"/>
                <w:color w:val="auto"/>
                <w:highlight w:val="none"/>
                <w:lang w:val="en-US" w:eastAsia="zh-CN"/>
              </w:rPr>
              <w:t>935</w:t>
            </w:r>
            <w:r>
              <w:rPr>
                <w:rFonts w:hint="eastAsia"/>
                <w:color w:val="auto"/>
                <w:highlight w:val="none"/>
              </w:rPr>
              <w:t>m</w:t>
            </w:r>
            <w:r>
              <w:rPr>
                <w:rFonts w:hint="eastAsia"/>
                <w:color w:val="auto"/>
                <w:highlight w:val="none"/>
                <w:vertAlign w:val="superscript"/>
              </w:rPr>
              <w:t>2</w:t>
            </w:r>
            <w:r>
              <w:rPr>
                <w:rFonts w:hint="eastAsia"/>
                <w:color w:val="auto"/>
                <w:highlight w:val="none"/>
              </w:rPr>
              <w:t>，地面冲洗用水</w:t>
            </w:r>
            <w:bookmarkEnd w:id="27"/>
            <w:r>
              <w:rPr>
                <w:rFonts w:hint="eastAsia"/>
                <w:color w:val="auto"/>
                <w:highlight w:val="none"/>
              </w:rPr>
              <w:t>按</w:t>
            </w:r>
            <w:r>
              <w:rPr>
                <w:color w:val="auto"/>
                <w:highlight w:val="none"/>
              </w:rPr>
              <w:t>2L</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2</w:t>
            </w:r>
            <w:r>
              <w:rPr>
                <w:rFonts w:hint="eastAsia"/>
                <w:color w:val="auto"/>
                <w:highlight w:val="none"/>
              </w:rPr>
              <w:t>/次（每周冲洗一次），</w:t>
            </w:r>
            <w:r>
              <w:rPr>
                <w:rFonts w:hint="eastAsia"/>
                <w:color w:val="auto"/>
                <w:highlight w:val="none"/>
                <w:lang w:eastAsia="zh-CN"/>
              </w:rPr>
              <w:t>则</w:t>
            </w:r>
            <w:r>
              <w:rPr>
                <w:rFonts w:hint="eastAsia"/>
                <w:color w:val="auto"/>
                <w:highlight w:val="none"/>
              </w:rPr>
              <w:t>项目年冲洗水使用量为</w:t>
            </w:r>
            <w:r>
              <w:rPr>
                <w:rFonts w:hint="eastAsia"/>
                <w:color w:val="auto"/>
                <w:highlight w:val="none"/>
                <w:lang w:val="en-US" w:eastAsia="zh-CN"/>
              </w:rPr>
              <w:t>97</w:t>
            </w:r>
            <w:r>
              <w:rPr>
                <w:rFonts w:hint="eastAsia"/>
                <w:color w:val="auto"/>
                <w:highlight w:val="none"/>
              </w:rPr>
              <w:t>m</w:t>
            </w:r>
            <w:r>
              <w:rPr>
                <w:rFonts w:hint="eastAsia"/>
                <w:color w:val="auto"/>
                <w:highlight w:val="none"/>
                <w:vertAlign w:val="superscript"/>
              </w:rPr>
              <w:t>3</w:t>
            </w:r>
            <w:r>
              <w:rPr>
                <w:color w:val="auto"/>
                <w:highlight w:val="none"/>
              </w:rPr>
              <w:t>/a</w:t>
            </w:r>
            <w:r>
              <w:rPr>
                <w:rFonts w:hint="eastAsia"/>
                <w:color w:val="auto"/>
                <w:highlight w:val="none"/>
              </w:rPr>
              <w:t>，废水排放量按用水量的</w:t>
            </w:r>
            <w:r>
              <w:rPr>
                <w:color w:val="auto"/>
                <w:highlight w:val="none"/>
              </w:rPr>
              <w:t>90%</w:t>
            </w:r>
            <w:r>
              <w:rPr>
                <w:rFonts w:hint="eastAsia"/>
                <w:color w:val="auto"/>
                <w:highlight w:val="none"/>
              </w:rPr>
              <w:t>计，地面冲洗废水排放量为</w:t>
            </w:r>
            <w:r>
              <w:rPr>
                <w:rFonts w:hint="eastAsia"/>
                <w:color w:val="auto"/>
                <w:highlight w:val="none"/>
                <w:lang w:val="en-US" w:eastAsia="zh-CN"/>
              </w:rPr>
              <w:t>88</w:t>
            </w:r>
            <w:r>
              <w:rPr>
                <w:rFonts w:hint="eastAsia"/>
                <w:color w:val="auto"/>
                <w:highlight w:val="none"/>
              </w:rPr>
              <w:t>m</w:t>
            </w:r>
            <w:r>
              <w:rPr>
                <w:rFonts w:hint="eastAsia"/>
                <w:color w:val="auto"/>
                <w:highlight w:val="none"/>
                <w:vertAlign w:val="superscript"/>
              </w:rPr>
              <w:t>3</w:t>
            </w:r>
            <w:r>
              <w:rPr>
                <w:rFonts w:hint="eastAsia"/>
                <w:color w:val="auto"/>
                <w:highlight w:val="none"/>
              </w:rPr>
              <w:t>/a。加油区地面用自来水进行冲洗，冲洗废水主要污染因子为CODcr、SS、石油类，</w:t>
            </w:r>
            <w:r>
              <w:rPr>
                <w:color w:val="auto"/>
                <w:highlight w:val="none"/>
                <w:lang w:val="en-US" w:eastAsia="zh-CN"/>
              </w:rPr>
              <w:t>类比</w:t>
            </w:r>
            <w:r>
              <w:rPr>
                <w:rFonts w:hint="eastAsia"/>
                <w:color w:val="auto"/>
                <w:highlight w:val="none"/>
                <w:lang w:val="en-US" w:eastAsia="zh-CN"/>
              </w:rPr>
              <w:t>《淮南交控物流服务有限公司淮南经开区农场城市综合交通驿站项目建设项目环境影响报告表》已批复环评污染物排放数据</w:t>
            </w:r>
            <w:r>
              <w:rPr>
                <w:rFonts w:hint="default"/>
                <w:color w:val="auto"/>
                <w:highlight w:val="none"/>
                <w:lang w:val="en-US" w:eastAsia="zh-CN"/>
              </w:rPr>
              <w:t>，</w:t>
            </w:r>
            <w:r>
              <w:rPr>
                <w:rFonts w:hint="eastAsia"/>
                <w:color w:val="auto"/>
                <w:highlight w:val="none"/>
                <w:lang w:val="en-US" w:eastAsia="zh-CN"/>
              </w:rPr>
              <w:t>本项目与类比项目建设内容基本一致，工艺及污染治理措施相同，类比该项目可行；通过类比</w:t>
            </w:r>
            <w:r>
              <w:rPr>
                <w:rFonts w:hint="eastAsia"/>
                <w:color w:val="auto"/>
                <w:highlight w:val="none"/>
              </w:rPr>
              <w:t>污染物浓度为</w:t>
            </w:r>
            <w:r>
              <w:rPr>
                <w:color w:val="auto"/>
                <w:highlight w:val="none"/>
              </w:rPr>
              <w:t>CODcr：</w:t>
            </w:r>
            <w:r>
              <w:rPr>
                <w:rFonts w:hint="eastAsia"/>
                <w:color w:val="auto"/>
                <w:highlight w:val="none"/>
              </w:rPr>
              <w:t>20</w:t>
            </w:r>
            <w:r>
              <w:rPr>
                <w:color w:val="auto"/>
                <w:highlight w:val="none"/>
              </w:rPr>
              <w:t>0mg/L、SS：</w:t>
            </w:r>
            <w:r>
              <w:rPr>
                <w:rFonts w:hint="eastAsia"/>
                <w:color w:val="auto"/>
                <w:highlight w:val="none"/>
              </w:rPr>
              <w:t>300</w:t>
            </w:r>
            <w:r>
              <w:rPr>
                <w:color w:val="auto"/>
                <w:highlight w:val="none"/>
              </w:rPr>
              <w:t>mg/L、</w:t>
            </w:r>
            <w:r>
              <w:rPr>
                <w:rFonts w:hint="eastAsia"/>
                <w:color w:val="auto"/>
                <w:highlight w:val="none"/>
              </w:rPr>
              <w:t>石油类</w:t>
            </w:r>
            <w:r>
              <w:rPr>
                <w:color w:val="auto"/>
                <w:highlight w:val="none"/>
              </w:rPr>
              <w:t>：</w:t>
            </w:r>
            <w:r>
              <w:rPr>
                <w:rFonts w:hint="eastAsia"/>
                <w:color w:val="auto"/>
                <w:highlight w:val="none"/>
              </w:rPr>
              <w:t>20</w:t>
            </w:r>
            <w:r>
              <w:rPr>
                <w:color w:val="auto"/>
                <w:highlight w:val="none"/>
              </w:rPr>
              <w:t>mg/L</w:t>
            </w:r>
            <w:r>
              <w:rPr>
                <w:rFonts w:hint="eastAsia"/>
                <w:color w:val="auto"/>
                <w:highlight w:val="none"/>
              </w:rPr>
              <w:t>，产生量为</w:t>
            </w:r>
            <w:r>
              <w:rPr>
                <w:color w:val="auto"/>
                <w:highlight w:val="none"/>
              </w:rPr>
              <w:t>CODcr：</w:t>
            </w:r>
            <w:r>
              <w:rPr>
                <w:rFonts w:hint="eastAsia"/>
                <w:color w:val="auto"/>
                <w:highlight w:val="none"/>
              </w:rPr>
              <w:t>0.01</w:t>
            </w:r>
            <w:r>
              <w:rPr>
                <w:rFonts w:hint="eastAsia"/>
                <w:color w:val="auto"/>
                <w:highlight w:val="none"/>
                <w:lang w:val="en-US" w:eastAsia="zh-CN"/>
              </w:rPr>
              <w:t>8</w:t>
            </w:r>
            <w:r>
              <w:rPr>
                <w:rFonts w:hint="eastAsia"/>
                <w:color w:val="auto"/>
                <w:highlight w:val="none"/>
              </w:rPr>
              <w:t>t/a</w:t>
            </w:r>
            <w:r>
              <w:rPr>
                <w:color w:val="auto"/>
                <w:highlight w:val="none"/>
              </w:rPr>
              <w:t>、SS</w:t>
            </w:r>
            <w:r>
              <w:rPr>
                <w:rFonts w:hint="eastAsia"/>
                <w:color w:val="auto"/>
                <w:highlight w:val="none"/>
              </w:rPr>
              <w:t>：0.02</w:t>
            </w:r>
            <w:r>
              <w:rPr>
                <w:rFonts w:hint="eastAsia"/>
                <w:color w:val="auto"/>
                <w:highlight w:val="none"/>
                <w:lang w:val="en-US" w:eastAsia="zh-CN"/>
              </w:rPr>
              <w:t>6</w:t>
            </w:r>
            <w:r>
              <w:rPr>
                <w:rFonts w:hint="eastAsia"/>
                <w:color w:val="auto"/>
                <w:highlight w:val="none"/>
              </w:rPr>
              <w:t>t/a、石油类</w:t>
            </w:r>
            <w:r>
              <w:rPr>
                <w:color w:val="auto"/>
                <w:highlight w:val="none"/>
              </w:rPr>
              <w:t>：</w:t>
            </w:r>
            <w:r>
              <w:rPr>
                <w:rFonts w:hint="eastAsia"/>
                <w:color w:val="auto"/>
                <w:highlight w:val="none"/>
              </w:rPr>
              <w:t>0.00</w:t>
            </w:r>
            <w:r>
              <w:rPr>
                <w:rFonts w:hint="eastAsia"/>
                <w:color w:val="auto"/>
                <w:highlight w:val="none"/>
                <w:lang w:val="en-US" w:eastAsia="zh-CN"/>
              </w:rPr>
              <w:t>2</w:t>
            </w:r>
            <w:r>
              <w:rPr>
                <w:rFonts w:hint="eastAsia"/>
                <w:color w:val="auto"/>
                <w:highlight w:val="none"/>
              </w:rPr>
              <w:t>t/a。地面冲洗水废水经三级油水分离池处理后，</w:t>
            </w:r>
            <w:r>
              <w:rPr>
                <w:color w:val="auto"/>
                <w:highlight w:val="none"/>
              </w:rPr>
              <w:t>排入市政污水管网，接管</w:t>
            </w:r>
            <w:r>
              <w:rPr>
                <w:rFonts w:hint="eastAsia"/>
                <w:color w:val="auto"/>
                <w:highlight w:val="none"/>
                <w:lang w:eastAsia="zh-CN"/>
              </w:rPr>
              <w:t>石姚湾净水厂</w:t>
            </w:r>
            <w:r>
              <w:rPr>
                <w:rFonts w:hint="eastAsia"/>
                <w:color w:val="auto"/>
                <w:highlight w:val="none"/>
              </w:rPr>
              <w:t>进行处理。</w:t>
            </w:r>
          </w:p>
          <w:p w14:paraId="40E548C2">
            <w:pPr>
              <w:numPr>
                <w:ilvl w:val="0"/>
                <w:numId w:val="0"/>
              </w:numPr>
              <w:ind w:firstLine="480" w:firstLineChars="200"/>
              <w:rPr>
                <w:color w:val="auto"/>
                <w:highlight w:val="none"/>
              </w:rPr>
            </w:pPr>
            <w:r>
              <w:rPr>
                <w:rFonts w:hint="eastAsia"/>
                <w:color w:val="auto"/>
                <w:highlight w:val="none"/>
                <w:lang w:eastAsia="zh-CN"/>
              </w:rPr>
              <w:t>②智慧货运维修中心</w:t>
            </w:r>
            <w:r>
              <w:rPr>
                <w:rFonts w:hint="eastAsia"/>
                <w:color w:val="auto"/>
                <w:highlight w:val="none"/>
              </w:rPr>
              <w:t>地面冲洗废水</w:t>
            </w:r>
          </w:p>
          <w:p w14:paraId="289E8384">
            <w:pPr>
              <w:ind w:firstLine="480" w:firstLineChars="200"/>
              <w:rPr>
                <w:color w:val="auto"/>
                <w:highlight w:val="none"/>
              </w:rPr>
            </w:pPr>
            <w:r>
              <w:rPr>
                <w:rFonts w:hint="eastAsia"/>
                <w:color w:val="auto"/>
                <w:highlight w:val="none"/>
                <w:lang w:eastAsia="zh-CN"/>
              </w:rPr>
              <w:t>智慧货运维修中心</w:t>
            </w:r>
            <w:r>
              <w:rPr>
                <w:rFonts w:hint="eastAsia"/>
                <w:color w:val="auto"/>
                <w:highlight w:val="none"/>
              </w:rPr>
              <w:t>占地面积约为</w:t>
            </w:r>
            <w:r>
              <w:rPr>
                <w:rFonts w:hint="eastAsia"/>
                <w:color w:val="auto"/>
                <w:highlight w:val="none"/>
                <w:lang w:val="en-US" w:eastAsia="zh-CN"/>
              </w:rPr>
              <w:t>3420</w:t>
            </w:r>
            <w:r>
              <w:rPr>
                <w:rFonts w:hint="eastAsia"/>
                <w:color w:val="auto"/>
                <w:highlight w:val="none"/>
              </w:rPr>
              <w:t>m</w:t>
            </w:r>
            <w:r>
              <w:rPr>
                <w:rFonts w:hint="eastAsia"/>
                <w:color w:val="auto"/>
                <w:highlight w:val="none"/>
                <w:vertAlign w:val="superscript"/>
              </w:rPr>
              <w:t>2</w:t>
            </w:r>
            <w:r>
              <w:rPr>
                <w:rFonts w:hint="eastAsia"/>
                <w:color w:val="auto"/>
                <w:highlight w:val="none"/>
              </w:rPr>
              <w:t>，地面冲洗用水按</w:t>
            </w:r>
            <w:r>
              <w:rPr>
                <w:color w:val="auto"/>
                <w:highlight w:val="none"/>
              </w:rPr>
              <w:t>2L</w:t>
            </w:r>
            <w:r>
              <w:rPr>
                <w:rFonts w:hint="eastAsia"/>
                <w:color w:val="auto"/>
                <w:highlight w:val="none"/>
              </w:rPr>
              <w:t>m</w:t>
            </w:r>
            <w:r>
              <w:rPr>
                <w:rFonts w:hint="eastAsia"/>
                <w:color w:val="auto"/>
                <w:highlight w:val="none"/>
                <w:vertAlign w:val="superscript"/>
              </w:rPr>
              <w:t>2</w:t>
            </w:r>
            <w:r>
              <w:rPr>
                <w:rFonts w:hint="eastAsia"/>
                <w:color w:val="auto"/>
                <w:highlight w:val="none"/>
              </w:rPr>
              <w:t>/次（每周冲洗一次），项目年冲洗水使用量为</w:t>
            </w:r>
            <w:r>
              <w:rPr>
                <w:rFonts w:hint="eastAsia"/>
                <w:color w:val="auto"/>
                <w:highlight w:val="none"/>
                <w:lang w:val="en-US" w:eastAsia="zh-CN"/>
              </w:rPr>
              <w:t>355.71</w:t>
            </w:r>
            <w:r>
              <w:rPr>
                <w:rFonts w:hint="eastAsia"/>
                <w:color w:val="auto"/>
                <w:highlight w:val="none"/>
              </w:rPr>
              <w:t>m</w:t>
            </w:r>
            <w:r>
              <w:rPr>
                <w:rFonts w:hint="eastAsia"/>
                <w:color w:val="auto"/>
                <w:highlight w:val="none"/>
                <w:vertAlign w:val="superscript"/>
              </w:rPr>
              <w:t>3</w:t>
            </w:r>
            <w:r>
              <w:rPr>
                <w:color w:val="auto"/>
                <w:highlight w:val="none"/>
              </w:rPr>
              <w:t>/a</w:t>
            </w:r>
            <w:r>
              <w:rPr>
                <w:rFonts w:hint="eastAsia"/>
                <w:color w:val="auto"/>
                <w:highlight w:val="none"/>
              </w:rPr>
              <w:t>，废水排放量按用水量的</w:t>
            </w:r>
            <w:r>
              <w:rPr>
                <w:color w:val="auto"/>
                <w:highlight w:val="none"/>
              </w:rPr>
              <w:t>90%</w:t>
            </w:r>
            <w:r>
              <w:rPr>
                <w:rFonts w:hint="eastAsia"/>
                <w:color w:val="auto"/>
                <w:highlight w:val="none"/>
              </w:rPr>
              <w:t>计，则地面冲洗废水的年排放量为</w:t>
            </w:r>
            <w:r>
              <w:rPr>
                <w:rFonts w:hint="eastAsia"/>
                <w:color w:val="auto"/>
                <w:highlight w:val="none"/>
                <w:lang w:val="en-US" w:eastAsia="zh-CN"/>
              </w:rPr>
              <w:t>320.14</w:t>
            </w:r>
            <w:r>
              <w:rPr>
                <w:rFonts w:hint="eastAsia"/>
                <w:color w:val="auto"/>
                <w:highlight w:val="none"/>
              </w:rPr>
              <w:t>m</w:t>
            </w:r>
            <w:r>
              <w:rPr>
                <w:rFonts w:hint="eastAsia"/>
                <w:color w:val="auto"/>
                <w:highlight w:val="none"/>
                <w:vertAlign w:val="superscript"/>
              </w:rPr>
              <w:t>3</w:t>
            </w:r>
            <w:r>
              <w:rPr>
                <w:rFonts w:hint="eastAsia"/>
                <w:color w:val="auto"/>
                <w:highlight w:val="none"/>
              </w:rPr>
              <w:t>/a。地面用自来水进行冲洗，</w:t>
            </w:r>
            <w:r>
              <w:rPr>
                <w:rFonts w:hint="eastAsia"/>
                <w:color w:val="auto"/>
                <w:highlight w:val="none"/>
                <w:lang w:eastAsia="zh-CN"/>
              </w:rPr>
              <w:t>根据</w:t>
            </w:r>
            <w:r>
              <w:rPr>
                <w:rFonts w:hint="eastAsia"/>
                <w:color w:val="auto"/>
                <w:highlight w:val="none"/>
                <w:lang w:val="en-US" w:eastAsia="zh-CN"/>
              </w:rPr>
              <w:t>《淮南交控物流服务有限公司淮南经开区农场城市综合交通驿站项目建设项目环境影响报告表》已批复环评中</w:t>
            </w:r>
            <w:r>
              <w:rPr>
                <w:rFonts w:hint="eastAsia"/>
                <w:color w:val="auto"/>
                <w:highlight w:val="none"/>
                <w:lang w:eastAsia="zh-CN"/>
              </w:rPr>
              <w:t>数据，</w:t>
            </w:r>
            <w:r>
              <w:rPr>
                <w:rFonts w:hint="eastAsia"/>
                <w:color w:val="auto"/>
                <w:highlight w:val="none"/>
              </w:rPr>
              <w:t>地面冲洗废水主要污染物浓度为</w:t>
            </w:r>
            <w:r>
              <w:rPr>
                <w:color w:val="auto"/>
                <w:highlight w:val="none"/>
              </w:rPr>
              <w:t>CODcr：</w:t>
            </w:r>
            <w:r>
              <w:rPr>
                <w:rFonts w:hint="eastAsia"/>
                <w:color w:val="auto"/>
                <w:highlight w:val="none"/>
              </w:rPr>
              <w:t>20</w:t>
            </w:r>
            <w:r>
              <w:rPr>
                <w:color w:val="auto"/>
                <w:highlight w:val="none"/>
              </w:rPr>
              <w:t>0mg/L、SS：</w:t>
            </w:r>
            <w:r>
              <w:rPr>
                <w:rFonts w:hint="eastAsia"/>
                <w:color w:val="auto"/>
                <w:highlight w:val="none"/>
              </w:rPr>
              <w:t>300</w:t>
            </w:r>
            <w:r>
              <w:rPr>
                <w:color w:val="auto"/>
                <w:highlight w:val="none"/>
              </w:rPr>
              <w:t>mg/L、</w:t>
            </w:r>
            <w:r>
              <w:rPr>
                <w:rFonts w:hint="eastAsia"/>
                <w:color w:val="auto"/>
                <w:highlight w:val="none"/>
              </w:rPr>
              <w:t>石油类</w:t>
            </w:r>
            <w:r>
              <w:rPr>
                <w:color w:val="auto"/>
                <w:highlight w:val="none"/>
              </w:rPr>
              <w:t>：</w:t>
            </w:r>
            <w:r>
              <w:rPr>
                <w:rFonts w:hint="eastAsia"/>
                <w:color w:val="auto"/>
                <w:highlight w:val="none"/>
              </w:rPr>
              <w:t>20</w:t>
            </w:r>
            <w:r>
              <w:rPr>
                <w:color w:val="auto"/>
                <w:highlight w:val="none"/>
              </w:rPr>
              <w:t>mg/L</w:t>
            </w:r>
            <w:r>
              <w:rPr>
                <w:rFonts w:hint="eastAsia"/>
                <w:color w:val="auto"/>
                <w:highlight w:val="none"/>
              </w:rPr>
              <w:t>，产生量为</w:t>
            </w:r>
            <w:r>
              <w:rPr>
                <w:color w:val="auto"/>
                <w:highlight w:val="none"/>
              </w:rPr>
              <w:t>CODcr：</w:t>
            </w:r>
            <w:r>
              <w:rPr>
                <w:rFonts w:hint="eastAsia"/>
                <w:color w:val="auto"/>
                <w:highlight w:val="none"/>
              </w:rPr>
              <w:t>0.</w:t>
            </w:r>
            <w:r>
              <w:rPr>
                <w:rFonts w:hint="eastAsia"/>
                <w:color w:val="auto"/>
                <w:highlight w:val="none"/>
                <w:lang w:val="en-US" w:eastAsia="zh-CN"/>
              </w:rPr>
              <w:t>064</w:t>
            </w:r>
            <w:r>
              <w:rPr>
                <w:rFonts w:hint="eastAsia"/>
                <w:color w:val="auto"/>
                <w:highlight w:val="none"/>
              </w:rPr>
              <w:t>t/a</w:t>
            </w:r>
            <w:r>
              <w:rPr>
                <w:color w:val="auto"/>
                <w:highlight w:val="none"/>
              </w:rPr>
              <w:t>、SS</w:t>
            </w:r>
            <w:r>
              <w:rPr>
                <w:rFonts w:hint="eastAsia"/>
                <w:color w:val="auto"/>
                <w:highlight w:val="none"/>
              </w:rPr>
              <w:t>：0.</w:t>
            </w:r>
            <w:r>
              <w:rPr>
                <w:rFonts w:hint="eastAsia"/>
                <w:color w:val="auto"/>
                <w:highlight w:val="none"/>
                <w:lang w:val="en-US" w:eastAsia="zh-CN"/>
              </w:rPr>
              <w:t>096t</w:t>
            </w:r>
            <w:r>
              <w:rPr>
                <w:rFonts w:hint="eastAsia"/>
                <w:color w:val="auto"/>
                <w:highlight w:val="none"/>
              </w:rPr>
              <w:t>/a、石油类</w:t>
            </w:r>
            <w:r>
              <w:rPr>
                <w:color w:val="auto"/>
                <w:highlight w:val="none"/>
              </w:rPr>
              <w:t>：</w:t>
            </w:r>
            <w:r>
              <w:rPr>
                <w:rFonts w:hint="eastAsia"/>
                <w:color w:val="auto"/>
                <w:highlight w:val="none"/>
              </w:rPr>
              <w:t>0.0</w:t>
            </w:r>
            <w:r>
              <w:rPr>
                <w:rFonts w:hint="eastAsia"/>
                <w:color w:val="auto"/>
                <w:highlight w:val="none"/>
                <w:lang w:val="en-US" w:eastAsia="zh-CN"/>
              </w:rPr>
              <w:t>06</w:t>
            </w:r>
            <w:r>
              <w:rPr>
                <w:rFonts w:hint="eastAsia"/>
                <w:color w:val="auto"/>
                <w:highlight w:val="none"/>
              </w:rPr>
              <w:t>t/a。</w:t>
            </w:r>
            <w:r>
              <w:rPr>
                <w:rFonts w:hint="eastAsia"/>
                <w:color w:val="auto"/>
                <w:highlight w:val="none"/>
                <w:lang w:eastAsia="zh-CN"/>
              </w:rPr>
              <w:t>智慧货运维修中心</w:t>
            </w:r>
            <w:r>
              <w:rPr>
                <w:rFonts w:hint="eastAsia"/>
                <w:color w:val="auto"/>
                <w:highlight w:val="none"/>
              </w:rPr>
              <w:t>地面冲洗水废水经</w:t>
            </w:r>
            <w:r>
              <w:rPr>
                <w:rFonts w:hint="eastAsia"/>
                <w:color w:val="auto"/>
                <w:highlight w:val="none"/>
                <w:lang w:eastAsia="zh-CN"/>
              </w:rPr>
              <w:t>隔油池和沉淀池</w:t>
            </w:r>
            <w:r>
              <w:rPr>
                <w:rFonts w:hint="eastAsia"/>
                <w:color w:val="auto"/>
                <w:highlight w:val="none"/>
              </w:rPr>
              <w:t>处理后，</w:t>
            </w:r>
            <w:r>
              <w:rPr>
                <w:color w:val="auto"/>
                <w:highlight w:val="none"/>
              </w:rPr>
              <w:t>排入市政污水管网，接管</w:t>
            </w:r>
            <w:r>
              <w:rPr>
                <w:rFonts w:hint="eastAsia"/>
                <w:color w:val="auto"/>
                <w:highlight w:val="none"/>
                <w:lang w:eastAsia="zh-CN"/>
              </w:rPr>
              <w:t>石姚湾净水厂</w:t>
            </w:r>
            <w:r>
              <w:rPr>
                <w:rFonts w:hint="eastAsia"/>
                <w:color w:val="auto"/>
                <w:highlight w:val="none"/>
              </w:rPr>
              <w:t>进行处理。</w:t>
            </w:r>
          </w:p>
          <w:p w14:paraId="535DC624">
            <w:pPr>
              <w:ind w:firstLine="480" w:firstLineChars="200"/>
              <w:rPr>
                <w:rFonts w:hint="default" w:eastAsia="宋体"/>
                <w:color w:val="auto"/>
                <w:highlight w:val="none"/>
                <w:lang w:val="en-US" w:eastAsia="zh-CN"/>
              </w:rPr>
            </w:pPr>
            <w:r>
              <w:rPr>
                <w:rFonts w:hint="eastAsia"/>
                <w:color w:val="auto"/>
                <w:highlight w:val="none"/>
              </w:rPr>
              <w:t>（4）加油区初期雨水</w:t>
            </w:r>
          </w:p>
          <w:p w14:paraId="2FDBAB4F">
            <w:pPr>
              <w:pStyle w:val="32"/>
              <w:widowControl w:val="0"/>
              <w:ind w:firstLine="480"/>
              <w:rPr>
                <w:rFonts w:hint="eastAsia"/>
                <w:color w:val="auto"/>
                <w:highlight w:val="none"/>
              </w:rPr>
            </w:pPr>
            <w:r>
              <w:rPr>
                <w:rFonts w:hint="eastAsia"/>
                <w:color w:val="auto"/>
                <w:highlight w:val="none"/>
              </w:rPr>
              <w:t>项目加油站设有油气回收系统，基本上不会有油品滴落，而且加油区设有罩棚，雨水不会掉落到加油区，因此在正常运营情况下初期雨水不会被油品污染。但如果加油站出现漏油等事故，油品泄漏到罩棚外面，</w:t>
            </w:r>
            <w:r>
              <w:rPr>
                <w:rFonts w:ascii="FZShuSong-Z01" w:hAnsi="FZShuSong-Z01" w:eastAsia="FZShuSong-Z01" w:cs="FZShuSong-Z01"/>
                <w:color w:val="auto"/>
                <w:kern w:val="0"/>
                <w:highlight w:val="none"/>
                <w:lang w:bidi="ar"/>
              </w:rPr>
              <w:t>随着雨水流向四周环境，这类含油废水如果不加以收集和处理，会对周围的水环境造成一定的影响</w:t>
            </w:r>
            <w:r>
              <w:rPr>
                <w:rFonts w:hint="eastAsia" w:ascii="FZShuSong-Z01" w:hAnsi="FZShuSong-Z01" w:eastAsia="宋体" w:cs="FZShuSong-Z01"/>
                <w:color w:val="auto"/>
                <w:kern w:val="0"/>
                <w:highlight w:val="none"/>
                <w:lang w:eastAsia="zh-CN" w:bidi="ar"/>
              </w:rPr>
              <w:t>。</w:t>
            </w:r>
          </w:p>
          <w:p w14:paraId="7CBEE012">
            <w:pPr>
              <w:bidi w:val="0"/>
              <w:ind w:firstLine="480" w:firstLineChars="200"/>
              <w:rPr>
                <w:color w:val="auto"/>
                <w:highlight w:val="none"/>
              </w:rPr>
            </w:pPr>
            <w:r>
              <w:rPr>
                <w:rFonts w:hint="default" w:ascii="Times New Roman" w:hAnsi="Times New Roman" w:cs="Times New Roman"/>
                <w:color w:val="auto"/>
                <w:highlight w:val="none"/>
              </w:rPr>
              <w:t>根据淮南市暴雨强度计算公式初步估算如下</w:t>
            </w:r>
            <w:r>
              <w:rPr>
                <w:color w:val="auto"/>
                <w:highlight w:val="none"/>
              </w:rPr>
              <w:t>：</w:t>
            </w:r>
          </w:p>
          <w:p w14:paraId="7B14CE71">
            <w:pPr>
              <w:ind w:firstLine="600" w:firstLineChars="200"/>
              <w:jc w:val="center"/>
              <w:rPr>
                <w:color w:val="auto"/>
                <w:highlight w:val="none"/>
                <w:vertAlign w:val="superscript"/>
              </w:rPr>
            </w:pPr>
            <m:oMathPara>
              <m:oMath>
                <m:r>
                  <m:rPr>
                    <m:sty m:val="p"/>
                  </m:rPr>
                  <w:rPr>
                    <w:rFonts w:ascii="Cambria Math" w:hAnsi="Cambria Math"/>
                    <w:color w:val="auto"/>
                    <w:sz w:val="30"/>
                    <w:szCs w:val="30"/>
                    <w:highlight w:val="none"/>
                    <w:vertAlign w:val="superscript"/>
                  </w:rPr>
                  <m:t>q=</m:t>
                </m:r>
                <m:f>
                  <m:fPr>
                    <m:ctrlPr>
                      <w:rPr>
                        <w:rFonts w:ascii="Cambria Math" w:hAnsi="Cambria Math"/>
                        <w:color w:val="auto"/>
                        <w:sz w:val="30"/>
                        <w:szCs w:val="30"/>
                        <w:highlight w:val="none"/>
                        <w:vertAlign w:val="superscript"/>
                      </w:rPr>
                    </m:ctrlPr>
                  </m:fPr>
                  <m:num>
                    <m:r>
                      <m:rPr>
                        <m:sty m:val="p"/>
                      </m:rPr>
                      <w:rPr>
                        <w:rFonts w:hint="default" w:ascii="Cambria Math" w:hAnsi="Cambria Math"/>
                        <w:color w:val="auto"/>
                        <w:sz w:val="30"/>
                        <w:szCs w:val="30"/>
                        <w:highlight w:val="none"/>
                        <w:vertAlign w:val="superscript"/>
                        <w:lang w:val="en-US" w:eastAsia="zh-CN"/>
                      </w:rPr>
                      <m:t>1693.951</m:t>
                    </m:r>
                    <m:r>
                      <m:rPr>
                        <m:sty m:val="p"/>
                      </m:rPr>
                      <w:rPr>
                        <w:rFonts w:ascii="Cambria Math" w:hAnsi="Cambria Math"/>
                        <w:color w:val="auto"/>
                        <w:sz w:val="30"/>
                        <w:szCs w:val="30"/>
                        <w:highlight w:val="none"/>
                        <w:vertAlign w:val="superscript"/>
                      </w:rPr>
                      <m:t>(1+</m:t>
                    </m:r>
                    <m:r>
                      <m:rPr>
                        <m:sty m:val="p"/>
                      </m:rPr>
                      <w:rPr>
                        <w:rFonts w:hint="default" w:ascii="Cambria Math" w:hAnsi="Cambria Math"/>
                        <w:color w:val="auto"/>
                        <w:sz w:val="30"/>
                        <w:szCs w:val="30"/>
                        <w:highlight w:val="none"/>
                        <w:vertAlign w:val="superscript"/>
                        <w:lang w:val="en-US" w:eastAsia="zh-CN"/>
                      </w:rPr>
                      <m:t>0.971854</m:t>
                    </m:r>
                    <m:r>
                      <m:rPr>
                        <m:sty m:val="p"/>
                      </m:rPr>
                      <w:rPr>
                        <w:rFonts w:ascii="Cambria Math" w:hAnsi="Cambria Math"/>
                        <w:color w:val="auto"/>
                        <w:sz w:val="30"/>
                        <w:szCs w:val="30"/>
                        <w:highlight w:val="none"/>
                        <w:vertAlign w:val="superscript"/>
                      </w:rPr>
                      <m:t>lgP)</m:t>
                    </m:r>
                    <m:ctrlPr>
                      <w:rPr>
                        <w:rFonts w:ascii="Cambria Math" w:hAnsi="Cambria Math"/>
                        <w:color w:val="auto"/>
                        <w:sz w:val="30"/>
                        <w:szCs w:val="30"/>
                        <w:highlight w:val="none"/>
                        <w:vertAlign w:val="superscript"/>
                      </w:rPr>
                    </m:ctrlPr>
                  </m:num>
                  <m:den>
                    <m:sSup>
                      <m:sSupPr>
                        <m:ctrlPr>
                          <w:rPr>
                            <w:rFonts w:ascii="Cambria Math" w:hAnsi="Cambria Math"/>
                            <w:color w:val="auto"/>
                            <w:sz w:val="30"/>
                            <w:szCs w:val="30"/>
                            <w:highlight w:val="none"/>
                            <w:vertAlign w:val="superscript"/>
                          </w:rPr>
                        </m:ctrlPr>
                      </m:sSupPr>
                      <m:e>
                        <m:r>
                          <m:rPr>
                            <m:sty m:val="p"/>
                          </m:rPr>
                          <w:rPr>
                            <w:rFonts w:ascii="Cambria Math" w:hAnsi="Cambria Math"/>
                            <w:color w:val="auto"/>
                            <w:sz w:val="30"/>
                            <w:szCs w:val="30"/>
                            <w:highlight w:val="none"/>
                            <w:vertAlign w:val="superscript"/>
                          </w:rPr>
                          <m:t>(t+</m:t>
                        </m:r>
                        <m:r>
                          <m:rPr>
                            <m:sty m:val="p"/>
                          </m:rPr>
                          <w:rPr>
                            <w:rFonts w:hint="default" w:ascii="Cambria Math" w:hAnsi="Cambria Math"/>
                            <w:color w:val="auto"/>
                            <w:sz w:val="30"/>
                            <w:szCs w:val="30"/>
                            <w:highlight w:val="none"/>
                            <w:vertAlign w:val="superscript"/>
                            <w:lang w:val="en-US" w:eastAsia="zh-CN"/>
                          </w:rPr>
                          <m:t>7.691</m:t>
                        </m:r>
                        <m:r>
                          <m:rPr>
                            <m:sty m:val="p"/>
                          </m:rPr>
                          <w:rPr>
                            <w:rFonts w:ascii="Cambria Math" w:hAnsi="Cambria Math"/>
                            <w:color w:val="auto"/>
                            <w:sz w:val="30"/>
                            <w:szCs w:val="30"/>
                            <w:highlight w:val="none"/>
                            <w:vertAlign w:val="superscript"/>
                          </w:rPr>
                          <m:t>)</m:t>
                        </m:r>
                        <m:ctrlPr>
                          <w:rPr>
                            <w:rFonts w:ascii="Cambria Math" w:hAnsi="Cambria Math"/>
                            <w:color w:val="auto"/>
                            <w:sz w:val="30"/>
                            <w:szCs w:val="30"/>
                            <w:highlight w:val="none"/>
                            <w:vertAlign w:val="superscript"/>
                          </w:rPr>
                        </m:ctrlPr>
                      </m:e>
                      <m:sup>
                        <m:r>
                          <m:rPr>
                            <m:sty m:val="p"/>
                          </m:rPr>
                          <w:rPr>
                            <w:rFonts w:ascii="Cambria Math" w:hAnsi="Cambria Math"/>
                            <w:color w:val="auto"/>
                            <w:sz w:val="30"/>
                            <w:szCs w:val="30"/>
                            <w:highlight w:val="none"/>
                            <w:vertAlign w:val="superscript"/>
                          </w:rPr>
                          <m:t>0.</m:t>
                        </m:r>
                        <m:r>
                          <m:rPr>
                            <m:sty m:val="p"/>
                          </m:rPr>
                          <w:rPr>
                            <w:rFonts w:hint="default" w:ascii="Cambria Math" w:hAnsi="Cambria Math"/>
                            <w:color w:val="auto"/>
                            <w:sz w:val="30"/>
                            <w:szCs w:val="30"/>
                            <w:highlight w:val="none"/>
                            <w:vertAlign w:val="superscript"/>
                            <w:lang w:val="en-US" w:eastAsia="zh-CN"/>
                          </w:rPr>
                          <m:t>609</m:t>
                        </m:r>
                        <m:ctrlPr>
                          <w:rPr>
                            <w:rFonts w:ascii="Cambria Math" w:hAnsi="Cambria Math"/>
                            <w:color w:val="auto"/>
                            <w:sz w:val="30"/>
                            <w:szCs w:val="30"/>
                            <w:highlight w:val="none"/>
                            <w:vertAlign w:val="superscript"/>
                          </w:rPr>
                        </m:ctrlPr>
                      </m:sup>
                    </m:sSup>
                    <m:ctrlPr>
                      <w:rPr>
                        <w:rFonts w:ascii="Cambria Math" w:hAnsi="Cambria Math"/>
                        <w:color w:val="auto"/>
                        <w:sz w:val="30"/>
                        <w:szCs w:val="30"/>
                        <w:highlight w:val="none"/>
                        <w:vertAlign w:val="superscript"/>
                      </w:rPr>
                    </m:ctrlPr>
                  </m:den>
                </m:f>
              </m:oMath>
            </m:oMathPara>
          </w:p>
          <w:p w14:paraId="74B5AF6C">
            <w:pPr>
              <w:ind w:firstLine="480" w:firstLineChars="200"/>
              <w:rPr>
                <w:color w:val="auto"/>
                <w:highlight w:val="none"/>
              </w:rPr>
            </w:pPr>
            <w:r>
              <w:rPr>
                <w:color w:val="auto"/>
                <w:highlight w:val="none"/>
              </w:rPr>
              <w:t>式中：q—设计暴雨强度，L/s.hm</w:t>
            </w:r>
            <w:r>
              <w:rPr>
                <w:color w:val="auto"/>
                <w:highlight w:val="none"/>
                <w:vertAlign w:val="superscript"/>
              </w:rPr>
              <w:t>2</w:t>
            </w:r>
            <w:r>
              <w:rPr>
                <w:color w:val="auto"/>
                <w:highlight w:val="none"/>
              </w:rPr>
              <w:t>；</w:t>
            </w:r>
          </w:p>
          <w:p w14:paraId="074211F8">
            <w:pPr>
              <w:ind w:firstLine="480" w:firstLineChars="200"/>
              <w:rPr>
                <w:color w:val="auto"/>
                <w:highlight w:val="none"/>
              </w:rPr>
            </w:pPr>
            <w:r>
              <w:rPr>
                <w:rFonts w:hint="eastAsia"/>
                <w:color w:val="auto"/>
                <w:highlight w:val="none"/>
              </w:rPr>
              <w:t xml:space="preserve">      </w:t>
            </w:r>
            <w:r>
              <w:rPr>
                <w:color w:val="auto"/>
                <w:highlight w:val="none"/>
              </w:rPr>
              <w:t>P—设计重现期，a；</w:t>
            </w:r>
          </w:p>
          <w:p w14:paraId="613A55EB">
            <w:pPr>
              <w:ind w:firstLine="1200" w:firstLineChars="500"/>
              <w:rPr>
                <w:color w:val="auto"/>
                <w:highlight w:val="none"/>
              </w:rPr>
            </w:pPr>
            <w:r>
              <w:rPr>
                <w:color w:val="auto"/>
                <w:highlight w:val="none"/>
              </w:rPr>
              <w:t>t—降雨历时，min。</w:t>
            </w:r>
          </w:p>
          <w:p w14:paraId="55C3DF78">
            <w:pPr>
              <w:ind w:firstLine="480" w:firstLineChars="200"/>
              <w:rPr>
                <w:color w:val="auto"/>
                <w:highlight w:val="none"/>
              </w:rPr>
            </w:pPr>
            <w:r>
              <w:rPr>
                <w:color w:val="auto"/>
                <w:highlight w:val="none"/>
              </w:rPr>
              <w:t>按P=</w:t>
            </w:r>
            <w:r>
              <w:rPr>
                <w:rFonts w:hint="eastAsia"/>
                <w:color w:val="auto"/>
                <w:highlight w:val="none"/>
                <w:lang w:val="en-US" w:eastAsia="zh-CN"/>
              </w:rPr>
              <w:t>2</w:t>
            </w:r>
            <w:r>
              <w:rPr>
                <w:color w:val="auto"/>
                <w:highlight w:val="none"/>
              </w:rPr>
              <w:t>a，t=</w:t>
            </w:r>
            <w:r>
              <w:rPr>
                <w:rFonts w:hint="eastAsia"/>
                <w:color w:val="auto"/>
                <w:highlight w:val="none"/>
              </w:rPr>
              <w:t>15</w:t>
            </w:r>
            <w:r>
              <w:rPr>
                <w:color w:val="auto"/>
                <w:highlight w:val="none"/>
              </w:rPr>
              <w:t>min计算</w:t>
            </w:r>
            <w:r>
              <w:rPr>
                <w:rFonts w:hint="eastAsia"/>
                <w:color w:val="auto"/>
                <w:highlight w:val="none"/>
                <w:lang w:eastAsia="zh-CN"/>
              </w:rPr>
              <w:t>，</w:t>
            </w:r>
            <w:r>
              <w:rPr>
                <w:color w:val="auto"/>
                <w:highlight w:val="none"/>
              </w:rPr>
              <w:t>暴雨强度q=</w:t>
            </w:r>
            <w:r>
              <w:rPr>
                <w:rFonts w:hint="eastAsia"/>
                <w:color w:val="auto"/>
                <w:highlight w:val="none"/>
                <w:lang w:val="en-US" w:eastAsia="zh-CN"/>
              </w:rPr>
              <w:t>327.1</w:t>
            </w:r>
            <w:r>
              <w:rPr>
                <w:color w:val="auto"/>
                <w:highlight w:val="none"/>
              </w:rPr>
              <w:t>L/s.hm</w:t>
            </w:r>
            <w:r>
              <w:rPr>
                <w:color w:val="auto"/>
                <w:highlight w:val="none"/>
                <w:vertAlign w:val="superscript"/>
              </w:rPr>
              <w:t>2</w:t>
            </w:r>
            <w:r>
              <w:rPr>
                <w:color w:val="auto"/>
                <w:highlight w:val="none"/>
              </w:rPr>
              <w:t>。</w:t>
            </w:r>
          </w:p>
          <w:p w14:paraId="4B3AD7AC">
            <w:pPr>
              <w:ind w:firstLine="480" w:firstLineChars="200"/>
              <w:rPr>
                <w:color w:val="auto"/>
                <w:highlight w:val="none"/>
              </w:rPr>
            </w:pPr>
            <w:r>
              <w:rPr>
                <w:color w:val="auto"/>
                <w:highlight w:val="none"/>
              </w:rPr>
              <w:t>再计算雨水设计流量：Q</w:t>
            </w:r>
            <w:r>
              <w:rPr>
                <w:color w:val="auto"/>
                <w:highlight w:val="none"/>
                <w:vertAlign w:val="subscript"/>
              </w:rPr>
              <w:t>s</w:t>
            </w:r>
            <w:r>
              <w:rPr>
                <w:color w:val="auto"/>
                <w:highlight w:val="none"/>
              </w:rPr>
              <w:t>=q*</w:t>
            </w:r>
            <w:r>
              <w:rPr>
                <w:rFonts w:hint="default" w:ascii="Times New Roman" w:hAnsi="Times New Roman" w:eastAsia="宋体" w:cs="Times New Roman"/>
                <w:bCs/>
                <w:color w:val="auto"/>
                <w:sz w:val="24"/>
                <w:szCs w:val="24"/>
                <w:highlight w:val="none"/>
              </w:rPr>
              <w:sym w:font="Symbol" w:char="F079"/>
            </w:r>
            <w:r>
              <w:rPr>
                <w:color w:val="auto"/>
                <w:highlight w:val="none"/>
              </w:rPr>
              <w:t>*F</w:t>
            </w:r>
          </w:p>
          <w:p w14:paraId="2F0E6148">
            <w:pPr>
              <w:ind w:firstLine="480" w:firstLineChars="200"/>
              <w:rPr>
                <w:color w:val="auto"/>
                <w:highlight w:val="none"/>
              </w:rPr>
            </w:pPr>
            <w:r>
              <w:rPr>
                <w:color w:val="auto"/>
                <w:highlight w:val="none"/>
              </w:rPr>
              <w:t>式中：Q</w:t>
            </w:r>
            <w:r>
              <w:rPr>
                <w:color w:val="auto"/>
                <w:highlight w:val="none"/>
                <w:vertAlign w:val="subscript"/>
              </w:rPr>
              <w:t>s</w:t>
            </w:r>
            <w:r>
              <w:rPr>
                <w:color w:val="auto"/>
                <w:highlight w:val="none"/>
              </w:rPr>
              <w:t>—雨水设计流量，L/s；</w:t>
            </w:r>
          </w:p>
          <w:p w14:paraId="4A33A810">
            <w:pPr>
              <w:ind w:firstLine="1200" w:firstLineChars="500"/>
              <w:rPr>
                <w:color w:val="auto"/>
                <w:highlight w:val="none"/>
              </w:rPr>
            </w:pPr>
            <w:r>
              <w:rPr>
                <w:color w:val="auto"/>
                <w:highlight w:val="none"/>
              </w:rPr>
              <w:t>q—设计暴雨强度，L/s.hm</w:t>
            </w:r>
            <w:r>
              <w:rPr>
                <w:color w:val="auto"/>
                <w:highlight w:val="none"/>
                <w:vertAlign w:val="superscript"/>
              </w:rPr>
              <w:t>2</w:t>
            </w:r>
            <w:r>
              <w:rPr>
                <w:color w:val="auto"/>
                <w:highlight w:val="none"/>
              </w:rPr>
              <w:t>；</w:t>
            </w:r>
          </w:p>
          <w:p w14:paraId="22B6230F">
            <w:pPr>
              <w:ind w:firstLine="1200" w:firstLineChars="500"/>
              <w:rPr>
                <w:color w:val="auto"/>
                <w:highlight w:val="none"/>
              </w:rPr>
            </w:pPr>
            <w:r>
              <w:rPr>
                <w:rFonts w:hint="default" w:ascii="Times New Roman" w:hAnsi="Times New Roman" w:eastAsia="宋体" w:cs="Times New Roman"/>
                <w:bCs/>
                <w:color w:val="auto"/>
                <w:sz w:val="24"/>
                <w:szCs w:val="24"/>
                <w:highlight w:val="none"/>
              </w:rPr>
              <w:sym w:font="Symbol" w:char="F079"/>
            </w:r>
            <w:r>
              <w:rPr>
                <w:color w:val="auto"/>
                <w:highlight w:val="none"/>
              </w:rPr>
              <w:t>—径流系数；</w:t>
            </w:r>
          </w:p>
          <w:p w14:paraId="7713B607">
            <w:pPr>
              <w:ind w:firstLine="1200" w:firstLineChars="500"/>
              <w:rPr>
                <w:color w:val="auto"/>
                <w:highlight w:val="none"/>
              </w:rPr>
            </w:pPr>
            <w:r>
              <w:rPr>
                <w:color w:val="auto"/>
                <w:highlight w:val="none"/>
              </w:rPr>
              <w:t>F—汇水面积，hm</w:t>
            </w:r>
            <w:r>
              <w:rPr>
                <w:color w:val="auto"/>
                <w:highlight w:val="none"/>
                <w:vertAlign w:val="superscript"/>
              </w:rPr>
              <w:t>2</w:t>
            </w:r>
            <w:r>
              <w:rPr>
                <w:color w:val="auto"/>
                <w:highlight w:val="none"/>
              </w:rPr>
              <w:t>。</w:t>
            </w:r>
          </w:p>
          <w:p w14:paraId="1250BC21">
            <w:pPr>
              <w:adjustRightInd w:val="0"/>
              <w:snapToGrid w:val="0"/>
              <w:ind w:firstLine="480" w:firstLineChars="200"/>
              <w:jc w:val="both"/>
              <w:rPr>
                <w:color w:val="auto"/>
                <w:highlight w:val="none"/>
              </w:rPr>
            </w:pPr>
            <w:r>
              <w:rPr>
                <w:color w:val="auto"/>
                <w:highlight w:val="none"/>
              </w:rPr>
              <w:t>项目汇水面积</w:t>
            </w:r>
            <w:r>
              <w:rPr>
                <w:rFonts w:hint="eastAsia"/>
                <w:color w:val="auto"/>
                <w:highlight w:val="none"/>
                <w:lang w:eastAsia="zh-CN"/>
              </w:rPr>
              <w:t>取</w:t>
            </w:r>
            <w:r>
              <w:rPr>
                <w:bCs/>
                <w:color w:val="auto"/>
                <w:highlight w:val="none"/>
              </w:rPr>
              <w:t>F=0.</w:t>
            </w:r>
            <w:r>
              <w:rPr>
                <w:rFonts w:hint="eastAsia"/>
                <w:bCs/>
                <w:color w:val="auto"/>
                <w:highlight w:val="none"/>
                <w:lang w:val="en-US" w:eastAsia="zh-CN"/>
              </w:rPr>
              <w:t>4</w:t>
            </w:r>
            <w:r>
              <w:rPr>
                <w:bCs/>
                <w:color w:val="auto"/>
                <w:highlight w:val="none"/>
              </w:rPr>
              <w:t>hm</w:t>
            </w:r>
            <w:r>
              <w:rPr>
                <w:bCs/>
                <w:color w:val="auto"/>
                <w:highlight w:val="none"/>
                <w:vertAlign w:val="superscript"/>
              </w:rPr>
              <w:t>2</w:t>
            </w:r>
            <w:r>
              <w:rPr>
                <w:bCs/>
                <w:color w:val="auto"/>
                <w:highlight w:val="none"/>
              </w:rPr>
              <w:t>，径流系数取0.</w:t>
            </w:r>
            <w:r>
              <w:rPr>
                <w:rFonts w:hint="eastAsia"/>
                <w:bCs/>
                <w:color w:val="auto"/>
                <w:highlight w:val="none"/>
              </w:rPr>
              <w:t>9</w:t>
            </w:r>
            <w:r>
              <w:rPr>
                <w:bCs/>
                <w:color w:val="auto"/>
                <w:highlight w:val="none"/>
              </w:rPr>
              <w:t>（混凝土路面），计算得雨水设计流量Q为</w:t>
            </w:r>
            <w:r>
              <w:rPr>
                <w:rFonts w:hint="eastAsia"/>
                <w:bCs/>
                <w:color w:val="auto"/>
                <w:highlight w:val="none"/>
                <w:lang w:val="en-US" w:eastAsia="zh-CN"/>
              </w:rPr>
              <w:t>117.756</w:t>
            </w:r>
            <w:r>
              <w:rPr>
                <w:bCs/>
                <w:color w:val="auto"/>
                <w:highlight w:val="none"/>
              </w:rPr>
              <w:t>L/s。若按收集前15min雨水</w:t>
            </w:r>
            <w:r>
              <w:rPr>
                <w:rFonts w:hint="eastAsia"/>
                <w:bCs/>
                <w:color w:val="auto"/>
                <w:highlight w:val="none"/>
                <w:lang w:val="en-US" w:eastAsia="zh-CN"/>
              </w:rPr>
              <w:t>量</w:t>
            </w:r>
            <w:r>
              <w:rPr>
                <w:bCs/>
                <w:color w:val="auto"/>
                <w:highlight w:val="none"/>
              </w:rPr>
              <w:t>，初期雨水量为</w:t>
            </w:r>
            <w:r>
              <w:rPr>
                <w:rFonts w:hint="eastAsia"/>
                <w:color w:val="auto"/>
                <w:highlight w:val="none"/>
                <w:lang w:val="en-US" w:eastAsia="zh-CN"/>
              </w:rPr>
              <w:t>105.98</w:t>
            </w:r>
            <w:r>
              <w:rPr>
                <w:bCs/>
                <w:color w:val="auto"/>
                <w:highlight w:val="none"/>
              </w:rPr>
              <w:t>m</w:t>
            </w:r>
            <w:r>
              <w:rPr>
                <w:bCs/>
                <w:color w:val="auto"/>
                <w:highlight w:val="none"/>
                <w:vertAlign w:val="superscript"/>
              </w:rPr>
              <w:t>3</w:t>
            </w:r>
            <w:r>
              <w:rPr>
                <w:rFonts w:hint="eastAsia"/>
                <w:bCs/>
                <w:color w:val="auto"/>
                <w:highlight w:val="none"/>
              </w:rPr>
              <w:t>/次，</w:t>
            </w:r>
            <w:r>
              <w:rPr>
                <w:bCs/>
                <w:color w:val="auto"/>
                <w:highlight w:val="none"/>
                <w:lang w:bidi="ar"/>
              </w:rPr>
              <w:t>年降雨次数取1</w:t>
            </w:r>
            <w:r>
              <w:rPr>
                <w:rFonts w:hint="eastAsia"/>
                <w:bCs/>
                <w:color w:val="auto"/>
                <w:highlight w:val="none"/>
                <w:lang w:val="en-US" w:eastAsia="zh-CN" w:bidi="ar"/>
              </w:rPr>
              <w:t>5</w:t>
            </w:r>
            <w:r>
              <w:rPr>
                <w:bCs/>
                <w:color w:val="auto"/>
                <w:highlight w:val="none"/>
                <w:lang w:bidi="ar"/>
              </w:rPr>
              <w:t>次，则本项目</w:t>
            </w:r>
            <w:r>
              <w:rPr>
                <w:rFonts w:hint="eastAsia"/>
                <w:bCs/>
                <w:color w:val="auto"/>
                <w:highlight w:val="none"/>
                <w:lang w:bidi="ar"/>
              </w:rPr>
              <w:t>加油站</w:t>
            </w:r>
            <w:r>
              <w:rPr>
                <w:bCs/>
                <w:color w:val="auto"/>
                <w:highlight w:val="none"/>
                <w:lang w:bidi="ar"/>
              </w:rPr>
              <w:t>初期雨水量为</w:t>
            </w:r>
            <w:r>
              <w:rPr>
                <w:rFonts w:hint="eastAsia"/>
                <w:bCs/>
                <w:color w:val="auto"/>
                <w:highlight w:val="none"/>
                <w:lang w:val="en-US" w:eastAsia="zh-CN" w:bidi="ar"/>
              </w:rPr>
              <w:t>1589.706</w:t>
            </w:r>
            <w:r>
              <w:rPr>
                <w:rFonts w:hint="eastAsia"/>
                <w:bCs/>
                <w:color w:val="auto"/>
                <w:highlight w:val="none"/>
                <w:lang w:bidi="ar"/>
              </w:rPr>
              <w:t>m</w:t>
            </w:r>
            <w:r>
              <w:rPr>
                <w:rFonts w:hint="eastAsia"/>
                <w:bCs/>
                <w:color w:val="auto"/>
                <w:highlight w:val="none"/>
                <w:vertAlign w:val="superscript"/>
                <w:lang w:bidi="ar"/>
              </w:rPr>
              <w:t>3</w:t>
            </w:r>
            <w:r>
              <w:rPr>
                <w:rFonts w:hint="eastAsia"/>
                <w:bCs/>
                <w:color w:val="auto"/>
                <w:highlight w:val="none"/>
                <w:lang w:bidi="ar"/>
              </w:rPr>
              <w:t>/a</w:t>
            </w:r>
            <w:r>
              <w:rPr>
                <w:bCs/>
                <w:color w:val="auto"/>
                <w:highlight w:val="none"/>
                <w:lang w:bidi="ar"/>
              </w:rPr>
              <w:t>。</w:t>
            </w:r>
            <w:r>
              <w:rPr>
                <w:rFonts w:hint="eastAsia"/>
                <w:bCs/>
                <w:color w:val="auto"/>
                <w:highlight w:val="none"/>
                <w:lang w:bidi="ar"/>
              </w:rPr>
              <w:t>加油站</w:t>
            </w:r>
            <w:r>
              <w:rPr>
                <w:bCs/>
                <w:color w:val="auto"/>
                <w:highlight w:val="none"/>
              </w:rPr>
              <w:t>初期雨水收集后经</w:t>
            </w:r>
            <w:r>
              <w:rPr>
                <w:rFonts w:hint="eastAsia" w:ascii="宋体" w:hAnsi="宋体"/>
                <w:color w:val="auto"/>
                <w:highlight w:val="none"/>
              </w:rPr>
              <w:t>三级油水分离池</w:t>
            </w:r>
            <w:r>
              <w:rPr>
                <w:color w:val="auto"/>
                <w:highlight w:val="none"/>
              </w:rPr>
              <w:t>处理后</w:t>
            </w:r>
            <w:r>
              <w:rPr>
                <w:rFonts w:hint="eastAsia" w:ascii="宋体" w:hAnsi="宋体"/>
                <w:color w:val="auto"/>
                <w:highlight w:val="none"/>
                <w:lang w:val="en-US" w:eastAsia="zh-CN"/>
              </w:rPr>
              <w:t>经</w:t>
            </w:r>
            <w:r>
              <w:rPr>
                <w:color w:val="auto"/>
                <w:highlight w:val="none"/>
              </w:rPr>
              <w:t>市政污水管网</w:t>
            </w:r>
            <w:r>
              <w:rPr>
                <w:rFonts w:hint="eastAsia"/>
                <w:color w:val="auto"/>
                <w:highlight w:val="none"/>
                <w:lang w:val="en-US" w:eastAsia="zh-CN"/>
              </w:rPr>
              <w:t>排至</w:t>
            </w:r>
            <w:r>
              <w:rPr>
                <w:rFonts w:hint="eastAsia"/>
                <w:color w:val="auto"/>
                <w:highlight w:val="none"/>
                <w:lang w:eastAsia="zh-CN"/>
              </w:rPr>
              <w:t>石姚湾净水厂</w:t>
            </w:r>
            <w:r>
              <w:rPr>
                <w:rFonts w:hint="eastAsia" w:ascii="宋体" w:hAnsi="宋体"/>
                <w:color w:val="auto"/>
                <w:highlight w:val="none"/>
              </w:rPr>
              <w:t>进行处理</w:t>
            </w:r>
            <w:r>
              <w:rPr>
                <w:rFonts w:hint="eastAsia"/>
                <w:color w:val="auto"/>
                <w:highlight w:val="none"/>
              </w:rPr>
              <w:t>。</w:t>
            </w:r>
          </w:p>
          <w:p w14:paraId="12E95BE9">
            <w:pPr>
              <w:bidi w:val="0"/>
              <w:ind w:firstLine="480" w:firstLineChars="200"/>
              <w:rPr>
                <w:rFonts w:hint="default" w:eastAsia="宋体"/>
                <w:color w:val="auto"/>
                <w:highlight w:val="none"/>
                <w:lang w:val="en-US" w:eastAsia="zh-CN"/>
              </w:rPr>
            </w:pPr>
            <w:r>
              <w:rPr>
                <w:rFonts w:hint="eastAsia"/>
                <w:color w:val="auto"/>
                <w:highlight w:val="none"/>
              </w:rPr>
              <w:t>（5）洗车废水</w:t>
            </w:r>
          </w:p>
          <w:p w14:paraId="3E548D88">
            <w:pPr>
              <w:bidi w:val="0"/>
              <w:ind w:firstLine="480" w:firstLineChars="200"/>
              <w:rPr>
                <w:color w:val="auto"/>
                <w:highlight w:val="none"/>
              </w:rPr>
            </w:pPr>
            <w:r>
              <w:rPr>
                <w:rFonts w:hint="eastAsia"/>
                <w:color w:val="auto"/>
                <w:highlight w:val="none"/>
              </w:rPr>
              <w:t>车辆维修或保养后清洗工序产生洗车废水，根据建设单位提供资料，平均每天清洗大型车约3辆，中型车</w:t>
            </w:r>
            <w:r>
              <w:rPr>
                <w:rFonts w:hint="eastAsia"/>
                <w:color w:val="auto"/>
                <w:highlight w:val="none"/>
                <w:lang w:val="en-US" w:eastAsia="zh-CN"/>
              </w:rPr>
              <w:t>5</w:t>
            </w:r>
            <w:r>
              <w:rPr>
                <w:rFonts w:hint="eastAsia"/>
                <w:color w:val="auto"/>
                <w:highlight w:val="none"/>
              </w:rPr>
              <w:t>辆，小型车5辆，即年洗车大型车1095辆、中型车</w:t>
            </w:r>
            <w:r>
              <w:rPr>
                <w:rFonts w:hint="eastAsia"/>
                <w:color w:val="auto"/>
                <w:highlight w:val="none"/>
                <w:lang w:val="en-US" w:eastAsia="zh-CN"/>
              </w:rPr>
              <w:t>1825</w:t>
            </w:r>
            <w:r>
              <w:rPr>
                <w:rFonts w:hint="eastAsia"/>
                <w:color w:val="auto"/>
                <w:highlight w:val="none"/>
              </w:rPr>
              <w:t>辆、小型车1825辆。参考《安徽省行业用水定额》（DB34/T679-202</w:t>
            </w:r>
            <w:r>
              <w:rPr>
                <w:rFonts w:hint="eastAsia"/>
                <w:color w:val="auto"/>
                <w:highlight w:val="none"/>
                <w:lang w:val="en-US" w:eastAsia="zh-CN"/>
              </w:rPr>
              <w:t>5</w:t>
            </w:r>
            <w:r>
              <w:rPr>
                <w:rFonts w:hint="eastAsia"/>
                <w:color w:val="auto"/>
                <w:highlight w:val="none"/>
              </w:rPr>
              <w:t>）表</w:t>
            </w:r>
            <w:r>
              <w:rPr>
                <w:rFonts w:hint="eastAsia"/>
                <w:color w:val="auto"/>
                <w:highlight w:val="none"/>
                <w:lang w:val="en-US" w:eastAsia="zh-CN"/>
              </w:rPr>
              <w:t>5</w:t>
            </w:r>
            <w:r>
              <w:rPr>
                <w:rFonts w:hint="eastAsia"/>
                <w:color w:val="auto"/>
                <w:highlight w:val="none"/>
              </w:rPr>
              <w:t>中内容，车辆清洗用水量详见下表。</w:t>
            </w:r>
          </w:p>
          <w:p w14:paraId="4E662145">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t xml:space="preserve"> 《安徽省行业用水定额》（DB34/T679-20</w:t>
            </w:r>
            <w:r>
              <w:rPr>
                <w:rFonts w:hint="eastAsia"/>
                <w:color w:val="auto"/>
                <w:highlight w:val="none"/>
                <w:lang w:val="en-US" w:eastAsia="zh-CN"/>
              </w:rPr>
              <w:t>25</w:t>
            </w:r>
            <w:r>
              <w:rPr>
                <w:rFonts w:hint="eastAsia"/>
                <w:color w:val="auto"/>
                <w:highlight w:val="none"/>
              </w:rPr>
              <w:t>）表</w:t>
            </w:r>
            <w:r>
              <w:rPr>
                <w:rFonts w:hint="eastAsia"/>
                <w:color w:val="auto"/>
                <w:highlight w:val="none"/>
                <w:lang w:val="en-US" w:eastAsia="zh-CN"/>
              </w:rPr>
              <w:t>5</w:t>
            </w:r>
            <w:r>
              <w:rPr>
                <w:rFonts w:hint="eastAsia"/>
                <w:color w:val="auto"/>
                <w:highlight w:val="none"/>
              </w:rPr>
              <w:t>（节选）</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061"/>
              <w:gridCol w:w="1061"/>
              <w:gridCol w:w="1061"/>
              <w:gridCol w:w="396"/>
              <w:gridCol w:w="396"/>
              <w:gridCol w:w="857"/>
              <w:gridCol w:w="1145"/>
              <w:gridCol w:w="731"/>
            </w:tblGrid>
            <w:tr w14:paraId="1267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3" w:type="dxa"/>
                  <w:gridSpan w:val="4"/>
                  <w:vAlign w:val="center"/>
                </w:tcPr>
                <w:p w14:paraId="28D8F06F">
                  <w:pPr>
                    <w:pStyle w:val="30"/>
                    <w:rPr>
                      <w:color w:val="auto"/>
                      <w:highlight w:val="none"/>
                    </w:rPr>
                  </w:pPr>
                  <w:r>
                    <w:rPr>
                      <w:rFonts w:hint="eastAsia"/>
                      <w:color w:val="auto"/>
                      <w:highlight w:val="none"/>
                    </w:rPr>
                    <w:t>行业分类</w:t>
                  </w:r>
                </w:p>
              </w:tc>
              <w:tc>
                <w:tcPr>
                  <w:tcW w:w="736" w:type="dxa"/>
                  <w:gridSpan w:val="2"/>
                  <w:vMerge w:val="restart"/>
                  <w:vAlign w:val="center"/>
                </w:tcPr>
                <w:p w14:paraId="292D6017">
                  <w:pPr>
                    <w:pStyle w:val="30"/>
                    <w:rPr>
                      <w:color w:val="auto"/>
                      <w:highlight w:val="none"/>
                    </w:rPr>
                  </w:pPr>
                  <w:r>
                    <w:rPr>
                      <w:rFonts w:hint="eastAsia"/>
                      <w:color w:val="auto"/>
                      <w:highlight w:val="none"/>
                      <w:lang w:eastAsia="zh-CN"/>
                    </w:rPr>
                    <w:t>分项</w:t>
                  </w:r>
                  <w:r>
                    <w:rPr>
                      <w:rFonts w:hint="eastAsia"/>
                      <w:color w:val="auto"/>
                      <w:highlight w:val="none"/>
                    </w:rPr>
                    <w:t>名称</w:t>
                  </w:r>
                </w:p>
              </w:tc>
              <w:tc>
                <w:tcPr>
                  <w:tcW w:w="2018" w:type="dxa"/>
                  <w:gridSpan w:val="2"/>
                  <w:vAlign w:val="center"/>
                </w:tcPr>
                <w:p w14:paraId="239B6BBB">
                  <w:pPr>
                    <w:pStyle w:val="30"/>
                    <w:rPr>
                      <w:color w:val="auto"/>
                      <w:highlight w:val="none"/>
                    </w:rPr>
                  </w:pPr>
                  <w:r>
                    <w:rPr>
                      <w:rFonts w:hint="eastAsia"/>
                      <w:color w:val="auto"/>
                      <w:highlight w:val="none"/>
                    </w:rPr>
                    <w:t>定额</w:t>
                  </w:r>
                </w:p>
              </w:tc>
              <w:tc>
                <w:tcPr>
                  <w:tcW w:w="737" w:type="dxa"/>
                  <w:vMerge w:val="restart"/>
                  <w:vAlign w:val="center"/>
                </w:tcPr>
                <w:p w14:paraId="153EC795">
                  <w:pPr>
                    <w:pStyle w:val="30"/>
                    <w:rPr>
                      <w:color w:val="auto"/>
                      <w:highlight w:val="none"/>
                    </w:rPr>
                  </w:pPr>
                  <w:r>
                    <w:rPr>
                      <w:rFonts w:hint="eastAsia"/>
                      <w:color w:val="auto"/>
                      <w:highlight w:val="none"/>
                    </w:rPr>
                    <w:t>备注</w:t>
                  </w:r>
                </w:p>
              </w:tc>
            </w:tr>
            <w:tr w14:paraId="08B9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73" w:type="dxa"/>
                  <w:gridSpan w:val="2"/>
                  <w:vAlign w:val="center"/>
                </w:tcPr>
                <w:p w14:paraId="2B166EFE">
                  <w:pPr>
                    <w:pStyle w:val="30"/>
                    <w:rPr>
                      <w:color w:val="auto"/>
                      <w:highlight w:val="none"/>
                    </w:rPr>
                  </w:pPr>
                  <w:r>
                    <w:rPr>
                      <w:rFonts w:hint="eastAsia"/>
                      <w:color w:val="auto"/>
                      <w:highlight w:val="none"/>
                    </w:rPr>
                    <w:t>大类</w:t>
                  </w:r>
                </w:p>
              </w:tc>
              <w:tc>
                <w:tcPr>
                  <w:tcW w:w="2140" w:type="dxa"/>
                  <w:gridSpan w:val="2"/>
                  <w:vAlign w:val="center"/>
                </w:tcPr>
                <w:p w14:paraId="352F5825">
                  <w:pPr>
                    <w:pStyle w:val="30"/>
                    <w:rPr>
                      <w:color w:val="auto"/>
                      <w:highlight w:val="none"/>
                    </w:rPr>
                  </w:pPr>
                  <w:r>
                    <w:rPr>
                      <w:rFonts w:hint="eastAsia"/>
                      <w:color w:val="auto"/>
                      <w:highlight w:val="none"/>
                    </w:rPr>
                    <w:t>中类</w:t>
                  </w:r>
                </w:p>
              </w:tc>
              <w:tc>
                <w:tcPr>
                  <w:tcW w:w="736" w:type="dxa"/>
                  <w:gridSpan w:val="2"/>
                  <w:vMerge w:val="continue"/>
                  <w:vAlign w:val="center"/>
                </w:tcPr>
                <w:p w14:paraId="33E3EA79">
                  <w:pPr>
                    <w:pStyle w:val="30"/>
                    <w:rPr>
                      <w:color w:val="auto"/>
                      <w:highlight w:val="none"/>
                    </w:rPr>
                  </w:pPr>
                </w:p>
              </w:tc>
              <w:tc>
                <w:tcPr>
                  <w:tcW w:w="864" w:type="dxa"/>
                  <w:vMerge w:val="restart"/>
                  <w:vAlign w:val="center"/>
                </w:tcPr>
                <w:p w14:paraId="289E1038">
                  <w:pPr>
                    <w:pStyle w:val="30"/>
                    <w:rPr>
                      <w:color w:val="auto"/>
                      <w:highlight w:val="none"/>
                    </w:rPr>
                  </w:pPr>
                  <w:r>
                    <w:rPr>
                      <w:rFonts w:hint="eastAsia"/>
                      <w:color w:val="auto"/>
                      <w:highlight w:val="none"/>
                    </w:rPr>
                    <w:t>单位</w:t>
                  </w:r>
                </w:p>
              </w:tc>
              <w:tc>
                <w:tcPr>
                  <w:tcW w:w="1154" w:type="dxa"/>
                  <w:vMerge w:val="restart"/>
                  <w:vAlign w:val="center"/>
                </w:tcPr>
                <w:p w14:paraId="6420646B">
                  <w:pPr>
                    <w:pStyle w:val="30"/>
                    <w:rPr>
                      <w:color w:val="auto"/>
                      <w:highlight w:val="none"/>
                    </w:rPr>
                  </w:pPr>
                  <w:r>
                    <w:rPr>
                      <w:rFonts w:hint="eastAsia"/>
                      <w:color w:val="auto"/>
                      <w:highlight w:val="none"/>
                    </w:rPr>
                    <w:t>定额值</w:t>
                  </w:r>
                </w:p>
              </w:tc>
              <w:tc>
                <w:tcPr>
                  <w:tcW w:w="737" w:type="dxa"/>
                  <w:vMerge w:val="continue"/>
                  <w:vAlign w:val="center"/>
                </w:tcPr>
                <w:p w14:paraId="7CB37C56">
                  <w:pPr>
                    <w:pStyle w:val="30"/>
                    <w:rPr>
                      <w:color w:val="auto"/>
                      <w:highlight w:val="none"/>
                    </w:rPr>
                  </w:pPr>
                </w:p>
              </w:tc>
            </w:tr>
            <w:tr w14:paraId="6085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vAlign w:val="center"/>
                </w:tcPr>
                <w:p w14:paraId="48EEAD40">
                  <w:pPr>
                    <w:pStyle w:val="30"/>
                    <w:rPr>
                      <w:color w:val="auto"/>
                      <w:highlight w:val="none"/>
                    </w:rPr>
                  </w:pPr>
                  <w:r>
                    <w:rPr>
                      <w:rFonts w:hint="eastAsia"/>
                      <w:color w:val="auto"/>
                      <w:highlight w:val="none"/>
                    </w:rPr>
                    <w:t>代码</w:t>
                  </w:r>
                </w:p>
              </w:tc>
              <w:tc>
                <w:tcPr>
                  <w:tcW w:w="1070" w:type="dxa"/>
                  <w:vAlign w:val="center"/>
                </w:tcPr>
                <w:p w14:paraId="1C942C3F">
                  <w:pPr>
                    <w:pStyle w:val="30"/>
                    <w:rPr>
                      <w:color w:val="auto"/>
                      <w:highlight w:val="none"/>
                    </w:rPr>
                  </w:pPr>
                  <w:r>
                    <w:rPr>
                      <w:rFonts w:hint="eastAsia"/>
                      <w:color w:val="auto"/>
                      <w:highlight w:val="none"/>
                    </w:rPr>
                    <w:t>类别名称</w:t>
                  </w:r>
                </w:p>
              </w:tc>
              <w:tc>
                <w:tcPr>
                  <w:tcW w:w="1070" w:type="dxa"/>
                  <w:vAlign w:val="center"/>
                </w:tcPr>
                <w:p w14:paraId="26BB677B">
                  <w:pPr>
                    <w:pStyle w:val="30"/>
                    <w:rPr>
                      <w:color w:val="auto"/>
                      <w:highlight w:val="none"/>
                    </w:rPr>
                  </w:pPr>
                  <w:r>
                    <w:rPr>
                      <w:rFonts w:hint="eastAsia"/>
                      <w:color w:val="auto"/>
                      <w:highlight w:val="none"/>
                    </w:rPr>
                    <w:t>代码</w:t>
                  </w:r>
                </w:p>
              </w:tc>
              <w:tc>
                <w:tcPr>
                  <w:tcW w:w="1070" w:type="dxa"/>
                  <w:vAlign w:val="center"/>
                </w:tcPr>
                <w:p w14:paraId="285FB3C3">
                  <w:pPr>
                    <w:pStyle w:val="30"/>
                    <w:rPr>
                      <w:color w:val="auto"/>
                      <w:highlight w:val="none"/>
                    </w:rPr>
                  </w:pPr>
                  <w:r>
                    <w:rPr>
                      <w:rFonts w:hint="eastAsia"/>
                      <w:color w:val="auto"/>
                      <w:highlight w:val="none"/>
                    </w:rPr>
                    <w:t>类别名称</w:t>
                  </w:r>
                </w:p>
              </w:tc>
              <w:tc>
                <w:tcPr>
                  <w:tcW w:w="736" w:type="dxa"/>
                  <w:gridSpan w:val="2"/>
                  <w:vMerge w:val="continue"/>
                  <w:vAlign w:val="center"/>
                </w:tcPr>
                <w:p w14:paraId="43307787">
                  <w:pPr>
                    <w:pStyle w:val="30"/>
                    <w:rPr>
                      <w:color w:val="auto"/>
                      <w:highlight w:val="none"/>
                    </w:rPr>
                  </w:pPr>
                </w:p>
              </w:tc>
              <w:tc>
                <w:tcPr>
                  <w:tcW w:w="864" w:type="dxa"/>
                  <w:vMerge w:val="continue"/>
                  <w:vAlign w:val="center"/>
                </w:tcPr>
                <w:p w14:paraId="1F0F969C">
                  <w:pPr>
                    <w:pStyle w:val="30"/>
                    <w:rPr>
                      <w:color w:val="auto"/>
                      <w:highlight w:val="none"/>
                    </w:rPr>
                  </w:pPr>
                </w:p>
              </w:tc>
              <w:tc>
                <w:tcPr>
                  <w:tcW w:w="1154" w:type="dxa"/>
                  <w:vMerge w:val="continue"/>
                  <w:vAlign w:val="center"/>
                </w:tcPr>
                <w:p w14:paraId="7C08253C">
                  <w:pPr>
                    <w:pStyle w:val="30"/>
                    <w:rPr>
                      <w:color w:val="auto"/>
                      <w:highlight w:val="none"/>
                    </w:rPr>
                  </w:pPr>
                </w:p>
              </w:tc>
              <w:tc>
                <w:tcPr>
                  <w:tcW w:w="737" w:type="dxa"/>
                  <w:vMerge w:val="continue"/>
                  <w:vAlign w:val="center"/>
                </w:tcPr>
                <w:p w14:paraId="0B78DED9">
                  <w:pPr>
                    <w:pStyle w:val="30"/>
                    <w:rPr>
                      <w:color w:val="auto"/>
                      <w:highlight w:val="none"/>
                    </w:rPr>
                  </w:pPr>
                </w:p>
              </w:tc>
            </w:tr>
            <w:tr w14:paraId="70FE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vMerge w:val="restart"/>
                  <w:vAlign w:val="center"/>
                </w:tcPr>
                <w:p w14:paraId="54353471">
                  <w:pPr>
                    <w:pStyle w:val="30"/>
                    <w:rPr>
                      <w:color w:val="auto"/>
                      <w:highlight w:val="none"/>
                    </w:rPr>
                  </w:pPr>
                  <w:r>
                    <w:rPr>
                      <w:rFonts w:hint="eastAsia"/>
                      <w:color w:val="auto"/>
                      <w:highlight w:val="none"/>
                    </w:rPr>
                    <w:t>081</w:t>
                  </w:r>
                </w:p>
              </w:tc>
              <w:tc>
                <w:tcPr>
                  <w:tcW w:w="1070" w:type="dxa"/>
                  <w:vMerge w:val="restart"/>
                  <w:vAlign w:val="center"/>
                </w:tcPr>
                <w:p w14:paraId="51FC8294">
                  <w:pPr>
                    <w:pStyle w:val="30"/>
                    <w:rPr>
                      <w:color w:val="auto"/>
                      <w:highlight w:val="none"/>
                    </w:rPr>
                  </w:pPr>
                  <w:r>
                    <w:rPr>
                      <w:rFonts w:hint="eastAsia"/>
                      <w:color w:val="auto"/>
                      <w:highlight w:val="none"/>
                    </w:rPr>
                    <w:t>机动车、电子产品和日用产品修理业</w:t>
                  </w:r>
                </w:p>
              </w:tc>
              <w:tc>
                <w:tcPr>
                  <w:tcW w:w="1070" w:type="dxa"/>
                  <w:vMerge w:val="restart"/>
                  <w:vAlign w:val="center"/>
                </w:tcPr>
                <w:p w14:paraId="74F4F95F">
                  <w:pPr>
                    <w:pStyle w:val="30"/>
                    <w:rPr>
                      <w:color w:val="auto"/>
                      <w:highlight w:val="none"/>
                    </w:rPr>
                  </w:pPr>
                  <w:r>
                    <w:rPr>
                      <w:rFonts w:hint="eastAsia"/>
                      <w:color w:val="auto"/>
                      <w:highlight w:val="none"/>
                    </w:rPr>
                    <w:t>0811</w:t>
                  </w:r>
                </w:p>
              </w:tc>
              <w:tc>
                <w:tcPr>
                  <w:tcW w:w="1070" w:type="dxa"/>
                  <w:vMerge w:val="restart"/>
                  <w:vAlign w:val="center"/>
                </w:tcPr>
                <w:p w14:paraId="08E35589">
                  <w:pPr>
                    <w:pStyle w:val="30"/>
                    <w:rPr>
                      <w:color w:val="auto"/>
                      <w:highlight w:val="none"/>
                    </w:rPr>
                  </w:pPr>
                  <w:r>
                    <w:rPr>
                      <w:rFonts w:hint="eastAsia"/>
                      <w:color w:val="auto"/>
                      <w:highlight w:val="none"/>
                    </w:rPr>
                    <w:t>汽车、摩托车修理与维护</w:t>
                  </w:r>
                </w:p>
              </w:tc>
              <w:tc>
                <w:tcPr>
                  <w:tcW w:w="372" w:type="dxa"/>
                  <w:vMerge w:val="restart"/>
                  <w:vAlign w:val="center"/>
                </w:tcPr>
                <w:p w14:paraId="7C8F3592">
                  <w:pPr>
                    <w:pStyle w:val="30"/>
                    <w:rPr>
                      <w:color w:val="auto"/>
                      <w:highlight w:val="none"/>
                    </w:rPr>
                  </w:pPr>
                  <w:r>
                    <w:rPr>
                      <w:rFonts w:hint="eastAsia"/>
                      <w:color w:val="auto"/>
                      <w:highlight w:val="none"/>
                    </w:rPr>
                    <w:t>洗车</w:t>
                  </w:r>
                </w:p>
              </w:tc>
              <w:tc>
                <w:tcPr>
                  <w:tcW w:w="364" w:type="dxa"/>
                  <w:vMerge w:val="restart"/>
                  <w:vAlign w:val="center"/>
                </w:tcPr>
                <w:p w14:paraId="31C6DBB0">
                  <w:pPr>
                    <w:pStyle w:val="30"/>
                    <w:rPr>
                      <w:rFonts w:hint="eastAsia" w:eastAsia="宋体"/>
                      <w:color w:val="auto"/>
                      <w:highlight w:val="none"/>
                      <w:lang w:eastAsia="zh-CN"/>
                    </w:rPr>
                  </w:pPr>
                  <w:r>
                    <w:rPr>
                      <w:rFonts w:hint="eastAsia"/>
                      <w:color w:val="auto"/>
                      <w:highlight w:val="none"/>
                      <w:lang w:eastAsia="zh-CN"/>
                    </w:rPr>
                    <w:t>手动洗车</w:t>
                  </w:r>
                </w:p>
              </w:tc>
              <w:tc>
                <w:tcPr>
                  <w:tcW w:w="864" w:type="dxa"/>
                  <w:vAlign w:val="center"/>
                </w:tcPr>
                <w:p w14:paraId="0504EB15">
                  <w:pPr>
                    <w:pStyle w:val="3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/车次</w:t>
                  </w:r>
                </w:p>
              </w:tc>
              <w:tc>
                <w:tcPr>
                  <w:tcW w:w="1154" w:type="dxa"/>
                  <w:vAlign w:val="center"/>
                </w:tcPr>
                <w:p w14:paraId="76217945">
                  <w:pPr>
                    <w:pStyle w:val="30"/>
                    <w:rPr>
                      <w:rFonts w:hint="default" w:eastAsia="宋体"/>
                      <w:color w:val="auto"/>
                      <w:highlight w:val="none"/>
                      <w:lang w:val="en-US" w:eastAsia="zh-CN"/>
                    </w:rPr>
                  </w:pPr>
                  <w:r>
                    <w:rPr>
                      <w:rFonts w:hint="eastAsia"/>
                      <w:color w:val="auto"/>
                      <w:highlight w:val="none"/>
                      <w:lang w:val="en-US" w:eastAsia="zh-CN"/>
                    </w:rPr>
                    <w:t>0.035</w:t>
                  </w:r>
                </w:p>
              </w:tc>
              <w:tc>
                <w:tcPr>
                  <w:tcW w:w="737" w:type="dxa"/>
                  <w:vAlign w:val="center"/>
                </w:tcPr>
                <w:p w14:paraId="2F207747">
                  <w:pPr>
                    <w:pStyle w:val="30"/>
                    <w:rPr>
                      <w:color w:val="auto"/>
                      <w:highlight w:val="none"/>
                    </w:rPr>
                  </w:pPr>
                  <w:r>
                    <w:rPr>
                      <w:rFonts w:hint="eastAsia"/>
                      <w:color w:val="auto"/>
                      <w:highlight w:val="none"/>
                    </w:rPr>
                    <w:t>小型车</w:t>
                  </w:r>
                </w:p>
              </w:tc>
            </w:tr>
            <w:tr w14:paraId="6CDB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vMerge w:val="continue"/>
                  <w:vAlign w:val="center"/>
                </w:tcPr>
                <w:p w14:paraId="41D9449E">
                  <w:pPr>
                    <w:pStyle w:val="30"/>
                    <w:rPr>
                      <w:color w:val="auto"/>
                      <w:highlight w:val="none"/>
                    </w:rPr>
                  </w:pPr>
                </w:p>
              </w:tc>
              <w:tc>
                <w:tcPr>
                  <w:tcW w:w="1070" w:type="dxa"/>
                  <w:vMerge w:val="continue"/>
                  <w:vAlign w:val="center"/>
                </w:tcPr>
                <w:p w14:paraId="0522C2FB">
                  <w:pPr>
                    <w:pStyle w:val="30"/>
                    <w:rPr>
                      <w:color w:val="auto"/>
                      <w:highlight w:val="none"/>
                    </w:rPr>
                  </w:pPr>
                </w:p>
              </w:tc>
              <w:tc>
                <w:tcPr>
                  <w:tcW w:w="1070" w:type="dxa"/>
                  <w:vMerge w:val="continue"/>
                  <w:vAlign w:val="center"/>
                </w:tcPr>
                <w:p w14:paraId="7549A5E2">
                  <w:pPr>
                    <w:pStyle w:val="30"/>
                    <w:rPr>
                      <w:color w:val="auto"/>
                      <w:highlight w:val="none"/>
                    </w:rPr>
                  </w:pPr>
                </w:p>
              </w:tc>
              <w:tc>
                <w:tcPr>
                  <w:tcW w:w="1070" w:type="dxa"/>
                  <w:vMerge w:val="continue"/>
                  <w:vAlign w:val="center"/>
                </w:tcPr>
                <w:p w14:paraId="662D0BF1">
                  <w:pPr>
                    <w:pStyle w:val="30"/>
                    <w:rPr>
                      <w:color w:val="auto"/>
                      <w:highlight w:val="none"/>
                    </w:rPr>
                  </w:pPr>
                </w:p>
              </w:tc>
              <w:tc>
                <w:tcPr>
                  <w:tcW w:w="372" w:type="dxa"/>
                  <w:vMerge w:val="continue"/>
                  <w:vAlign w:val="center"/>
                </w:tcPr>
                <w:p w14:paraId="24281852">
                  <w:pPr>
                    <w:pStyle w:val="30"/>
                    <w:rPr>
                      <w:color w:val="auto"/>
                      <w:highlight w:val="none"/>
                    </w:rPr>
                  </w:pPr>
                </w:p>
              </w:tc>
              <w:tc>
                <w:tcPr>
                  <w:tcW w:w="364" w:type="dxa"/>
                  <w:vMerge w:val="continue"/>
                  <w:vAlign w:val="center"/>
                </w:tcPr>
                <w:p w14:paraId="13A25741">
                  <w:pPr>
                    <w:pStyle w:val="30"/>
                    <w:rPr>
                      <w:color w:val="auto"/>
                      <w:highlight w:val="none"/>
                    </w:rPr>
                  </w:pPr>
                </w:p>
              </w:tc>
              <w:tc>
                <w:tcPr>
                  <w:tcW w:w="864" w:type="dxa"/>
                  <w:vAlign w:val="center"/>
                </w:tcPr>
                <w:p w14:paraId="345E8CEB">
                  <w:pPr>
                    <w:pStyle w:val="3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/车次</w:t>
                  </w:r>
                </w:p>
              </w:tc>
              <w:tc>
                <w:tcPr>
                  <w:tcW w:w="1154" w:type="dxa"/>
                  <w:vAlign w:val="center"/>
                </w:tcPr>
                <w:p w14:paraId="2B3A106C">
                  <w:pPr>
                    <w:pStyle w:val="30"/>
                    <w:rPr>
                      <w:rFonts w:hint="default" w:eastAsia="宋体"/>
                      <w:color w:val="auto"/>
                      <w:highlight w:val="none"/>
                      <w:lang w:val="en-US" w:eastAsia="zh-CN"/>
                    </w:rPr>
                  </w:pPr>
                  <w:r>
                    <w:rPr>
                      <w:rFonts w:hint="eastAsia"/>
                      <w:color w:val="auto"/>
                      <w:highlight w:val="none"/>
                      <w:lang w:val="en-US" w:eastAsia="zh-CN"/>
                    </w:rPr>
                    <w:t>0.038</w:t>
                  </w:r>
                </w:p>
              </w:tc>
              <w:tc>
                <w:tcPr>
                  <w:tcW w:w="737" w:type="dxa"/>
                  <w:vAlign w:val="center"/>
                </w:tcPr>
                <w:p w14:paraId="6981B869">
                  <w:pPr>
                    <w:pStyle w:val="30"/>
                    <w:rPr>
                      <w:color w:val="auto"/>
                      <w:highlight w:val="none"/>
                    </w:rPr>
                  </w:pPr>
                  <w:r>
                    <w:rPr>
                      <w:rFonts w:hint="eastAsia"/>
                      <w:color w:val="auto"/>
                      <w:highlight w:val="none"/>
                    </w:rPr>
                    <w:t>中型车</w:t>
                  </w:r>
                </w:p>
              </w:tc>
            </w:tr>
            <w:tr w14:paraId="5E5B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vMerge w:val="continue"/>
                  <w:vAlign w:val="center"/>
                </w:tcPr>
                <w:p w14:paraId="47728541">
                  <w:pPr>
                    <w:pStyle w:val="30"/>
                    <w:rPr>
                      <w:color w:val="auto"/>
                      <w:highlight w:val="none"/>
                    </w:rPr>
                  </w:pPr>
                </w:p>
              </w:tc>
              <w:tc>
                <w:tcPr>
                  <w:tcW w:w="1070" w:type="dxa"/>
                  <w:vMerge w:val="continue"/>
                  <w:vAlign w:val="center"/>
                </w:tcPr>
                <w:p w14:paraId="6062791E">
                  <w:pPr>
                    <w:pStyle w:val="30"/>
                    <w:rPr>
                      <w:color w:val="auto"/>
                      <w:highlight w:val="none"/>
                    </w:rPr>
                  </w:pPr>
                </w:p>
              </w:tc>
              <w:tc>
                <w:tcPr>
                  <w:tcW w:w="1070" w:type="dxa"/>
                  <w:vMerge w:val="continue"/>
                  <w:vAlign w:val="center"/>
                </w:tcPr>
                <w:p w14:paraId="09F3294D">
                  <w:pPr>
                    <w:pStyle w:val="30"/>
                    <w:rPr>
                      <w:color w:val="auto"/>
                      <w:highlight w:val="none"/>
                    </w:rPr>
                  </w:pPr>
                </w:p>
              </w:tc>
              <w:tc>
                <w:tcPr>
                  <w:tcW w:w="1070" w:type="dxa"/>
                  <w:vMerge w:val="continue"/>
                  <w:vAlign w:val="center"/>
                </w:tcPr>
                <w:p w14:paraId="2931E7BE">
                  <w:pPr>
                    <w:pStyle w:val="30"/>
                    <w:rPr>
                      <w:color w:val="auto"/>
                      <w:highlight w:val="none"/>
                    </w:rPr>
                  </w:pPr>
                </w:p>
              </w:tc>
              <w:tc>
                <w:tcPr>
                  <w:tcW w:w="372" w:type="dxa"/>
                  <w:vMerge w:val="continue"/>
                  <w:vAlign w:val="center"/>
                </w:tcPr>
                <w:p w14:paraId="2741A64C">
                  <w:pPr>
                    <w:pStyle w:val="30"/>
                    <w:rPr>
                      <w:color w:val="auto"/>
                      <w:highlight w:val="none"/>
                    </w:rPr>
                  </w:pPr>
                </w:p>
              </w:tc>
              <w:tc>
                <w:tcPr>
                  <w:tcW w:w="364" w:type="dxa"/>
                  <w:vMerge w:val="continue"/>
                  <w:vAlign w:val="center"/>
                </w:tcPr>
                <w:p w14:paraId="3E5D6F55">
                  <w:pPr>
                    <w:pStyle w:val="30"/>
                    <w:rPr>
                      <w:color w:val="auto"/>
                      <w:highlight w:val="none"/>
                    </w:rPr>
                  </w:pPr>
                </w:p>
              </w:tc>
              <w:tc>
                <w:tcPr>
                  <w:tcW w:w="864" w:type="dxa"/>
                  <w:vAlign w:val="center"/>
                </w:tcPr>
                <w:p w14:paraId="0D18ED13">
                  <w:pPr>
                    <w:pStyle w:val="3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/车次</w:t>
                  </w:r>
                </w:p>
              </w:tc>
              <w:tc>
                <w:tcPr>
                  <w:tcW w:w="1154" w:type="dxa"/>
                  <w:vAlign w:val="center"/>
                </w:tcPr>
                <w:p w14:paraId="5FE4C0A4">
                  <w:pPr>
                    <w:pStyle w:val="30"/>
                    <w:rPr>
                      <w:color w:val="auto"/>
                      <w:highlight w:val="none"/>
                    </w:rPr>
                  </w:pPr>
                  <w:r>
                    <w:rPr>
                      <w:rFonts w:hint="eastAsia"/>
                      <w:color w:val="auto"/>
                      <w:highlight w:val="none"/>
                    </w:rPr>
                    <w:t>0.09</w:t>
                  </w:r>
                </w:p>
              </w:tc>
              <w:tc>
                <w:tcPr>
                  <w:tcW w:w="737" w:type="dxa"/>
                  <w:vAlign w:val="center"/>
                </w:tcPr>
                <w:p w14:paraId="7401EFC9">
                  <w:pPr>
                    <w:pStyle w:val="30"/>
                    <w:rPr>
                      <w:color w:val="auto"/>
                      <w:highlight w:val="none"/>
                    </w:rPr>
                  </w:pPr>
                  <w:r>
                    <w:rPr>
                      <w:rFonts w:hint="eastAsia"/>
                      <w:color w:val="auto"/>
                      <w:highlight w:val="none"/>
                    </w:rPr>
                    <w:t>大型车</w:t>
                  </w:r>
                </w:p>
              </w:tc>
            </w:tr>
            <w:tr w14:paraId="1E5E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4" w:type="dxa"/>
                  <w:gridSpan w:val="9"/>
                  <w:vAlign w:val="center"/>
                </w:tcPr>
                <w:p w14:paraId="6626EF86">
                  <w:pPr>
                    <w:pStyle w:val="30"/>
                    <w:rPr>
                      <w:rFonts w:hint="eastAsia" w:eastAsia="宋体"/>
                      <w:color w:val="auto"/>
                      <w:highlight w:val="none"/>
                      <w:lang w:val="en-US" w:eastAsia="zh-CN"/>
                    </w:rPr>
                  </w:pPr>
                  <w:r>
                    <w:rPr>
                      <w:rFonts w:hint="eastAsia"/>
                      <w:color w:val="auto"/>
                      <w:highlight w:val="none"/>
                      <w:lang w:eastAsia="zh-CN"/>
                    </w:rPr>
                    <w:t>注：《</w:t>
                  </w:r>
                  <w:r>
                    <w:rPr>
                      <w:rFonts w:hint="eastAsia"/>
                      <w:color w:val="auto"/>
                      <w:highlight w:val="none"/>
                    </w:rPr>
                    <w:t>安徽省行业用水定额》（DB34/T679-20</w:t>
                  </w:r>
                  <w:r>
                    <w:rPr>
                      <w:rFonts w:hint="eastAsia"/>
                      <w:color w:val="auto"/>
                      <w:highlight w:val="none"/>
                      <w:lang w:val="en-US" w:eastAsia="zh-CN"/>
                    </w:rPr>
                    <w:t>25</w:t>
                  </w:r>
                  <w:r>
                    <w:rPr>
                      <w:rFonts w:hint="eastAsia"/>
                      <w:color w:val="auto"/>
                      <w:highlight w:val="none"/>
                    </w:rPr>
                    <w:t>）</w:t>
                  </w:r>
                  <w:r>
                    <w:rPr>
                      <w:rFonts w:hint="eastAsia"/>
                      <w:color w:val="auto"/>
                      <w:highlight w:val="none"/>
                      <w:lang w:eastAsia="zh-CN"/>
                    </w:rPr>
                    <w:t>中未对大型车洗车定额作出要求，本次计算大型车洗车用水定额延用（</w:t>
                  </w:r>
                  <w:r>
                    <w:rPr>
                      <w:rFonts w:hint="eastAsia"/>
                      <w:color w:val="auto"/>
                      <w:highlight w:val="none"/>
                    </w:rPr>
                    <w:t>DB34/T679-20</w:t>
                  </w:r>
                  <w:r>
                    <w:rPr>
                      <w:rFonts w:hint="eastAsia"/>
                      <w:color w:val="auto"/>
                      <w:highlight w:val="none"/>
                      <w:lang w:val="en-US" w:eastAsia="zh-CN"/>
                    </w:rPr>
                    <w:t>20</w:t>
                  </w:r>
                  <w:r>
                    <w:rPr>
                      <w:rFonts w:hint="eastAsia"/>
                      <w:color w:val="auto"/>
                      <w:highlight w:val="none"/>
                      <w:lang w:eastAsia="zh-CN"/>
                    </w:rPr>
                    <w:t>）表</w:t>
                  </w:r>
                  <w:r>
                    <w:rPr>
                      <w:rFonts w:hint="eastAsia"/>
                      <w:color w:val="auto"/>
                      <w:highlight w:val="none"/>
                      <w:lang w:val="en-US" w:eastAsia="zh-CN"/>
                    </w:rPr>
                    <w:t>8中相关用水定额，为0.09</w:t>
                  </w:r>
                  <w:r>
                    <w:rPr>
                      <w:rFonts w:hint="eastAsia"/>
                      <w:color w:val="auto"/>
                      <w:highlight w:val="none"/>
                    </w:rPr>
                    <w:t>m</w:t>
                  </w:r>
                  <w:r>
                    <w:rPr>
                      <w:rFonts w:hint="eastAsia"/>
                      <w:color w:val="auto"/>
                      <w:highlight w:val="none"/>
                      <w:vertAlign w:val="superscript"/>
                    </w:rPr>
                    <w:t>3</w:t>
                  </w:r>
                  <w:r>
                    <w:rPr>
                      <w:rFonts w:hint="eastAsia"/>
                      <w:color w:val="auto"/>
                      <w:highlight w:val="none"/>
                    </w:rPr>
                    <w:t>/车次</w:t>
                  </w:r>
                  <w:r>
                    <w:rPr>
                      <w:rFonts w:hint="eastAsia"/>
                      <w:color w:val="auto"/>
                      <w:highlight w:val="none"/>
                      <w:lang w:eastAsia="zh-CN"/>
                    </w:rPr>
                    <w:t>。</w:t>
                  </w:r>
                </w:p>
              </w:tc>
            </w:tr>
          </w:tbl>
          <w:p w14:paraId="5D024F08">
            <w:pPr>
              <w:ind w:firstLine="480" w:firstLineChars="200"/>
              <w:rPr>
                <w:color w:val="auto"/>
                <w:highlight w:val="none"/>
              </w:rPr>
            </w:pPr>
            <w:r>
              <w:rPr>
                <w:color w:val="auto"/>
                <w:highlight w:val="none"/>
              </w:rPr>
              <w:t>则洗车用水量为</w:t>
            </w:r>
            <w:r>
              <w:rPr>
                <w:rFonts w:hint="eastAsia"/>
                <w:color w:val="auto"/>
                <w:highlight w:val="none"/>
              </w:rPr>
              <w:t>0.</w:t>
            </w:r>
            <w:r>
              <w:rPr>
                <w:rFonts w:hint="eastAsia"/>
                <w:color w:val="auto"/>
                <w:highlight w:val="none"/>
                <w:lang w:val="en-US" w:eastAsia="zh-CN"/>
              </w:rPr>
              <w:t>635</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231.78</w:t>
            </w:r>
            <w:r>
              <w:rPr>
                <w:color w:val="auto"/>
                <w:highlight w:val="none"/>
              </w:rPr>
              <w:t>m</w:t>
            </w:r>
            <w:r>
              <w:rPr>
                <w:color w:val="auto"/>
                <w:highlight w:val="none"/>
                <w:vertAlign w:val="superscript"/>
              </w:rPr>
              <w:t>3</w:t>
            </w:r>
            <w:r>
              <w:rPr>
                <w:color w:val="auto"/>
                <w:highlight w:val="none"/>
              </w:rPr>
              <w:t>/a），产污系数取0.8，则洗车废水年排放</w:t>
            </w:r>
            <w:bookmarkStart w:id="28" w:name="OLE_LINK29"/>
            <w:r>
              <w:rPr>
                <w:color w:val="auto"/>
                <w:highlight w:val="none"/>
              </w:rPr>
              <w:t>量为</w:t>
            </w:r>
            <w:r>
              <w:rPr>
                <w:rFonts w:hint="eastAsia"/>
                <w:color w:val="auto"/>
                <w:highlight w:val="none"/>
                <w:lang w:val="en-US" w:eastAsia="zh-CN"/>
              </w:rPr>
              <w:t>0.508</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185.42</w:t>
            </w:r>
            <w:r>
              <w:rPr>
                <w:color w:val="auto"/>
                <w:highlight w:val="none"/>
              </w:rPr>
              <w:t>m</w:t>
            </w:r>
            <w:r>
              <w:rPr>
                <w:color w:val="auto"/>
                <w:highlight w:val="none"/>
                <w:vertAlign w:val="superscript"/>
              </w:rPr>
              <w:t>3</w:t>
            </w:r>
            <w:r>
              <w:rPr>
                <w:color w:val="auto"/>
                <w:highlight w:val="none"/>
              </w:rPr>
              <w:t>/a）</w:t>
            </w:r>
            <w:bookmarkEnd w:id="28"/>
            <w:r>
              <w:rPr>
                <w:color w:val="auto"/>
                <w:highlight w:val="none"/>
              </w:rPr>
              <w:t>。</w:t>
            </w:r>
            <w:bookmarkStart w:id="29" w:name="OLE_LINK37"/>
            <w:r>
              <w:rPr>
                <w:color w:val="auto"/>
                <w:highlight w:val="none"/>
              </w:rPr>
              <w:t>洗车废水主要污染因子为CODcr、BOD</w:t>
            </w:r>
            <w:r>
              <w:rPr>
                <w:color w:val="auto"/>
                <w:highlight w:val="none"/>
                <w:vertAlign w:val="subscript"/>
              </w:rPr>
              <w:t>5</w:t>
            </w:r>
            <w:r>
              <w:rPr>
                <w:color w:val="auto"/>
                <w:highlight w:val="none"/>
              </w:rPr>
              <w:t>、SS、石油类、阴离子表面活性剂（LAS）等。</w:t>
            </w:r>
            <w:bookmarkEnd w:id="29"/>
            <w:bookmarkStart w:id="30" w:name="OLE_LINK42"/>
            <w:r>
              <w:rPr>
                <w:rFonts w:hint="eastAsia"/>
                <w:color w:val="auto"/>
                <w:highlight w:val="none"/>
              </w:rPr>
              <w:t>参照同行业经验数据，废水中各污染因子浓度一般为CODcr：350</w:t>
            </w:r>
            <w:r>
              <w:rPr>
                <w:color w:val="auto"/>
                <w:highlight w:val="none"/>
              </w:rPr>
              <w:t>mg/L</w:t>
            </w:r>
            <w:r>
              <w:rPr>
                <w:rFonts w:hint="eastAsia"/>
                <w:color w:val="auto"/>
                <w:highlight w:val="none"/>
              </w:rPr>
              <w:t>、SS：200</w:t>
            </w:r>
            <w:r>
              <w:rPr>
                <w:color w:val="auto"/>
                <w:highlight w:val="none"/>
              </w:rPr>
              <w:t>mg/L</w:t>
            </w:r>
            <w:r>
              <w:rPr>
                <w:rFonts w:hint="eastAsia"/>
                <w:color w:val="auto"/>
                <w:highlight w:val="none"/>
              </w:rPr>
              <w:t>、石油类：20</w:t>
            </w:r>
            <w:r>
              <w:rPr>
                <w:color w:val="auto"/>
                <w:highlight w:val="none"/>
              </w:rPr>
              <w:t>mg/L</w:t>
            </w:r>
            <w:r>
              <w:rPr>
                <w:rFonts w:hint="eastAsia"/>
                <w:color w:val="auto"/>
                <w:highlight w:val="none"/>
              </w:rPr>
              <w:t>、LAS：15</w:t>
            </w:r>
            <w:r>
              <w:rPr>
                <w:color w:val="auto"/>
                <w:highlight w:val="none"/>
              </w:rPr>
              <w:t>mg/L</w:t>
            </w:r>
            <w:r>
              <w:rPr>
                <w:rFonts w:hint="eastAsia"/>
                <w:color w:val="auto"/>
                <w:highlight w:val="none"/>
              </w:rPr>
              <w:t>，产生量为：CODcr：</w:t>
            </w:r>
            <w:r>
              <w:rPr>
                <w:rFonts w:hint="eastAsia"/>
                <w:color w:val="auto"/>
                <w:highlight w:val="none"/>
                <w:lang w:val="en-US" w:eastAsia="zh-CN"/>
              </w:rPr>
              <w:t>0.065</w:t>
            </w:r>
            <w:r>
              <w:rPr>
                <w:rFonts w:hint="eastAsia"/>
                <w:color w:val="auto"/>
                <w:highlight w:val="none"/>
              </w:rPr>
              <w:t>t/a、SS：0.0</w:t>
            </w:r>
            <w:r>
              <w:rPr>
                <w:rFonts w:hint="eastAsia"/>
                <w:color w:val="auto"/>
                <w:highlight w:val="none"/>
                <w:lang w:val="en-US" w:eastAsia="zh-CN"/>
              </w:rPr>
              <w:t>37</w:t>
            </w:r>
            <w:r>
              <w:rPr>
                <w:rFonts w:hint="eastAsia"/>
                <w:color w:val="auto"/>
                <w:highlight w:val="none"/>
              </w:rPr>
              <w:t>t/a、石油类：0.00</w:t>
            </w:r>
            <w:r>
              <w:rPr>
                <w:rFonts w:hint="eastAsia"/>
                <w:color w:val="auto"/>
                <w:highlight w:val="none"/>
                <w:lang w:val="en-US" w:eastAsia="zh-CN"/>
              </w:rPr>
              <w:t>4</w:t>
            </w:r>
            <w:r>
              <w:rPr>
                <w:rFonts w:hint="eastAsia"/>
                <w:color w:val="auto"/>
                <w:highlight w:val="none"/>
              </w:rPr>
              <w:t>t/a、LAS：0.00</w:t>
            </w:r>
            <w:r>
              <w:rPr>
                <w:rFonts w:hint="eastAsia"/>
                <w:color w:val="auto"/>
                <w:highlight w:val="none"/>
                <w:lang w:val="en-US" w:eastAsia="zh-CN"/>
              </w:rPr>
              <w:t>3</w:t>
            </w:r>
            <w:r>
              <w:rPr>
                <w:rFonts w:hint="eastAsia"/>
                <w:color w:val="auto"/>
                <w:highlight w:val="none"/>
              </w:rPr>
              <w:t>t/a。</w:t>
            </w:r>
            <w:r>
              <w:rPr>
                <w:color w:val="auto"/>
                <w:highlight w:val="none"/>
              </w:rPr>
              <w:t>洗车废水经</w:t>
            </w:r>
            <w:r>
              <w:rPr>
                <w:rFonts w:hint="eastAsia"/>
                <w:color w:val="auto"/>
                <w:highlight w:val="none"/>
              </w:rPr>
              <w:t>一座</w:t>
            </w:r>
            <w:r>
              <w:rPr>
                <w:rFonts w:hint="eastAsia"/>
                <w:color w:val="auto"/>
                <w:highlight w:val="none"/>
                <w:lang w:eastAsia="zh-CN"/>
              </w:rPr>
              <w:t>隔油池和沉淀池</w:t>
            </w:r>
            <w:r>
              <w:rPr>
                <w:rFonts w:hint="eastAsia"/>
                <w:color w:val="auto"/>
                <w:highlight w:val="none"/>
              </w:rPr>
              <w:t>（</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color w:val="auto"/>
                <w:highlight w:val="none"/>
              </w:rPr>
              <w:t>处理后，排入市政污水管网</w:t>
            </w:r>
            <w:bookmarkEnd w:id="30"/>
            <w:r>
              <w:rPr>
                <w:color w:val="auto"/>
                <w:highlight w:val="none"/>
              </w:rPr>
              <w:t>，接入</w:t>
            </w:r>
            <w:r>
              <w:rPr>
                <w:rFonts w:hint="eastAsia"/>
                <w:color w:val="auto"/>
                <w:highlight w:val="none"/>
                <w:lang w:eastAsia="zh-CN"/>
              </w:rPr>
              <w:t>石姚湾净水厂</w:t>
            </w:r>
            <w:r>
              <w:rPr>
                <w:color w:val="auto"/>
                <w:highlight w:val="none"/>
              </w:rPr>
              <w:t>进行处理。</w:t>
            </w:r>
          </w:p>
          <w:p w14:paraId="3EFC03A1">
            <w:pPr>
              <w:ind w:firstLine="480" w:firstLineChars="200"/>
              <w:rPr>
                <w:color w:val="auto"/>
                <w:highlight w:val="none"/>
              </w:rPr>
            </w:pPr>
            <w:r>
              <w:rPr>
                <w:rFonts w:ascii="FZShuSong-Z01" w:hAnsi="FZShuSong-Z01" w:eastAsia="FZShuSong-Z01" w:cs="FZShuSong-Z01"/>
                <w:color w:val="auto"/>
                <w:kern w:val="0"/>
                <w:highlight w:val="none"/>
                <w:lang w:bidi="ar"/>
              </w:rPr>
              <w:t>根据查阅的技术参数及实际处理经验，食堂隔油池对动植物油类的去除率为</w:t>
            </w:r>
            <w:r>
              <w:rPr>
                <w:rFonts w:eastAsia="FZShuSong-Z01"/>
                <w:color w:val="auto"/>
                <w:kern w:val="0"/>
                <w:highlight w:val="none"/>
                <w:lang w:bidi="ar"/>
              </w:rPr>
              <w:t>80</w:t>
            </w:r>
            <w:r>
              <w:rPr>
                <w:color w:val="auto"/>
                <w:highlight w:val="none"/>
              </w:rPr>
              <w:t>%，对SS的去除率为</w:t>
            </w:r>
            <w:r>
              <w:rPr>
                <w:rFonts w:hint="eastAsia"/>
                <w:color w:val="auto"/>
                <w:highlight w:val="none"/>
              </w:rPr>
              <w:t>5</w:t>
            </w:r>
            <w:r>
              <w:rPr>
                <w:color w:val="auto"/>
                <w:highlight w:val="none"/>
              </w:rPr>
              <w:t>0%，对其他水污染物基本无去除效果；化粪池</w:t>
            </w:r>
            <w:r>
              <w:rPr>
                <w:rFonts w:hint="eastAsia"/>
                <w:color w:val="auto"/>
                <w:highlight w:val="none"/>
              </w:rPr>
              <w:t>无处理效率</w:t>
            </w:r>
            <w:r>
              <w:rPr>
                <w:color w:val="auto"/>
                <w:highlight w:val="none"/>
              </w:rPr>
              <w:t>；</w:t>
            </w:r>
            <w:r>
              <w:rPr>
                <w:rFonts w:hint="eastAsia"/>
                <w:color w:val="auto"/>
                <w:highlight w:val="none"/>
              </w:rPr>
              <w:t>三级油水分离池</w:t>
            </w:r>
            <w:r>
              <w:rPr>
                <w:color w:val="auto"/>
                <w:highlight w:val="none"/>
              </w:rPr>
              <w:t>对SS去除率按</w:t>
            </w:r>
            <w:r>
              <w:rPr>
                <w:rFonts w:hint="eastAsia"/>
                <w:color w:val="auto"/>
                <w:highlight w:val="none"/>
                <w:lang w:val="en-US" w:eastAsia="zh-CN"/>
              </w:rPr>
              <w:t>8</w:t>
            </w:r>
            <w:r>
              <w:rPr>
                <w:rFonts w:hint="eastAsia"/>
                <w:color w:val="auto"/>
                <w:highlight w:val="none"/>
              </w:rPr>
              <w:t>0</w:t>
            </w:r>
            <w:r>
              <w:rPr>
                <w:color w:val="auto"/>
                <w:highlight w:val="none"/>
              </w:rPr>
              <w:t>%计，对石油类的去除率按</w:t>
            </w:r>
            <w:r>
              <w:rPr>
                <w:rFonts w:hint="eastAsia"/>
                <w:color w:val="auto"/>
                <w:highlight w:val="none"/>
              </w:rPr>
              <w:t>75</w:t>
            </w:r>
            <w:r>
              <w:rPr>
                <w:color w:val="auto"/>
                <w:highlight w:val="none"/>
              </w:rPr>
              <w:t>%计</w:t>
            </w:r>
            <w:r>
              <w:rPr>
                <w:rFonts w:hint="eastAsia"/>
                <w:color w:val="auto"/>
                <w:highlight w:val="none"/>
              </w:rPr>
              <w:t>；</w:t>
            </w:r>
            <w:r>
              <w:rPr>
                <w:rFonts w:hint="eastAsia"/>
                <w:color w:val="auto"/>
                <w:highlight w:val="none"/>
                <w:lang w:eastAsia="zh-CN"/>
              </w:rPr>
              <w:t>隔油池和沉淀池</w:t>
            </w:r>
            <w:r>
              <w:rPr>
                <w:rFonts w:hint="eastAsia"/>
                <w:color w:val="auto"/>
                <w:highlight w:val="none"/>
              </w:rPr>
              <w:t>对CODcr处理效率为20%，对SS去除率为60%，对石油类去除率70%，对LAS去除率50%。</w:t>
            </w:r>
          </w:p>
          <w:p w14:paraId="4BEB2E93">
            <w:pPr>
              <w:ind w:firstLine="480" w:firstLineChars="200"/>
              <w:rPr>
                <w:color w:val="auto"/>
                <w:highlight w:val="none"/>
              </w:rPr>
            </w:pPr>
            <w:r>
              <w:rPr>
                <w:rFonts w:hint="eastAsia"/>
                <w:color w:val="auto"/>
                <w:highlight w:val="none"/>
              </w:rPr>
              <w:t>综上，本项目废水产排情况见下表：</w:t>
            </w:r>
          </w:p>
          <w:p w14:paraId="7E26F5E4">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t xml:space="preserve"> </w:t>
            </w:r>
            <w:r>
              <w:rPr>
                <w:color w:val="auto"/>
                <w:highlight w:val="none"/>
              </w:rPr>
              <w:t>项目废水</w:t>
            </w:r>
            <w:r>
              <w:rPr>
                <w:rFonts w:hint="eastAsia"/>
                <w:color w:val="auto"/>
                <w:highlight w:val="none"/>
              </w:rPr>
              <w:t>产</w:t>
            </w:r>
            <w:r>
              <w:rPr>
                <w:color w:val="auto"/>
                <w:highlight w:val="none"/>
              </w:rPr>
              <w:t>排情况</w:t>
            </w:r>
            <w:r>
              <w:rPr>
                <w:rFonts w:hint="eastAsia"/>
                <w:color w:val="auto"/>
                <w:highlight w:val="none"/>
              </w:rPr>
              <w:t>一览</w:t>
            </w:r>
            <w:r>
              <w:rPr>
                <w:color w:val="auto"/>
                <w:highlight w:val="none"/>
              </w:rPr>
              <w:t>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817"/>
              <w:gridCol w:w="983"/>
              <w:gridCol w:w="918"/>
              <w:gridCol w:w="801"/>
              <w:gridCol w:w="537"/>
              <w:gridCol w:w="683"/>
              <w:gridCol w:w="918"/>
              <w:gridCol w:w="944"/>
            </w:tblGrid>
            <w:tr w14:paraId="4B29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vAlign w:val="center"/>
                </w:tcPr>
                <w:p w14:paraId="7F6537B3">
                  <w:pPr>
                    <w:pStyle w:val="30"/>
                    <w:bidi w:val="0"/>
                    <w:rPr>
                      <w:color w:val="auto"/>
                      <w:highlight w:val="none"/>
                    </w:rPr>
                  </w:pPr>
                  <w:r>
                    <w:rPr>
                      <w:color w:val="auto"/>
                      <w:highlight w:val="none"/>
                    </w:rPr>
                    <w:t>类别</w:t>
                  </w:r>
                </w:p>
              </w:tc>
              <w:tc>
                <w:tcPr>
                  <w:tcW w:w="983" w:type="dxa"/>
                  <w:vMerge w:val="restart"/>
                  <w:vAlign w:val="center"/>
                </w:tcPr>
                <w:p w14:paraId="56C2553E">
                  <w:pPr>
                    <w:pStyle w:val="30"/>
                    <w:bidi w:val="0"/>
                    <w:rPr>
                      <w:color w:val="auto"/>
                      <w:highlight w:val="none"/>
                    </w:rPr>
                  </w:pPr>
                  <w:r>
                    <w:rPr>
                      <w:color w:val="auto"/>
                      <w:highlight w:val="none"/>
                    </w:rPr>
                    <w:t>污染物</w:t>
                  </w:r>
                </w:p>
                <w:p w14:paraId="73AE0E66">
                  <w:pPr>
                    <w:pStyle w:val="30"/>
                    <w:bidi w:val="0"/>
                    <w:rPr>
                      <w:color w:val="auto"/>
                      <w:highlight w:val="none"/>
                    </w:rPr>
                  </w:pPr>
                  <w:r>
                    <w:rPr>
                      <w:color w:val="auto"/>
                      <w:highlight w:val="none"/>
                    </w:rPr>
                    <w:t>名称</w:t>
                  </w:r>
                </w:p>
              </w:tc>
              <w:tc>
                <w:tcPr>
                  <w:tcW w:w="1719" w:type="dxa"/>
                  <w:gridSpan w:val="2"/>
                  <w:vAlign w:val="center"/>
                </w:tcPr>
                <w:p w14:paraId="42B4C25A">
                  <w:pPr>
                    <w:pStyle w:val="30"/>
                    <w:bidi w:val="0"/>
                    <w:rPr>
                      <w:color w:val="auto"/>
                      <w:highlight w:val="none"/>
                    </w:rPr>
                  </w:pPr>
                  <w:r>
                    <w:rPr>
                      <w:color w:val="auto"/>
                      <w:highlight w:val="none"/>
                    </w:rPr>
                    <w:t>产生情况</w:t>
                  </w:r>
                </w:p>
              </w:tc>
              <w:tc>
                <w:tcPr>
                  <w:tcW w:w="1220" w:type="dxa"/>
                  <w:gridSpan w:val="2"/>
                  <w:vAlign w:val="center"/>
                </w:tcPr>
                <w:p w14:paraId="70E5AD46">
                  <w:pPr>
                    <w:pStyle w:val="30"/>
                    <w:bidi w:val="0"/>
                    <w:rPr>
                      <w:color w:val="auto"/>
                      <w:highlight w:val="none"/>
                    </w:rPr>
                  </w:pPr>
                  <w:r>
                    <w:rPr>
                      <w:color w:val="auto"/>
                      <w:highlight w:val="none"/>
                    </w:rPr>
                    <w:t>处理设施</w:t>
                  </w:r>
                </w:p>
              </w:tc>
              <w:tc>
                <w:tcPr>
                  <w:tcW w:w="1862" w:type="dxa"/>
                  <w:gridSpan w:val="2"/>
                  <w:vAlign w:val="center"/>
                </w:tcPr>
                <w:p w14:paraId="30A70146">
                  <w:pPr>
                    <w:pStyle w:val="30"/>
                    <w:bidi w:val="0"/>
                    <w:rPr>
                      <w:color w:val="auto"/>
                      <w:highlight w:val="none"/>
                    </w:rPr>
                  </w:pPr>
                  <w:r>
                    <w:rPr>
                      <w:color w:val="auto"/>
                      <w:highlight w:val="none"/>
                    </w:rPr>
                    <w:t>排放情况</w:t>
                  </w:r>
                </w:p>
              </w:tc>
            </w:tr>
            <w:tr w14:paraId="1F20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4637102C">
                  <w:pPr>
                    <w:pStyle w:val="30"/>
                    <w:bidi w:val="0"/>
                    <w:rPr>
                      <w:color w:val="auto"/>
                      <w:highlight w:val="none"/>
                    </w:rPr>
                  </w:pPr>
                </w:p>
              </w:tc>
              <w:tc>
                <w:tcPr>
                  <w:tcW w:w="983" w:type="dxa"/>
                  <w:vMerge w:val="continue"/>
                  <w:vAlign w:val="center"/>
                </w:tcPr>
                <w:p w14:paraId="6B1C95A2">
                  <w:pPr>
                    <w:pStyle w:val="30"/>
                    <w:bidi w:val="0"/>
                    <w:rPr>
                      <w:color w:val="auto"/>
                      <w:highlight w:val="none"/>
                    </w:rPr>
                  </w:pPr>
                </w:p>
              </w:tc>
              <w:tc>
                <w:tcPr>
                  <w:tcW w:w="918" w:type="dxa"/>
                  <w:vAlign w:val="center"/>
                </w:tcPr>
                <w:p w14:paraId="6082BA48">
                  <w:pPr>
                    <w:pStyle w:val="30"/>
                    <w:bidi w:val="0"/>
                    <w:rPr>
                      <w:color w:val="auto"/>
                      <w:highlight w:val="none"/>
                    </w:rPr>
                  </w:pPr>
                  <w:r>
                    <w:rPr>
                      <w:color w:val="auto"/>
                      <w:highlight w:val="none"/>
                    </w:rPr>
                    <w:t>产生浓度mg/m</w:t>
                  </w:r>
                  <w:r>
                    <w:rPr>
                      <w:color w:val="auto"/>
                      <w:highlight w:val="none"/>
                      <w:vertAlign w:val="superscript"/>
                    </w:rPr>
                    <w:t>3</w:t>
                  </w:r>
                </w:p>
              </w:tc>
              <w:tc>
                <w:tcPr>
                  <w:tcW w:w="801" w:type="dxa"/>
                  <w:vAlign w:val="center"/>
                </w:tcPr>
                <w:p w14:paraId="3C0067F5">
                  <w:pPr>
                    <w:pStyle w:val="30"/>
                    <w:bidi w:val="0"/>
                    <w:rPr>
                      <w:color w:val="auto"/>
                      <w:highlight w:val="none"/>
                    </w:rPr>
                  </w:pPr>
                  <w:r>
                    <w:rPr>
                      <w:color w:val="auto"/>
                      <w:highlight w:val="none"/>
                    </w:rPr>
                    <w:t>产生量</w:t>
                  </w:r>
                </w:p>
                <w:p w14:paraId="20299010">
                  <w:pPr>
                    <w:pStyle w:val="30"/>
                    <w:bidi w:val="0"/>
                    <w:rPr>
                      <w:color w:val="auto"/>
                      <w:highlight w:val="none"/>
                    </w:rPr>
                  </w:pPr>
                  <w:r>
                    <w:rPr>
                      <w:color w:val="auto"/>
                      <w:highlight w:val="none"/>
                    </w:rPr>
                    <w:t>t/a</w:t>
                  </w:r>
                </w:p>
              </w:tc>
              <w:tc>
                <w:tcPr>
                  <w:tcW w:w="537" w:type="dxa"/>
                  <w:vAlign w:val="center"/>
                </w:tcPr>
                <w:p w14:paraId="3E6D2C22">
                  <w:pPr>
                    <w:pStyle w:val="30"/>
                    <w:bidi w:val="0"/>
                    <w:rPr>
                      <w:color w:val="auto"/>
                      <w:highlight w:val="none"/>
                    </w:rPr>
                  </w:pPr>
                  <w:r>
                    <w:rPr>
                      <w:rFonts w:hint="eastAsia"/>
                      <w:color w:val="auto"/>
                      <w:highlight w:val="none"/>
                    </w:rPr>
                    <w:t>处理工艺</w:t>
                  </w:r>
                </w:p>
              </w:tc>
              <w:tc>
                <w:tcPr>
                  <w:tcW w:w="683" w:type="dxa"/>
                  <w:vAlign w:val="center"/>
                </w:tcPr>
                <w:p w14:paraId="2BD5959E">
                  <w:pPr>
                    <w:pStyle w:val="30"/>
                    <w:bidi w:val="0"/>
                    <w:rPr>
                      <w:color w:val="auto"/>
                      <w:highlight w:val="none"/>
                    </w:rPr>
                  </w:pPr>
                  <w:r>
                    <w:rPr>
                      <w:rFonts w:hint="eastAsia"/>
                      <w:color w:val="auto"/>
                      <w:highlight w:val="none"/>
                    </w:rPr>
                    <w:t>处理效率%</w:t>
                  </w:r>
                </w:p>
              </w:tc>
              <w:tc>
                <w:tcPr>
                  <w:tcW w:w="918" w:type="dxa"/>
                  <w:vAlign w:val="center"/>
                </w:tcPr>
                <w:p w14:paraId="4447FB3C">
                  <w:pPr>
                    <w:pStyle w:val="30"/>
                    <w:bidi w:val="0"/>
                    <w:rPr>
                      <w:color w:val="auto"/>
                      <w:highlight w:val="none"/>
                    </w:rPr>
                  </w:pPr>
                  <w:r>
                    <w:rPr>
                      <w:color w:val="auto"/>
                      <w:highlight w:val="none"/>
                    </w:rPr>
                    <w:t>排放浓度mg/m</w:t>
                  </w:r>
                  <w:r>
                    <w:rPr>
                      <w:color w:val="auto"/>
                      <w:highlight w:val="none"/>
                      <w:vertAlign w:val="superscript"/>
                    </w:rPr>
                    <w:t>3</w:t>
                  </w:r>
                </w:p>
              </w:tc>
              <w:tc>
                <w:tcPr>
                  <w:tcW w:w="944" w:type="dxa"/>
                  <w:vAlign w:val="center"/>
                </w:tcPr>
                <w:p w14:paraId="4A5C7D63">
                  <w:pPr>
                    <w:pStyle w:val="30"/>
                    <w:bidi w:val="0"/>
                    <w:rPr>
                      <w:color w:val="auto"/>
                      <w:highlight w:val="none"/>
                    </w:rPr>
                  </w:pPr>
                  <w:r>
                    <w:rPr>
                      <w:color w:val="auto"/>
                      <w:highlight w:val="none"/>
                    </w:rPr>
                    <w:t>排放量t/a</w:t>
                  </w:r>
                </w:p>
              </w:tc>
            </w:tr>
            <w:tr w14:paraId="5334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vAlign w:val="center"/>
                </w:tcPr>
                <w:p w14:paraId="721A7CA3">
                  <w:pPr>
                    <w:pStyle w:val="30"/>
                    <w:bidi w:val="0"/>
                    <w:rPr>
                      <w:color w:val="auto"/>
                      <w:highlight w:val="none"/>
                    </w:rPr>
                  </w:pPr>
                  <w:r>
                    <w:rPr>
                      <w:rFonts w:hint="eastAsia"/>
                      <w:color w:val="auto"/>
                      <w:highlight w:val="none"/>
                      <w:lang w:eastAsia="zh-CN"/>
                    </w:rPr>
                    <w:t>项目西侧地块（含智慧货运服务中心、</w:t>
                  </w:r>
                  <w:r>
                    <w:rPr>
                      <w:rFonts w:hint="eastAsia"/>
                      <w:color w:val="auto"/>
                      <w:highlight w:val="none"/>
                    </w:rPr>
                    <w:t>智慧货运维修中心</w:t>
                  </w:r>
                  <w:r>
                    <w:rPr>
                      <w:rFonts w:hint="eastAsia"/>
                      <w:color w:val="auto"/>
                      <w:highlight w:val="none"/>
                      <w:lang w:eastAsia="zh-CN"/>
                    </w:rPr>
                    <w:t>）</w:t>
                  </w:r>
                  <w:r>
                    <w:rPr>
                      <w:rFonts w:hint="eastAsia"/>
                      <w:color w:val="auto"/>
                      <w:highlight w:val="none"/>
                    </w:rPr>
                    <w:t>生活污水</w:t>
                  </w:r>
                </w:p>
                <w:p w14:paraId="344BFAF2">
                  <w:pPr>
                    <w:pStyle w:val="30"/>
                    <w:bidi w:val="0"/>
                    <w:rPr>
                      <w:color w:val="auto"/>
                      <w:highlight w:val="none"/>
                    </w:rPr>
                  </w:pPr>
                  <w:r>
                    <w:rPr>
                      <w:rFonts w:hint="eastAsia"/>
                      <w:color w:val="auto"/>
                      <w:highlight w:val="none"/>
                    </w:rPr>
                    <w:t>（</w:t>
                  </w:r>
                  <w:r>
                    <w:rPr>
                      <w:rFonts w:hint="eastAsia"/>
                      <w:color w:val="auto"/>
                      <w:highlight w:val="none"/>
                      <w:lang w:val="en-US" w:eastAsia="zh-CN"/>
                    </w:rPr>
                    <w:t>1664.4</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983" w:type="dxa"/>
                  <w:vAlign w:val="center"/>
                </w:tcPr>
                <w:p w14:paraId="004FA56B">
                  <w:pPr>
                    <w:pStyle w:val="30"/>
                    <w:bidi w:val="0"/>
                    <w:rPr>
                      <w:color w:val="auto"/>
                      <w:highlight w:val="none"/>
                    </w:rPr>
                  </w:pPr>
                  <w:r>
                    <w:rPr>
                      <w:color w:val="auto"/>
                      <w:highlight w:val="none"/>
                    </w:rPr>
                    <w:t>COD</w:t>
                  </w:r>
                  <w:r>
                    <w:rPr>
                      <w:rFonts w:hint="eastAsia"/>
                      <w:color w:val="auto"/>
                      <w:highlight w:val="none"/>
                    </w:rPr>
                    <w:t>cr</w:t>
                  </w:r>
                </w:p>
              </w:tc>
              <w:tc>
                <w:tcPr>
                  <w:tcW w:w="918" w:type="dxa"/>
                  <w:vAlign w:val="center"/>
                </w:tcPr>
                <w:p w14:paraId="7BC15230">
                  <w:pPr>
                    <w:pStyle w:val="30"/>
                    <w:bidi w:val="0"/>
                    <w:rPr>
                      <w:color w:val="auto"/>
                      <w:highlight w:val="none"/>
                    </w:rPr>
                  </w:pPr>
                  <w:r>
                    <w:rPr>
                      <w:rFonts w:hint="eastAsia"/>
                      <w:color w:val="auto"/>
                      <w:highlight w:val="none"/>
                    </w:rPr>
                    <w:t>300</w:t>
                  </w:r>
                </w:p>
              </w:tc>
              <w:tc>
                <w:tcPr>
                  <w:tcW w:w="801" w:type="dxa"/>
                  <w:vAlign w:val="center"/>
                </w:tcPr>
                <w:p w14:paraId="1019A73F">
                  <w:pPr>
                    <w:pStyle w:val="30"/>
                    <w:bidi w:val="0"/>
                    <w:rPr>
                      <w:color w:val="auto"/>
                      <w:highlight w:val="none"/>
                    </w:rPr>
                  </w:pPr>
                  <w:r>
                    <w:rPr>
                      <w:rFonts w:hint="default"/>
                      <w:color w:val="auto"/>
                      <w:highlight w:val="none"/>
                      <w:lang w:val="en-US" w:eastAsia="zh-CN"/>
                    </w:rPr>
                    <w:t xml:space="preserve">0.499 </w:t>
                  </w:r>
                </w:p>
              </w:tc>
              <w:tc>
                <w:tcPr>
                  <w:tcW w:w="537" w:type="dxa"/>
                  <w:vMerge w:val="restart"/>
                  <w:vAlign w:val="center"/>
                </w:tcPr>
                <w:p w14:paraId="3FD7715C">
                  <w:pPr>
                    <w:pStyle w:val="30"/>
                    <w:bidi w:val="0"/>
                    <w:rPr>
                      <w:color w:val="auto"/>
                      <w:highlight w:val="none"/>
                    </w:rPr>
                  </w:pPr>
                  <w:r>
                    <w:rPr>
                      <w:rFonts w:hint="eastAsia"/>
                      <w:color w:val="auto"/>
                      <w:highlight w:val="none"/>
                    </w:rPr>
                    <w:t>隔油池+化粪池</w:t>
                  </w:r>
                </w:p>
              </w:tc>
              <w:tc>
                <w:tcPr>
                  <w:tcW w:w="683" w:type="dxa"/>
                  <w:vAlign w:val="center"/>
                </w:tcPr>
                <w:p w14:paraId="14957625">
                  <w:pPr>
                    <w:pStyle w:val="30"/>
                    <w:bidi w:val="0"/>
                    <w:rPr>
                      <w:color w:val="auto"/>
                      <w:highlight w:val="none"/>
                    </w:rPr>
                  </w:pPr>
                  <w:r>
                    <w:rPr>
                      <w:rFonts w:hint="default"/>
                      <w:color w:val="auto"/>
                      <w:highlight w:val="none"/>
                      <w:lang w:val="en-US" w:eastAsia="zh-CN"/>
                    </w:rPr>
                    <w:t>15%</w:t>
                  </w:r>
                </w:p>
              </w:tc>
              <w:tc>
                <w:tcPr>
                  <w:tcW w:w="918" w:type="dxa"/>
                  <w:vAlign w:val="center"/>
                </w:tcPr>
                <w:p w14:paraId="6663DB0A">
                  <w:pPr>
                    <w:pStyle w:val="30"/>
                    <w:bidi w:val="0"/>
                    <w:rPr>
                      <w:color w:val="auto"/>
                      <w:highlight w:val="none"/>
                    </w:rPr>
                  </w:pPr>
                  <w:r>
                    <w:rPr>
                      <w:rFonts w:hint="default"/>
                      <w:color w:val="auto"/>
                      <w:highlight w:val="none"/>
                      <w:lang w:val="en-US" w:eastAsia="zh-CN"/>
                    </w:rPr>
                    <w:t>255</w:t>
                  </w:r>
                </w:p>
              </w:tc>
              <w:tc>
                <w:tcPr>
                  <w:tcW w:w="944" w:type="dxa"/>
                  <w:vAlign w:val="center"/>
                </w:tcPr>
                <w:p w14:paraId="651EB73F">
                  <w:pPr>
                    <w:pStyle w:val="30"/>
                    <w:bidi w:val="0"/>
                    <w:rPr>
                      <w:color w:val="auto"/>
                      <w:highlight w:val="none"/>
                    </w:rPr>
                  </w:pPr>
                  <w:r>
                    <w:rPr>
                      <w:rFonts w:hint="default"/>
                      <w:color w:val="auto"/>
                      <w:highlight w:val="none"/>
                      <w:lang w:val="en-US" w:eastAsia="zh-CN"/>
                    </w:rPr>
                    <w:t xml:space="preserve">0.424 </w:t>
                  </w:r>
                </w:p>
              </w:tc>
            </w:tr>
            <w:tr w14:paraId="27D4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0FBB83FF">
                  <w:pPr>
                    <w:pStyle w:val="30"/>
                    <w:bidi w:val="0"/>
                    <w:rPr>
                      <w:color w:val="auto"/>
                      <w:highlight w:val="none"/>
                    </w:rPr>
                  </w:pPr>
                </w:p>
              </w:tc>
              <w:tc>
                <w:tcPr>
                  <w:tcW w:w="983" w:type="dxa"/>
                  <w:vAlign w:val="center"/>
                </w:tcPr>
                <w:p w14:paraId="1EBBBFFA">
                  <w:pPr>
                    <w:pStyle w:val="30"/>
                    <w:bidi w:val="0"/>
                    <w:rPr>
                      <w:color w:val="auto"/>
                      <w:highlight w:val="none"/>
                    </w:rPr>
                  </w:pPr>
                  <w:r>
                    <w:rPr>
                      <w:color w:val="auto"/>
                      <w:highlight w:val="none"/>
                    </w:rPr>
                    <w:t>BOD</w:t>
                  </w:r>
                  <w:r>
                    <w:rPr>
                      <w:color w:val="auto"/>
                      <w:highlight w:val="none"/>
                      <w:vertAlign w:val="subscript"/>
                    </w:rPr>
                    <w:t>5</w:t>
                  </w:r>
                </w:p>
              </w:tc>
              <w:tc>
                <w:tcPr>
                  <w:tcW w:w="918" w:type="dxa"/>
                  <w:vAlign w:val="center"/>
                </w:tcPr>
                <w:p w14:paraId="2B875D8A">
                  <w:pPr>
                    <w:pStyle w:val="30"/>
                    <w:bidi w:val="0"/>
                    <w:rPr>
                      <w:color w:val="auto"/>
                      <w:highlight w:val="none"/>
                    </w:rPr>
                  </w:pPr>
                  <w:r>
                    <w:rPr>
                      <w:rFonts w:hint="eastAsia"/>
                      <w:color w:val="auto"/>
                      <w:highlight w:val="none"/>
                    </w:rPr>
                    <w:t>100</w:t>
                  </w:r>
                </w:p>
              </w:tc>
              <w:tc>
                <w:tcPr>
                  <w:tcW w:w="801" w:type="dxa"/>
                  <w:vAlign w:val="center"/>
                </w:tcPr>
                <w:p w14:paraId="2EAFDBCA">
                  <w:pPr>
                    <w:pStyle w:val="30"/>
                    <w:bidi w:val="0"/>
                    <w:rPr>
                      <w:color w:val="auto"/>
                      <w:highlight w:val="none"/>
                    </w:rPr>
                  </w:pPr>
                  <w:r>
                    <w:rPr>
                      <w:rFonts w:hint="default"/>
                      <w:color w:val="auto"/>
                      <w:highlight w:val="none"/>
                      <w:lang w:val="en-US" w:eastAsia="zh-CN"/>
                    </w:rPr>
                    <w:t xml:space="preserve">0.166 </w:t>
                  </w:r>
                </w:p>
              </w:tc>
              <w:tc>
                <w:tcPr>
                  <w:tcW w:w="537" w:type="dxa"/>
                  <w:vMerge w:val="continue"/>
                  <w:vAlign w:val="center"/>
                </w:tcPr>
                <w:p w14:paraId="48EFB9DB">
                  <w:pPr>
                    <w:pStyle w:val="30"/>
                    <w:bidi w:val="0"/>
                    <w:rPr>
                      <w:color w:val="auto"/>
                      <w:highlight w:val="none"/>
                    </w:rPr>
                  </w:pPr>
                </w:p>
              </w:tc>
              <w:tc>
                <w:tcPr>
                  <w:tcW w:w="683" w:type="dxa"/>
                  <w:vAlign w:val="center"/>
                </w:tcPr>
                <w:p w14:paraId="09537940">
                  <w:pPr>
                    <w:pStyle w:val="30"/>
                    <w:bidi w:val="0"/>
                    <w:rPr>
                      <w:color w:val="auto"/>
                      <w:highlight w:val="none"/>
                    </w:rPr>
                  </w:pPr>
                  <w:r>
                    <w:rPr>
                      <w:rFonts w:hint="default"/>
                      <w:color w:val="auto"/>
                      <w:highlight w:val="none"/>
                      <w:lang w:val="en-US" w:eastAsia="zh-CN"/>
                    </w:rPr>
                    <w:t>9%</w:t>
                  </w:r>
                </w:p>
              </w:tc>
              <w:tc>
                <w:tcPr>
                  <w:tcW w:w="918" w:type="dxa"/>
                  <w:vAlign w:val="center"/>
                </w:tcPr>
                <w:p w14:paraId="3F0FF3B8">
                  <w:pPr>
                    <w:pStyle w:val="30"/>
                    <w:bidi w:val="0"/>
                    <w:rPr>
                      <w:color w:val="auto"/>
                      <w:highlight w:val="none"/>
                    </w:rPr>
                  </w:pPr>
                  <w:r>
                    <w:rPr>
                      <w:rFonts w:hint="default"/>
                      <w:color w:val="auto"/>
                      <w:highlight w:val="none"/>
                      <w:lang w:val="en-US" w:eastAsia="zh-CN"/>
                    </w:rPr>
                    <w:t>91</w:t>
                  </w:r>
                </w:p>
              </w:tc>
              <w:tc>
                <w:tcPr>
                  <w:tcW w:w="944" w:type="dxa"/>
                  <w:vAlign w:val="center"/>
                </w:tcPr>
                <w:p w14:paraId="6FF251D0">
                  <w:pPr>
                    <w:pStyle w:val="30"/>
                    <w:bidi w:val="0"/>
                    <w:rPr>
                      <w:color w:val="auto"/>
                      <w:highlight w:val="none"/>
                    </w:rPr>
                  </w:pPr>
                  <w:r>
                    <w:rPr>
                      <w:rFonts w:hint="default"/>
                      <w:color w:val="auto"/>
                      <w:highlight w:val="none"/>
                      <w:lang w:val="en-US" w:eastAsia="zh-CN"/>
                    </w:rPr>
                    <w:t xml:space="preserve">0.151 </w:t>
                  </w:r>
                </w:p>
              </w:tc>
            </w:tr>
            <w:tr w14:paraId="21A9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0A51F573">
                  <w:pPr>
                    <w:pStyle w:val="30"/>
                    <w:bidi w:val="0"/>
                    <w:rPr>
                      <w:color w:val="auto"/>
                      <w:highlight w:val="none"/>
                    </w:rPr>
                  </w:pPr>
                </w:p>
              </w:tc>
              <w:tc>
                <w:tcPr>
                  <w:tcW w:w="983" w:type="dxa"/>
                  <w:vAlign w:val="center"/>
                </w:tcPr>
                <w:p w14:paraId="2126C4F0">
                  <w:pPr>
                    <w:pStyle w:val="30"/>
                    <w:bidi w:val="0"/>
                    <w:rPr>
                      <w:color w:val="auto"/>
                      <w:highlight w:val="none"/>
                    </w:rPr>
                  </w:pPr>
                  <w:r>
                    <w:rPr>
                      <w:color w:val="auto"/>
                      <w:highlight w:val="none"/>
                    </w:rPr>
                    <w:t>NH</w:t>
                  </w:r>
                  <w:r>
                    <w:rPr>
                      <w:color w:val="auto"/>
                      <w:highlight w:val="none"/>
                      <w:vertAlign w:val="subscript"/>
                    </w:rPr>
                    <w:t>3</w:t>
                  </w:r>
                  <w:r>
                    <w:rPr>
                      <w:color w:val="auto"/>
                      <w:highlight w:val="none"/>
                    </w:rPr>
                    <w:t>-N</w:t>
                  </w:r>
                </w:p>
              </w:tc>
              <w:tc>
                <w:tcPr>
                  <w:tcW w:w="918" w:type="dxa"/>
                  <w:vAlign w:val="center"/>
                </w:tcPr>
                <w:p w14:paraId="2006E5DE">
                  <w:pPr>
                    <w:pStyle w:val="30"/>
                    <w:bidi w:val="0"/>
                    <w:rPr>
                      <w:color w:val="auto"/>
                      <w:highlight w:val="none"/>
                    </w:rPr>
                  </w:pPr>
                  <w:r>
                    <w:rPr>
                      <w:color w:val="auto"/>
                      <w:highlight w:val="none"/>
                    </w:rPr>
                    <w:t>20</w:t>
                  </w:r>
                </w:p>
              </w:tc>
              <w:tc>
                <w:tcPr>
                  <w:tcW w:w="801" w:type="dxa"/>
                  <w:vAlign w:val="center"/>
                </w:tcPr>
                <w:p w14:paraId="3DC3A182">
                  <w:pPr>
                    <w:pStyle w:val="30"/>
                    <w:bidi w:val="0"/>
                    <w:rPr>
                      <w:color w:val="auto"/>
                      <w:highlight w:val="none"/>
                    </w:rPr>
                  </w:pPr>
                  <w:r>
                    <w:rPr>
                      <w:rFonts w:hint="default"/>
                      <w:color w:val="auto"/>
                      <w:highlight w:val="none"/>
                      <w:lang w:val="en-US" w:eastAsia="zh-CN"/>
                    </w:rPr>
                    <w:t xml:space="preserve">0.033 </w:t>
                  </w:r>
                </w:p>
              </w:tc>
              <w:tc>
                <w:tcPr>
                  <w:tcW w:w="537" w:type="dxa"/>
                  <w:vMerge w:val="continue"/>
                  <w:vAlign w:val="center"/>
                </w:tcPr>
                <w:p w14:paraId="6C0DEB1E">
                  <w:pPr>
                    <w:pStyle w:val="30"/>
                    <w:bidi w:val="0"/>
                    <w:rPr>
                      <w:color w:val="auto"/>
                      <w:highlight w:val="none"/>
                    </w:rPr>
                  </w:pPr>
                </w:p>
              </w:tc>
              <w:tc>
                <w:tcPr>
                  <w:tcW w:w="683" w:type="dxa"/>
                  <w:vAlign w:val="center"/>
                </w:tcPr>
                <w:p w14:paraId="5297E4AF">
                  <w:pPr>
                    <w:pStyle w:val="30"/>
                    <w:bidi w:val="0"/>
                    <w:rPr>
                      <w:color w:val="auto"/>
                      <w:highlight w:val="none"/>
                    </w:rPr>
                  </w:pPr>
                  <w:r>
                    <w:rPr>
                      <w:rFonts w:hint="default"/>
                      <w:color w:val="auto"/>
                      <w:highlight w:val="none"/>
                      <w:lang w:val="en-US" w:eastAsia="zh-CN"/>
                    </w:rPr>
                    <w:t>0</w:t>
                  </w:r>
                </w:p>
              </w:tc>
              <w:tc>
                <w:tcPr>
                  <w:tcW w:w="918" w:type="dxa"/>
                  <w:vAlign w:val="center"/>
                </w:tcPr>
                <w:p w14:paraId="4642F30A">
                  <w:pPr>
                    <w:pStyle w:val="30"/>
                    <w:bidi w:val="0"/>
                    <w:rPr>
                      <w:color w:val="auto"/>
                      <w:highlight w:val="none"/>
                    </w:rPr>
                  </w:pPr>
                  <w:r>
                    <w:rPr>
                      <w:rFonts w:hint="default"/>
                      <w:color w:val="auto"/>
                      <w:highlight w:val="none"/>
                      <w:lang w:val="en-US" w:eastAsia="zh-CN"/>
                    </w:rPr>
                    <w:t>20</w:t>
                  </w:r>
                </w:p>
              </w:tc>
              <w:tc>
                <w:tcPr>
                  <w:tcW w:w="944" w:type="dxa"/>
                  <w:vAlign w:val="center"/>
                </w:tcPr>
                <w:p w14:paraId="586C0B10">
                  <w:pPr>
                    <w:pStyle w:val="30"/>
                    <w:bidi w:val="0"/>
                    <w:rPr>
                      <w:color w:val="auto"/>
                      <w:highlight w:val="none"/>
                    </w:rPr>
                  </w:pPr>
                  <w:r>
                    <w:rPr>
                      <w:rFonts w:hint="default"/>
                      <w:color w:val="auto"/>
                      <w:highlight w:val="none"/>
                      <w:lang w:val="en-US" w:eastAsia="zh-CN"/>
                    </w:rPr>
                    <w:t xml:space="preserve">0.033 </w:t>
                  </w:r>
                </w:p>
              </w:tc>
            </w:tr>
            <w:tr w14:paraId="29C8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33AFEDB8">
                  <w:pPr>
                    <w:pStyle w:val="30"/>
                    <w:bidi w:val="0"/>
                    <w:rPr>
                      <w:color w:val="auto"/>
                      <w:highlight w:val="none"/>
                    </w:rPr>
                  </w:pPr>
                </w:p>
              </w:tc>
              <w:tc>
                <w:tcPr>
                  <w:tcW w:w="983" w:type="dxa"/>
                  <w:vAlign w:val="center"/>
                </w:tcPr>
                <w:p w14:paraId="02DE9FC6">
                  <w:pPr>
                    <w:pStyle w:val="30"/>
                    <w:bidi w:val="0"/>
                    <w:rPr>
                      <w:color w:val="auto"/>
                      <w:highlight w:val="none"/>
                    </w:rPr>
                  </w:pPr>
                  <w:r>
                    <w:rPr>
                      <w:color w:val="auto"/>
                      <w:highlight w:val="none"/>
                    </w:rPr>
                    <w:t>SS</w:t>
                  </w:r>
                </w:p>
              </w:tc>
              <w:tc>
                <w:tcPr>
                  <w:tcW w:w="918" w:type="dxa"/>
                  <w:vAlign w:val="center"/>
                </w:tcPr>
                <w:p w14:paraId="42042EC3">
                  <w:pPr>
                    <w:pStyle w:val="30"/>
                    <w:bidi w:val="0"/>
                    <w:rPr>
                      <w:color w:val="auto"/>
                      <w:highlight w:val="none"/>
                    </w:rPr>
                  </w:pPr>
                  <w:r>
                    <w:rPr>
                      <w:color w:val="auto"/>
                      <w:highlight w:val="none"/>
                    </w:rPr>
                    <w:t>20</w:t>
                  </w:r>
                  <w:r>
                    <w:rPr>
                      <w:rFonts w:hint="eastAsia"/>
                      <w:color w:val="auto"/>
                      <w:highlight w:val="none"/>
                    </w:rPr>
                    <w:t>0</w:t>
                  </w:r>
                </w:p>
              </w:tc>
              <w:tc>
                <w:tcPr>
                  <w:tcW w:w="801" w:type="dxa"/>
                  <w:vAlign w:val="center"/>
                </w:tcPr>
                <w:p w14:paraId="7BAB83B8">
                  <w:pPr>
                    <w:pStyle w:val="30"/>
                    <w:bidi w:val="0"/>
                    <w:rPr>
                      <w:color w:val="auto"/>
                      <w:highlight w:val="none"/>
                    </w:rPr>
                  </w:pPr>
                  <w:r>
                    <w:rPr>
                      <w:rFonts w:hint="default"/>
                      <w:color w:val="auto"/>
                      <w:highlight w:val="none"/>
                      <w:lang w:val="en-US" w:eastAsia="zh-CN"/>
                    </w:rPr>
                    <w:t xml:space="preserve">0.333 </w:t>
                  </w:r>
                </w:p>
              </w:tc>
              <w:tc>
                <w:tcPr>
                  <w:tcW w:w="537" w:type="dxa"/>
                  <w:vMerge w:val="continue"/>
                  <w:vAlign w:val="center"/>
                </w:tcPr>
                <w:p w14:paraId="14041C0E">
                  <w:pPr>
                    <w:pStyle w:val="30"/>
                    <w:bidi w:val="0"/>
                    <w:rPr>
                      <w:color w:val="auto"/>
                      <w:highlight w:val="none"/>
                    </w:rPr>
                  </w:pPr>
                </w:p>
              </w:tc>
              <w:tc>
                <w:tcPr>
                  <w:tcW w:w="683" w:type="dxa"/>
                  <w:vAlign w:val="center"/>
                </w:tcPr>
                <w:p w14:paraId="18E38DCE">
                  <w:pPr>
                    <w:pStyle w:val="30"/>
                    <w:bidi w:val="0"/>
                    <w:rPr>
                      <w:color w:val="auto"/>
                      <w:highlight w:val="none"/>
                    </w:rPr>
                  </w:pPr>
                  <w:r>
                    <w:rPr>
                      <w:rFonts w:hint="default"/>
                      <w:color w:val="auto"/>
                      <w:highlight w:val="none"/>
                      <w:lang w:val="en-US" w:eastAsia="zh-CN"/>
                    </w:rPr>
                    <w:t>50%</w:t>
                  </w:r>
                </w:p>
              </w:tc>
              <w:tc>
                <w:tcPr>
                  <w:tcW w:w="918" w:type="dxa"/>
                  <w:vAlign w:val="center"/>
                </w:tcPr>
                <w:p w14:paraId="45978E64">
                  <w:pPr>
                    <w:pStyle w:val="30"/>
                    <w:bidi w:val="0"/>
                    <w:rPr>
                      <w:color w:val="auto"/>
                      <w:highlight w:val="none"/>
                    </w:rPr>
                  </w:pPr>
                  <w:r>
                    <w:rPr>
                      <w:rFonts w:hint="default"/>
                      <w:color w:val="auto"/>
                      <w:highlight w:val="none"/>
                      <w:lang w:val="en-US" w:eastAsia="zh-CN"/>
                    </w:rPr>
                    <w:t>100</w:t>
                  </w:r>
                </w:p>
              </w:tc>
              <w:tc>
                <w:tcPr>
                  <w:tcW w:w="944" w:type="dxa"/>
                  <w:vAlign w:val="center"/>
                </w:tcPr>
                <w:p w14:paraId="467B9AFE">
                  <w:pPr>
                    <w:pStyle w:val="30"/>
                    <w:bidi w:val="0"/>
                    <w:rPr>
                      <w:color w:val="auto"/>
                      <w:highlight w:val="none"/>
                    </w:rPr>
                  </w:pPr>
                  <w:r>
                    <w:rPr>
                      <w:rFonts w:hint="default"/>
                      <w:color w:val="auto"/>
                      <w:highlight w:val="none"/>
                      <w:lang w:val="en-US" w:eastAsia="zh-CN"/>
                    </w:rPr>
                    <w:t xml:space="preserve">0.166 </w:t>
                  </w:r>
                </w:p>
              </w:tc>
            </w:tr>
            <w:tr w14:paraId="41DB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vAlign w:val="center"/>
                </w:tcPr>
                <w:p w14:paraId="11FE49E9">
                  <w:pPr>
                    <w:pStyle w:val="30"/>
                    <w:bidi w:val="0"/>
                    <w:rPr>
                      <w:color w:val="auto"/>
                      <w:highlight w:val="none"/>
                    </w:rPr>
                  </w:pPr>
                  <w:r>
                    <w:rPr>
                      <w:rFonts w:hint="eastAsia"/>
                      <w:color w:val="auto"/>
                      <w:highlight w:val="none"/>
                    </w:rPr>
                    <w:t>餐饮废水</w:t>
                  </w:r>
                </w:p>
                <w:p w14:paraId="00D79147">
                  <w:pPr>
                    <w:pStyle w:val="30"/>
                    <w:bidi w:val="0"/>
                    <w:rPr>
                      <w:color w:val="auto"/>
                      <w:highlight w:val="none"/>
                    </w:rPr>
                  </w:pPr>
                  <w:r>
                    <w:rPr>
                      <w:rFonts w:hint="eastAsia"/>
                      <w:color w:val="auto"/>
                      <w:highlight w:val="none"/>
                    </w:rPr>
                    <w:t>（</w:t>
                  </w:r>
                  <w:r>
                    <w:rPr>
                      <w:rFonts w:hint="eastAsia"/>
                      <w:color w:val="auto"/>
                      <w:highlight w:val="none"/>
                      <w:lang w:val="en-US" w:eastAsia="zh-CN"/>
                    </w:rPr>
                    <w:t>1752</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983" w:type="dxa"/>
                  <w:vAlign w:val="center"/>
                </w:tcPr>
                <w:p w14:paraId="7E13AC9F">
                  <w:pPr>
                    <w:pStyle w:val="30"/>
                    <w:bidi w:val="0"/>
                    <w:rPr>
                      <w:color w:val="auto"/>
                      <w:highlight w:val="none"/>
                    </w:rPr>
                  </w:pPr>
                  <w:r>
                    <w:rPr>
                      <w:color w:val="auto"/>
                      <w:highlight w:val="none"/>
                    </w:rPr>
                    <w:t>COD</w:t>
                  </w:r>
                  <w:r>
                    <w:rPr>
                      <w:rFonts w:hint="eastAsia"/>
                      <w:color w:val="auto"/>
                      <w:highlight w:val="none"/>
                    </w:rPr>
                    <w:t>cr</w:t>
                  </w:r>
                </w:p>
              </w:tc>
              <w:tc>
                <w:tcPr>
                  <w:tcW w:w="918" w:type="dxa"/>
                  <w:vAlign w:val="center"/>
                </w:tcPr>
                <w:p w14:paraId="2272CAD1">
                  <w:pPr>
                    <w:pStyle w:val="30"/>
                    <w:bidi w:val="0"/>
                    <w:rPr>
                      <w:color w:val="auto"/>
                      <w:highlight w:val="none"/>
                    </w:rPr>
                  </w:pPr>
                  <w:r>
                    <w:rPr>
                      <w:rFonts w:hint="eastAsia"/>
                      <w:color w:val="auto"/>
                      <w:highlight w:val="none"/>
                    </w:rPr>
                    <w:t>300</w:t>
                  </w:r>
                </w:p>
              </w:tc>
              <w:tc>
                <w:tcPr>
                  <w:tcW w:w="801" w:type="dxa"/>
                  <w:vAlign w:val="center"/>
                </w:tcPr>
                <w:p w14:paraId="2F101851">
                  <w:pPr>
                    <w:pStyle w:val="30"/>
                    <w:bidi w:val="0"/>
                    <w:rPr>
                      <w:color w:val="auto"/>
                      <w:highlight w:val="none"/>
                    </w:rPr>
                  </w:pPr>
                  <w:r>
                    <w:rPr>
                      <w:rFonts w:hint="default"/>
                      <w:color w:val="auto"/>
                      <w:highlight w:val="none"/>
                      <w:lang w:val="en-US" w:eastAsia="zh-CN"/>
                    </w:rPr>
                    <w:t xml:space="preserve">0.526 </w:t>
                  </w:r>
                </w:p>
              </w:tc>
              <w:tc>
                <w:tcPr>
                  <w:tcW w:w="537" w:type="dxa"/>
                  <w:vMerge w:val="continue"/>
                  <w:vAlign w:val="center"/>
                </w:tcPr>
                <w:p w14:paraId="496EB1FC">
                  <w:pPr>
                    <w:pStyle w:val="30"/>
                    <w:bidi w:val="0"/>
                    <w:rPr>
                      <w:color w:val="auto"/>
                      <w:highlight w:val="none"/>
                    </w:rPr>
                  </w:pPr>
                </w:p>
              </w:tc>
              <w:tc>
                <w:tcPr>
                  <w:tcW w:w="683" w:type="dxa"/>
                  <w:vAlign w:val="center"/>
                </w:tcPr>
                <w:p w14:paraId="1A8AEB36">
                  <w:pPr>
                    <w:pStyle w:val="30"/>
                    <w:bidi w:val="0"/>
                    <w:rPr>
                      <w:color w:val="auto"/>
                      <w:highlight w:val="none"/>
                    </w:rPr>
                  </w:pPr>
                  <w:r>
                    <w:rPr>
                      <w:rFonts w:hint="default"/>
                      <w:color w:val="auto"/>
                      <w:highlight w:val="none"/>
                      <w:lang w:val="en-US" w:eastAsia="zh-CN"/>
                    </w:rPr>
                    <w:t>15%</w:t>
                  </w:r>
                </w:p>
              </w:tc>
              <w:tc>
                <w:tcPr>
                  <w:tcW w:w="918" w:type="dxa"/>
                  <w:vAlign w:val="center"/>
                </w:tcPr>
                <w:p w14:paraId="5EF88734">
                  <w:pPr>
                    <w:pStyle w:val="30"/>
                    <w:bidi w:val="0"/>
                    <w:rPr>
                      <w:color w:val="auto"/>
                      <w:highlight w:val="none"/>
                    </w:rPr>
                  </w:pPr>
                  <w:r>
                    <w:rPr>
                      <w:rFonts w:hint="default"/>
                      <w:color w:val="auto"/>
                      <w:highlight w:val="none"/>
                      <w:lang w:val="en-US" w:eastAsia="zh-CN"/>
                    </w:rPr>
                    <w:t>255</w:t>
                  </w:r>
                </w:p>
              </w:tc>
              <w:tc>
                <w:tcPr>
                  <w:tcW w:w="944" w:type="dxa"/>
                  <w:vAlign w:val="center"/>
                </w:tcPr>
                <w:p w14:paraId="01ECCE5E">
                  <w:pPr>
                    <w:pStyle w:val="30"/>
                    <w:bidi w:val="0"/>
                    <w:rPr>
                      <w:color w:val="auto"/>
                      <w:highlight w:val="none"/>
                    </w:rPr>
                  </w:pPr>
                  <w:r>
                    <w:rPr>
                      <w:rFonts w:hint="default"/>
                      <w:color w:val="auto"/>
                      <w:highlight w:val="none"/>
                      <w:lang w:val="en-US" w:eastAsia="zh-CN"/>
                    </w:rPr>
                    <w:t xml:space="preserve">0.447 </w:t>
                  </w:r>
                </w:p>
              </w:tc>
            </w:tr>
            <w:tr w14:paraId="483C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3DB5821E">
                  <w:pPr>
                    <w:pStyle w:val="30"/>
                    <w:bidi w:val="0"/>
                    <w:rPr>
                      <w:color w:val="auto"/>
                      <w:highlight w:val="none"/>
                    </w:rPr>
                  </w:pPr>
                </w:p>
              </w:tc>
              <w:tc>
                <w:tcPr>
                  <w:tcW w:w="983" w:type="dxa"/>
                  <w:vAlign w:val="center"/>
                </w:tcPr>
                <w:p w14:paraId="50E3E6E0">
                  <w:pPr>
                    <w:pStyle w:val="30"/>
                    <w:bidi w:val="0"/>
                    <w:rPr>
                      <w:color w:val="auto"/>
                      <w:highlight w:val="none"/>
                    </w:rPr>
                  </w:pPr>
                  <w:r>
                    <w:rPr>
                      <w:color w:val="auto"/>
                      <w:highlight w:val="none"/>
                    </w:rPr>
                    <w:t>BOD</w:t>
                  </w:r>
                  <w:r>
                    <w:rPr>
                      <w:color w:val="auto"/>
                      <w:highlight w:val="none"/>
                      <w:vertAlign w:val="subscript"/>
                    </w:rPr>
                    <w:t>5</w:t>
                  </w:r>
                </w:p>
              </w:tc>
              <w:tc>
                <w:tcPr>
                  <w:tcW w:w="918" w:type="dxa"/>
                  <w:vAlign w:val="center"/>
                </w:tcPr>
                <w:p w14:paraId="0084A46D">
                  <w:pPr>
                    <w:pStyle w:val="30"/>
                    <w:bidi w:val="0"/>
                    <w:rPr>
                      <w:color w:val="auto"/>
                      <w:highlight w:val="none"/>
                    </w:rPr>
                  </w:pPr>
                  <w:r>
                    <w:rPr>
                      <w:rFonts w:hint="eastAsia"/>
                      <w:color w:val="auto"/>
                      <w:highlight w:val="none"/>
                    </w:rPr>
                    <w:t>100</w:t>
                  </w:r>
                </w:p>
              </w:tc>
              <w:tc>
                <w:tcPr>
                  <w:tcW w:w="801" w:type="dxa"/>
                  <w:vAlign w:val="center"/>
                </w:tcPr>
                <w:p w14:paraId="5CEE03AA">
                  <w:pPr>
                    <w:pStyle w:val="30"/>
                    <w:bidi w:val="0"/>
                    <w:rPr>
                      <w:color w:val="auto"/>
                      <w:highlight w:val="none"/>
                    </w:rPr>
                  </w:pPr>
                  <w:r>
                    <w:rPr>
                      <w:rFonts w:hint="default"/>
                      <w:color w:val="auto"/>
                      <w:highlight w:val="none"/>
                      <w:lang w:val="en-US" w:eastAsia="zh-CN"/>
                    </w:rPr>
                    <w:t xml:space="preserve">0.175 </w:t>
                  </w:r>
                </w:p>
              </w:tc>
              <w:tc>
                <w:tcPr>
                  <w:tcW w:w="537" w:type="dxa"/>
                  <w:vMerge w:val="continue"/>
                  <w:vAlign w:val="center"/>
                </w:tcPr>
                <w:p w14:paraId="70A8AC16">
                  <w:pPr>
                    <w:pStyle w:val="30"/>
                    <w:bidi w:val="0"/>
                    <w:rPr>
                      <w:color w:val="auto"/>
                      <w:highlight w:val="none"/>
                    </w:rPr>
                  </w:pPr>
                </w:p>
              </w:tc>
              <w:tc>
                <w:tcPr>
                  <w:tcW w:w="683" w:type="dxa"/>
                  <w:vAlign w:val="center"/>
                </w:tcPr>
                <w:p w14:paraId="0BD9431E">
                  <w:pPr>
                    <w:pStyle w:val="30"/>
                    <w:bidi w:val="0"/>
                    <w:rPr>
                      <w:color w:val="auto"/>
                      <w:highlight w:val="none"/>
                    </w:rPr>
                  </w:pPr>
                  <w:r>
                    <w:rPr>
                      <w:rFonts w:hint="default"/>
                      <w:color w:val="auto"/>
                      <w:highlight w:val="none"/>
                      <w:lang w:val="en-US" w:eastAsia="zh-CN"/>
                    </w:rPr>
                    <w:t>9%</w:t>
                  </w:r>
                </w:p>
              </w:tc>
              <w:tc>
                <w:tcPr>
                  <w:tcW w:w="918" w:type="dxa"/>
                  <w:vAlign w:val="center"/>
                </w:tcPr>
                <w:p w14:paraId="58081701">
                  <w:pPr>
                    <w:pStyle w:val="30"/>
                    <w:bidi w:val="0"/>
                    <w:rPr>
                      <w:color w:val="auto"/>
                      <w:highlight w:val="none"/>
                    </w:rPr>
                  </w:pPr>
                  <w:r>
                    <w:rPr>
                      <w:rFonts w:hint="default"/>
                      <w:color w:val="auto"/>
                      <w:highlight w:val="none"/>
                      <w:lang w:val="en-US" w:eastAsia="zh-CN"/>
                    </w:rPr>
                    <w:t>91</w:t>
                  </w:r>
                </w:p>
              </w:tc>
              <w:tc>
                <w:tcPr>
                  <w:tcW w:w="944" w:type="dxa"/>
                  <w:vAlign w:val="center"/>
                </w:tcPr>
                <w:p w14:paraId="5392FB48">
                  <w:pPr>
                    <w:pStyle w:val="30"/>
                    <w:bidi w:val="0"/>
                    <w:rPr>
                      <w:color w:val="auto"/>
                      <w:highlight w:val="none"/>
                    </w:rPr>
                  </w:pPr>
                  <w:r>
                    <w:rPr>
                      <w:rFonts w:hint="default"/>
                      <w:color w:val="auto"/>
                      <w:highlight w:val="none"/>
                      <w:lang w:val="en-US" w:eastAsia="zh-CN"/>
                    </w:rPr>
                    <w:t xml:space="preserve">0.159 </w:t>
                  </w:r>
                </w:p>
              </w:tc>
            </w:tr>
            <w:tr w14:paraId="2B06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46F5CD25">
                  <w:pPr>
                    <w:pStyle w:val="30"/>
                    <w:bidi w:val="0"/>
                    <w:rPr>
                      <w:color w:val="auto"/>
                      <w:highlight w:val="none"/>
                    </w:rPr>
                  </w:pPr>
                </w:p>
              </w:tc>
              <w:tc>
                <w:tcPr>
                  <w:tcW w:w="983" w:type="dxa"/>
                  <w:vAlign w:val="center"/>
                </w:tcPr>
                <w:p w14:paraId="773A605E">
                  <w:pPr>
                    <w:pStyle w:val="30"/>
                    <w:bidi w:val="0"/>
                    <w:rPr>
                      <w:color w:val="auto"/>
                      <w:highlight w:val="none"/>
                    </w:rPr>
                  </w:pPr>
                  <w:r>
                    <w:rPr>
                      <w:color w:val="auto"/>
                      <w:highlight w:val="none"/>
                    </w:rPr>
                    <w:t>NH</w:t>
                  </w:r>
                  <w:r>
                    <w:rPr>
                      <w:color w:val="auto"/>
                      <w:highlight w:val="none"/>
                      <w:vertAlign w:val="subscript"/>
                    </w:rPr>
                    <w:t>3</w:t>
                  </w:r>
                  <w:r>
                    <w:rPr>
                      <w:color w:val="auto"/>
                      <w:highlight w:val="none"/>
                    </w:rPr>
                    <w:t>-N</w:t>
                  </w:r>
                </w:p>
              </w:tc>
              <w:tc>
                <w:tcPr>
                  <w:tcW w:w="918" w:type="dxa"/>
                  <w:vAlign w:val="center"/>
                </w:tcPr>
                <w:p w14:paraId="642DF2A2">
                  <w:pPr>
                    <w:pStyle w:val="30"/>
                    <w:bidi w:val="0"/>
                    <w:rPr>
                      <w:color w:val="auto"/>
                      <w:highlight w:val="none"/>
                    </w:rPr>
                  </w:pPr>
                  <w:r>
                    <w:rPr>
                      <w:color w:val="auto"/>
                      <w:highlight w:val="none"/>
                    </w:rPr>
                    <w:t>20</w:t>
                  </w:r>
                </w:p>
              </w:tc>
              <w:tc>
                <w:tcPr>
                  <w:tcW w:w="801" w:type="dxa"/>
                  <w:vAlign w:val="center"/>
                </w:tcPr>
                <w:p w14:paraId="17FF33B9">
                  <w:pPr>
                    <w:pStyle w:val="30"/>
                    <w:bidi w:val="0"/>
                    <w:rPr>
                      <w:color w:val="auto"/>
                      <w:highlight w:val="none"/>
                    </w:rPr>
                  </w:pPr>
                  <w:r>
                    <w:rPr>
                      <w:rFonts w:hint="default"/>
                      <w:color w:val="auto"/>
                      <w:highlight w:val="none"/>
                      <w:lang w:val="en-US" w:eastAsia="zh-CN"/>
                    </w:rPr>
                    <w:t xml:space="preserve">0.035 </w:t>
                  </w:r>
                </w:p>
              </w:tc>
              <w:tc>
                <w:tcPr>
                  <w:tcW w:w="537" w:type="dxa"/>
                  <w:vMerge w:val="continue"/>
                  <w:vAlign w:val="center"/>
                </w:tcPr>
                <w:p w14:paraId="3EEC9B35">
                  <w:pPr>
                    <w:pStyle w:val="30"/>
                    <w:bidi w:val="0"/>
                    <w:rPr>
                      <w:color w:val="auto"/>
                      <w:highlight w:val="none"/>
                    </w:rPr>
                  </w:pPr>
                </w:p>
              </w:tc>
              <w:tc>
                <w:tcPr>
                  <w:tcW w:w="683" w:type="dxa"/>
                  <w:vAlign w:val="center"/>
                </w:tcPr>
                <w:p w14:paraId="1B54E453">
                  <w:pPr>
                    <w:pStyle w:val="30"/>
                    <w:bidi w:val="0"/>
                    <w:rPr>
                      <w:color w:val="auto"/>
                      <w:highlight w:val="none"/>
                    </w:rPr>
                  </w:pPr>
                  <w:r>
                    <w:rPr>
                      <w:rFonts w:hint="default"/>
                      <w:color w:val="auto"/>
                      <w:highlight w:val="none"/>
                      <w:lang w:val="en-US" w:eastAsia="zh-CN"/>
                    </w:rPr>
                    <w:t>0</w:t>
                  </w:r>
                </w:p>
              </w:tc>
              <w:tc>
                <w:tcPr>
                  <w:tcW w:w="918" w:type="dxa"/>
                  <w:vAlign w:val="center"/>
                </w:tcPr>
                <w:p w14:paraId="28B1C730">
                  <w:pPr>
                    <w:pStyle w:val="30"/>
                    <w:bidi w:val="0"/>
                    <w:rPr>
                      <w:color w:val="auto"/>
                      <w:highlight w:val="none"/>
                    </w:rPr>
                  </w:pPr>
                  <w:r>
                    <w:rPr>
                      <w:rFonts w:hint="default"/>
                      <w:color w:val="auto"/>
                      <w:highlight w:val="none"/>
                      <w:lang w:val="en-US" w:eastAsia="zh-CN"/>
                    </w:rPr>
                    <w:t>20</w:t>
                  </w:r>
                </w:p>
              </w:tc>
              <w:tc>
                <w:tcPr>
                  <w:tcW w:w="944" w:type="dxa"/>
                  <w:vAlign w:val="center"/>
                </w:tcPr>
                <w:p w14:paraId="11FBAC48">
                  <w:pPr>
                    <w:pStyle w:val="30"/>
                    <w:bidi w:val="0"/>
                    <w:rPr>
                      <w:color w:val="auto"/>
                      <w:highlight w:val="none"/>
                    </w:rPr>
                  </w:pPr>
                  <w:r>
                    <w:rPr>
                      <w:rFonts w:hint="default"/>
                      <w:color w:val="auto"/>
                      <w:highlight w:val="none"/>
                      <w:lang w:val="en-US" w:eastAsia="zh-CN"/>
                    </w:rPr>
                    <w:t xml:space="preserve">0.035 </w:t>
                  </w:r>
                </w:p>
              </w:tc>
            </w:tr>
            <w:tr w14:paraId="1AC4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3B105CA5">
                  <w:pPr>
                    <w:pStyle w:val="30"/>
                    <w:bidi w:val="0"/>
                    <w:rPr>
                      <w:color w:val="auto"/>
                      <w:highlight w:val="none"/>
                    </w:rPr>
                  </w:pPr>
                </w:p>
              </w:tc>
              <w:tc>
                <w:tcPr>
                  <w:tcW w:w="983" w:type="dxa"/>
                  <w:vAlign w:val="center"/>
                </w:tcPr>
                <w:p w14:paraId="0A1B7541">
                  <w:pPr>
                    <w:pStyle w:val="30"/>
                    <w:bidi w:val="0"/>
                    <w:rPr>
                      <w:color w:val="auto"/>
                      <w:highlight w:val="none"/>
                    </w:rPr>
                  </w:pPr>
                  <w:r>
                    <w:rPr>
                      <w:color w:val="auto"/>
                      <w:highlight w:val="none"/>
                    </w:rPr>
                    <w:t>SS</w:t>
                  </w:r>
                </w:p>
              </w:tc>
              <w:tc>
                <w:tcPr>
                  <w:tcW w:w="918" w:type="dxa"/>
                  <w:vAlign w:val="center"/>
                </w:tcPr>
                <w:p w14:paraId="1D1A6E74">
                  <w:pPr>
                    <w:pStyle w:val="30"/>
                    <w:bidi w:val="0"/>
                    <w:rPr>
                      <w:color w:val="auto"/>
                      <w:highlight w:val="none"/>
                    </w:rPr>
                  </w:pPr>
                  <w:r>
                    <w:rPr>
                      <w:color w:val="auto"/>
                      <w:highlight w:val="none"/>
                    </w:rPr>
                    <w:t>20</w:t>
                  </w:r>
                  <w:r>
                    <w:rPr>
                      <w:rFonts w:hint="eastAsia"/>
                      <w:color w:val="auto"/>
                      <w:highlight w:val="none"/>
                    </w:rPr>
                    <w:t>0</w:t>
                  </w:r>
                </w:p>
              </w:tc>
              <w:tc>
                <w:tcPr>
                  <w:tcW w:w="801" w:type="dxa"/>
                  <w:vAlign w:val="center"/>
                </w:tcPr>
                <w:p w14:paraId="6AEC124A">
                  <w:pPr>
                    <w:pStyle w:val="30"/>
                    <w:bidi w:val="0"/>
                    <w:rPr>
                      <w:color w:val="auto"/>
                      <w:highlight w:val="none"/>
                    </w:rPr>
                  </w:pPr>
                  <w:r>
                    <w:rPr>
                      <w:rFonts w:hint="default"/>
                      <w:color w:val="auto"/>
                      <w:highlight w:val="none"/>
                      <w:lang w:val="en-US" w:eastAsia="zh-CN"/>
                    </w:rPr>
                    <w:t xml:space="preserve">0.350 </w:t>
                  </w:r>
                </w:p>
              </w:tc>
              <w:tc>
                <w:tcPr>
                  <w:tcW w:w="537" w:type="dxa"/>
                  <w:vMerge w:val="continue"/>
                  <w:vAlign w:val="center"/>
                </w:tcPr>
                <w:p w14:paraId="7017FB6B">
                  <w:pPr>
                    <w:pStyle w:val="30"/>
                    <w:bidi w:val="0"/>
                    <w:rPr>
                      <w:color w:val="auto"/>
                      <w:highlight w:val="none"/>
                    </w:rPr>
                  </w:pPr>
                </w:p>
              </w:tc>
              <w:tc>
                <w:tcPr>
                  <w:tcW w:w="683" w:type="dxa"/>
                  <w:vAlign w:val="center"/>
                </w:tcPr>
                <w:p w14:paraId="0341D52C">
                  <w:pPr>
                    <w:pStyle w:val="30"/>
                    <w:bidi w:val="0"/>
                    <w:rPr>
                      <w:color w:val="auto"/>
                      <w:highlight w:val="none"/>
                    </w:rPr>
                  </w:pPr>
                  <w:r>
                    <w:rPr>
                      <w:rFonts w:hint="default"/>
                      <w:color w:val="auto"/>
                      <w:highlight w:val="none"/>
                      <w:lang w:val="en-US" w:eastAsia="zh-CN"/>
                    </w:rPr>
                    <w:t>50%</w:t>
                  </w:r>
                </w:p>
              </w:tc>
              <w:tc>
                <w:tcPr>
                  <w:tcW w:w="918" w:type="dxa"/>
                  <w:vAlign w:val="center"/>
                </w:tcPr>
                <w:p w14:paraId="2EFF6B62">
                  <w:pPr>
                    <w:pStyle w:val="30"/>
                    <w:bidi w:val="0"/>
                    <w:rPr>
                      <w:color w:val="auto"/>
                      <w:highlight w:val="none"/>
                    </w:rPr>
                  </w:pPr>
                  <w:r>
                    <w:rPr>
                      <w:rFonts w:hint="default"/>
                      <w:color w:val="auto"/>
                      <w:highlight w:val="none"/>
                      <w:lang w:val="en-US" w:eastAsia="zh-CN"/>
                    </w:rPr>
                    <w:t>100</w:t>
                  </w:r>
                </w:p>
              </w:tc>
              <w:tc>
                <w:tcPr>
                  <w:tcW w:w="944" w:type="dxa"/>
                  <w:vAlign w:val="center"/>
                </w:tcPr>
                <w:p w14:paraId="7E68F1B9">
                  <w:pPr>
                    <w:pStyle w:val="30"/>
                    <w:bidi w:val="0"/>
                    <w:rPr>
                      <w:color w:val="auto"/>
                      <w:highlight w:val="none"/>
                    </w:rPr>
                  </w:pPr>
                  <w:r>
                    <w:rPr>
                      <w:rFonts w:hint="default"/>
                      <w:color w:val="auto"/>
                      <w:highlight w:val="none"/>
                      <w:lang w:val="en-US" w:eastAsia="zh-CN"/>
                    </w:rPr>
                    <w:t xml:space="preserve">0.175 </w:t>
                  </w:r>
                </w:p>
              </w:tc>
            </w:tr>
            <w:tr w14:paraId="1D7F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3FBA4B1F">
                  <w:pPr>
                    <w:pStyle w:val="30"/>
                    <w:bidi w:val="0"/>
                    <w:rPr>
                      <w:color w:val="auto"/>
                      <w:highlight w:val="none"/>
                    </w:rPr>
                  </w:pPr>
                </w:p>
              </w:tc>
              <w:tc>
                <w:tcPr>
                  <w:tcW w:w="983" w:type="dxa"/>
                  <w:vAlign w:val="center"/>
                </w:tcPr>
                <w:p w14:paraId="64D67177">
                  <w:pPr>
                    <w:pStyle w:val="30"/>
                    <w:bidi w:val="0"/>
                    <w:rPr>
                      <w:color w:val="auto"/>
                      <w:highlight w:val="none"/>
                    </w:rPr>
                  </w:pPr>
                  <w:r>
                    <w:rPr>
                      <w:rFonts w:hint="eastAsia"/>
                      <w:color w:val="auto"/>
                      <w:highlight w:val="none"/>
                    </w:rPr>
                    <w:t>动植物油</w:t>
                  </w:r>
                </w:p>
              </w:tc>
              <w:tc>
                <w:tcPr>
                  <w:tcW w:w="918" w:type="dxa"/>
                  <w:vAlign w:val="center"/>
                </w:tcPr>
                <w:p w14:paraId="3BE7595B">
                  <w:pPr>
                    <w:pStyle w:val="30"/>
                    <w:bidi w:val="0"/>
                    <w:rPr>
                      <w:color w:val="auto"/>
                      <w:highlight w:val="none"/>
                    </w:rPr>
                  </w:pPr>
                  <w:r>
                    <w:rPr>
                      <w:rFonts w:hint="eastAsia"/>
                      <w:color w:val="auto"/>
                      <w:highlight w:val="none"/>
                    </w:rPr>
                    <w:t>120</w:t>
                  </w:r>
                </w:p>
              </w:tc>
              <w:tc>
                <w:tcPr>
                  <w:tcW w:w="801" w:type="dxa"/>
                  <w:vAlign w:val="center"/>
                </w:tcPr>
                <w:p w14:paraId="2722D818">
                  <w:pPr>
                    <w:pStyle w:val="30"/>
                    <w:bidi w:val="0"/>
                    <w:rPr>
                      <w:color w:val="auto"/>
                      <w:highlight w:val="none"/>
                    </w:rPr>
                  </w:pPr>
                  <w:r>
                    <w:rPr>
                      <w:rFonts w:hint="default"/>
                      <w:color w:val="auto"/>
                      <w:highlight w:val="none"/>
                      <w:lang w:val="en-US" w:eastAsia="zh-CN"/>
                    </w:rPr>
                    <w:t xml:space="preserve">0.210 </w:t>
                  </w:r>
                </w:p>
              </w:tc>
              <w:tc>
                <w:tcPr>
                  <w:tcW w:w="537" w:type="dxa"/>
                  <w:vMerge w:val="continue"/>
                  <w:vAlign w:val="center"/>
                </w:tcPr>
                <w:p w14:paraId="28E4468E">
                  <w:pPr>
                    <w:pStyle w:val="30"/>
                    <w:bidi w:val="0"/>
                    <w:rPr>
                      <w:color w:val="auto"/>
                      <w:highlight w:val="none"/>
                    </w:rPr>
                  </w:pPr>
                </w:p>
              </w:tc>
              <w:tc>
                <w:tcPr>
                  <w:tcW w:w="683" w:type="dxa"/>
                  <w:vAlign w:val="center"/>
                </w:tcPr>
                <w:p w14:paraId="598A6CF8">
                  <w:pPr>
                    <w:pStyle w:val="30"/>
                    <w:bidi w:val="0"/>
                    <w:rPr>
                      <w:color w:val="auto"/>
                      <w:highlight w:val="none"/>
                    </w:rPr>
                  </w:pPr>
                  <w:r>
                    <w:rPr>
                      <w:rFonts w:hint="default"/>
                      <w:color w:val="auto"/>
                      <w:highlight w:val="none"/>
                      <w:lang w:val="en-US" w:eastAsia="zh-CN"/>
                    </w:rPr>
                    <w:t>80%</w:t>
                  </w:r>
                </w:p>
              </w:tc>
              <w:tc>
                <w:tcPr>
                  <w:tcW w:w="918" w:type="dxa"/>
                  <w:vAlign w:val="center"/>
                </w:tcPr>
                <w:p w14:paraId="03F8CB06">
                  <w:pPr>
                    <w:pStyle w:val="30"/>
                    <w:bidi w:val="0"/>
                    <w:rPr>
                      <w:color w:val="auto"/>
                      <w:highlight w:val="none"/>
                    </w:rPr>
                  </w:pPr>
                  <w:r>
                    <w:rPr>
                      <w:rFonts w:hint="default"/>
                      <w:color w:val="auto"/>
                      <w:highlight w:val="none"/>
                      <w:lang w:val="en-US" w:eastAsia="zh-CN"/>
                    </w:rPr>
                    <w:t>24</w:t>
                  </w:r>
                </w:p>
              </w:tc>
              <w:tc>
                <w:tcPr>
                  <w:tcW w:w="944" w:type="dxa"/>
                  <w:vAlign w:val="center"/>
                </w:tcPr>
                <w:p w14:paraId="77339D04">
                  <w:pPr>
                    <w:pStyle w:val="30"/>
                    <w:bidi w:val="0"/>
                    <w:rPr>
                      <w:color w:val="auto"/>
                      <w:highlight w:val="none"/>
                    </w:rPr>
                  </w:pPr>
                  <w:r>
                    <w:rPr>
                      <w:rFonts w:hint="default"/>
                      <w:color w:val="auto"/>
                      <w:highlight w:val="none"/>
                      <w:lang w:val="en-US" w:eastAsia="zh-CN"/>
                    </w:rPr>
                    <w:t xml:space="preserve">0.042 </w:t>
                  </w:r>
                </w:p>
              </w:tc>
            </w:tr>
            <w:tr w14:paraId="735F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vAlign w:val="center"/>
                </w:tcPr>
                <w:p w14:paraId="4D95641A">
                  <w:pPr>
                    <w:pStyle w:val="30"/>
                    <w:bidi w:val="0"/>
                    <w:rPr>
                      <w:color w:val="auto"/>
                      <w:highlight w:val="none"/>
                    </w:rPr>
                  </w:pPr>
                  <w:r>
                    <w:rPr>
                      <w:rFonts w:hint="eastAsia"/>
                      <w:color w:val="auto"/>
                      <w:highlight w:val="none"/>
                    </w:rPr>
                    <w:t>维修中心地面冲洗废水（</w:t>
                  </w:r>
                  <w:r>
                    <w:rPr>
                      <w:rFonts w:hint="eastAsia"/>
                      <w:color w:val="auto"/>
                      <w:highlight w:val="none"/>
                      <w:lang w:val="en-US" w:eastAsia="zh-CN"/>
                    </w:rPr>
                    <w:t>320.14</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983" w:type="dxa"/>
                  <w:shd w:val="clear" w:color="auto" w:fill="auto"/>
                  <w:vAlign w:val="center"/>
                </w:tcPr>
                <w:p w14:paraId="5D1E6969">
                  <w:pPr>
                    <w:pStyle w:val="30"/>
                    <w:bidi w:val="0"/>
                    <w:rPr>
                      <w:color w:val="auto"/>
                      <w:highlight w:val="none"/>
                    </w:rPr>
                  </w:pPr>
                  <w:r>
                    <w:rPr>
                      <w:color w:val="auto"/>
                      <w:highlight w:val="none"/>
                    </w:rPr>
                    <w:t>COD</w:t>
                  </w:r>
                  <w:r>
                    <w:rPr>
                      <w:rFonts w:hint="eastAsia"/>
                      <w:color w:val="auto"/>
                      <w:highlight w:val="none"/>
                    </w:rPr>
                    <w:t>cr</w:t>
                  </w:r>
                </w:p>
              </w:tc>
              <w:tc>
                <w:tcPr>
                  <w:tcW w:w="918" w:type="dxa"/>
                  <w:vAlign w:val="center"/>
                </w:tcPr>
                <w:p w14:paraId="424598ED">
                  <w:pPr>
                    <w:pStyle w:val="30"/>
                    <w:bidi w:val="0"/>
                    <w:rPr>
                      <w:rFonts w:hint="default"/>
                      <w:color w:val="auto"/>
                      <w:highlight w:val="none"/>
                      <w:lang w:val="en-US" w:eastAsia="zh-CN"/>
                    </w:rPr>
                  </w:pPr>
                  <w:r>
                    <w:rPr>
                      <w:rFonts w:hint="eastAsia"/>
                      <w:color w:val="auto"/>
                      <w:highlight w:val="none"/>
                      <w:lang w:val="en-US" w:eastAsia="zh-CN"/>
                    </w:rPr>
                    <w:t>200</w:t>
                  </w:r>
                </w:p>
              </w:tc>
              <w:tc>
                <w:tcPr>
                  <w:tcW w:w="801" w:type="dxa"/>
                  <w:shd w:val="clear" w:color="auto" w:fill="auto"/>
                  <w:vAlign w:val="center"/>
                </w:tcPr>
                <w:p w14:paraId="04E12C59">
                  <w:pPr>
                    <w:pStyle w:val="30"/>
                    <w:bidi w:val="0"/>
                    <w:rPr>
                      <w:color w:val="auto"/>
                      <w:highlight w:val="none"/>
                    </w:rPr>
                  </w:pPr>
                  <w:r>
                    <w:rPr>
                      <w:rFonts w:hint="default"/>
                      <w:color w:val="auto"/>
                      <w:highlight w:val="none"/>
                      <w:lang w:val="en-US" w:eastAsia="zh-CN"/>
                    </w:rPr>
                    <w:t xml:space="preserve">0.064 </w:t>
                  </w:r>
                </w:p>
              </w:tc>
              <w:tc>
                <w:tcPr>
                  <w:tcW w:w="537" w:type="dxa"/>
                  <w:vMerge w:val="restart"/>
                  <w:vAlign w:val="center"/>
                </w:tcPr>
                <w:p w14:paraId="7CA4190A">
                  <w:pPr>
                    <w:pStyle w:val="30"/>
                    <w:bidi w:val="0"/>
                    <w:rPr>
                      <w:color w:val="auto"/>
                      <w:highlight w:val="none"/>
                    </w:rPr>
                  </w:pPr>
                  <w:r>
                    <w:rPr>
                      <w:rFonts w:hint="eastAsia"/>
                      <w:color w:val="auto"/>
                      <w:highlight w:val="none"/>
                      <w:lang w:val="en-US" w:eastAsia="zh-CN"/>
                    </w:rPr>
                    <w:t>隔油池+沉淀池</w:t>
                  </w:r>
                </w:p>
              </w:tc>
              <w:tc>
                <w:tcPr>
                  <w:tcW w:w="683" w:type="dxa"/>
                  <w:vAlign w:val="center"/>
                </w:tcPr>
                <w:p w14:paraId="588B4734">
                  <w:pPr>
                    <w:pStyle w:val="30"/>
                    <w:bidi w:val="0"/>
                    <w:rPr>
                      <w:color w:val="auto"/>
                      <w:highlight w:val="none"/>
                    </w:rPr>
                  </w:pPr>
                  <w:r>
                    <w:rPr>
                      <w:rFonts w:hint="default"/>
                      <w:color w:val="auto"/>
                      <w:highlight w:val="none"/>
                      <w:lang w:val="en-US" w:eastAsia="zh-CN"/>
                    </w:rPr>
                    <w:t>40%</w:t>
                  </w:r>
                </w:p>
              </w:tc>
              <w:tc>
                <w:tcPr>
                  <w:tcW w:w="918" w:type="dxa"/>
                  <w:vAlign w:val="center"/>
                </w:tcPr>
                <w:p w14:paraId="55F891CB">
                  <w:pPr>
                    <w:pStyle w:val="30"/>
                    <w:bidi w:val="0"/>
                    <w:rPr>
                      <w:color w:val="auto"/>
                      <w:highlight w:val="none"/>
                    </w:rPr>
                  </w:pPr>
                  <w:r>
                    <w:rPr>
                      <w:rFonts w:hint="default"/>
                      <w:color w:val="auto"/>
                      <w:highlight w:val="none"/>
                      <w:lang w:val="en-US" w:eastAsia="zh-CN"/>
                    </w:rPr>
                    <w:t>120</w:t>
                  </w:r>
                </w:p>
              </w:tc>
              <w:tc>
                <w:tcPr>
                  <w:tcW w:w="944" w:type="dxa"/>
                  <w:vAlign w:val="center"/>
                </w:tcPr>
                <w:p w14:paraId="05193DA4">
                  <w:pPr>
                    <w:pStyle w:val="30"/>
                    <w:bidi w:val="0"/>
                    <w:rPr>
                      <w:color w:val="auto"/>
                      <w:highlight w:val="none"/>
                    </w:rPr>
                  </w:pPr>
                  <w:r>
                    <w:rPr>
                      <w:rFonts w:hint="default"/>
                      <w:color w:val="auto"/>
                      <w:highlight w:val="none"/>
                      <w:lang w:val="en-US" w:eastAsia="zh-CN"/>
                    </w:rPr>
                    <w:t xml:space="preserve">0.038 </w:t>
                  </w:r>
                </w:p>
              </w:tc>
            </w:tr>
            <w:tr w14:paraId="3487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757E1FBC">
                  <w:pPr>
                    <w:pStyle w:val="30"/>
                    <w:bidi w:val="0"/>
                    <w:rPr>
                      <w:color w:val="auto"/>
                      <w:highlight w:val="none"/>
                    </w:rPr>
                  </w:pPr>
                </w:p>
              </w:tc>
              <w:tc>
                <w:tcPr>
                  <w:tcW w:w="983" w:type="dxa"/>
                  <w:shd w:val="clear" w:color="auto" w:fill="auto"/>
                  <w:vAlign w:val="center"/>
                </w:tcPr>
                <w:p w14:paraId="5FACC7A9">
                  <w:pPr>
                    <w:pStyle w:val="30"/>
                    <w:bidi w:val="0"/>
                    <w:rPr>
                      <w:color w:val="auto"/>
                      <w:highlight w:val="none"/>
                    </w:rPr>
                  </w:pPr>
                  <w:r>
                    <w:rPr>
                      <w:color w:val="auto"/>
                      <w:highlight w:val="none"/>
                    </w:rPr>
                    <w:t>SS</w:t>
                  </w:r>
                </w:p>
              </w:tc>
              <w:tc>
                <w:tcPr>
                  <w:tcW w:w="918" w:type="dxa"/>
                  <w:vAlign w:val="center"/>
                </w:tcPr>
                <w:p w14:paraId="5EE99EAE">
                  <w:pPr>
                    <w:pStyle w:val="30"/>
                    <w:bidi w:val="0"/>
                    <w:rPr>
                      <w:rFonts w:hint="default"/>
                      <w:color w:val="auto"/>
                      <w:highlight w:val="none"/>
                      <w:lang w:val="en-US" w:eastAsia="zh-CN"/>
                    </w:rPr>
                  </w:pPr>
                  <w:r>
                    <w:rPr>
                      <w:rFonts w:hint="eastAsia"/>
                      <w:color w:val="auto"/>
                      <w:highlight w:val="none"/>
                      <w:lang w:val="en-US" w:eastAsia="zh-CN"/>
                    </w:rPr>
                    <w:t>300</w:t>
                  </w:r>
                </w:p>
              </w:tc>
              <w:tc>
                <w:tcPr>
                  <w:tcW w:w="801" w:type="dxa"/>
                  <w:shd w:val="clear" w:color="auto" w:fill="auto"/>
                  <w:vAlign w:val="center"/>
                </w:tcPr>
                <w:p w14:paraId="5A6940A3">
                  <w:pPr>
                    <w:pStyle w:val="30"/>
                    <w:bidi w:val="0"/>
                    <w:rPr>
                      <w:color w:val="auto"/>
                      <w:highlight w:val="none"/>
                    </w:rPr>
                  </w:pPr>
                  <w:r>
                    <w:rPr>
                      <w:rFonts w:hint="default"/>
                      <w:color w:val="auto"/>
                      <w:highlight w:val="none"/>
                      <w:lang w:val="en-US" w:eastAsia="zh-CN"/>
                    </w:rPr>
                    <w:t xml:space="preserve">0.096 </w:t>
                  </w:r>
                </w:p>
              </w:tc>
              <w:tc>
                <w:tcPr>
                  <w:tcW w:w="537" w:type="dxa"/>
                  <w:vMerge w:val="continue"/>
                  <w:vAlign w:val="center"/>
                </w:tcPr>
                <w:p w14:paraId="180E8280">
                  <w:pPr>
                    <w:pStyle w:val="30"/>
                    <w:bidi w:val="0"/>
                    <w:rPr>
                      <w:color w:val="auto"/>
                      <w:highlight w:val="none"/>
                    </w:rPr>
                  </w:pPr>
                </w:p>
              </w:tc>
              <w:tc>
                <w:tcPr>
                  <w:tcW w:w="683" w:type="dxa"/>
                  <w:vAlign w:val="center"/>
                </w:tcPr>
                <w:p w14:paraId="5EA483B5">
                  <w:pPr>
                    <w:pStyle w:val="30"/>
                    <w:bidi w:val="0"/>
                    <w:rPr>
                      <w:color w:val="auto"/>
                      <w:highlight w:val="none"/>
                    </w:rPr>
                  </w:pPr>
                  <w:r>
                    <w:rPr>
                      <w:rFonts w:hint="default"/>
                      <w:color w:val="auto"/>
                      <w:highlight w:val="none"/>
                      <w:lang w:val="en-US" w:eastAsia="zh-CN"/>
                    </w:rPr>
                    <w:t>70%</w:t>
                  </w:r>
                </w:p>
              </w:tc>
              <w:tc>
                <w:tcPr>
                  <w:tcW w:w="918" w:type="dxa"/>
                  <w:vAlign w:val="center"/>
                </w:tcPr>
                <w:p w14:paraId="3CCC7CEE">
                  <w:pPr>
                    <w:pStyle w:val="30"/>
                    <w:bidi w:val="0"/>
                    <w:rPr>
                      <w:color w:val="auto"/>
                      <w:highlight w:val="none"/>
                    </w:rPr>
                  </w:pPr>
                  <w:r>
                    <w:rPr>
                      <w:rFonts w:hint="default"/>
                      <w:color w:val="auto"/>
                      <w:highlight w:val="none"/>
                      <w:lang w:val="en-US" w:eastAsia="zh-CN"/>
                    </w:rPr>
                    <w:t>90</w:t>
                  </w:r>
                </w:p>
              </w:tc>
              <w:tc>
                <w:tcPr>
                  <w:tcW w:w="944" w:type="dxa"/>
                  <w:vAlign w:val="center"/>
                </w:tcPr>
                <w:p w14:paraId="6B47E831">
                  <w:pPr>
                    <w:pStyle w:val="30"/>
                    <w:bidi w:val="0"/>
                    <w:rPr>
                      <w:color w:val="auto"/>
                      <w:highlight w:val="none"/>
                    </w:rPr>
                  </w:pPr>
                  <w:r>
                    <w:rPr>
                      <w:rFonts w:hint="default"/>
                      <w:color w:val="auto"/>
                      <w:highlight w:val="none"/>
                      <w:lang w:val="en-US" w:eastAsia="zh-CN"/>
                    </w:rPr>
                    <w:t xml:space="preserve">0.029 </w:t>
                  </w:r>
                </w:p>
              </w:tc>
            </w:tr>
            <w:tr w14:paraId="22A4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7121AA06">
                  <w:pPr>
                    <w:pStyle w:val="30"/>
                    <w:bidi w:val="0"/>
                    <w:rPr>
                      <w:color w:val="auto"/>
                      <w:highlight w:val="none"/>
                    </w:rPr>
                  </w:pPr>
                </w:p>
              </w:tc>
              <w:tc>
                <w:tcPr>
                  <w:tcW w:w="983" w:type="dxa"/>
                  <w:shd w:val="clear" w:color="auto" w:fill="auto"/>
                  <w:vAlign w:val="center"/>
                </w:tcPr>
                <w:p w14:paraId="06537ED0">
                  <w:pPr>
                    <w:pStyle w:val="30"/>
                    <w:bidi w:val="0"/>
                    <w:rPr>
                      <w:color w:val="auto"/>
                      <w:highlight w:val="none"/>
                    </w:rPr>
                  </w:pPr>
                  <w:r>
                    <w:rPr>
                      <w:rFonts w:hint="eastAsia"/>
                      <w:color w:val="auto"/>
                      <w:highlight w:val="none"/>
                    </w:rPr>
                    <w:t>石油类</w:t>
                  </w:r>
                </w:p>
              </w:tc>
              <w:tc>
                <w:tcPr>
                  <w:tcW w:w="918" w:type="dxa"/>
                  <w:vAlign w:val="center"/>
                </w:tcPr>
                <w:p w14:paraId="490FDEEB">
                  <w:pPr>
                    <w:pStyle w:val="30"/>
                    <w:bidi w:val="0"/>
                    <w:rPr>
                      <w:color w:val="auto"/>
                      <w:highlight w:val="none"/>
                    </w:rPr>
                  </w:pPr>
                  <w:r>
                    <w:rPr>
                      <w:rFonts w:hint="eastAsia"/>
                      <w:color w:val="auto"/>
                      <w:highlight w:val="none"/>
                    </w:rPr>
                    <w:t>20</w:t>
                  </w:r>
                </w:p>
              </w:tc>
              <w:tc>
                <w:tcPr>
                  <w:tcW w:w="801" w:type="dxa"/>
                  <w:shd w:val="clear" w:color="auto" w:fill="auto"/>
                  <w:vAlign w:val="center"/>
                </w:tcPr>
                <w:p w14:paraId="22DFAD8A">
                  <w:pPr>
                    <w:pStyle w:val="30"/>
                    <w:bidi w:val="0"/>
                    <w:rPr>
                      <w:color w:val="auto"/>
                      <w:highlight w:val="none"/>
                    </w:rPr>
                  </w:pPr>
                  <w:r>
                    <w:rPr>
                      <w:rFonts w:hint="default"/>
                      <w:color w:val="auto"/>
                      <w:highlight w:val="none"/>
                      <w:lang w:val="en-US" w:eastAsia="zh-CN"/>
                    </w:rPr>
                    <w:t xml:space="preserve">0.006 </w:t>
                  </w:r>
                </w:p>
              </w:tc>
              <w:tc>
                <w:tcPr>
                  <w:tcW w:w="537" w:type="dxa"/>
                  <w:vMerge w:val="continue"/>
                  <w:vAlign w:val="center"/>
                </w:tcPr>
                <w:p w14:paraId="74FDAEBA">
                  <w:pPr>
                    <w:pStyle w:val="30"/>
                    <w:bidi w:val="0"/>
                    <w:rPr>
                      <w:color w:val="auto"/>
                      <w:highlight w:val="none"/>
                    </w:rPr>
                  </w:pPr>
                </w:p>
              </w:tc>
              <w:tc>
                <w:tcPr>
                  <w:tcW w:w="683" w:type="dxa"/>
                  <w:vAlign w:val="center"/>
                </w:tcPr>
                <w:p w14:paraId="20856C7B">
                  <w:pPr>
                    <w:pStyle w:val="30"/>
                    <w:bidi w:val="0"/>
                    <w:rPr>
                      <w:color w:val="auto"/>
                      <w:highlight w:val="none"/>
                    </w:rPr>
                  </w:pPr>
                  <w:r>
                    <w:rPr>
                      <w:rFonts w:hint="default"/>
                      <w:color w:val="auto"/>
                      <w:highlight w:val="none"/>
                      <w:lang w:val="en-US" w:eastAsia="zh-CN"/>
                    </w:rPr>
                    <w:t>70%</w:t>
                  </w:r>
                </w:p>
              </w:tc>
              <w:tc>
                <w:tcPr>
                  <w:tcW w:w="918" w:type="dxa"/>
                  <w:vAlign w:val="center"/>
                </w:tcPr>
                <w:p w14:paraId="654DF30B">
                  <w:pPr>
                    <w:pStyle w:val="30"/>
                    <w:bidi w:val="0"/>
                    <w:rPr>
                      <w:color w:val="auto"/>
                      <w:highlight w:val="none"/>
                    </w:rPr>
                  </w:pPr>
                  <w:r>
                    <w:rPr>
                      <w:rFonts w:hint="default"/>
                      <w:color w:val="auto"/>
                      <w:highlight w:val="none"/>
                      <w:lang w:val="en-US" w:eastAsia="zh-CN"/>
                    </w:rPr>
                    <w:t>6</w:t>
                  </w:r>
                </w:p>
              </w:tc>
              <w:tc>
                <w:tcPr>
                  <w:tcW w:w="944" w:type="dxa"/>
                  <w:vAlign w:val="center"/>
                </w:tcPr>
                <w:p w14:paraId="0F2BB6BC">
                  <w:pPr>
                    <w:pStyle w:val="30"/>
                    <w:bidi w:val="0"/>
                    <w:rPr>
                      <w:color w:val="auto"/>
                      <w:highlight w:val="none"/>
                    </w:rPr>
                  </w:pPr>
                  <w:r>
                    <w:rPr>
                      <w:rFonts w:hint="default"/>
                      <w:color w:val="auto"/>
                      <w:highlight w:val="none"/>
                      <w:lang w:val="en-US" w:eastAsia="zh-CN"/>
                    </w:rPr>
                    <w:t xml:space="preserve">0.002 </w:t>
                  </w:r>
                </w:p>
              </w:tc>
            </w:tr>
            <w:tr w14:paraId="014D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vAlign w:val="center"/>
                </w:tcPr>
                <w:p w14:paraId="472E2A2A">
                  <w:pPr>
                    <w:pStyle w:val="30"/>
                    <w:bidi w:val="0"/>
                    <w:rPr>
                      <w:color w:val="auto"/>
                      <w:highlight w:val="none"/>
                    </w:rPr>
                  </w:pPr>
                  <w:r>
                    <w:rPr>
                      <w:rFonts w:hint="eastAsia"/>
                      <w:color w:val="auto"/>
                      <w:highlight w:val="none"/>
                    </w:rPr>
                    <w:t>洗车废水</w:t>
                  </w:r>
                </w:p>
                <w:p w14:paraId="1FE5718E">
                  <w:pPr>
                    <w:pStyle w:val="30"/>
                    <w:bidi w:val="0"/>
                    <w:rPr>
                      <w:color w:val="auto"/>
                      <w:highlight w:val="none"/>
                    </w:rPr>
                  </w:pPr>
                  <w:r>
                    <w:rPr>
                      <w:rFonts w:hint="eastAsia"/>
                      <w:color w:val="auto"/>
                      <w:highlight w:val="none"/>
                    </w:rPr>
                    <w:t>（</w:t>
                  </w:r>
                  <w:r>
                    <w:rPr>
                      <w:rFonts w:hint="eastAsia"/>
                      <w:color w:val="auto"/>
                      <w:highlight w:val="none"/>
                      <w:lang w:val="en-US" w:eastAsia="zh-CN"/>
                    </w:rPr>
                    <w:t>185.42</w:t>
                  </w:r>
                  <w:r>
                    <w:rPr>
                      <w:color w:val="auto"/>
                      <w:highlight w:val="none"/>
                    </w:rPr>
                    <w:t>m</w:t>
                  </w:r>
                  <w:r>
                    <w:rPr>
                      <w:color w:val="auto"/>
                      <w:highlight w:val="none"/>
                      <w:vertAlign w:val="superscript"/>
                    </w:rPr>
                    <w:t>3</w:t>
                  </w:r>
                  <w:r>
                    <w:rPr>
                      <w:rFonts w:hint="eastAsia"/>
                      <w:color w:val="auto"/>
                      <w:highlight w:val="none"/>
                    </w:rPr>
                    <w:t>/a）</w:t>
                  </w:r>
                </w:p>
              </w:tc>
              <w:tc>
                <w:tcPr>
                  <w:tcW w:w="983" w:type="dxa"/>
                  <w:vAlign w:val="center"/>
                </w:tcPr>
                <w:p w14:paraId="6B697B1A">
                  <w:pPr>
                    <w:pStyle w:val="30"/>
                    <w:bidi w:val="0"/>
                    <w:rPr>
                      <w:color w:val="auto"/>
                      <w:highlight w:val="none"/>
                    </w:rPr>
                  </w:pPr>
                  <w:r>
                    <w:rPr>
                      <w:color w:val="auto"/>
                      <w:highlight w:val="none"/>
                    </w:rPr>
                    <w:t>COD</w:t>
                  </w:r>
                  <w:r>
                    <w:rPr>
                      <w:rFonts w:hint="eastAsia"/>
                      <w:color w:val="auto"/>
                      <w:highlight w:val="none"/>
                    </w:rPr>
                    <w:t>cr</w:t>
                  </w:r>
                </w:p>
              </w:tc>
              <w:tc>
                <w:tcPr>
                  <w:tcW w:w="918" w:type="dxa"/>
                  <w:vAlign w:val="center"/>
                </w:tcPr>
                <w:p w14:paraId="11AC8BA7">
                  <w:pPr>
                    <w:pStyle w:val="30"/>
                    <w:bidi w:val="0"/>
                    <w:rPr>
                      <w:color w:val="auto"/>
                      <w:highlight w:val="none"/>
                    </w:rPr>
                  </w:pPr>
                  <w:r>
                    <w:rPr>
                      <w:rFonts w:hint="eastAsia"/>
                      <w:color w:val="auto"/>
                      <w:highlight w:val="none"/>
                    </w:rPr>
                    <w:t>350</w:t>
                  </w:r>
                </w:p>
              </w:tc>
              <w:tc>
                <w:tcPr>
                  <w:tcW w:w="801" w:type="dxa"/>
                  <w:vAlign w:val="center"/>
                </w:tcPr>
                <w:p w14:paraId="0951D689">
                  <w:pPr>
                    <w:pStyle w:val="30"/>
                    <w:bidi w:val="0"/>
                    <w:rPr>
                      <w:color w:val="auto"/>
                      <w:highlight w:val="none"/>
                    </w:rPr>
                  </w:pPr>
                  <w:r>
                    <w:rPr>
                      <w:rFonts w:hint="default"/>
                      <w:color w:val="auto"/>
                      <w:highlight w:val="none"/>
                      <w:lang w:val="en-US" w:eastAsia="zh-CN"/>
                    </w:rPr>
                    <w:t xml:space="preserve">0.076 </w:t>
                  </w:r>
                </w:p>
              </w:tc>
              <w:tc>
                <w:tcPr>
                  <w:tcW w:w="537" w:type="dxa"/>
                  <w:vMerge w:val="continue"/>
                  <w:vAlign w:val="center"/>
                </w:tcPr>
                <w:p w14:paraId="5011E895">
                  <w:pPr>
                    <w:pStyle w:val="30"/>
                    <w:bidi w:val="0"/>
                    <w:rPr>
                      <w:color w:val="auto"/>
                      <w:highlight w:val="none"/>
                    </w:rPr>
                  </w:pPr>
                </w:p>
              </w:tc>
              <w:tc>
                <w:tcPr>
                  <w:tcW w:w="683" w:type="dxa"/>
                  <w:vAlign w:val="center"/>
                </w:tcPr>
                <w:p w14:paraId="2F2A7F2A">
                  <w:pPr>
                    <w:pStyle w:val="30"/>
                    <w:bidi w:val="0"/>
                    <w:rPr>
                      <w:color w:val="auto"/>
                      <w:highlight w:val="none"/>
                    </w:rPr>
                  </w:pPr>
                  <w:r>
                    <w:rPr>
                      <w:rFonts w:hint="default"/>
                      <w:color w:val="auto"/>
                      <w:highlight w:val="none"/>
                      <w:lang w:val="en-US" w:eastAsia="zh-CN"/>
                    </w:rPr>
                    <w:t>30%</w:t>
                  </w:r>
                </w:p>
              </w:tc>
              <w:tc>
                <w:tcPr>
                  <w:tcW w:w="918" w:type="dxa"/>
                  <w:vAlign w:val="center"/>
                </w:tcPr>
                <w:p w14:paraId="21FEB430">
                  <w:pPr>
                    <w:pStyle w:val="30"/>
                    <w:bidi w:val="0"/>
                    <w:rPr>
                      <w:color w:val="auto"/>
                      <w:highlight w:val="none"/>
                    </w:rPr>
                  </w:pPr>
                  <w:r>
                    <w:rPr>
                      <w:rFonts w:hint="default"/>
                      <w:color w:val="auto"/>
                      <w:highlight w:val="none"/>
                      <w:lang w:val="en-US" w:eastAsia="zh-CN"/>
                    </w:rPr>
                    <w:t>245</w:t>
                  </w:r>
                </w:p>
              </w:tc>
              <w:tc>
                <w:tcPr>
                  <w:tcW w:w="944" w:type="dxa"/>
                  <w:vAlign w:val="center"/>
                </w:tcPr>
                <w:p w14:paraId="34B0993C">
                  <w:pPr>
                    <w:pStyle w:val="30"/>
                    <w:bidi w:val="0"/>
                    <w:rPr>
                      <w:color w:val="auto"/>
                      <w:highlight w:val="none"/>
                    </w:rPr>
                  </w:pPr>
                  <w:r>
                    <w:rPr>
                      <w:rFonts w:hint="default"/>
                      <w:color w:val="auto"/>
                      <w:highlight w:val="none"/>
                      <w:lang w:val="en-US" w:eastAsia="zh-CN"/>
                    </w:rPr>
                    <w:t xml:space="preserve">0.045 </w:t>
                  </w:r>
                </w:p>
              </w:tc>
            </w:tr>
            <w:tr w14:paraId="7334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4AB7BE77">
                  <w:pPr>
                    <w:pStyle w:val="30"/>
                    <w:bidi w:val="0"/>
                    <w:rPr>
                      <w:color w:val="auto"/>
                      <w:highlight w:val="none"/>
                    </w:rPr>
                  </w:pPr>
                </w:p>
              </w:tc>
              <w:tc>
                <w:tcPr>
                  <w:tcW w:w="983" w:type="dxa"/>
                  <w:vAlign w:val="center"/>
                </w:tcPr>
                <w:p w14:paraId="79D0AFE2">
                  <w:pPr>
                    <w:pStyle w:val="30"/>
                    <w:bidi w:val="0"/>
                    <w:rPr>
                      <w:color w:val="auto"/>
                      <w:highlight w:val="none"/>
                    </w:rPr>
                  </w:pPr>
                  <w:r>
                    <w:rPr>
                      <w:color w:val="auto"/>
                      <w:highlight w:val="none"/>
                    </w:rPr>
                    <w:t>SS</w:t>
                  </w:r>
                </w:p>
              </w:tc>
              <w:tc>
                <w:tcPr>
                  <w:tcW w:w="918" w:type="dxa"/>
                  <w:vAlign w:val="center"/>
                </w:tcPr>
                <w:p w14:paraId="6438877C">
                  <w:pPr>
                    <w:pStyle w:val="30"/>
                    <w:bidi w:val="0"/>
                    <w:rPr>
                      <w:color w:val="auto"/>
                      <w:highlight w:val="none"/>
                    </w:rPr>
                  </w:pPr>
                  <w:r>
                    <w:rPr>
                      <w:rFonts w:hint="eastAsia"/>
                      <w:color w:val="auto"/>
                      <w:highlight w:val="none"/>
                    </w:rPr>
                    <w:t>200</w:t>
                  </w:r>
                </w:p>
              </w:tc>
              <w:tc>
                <w:tcPr>
                  <w:tcW w:w="801" w:type="dxa"/>
                  <w:vAlign w:val="center"/>
                </w:tcPr>
                <w:p w14:paraId="3EE1278A">
                  <w:pPr>
                    <w:pStyle w:val="30"/>
                    <w:bidi w:val="0"/>
                    <w:rPr>
                      <w:color w:val="auto"/>
                      <w:highlight w:val="none"/>
                    </w:rPr>
                  </w:pPr>
                  <w:r>
                    <w:rPr>
                      <w:rFonts w:hint="default"/>
                      <w:color w:val="auto"/>
                      <w:highlight w:val="none"/>
                      <w:lang w:val="en-US" w:eastAsia="zh-CN"/>
                    </w:rPr>
                    <w:t xml:space="preserve">0.044 </w:t>
                  </w:r>
                </w:p>
              </w:tc>
              <w:tc>
                <w:tcPr>
                  <w:tcW w:w="537" w:type="dxa"/>
                  <w:vMerge w:val="continue"/>
                  <w:vAlign w:val="center"/>
                </w:tcPr>
                <w:p w14:paraId="728327E9">
                  <w:pPr>
                    <w:pStyle w:val="30"/>
                    <w:bidi w:val="0"/>
                    <w:rPr>
                      <w:color w:val="auto"/>
                      <w:highlight w:val="none"/>
                    </w:rPr>
                  </w:pPr>
                </w:p>
              </w:tc>
              <w:tc>
                <w:tcPr>
                  <w:tcW w:w="683" w:type="dxa"/>
                  <w:vAlign w:val="center"/>
                </w:tcPr>
                <w:p w14:paraId="3C39064F">
                  <w:pPr>
                    <w:pStyle w:val="30"/>
                    <w:bidi w:val="0"/>
                    <w:rPr>
                      <w:color w:val="auto"/>
                      <w:highlight w:val="none"/>
                    </w:rPr>
                  </w:pPr>
                  <w:r>
                    <w:rPr>
                      <w:rFonts w:hint="default"/>
                      <w:color w:val="auto"/>
                      <w:highlight w:val="none"/>
                      <w:lang w:val="en-US" w:eastAsia="zh-CN"/>
                    </w:rPr>
                    <w:t>70%</w:t>
                  </w:r>
                </w:p>
              </w:tc>
              <w:tc>
                <w:tcPr>
                  <w:tcW w:w="918" w:type="dxa"/>
                  <w:vAlign w:val="center"/>
                </w:tcPr>
                <w:p w14:paraId="6CEF0FCB">
                  <w:pPr>
                    <w:pStyle w:val="30"/>
                    <w:bidi w:val="0"/>
                    <w:rPr>
                      <w:color w:val="auto"/>
                      <w:highlight w:val="none"/>
                    </w:rPr>
                  </w:pPr>
                  <w:r>
                    <w:rPr>
                      <w:rFonts w:hint="default"/>
                      <w:color w:val="auto"/>
                      <w:highlight w:val="none"/>
                      <w:lang w:val="en-US" w:eastAsia="zh-CN"/>
                    </w:rPr>
                    <w:t>60</w:t>
                  </w:r>
                </w:p>
              </w:tc>
              <w:tc>
                <w:tcPr>
                  <w:tcW w:w="944" w:type="dxa"/>
                  <w:vAlign w:val="center"/>
                </w:tcPr>
                <w:p w14:paraId="3D8A016C">
                  <w:pPr>
                    <w:pStyle w:val="30"/>
                    <w:bidi w:val="0"/>
                    <w:rPr>
                      <w:color w:val="auto"/>
                      <w:highlight w:val="none"/>
                    </w:rPr>
                  </w:pPr>
                  <w:r>
                    <w:rPr>
                      <w:rFonts w:hint="default"/>
                      <w:color w:val="auto"/>
                      <w:highlight w:val="none"/>
                      <w:lang w:val="en-US" w:eastAsia="zh-CN"/>
                    </w:rPr>
                    <w:t xml:space="preserve">0.011 </w:t>
                  </w:r>
                </w:p>
              </w:tc>
            </w:tr>
            <w:tr w14:paraId="3E5A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2AF2B933">
                  <w:pPr>
                    <w:pStyle w:val="30"/>
                    <w:bidi w:val="0"/>
                    <w:rPr>
                      <w:color w:val="auto"/>
                      <w:highlight w:val="none"/>
                    </w:rPr>
                  </w:pPr>
                </w:p>
              </w:tc>
              <w:tc>
                <w:tcPr>
                  <w:tcW w:w="983" w:type="dxa"/>
                  <w:vAlign w:val="center"/>
                </w:tcPr>
                <w:p w14:paraId="692B4060">
                  <w:pPr>
                    <w:pStyle w:val="30"/>
                    <w:bidi w:val="0"/>
                    <w:rPr>
                      <w:color w:val="auto"/>
                      <w:highlight w:val="none"/>
                    </w:rPr>
                  </w:pPr>
                  <w:r>
                    <w:rPr>
                      <w:rFonts w:hint="eastAsia"/>
                      <w:color w:val="auto"/>
                      <w:highlight w:val="none"/>
                    </w:rPr>
                    <w:t>石油类</w:t>
                  </w:r>
                </w:p>
              </w:tc>
              <w:tc>
                <w:tcPr>
                  <w:tcW w:w="918" w:type="dxa"/>
                  <w:vAlign w:val="center"/>
                </w:tcPr>
                <w:p w14:paraId="143426EA">
                  <w:pPr>
                    <w:pStyle w:val="30"/>
                    <w:bidi w:val="0"/>
                    <w:rPr>
                      <w:color w:val="auto"/>
                      <w:highlight w:val="none"/>
                    </w:rPr>
                  </w:pPr>
                  <w:r>
                    <w:rPr>
                      <w:color w:val="auto"/>
                      <w:highlight w:val="none"/>
                    </w:rPr>
                    <w:t>20</w:t>
                  </w:r>
                </w:p>
              </w:tc>
              <w:tc>
                <w:tcPr>
                  <w:tcW w:w="801" w:type="dxa"/>
                  <w:vAlign w:val="center"/>
                </w:tcPr>
                <w:p w14:paraId="3AEB1591">
                  <w:pPr>
                    <w:pStyle w:val="30"/>
                    <w:bidi w:val="0"/>
                    <w:rPr>
                      <w:color w:val="auto"/>
                      <w:highlight w:val="none"/>
                    </w:rPr>
                  </w:pPr>
                  <w:r>
                    <w:rPr>
                      <w:rFonts w:hint="default"/>
                      <w:color w:val="auto"/>
                      <w:highlight w:val="none"/>
                      <w:lang w:val="en-US" w:eastAsia="zh-CN"/>
                    </w:rPr>
                    <w:t xml:space="preserve">0.004 </w:t>
                  </w:r>
                </w:p>
              </w:tc>
              <w:tc>
                <w:tcPr>
                  <w:tcW w:w="537" w:type="dxa"/>
                  <w:vMerge w:val="continue"/>
                  <w:vAlign w:val="center"/>
                </w:tcPr>
                <w:p w14:paraId="47795C44">
                  <w:pPr>
                    <w:pStyle w:val="30"/>
                    <w:bidi w:val="0"/>
                    <w:rPr>
                      <w:color w:val="auto"/>
                      <w:highlight w:val="none"/>
                    </w:rPr>
                  </w:pPr>
                </w:p>
              </w:tc>
              <w:tc>
                <w:tcPr>
                  <w:tcW w:w="683" w:type="dxa"/>
                  <w:vAlign w:val="center"/>
                </w:tcPr>
                <w:p w14:paraId="18018FF6">
                  <w:pPr>
                    <w:pStyle w:val="30"/>
                    <w:bidi w:val="0"/>
                    <w:rPr>
                      <w:color w:val="auto"/>
                      <w:highlight w:val="none"/>
                    </w:rPr>
                  </w:pPr>
                  <w:r>
                    <w:rPr>
                      <w:rFonts w:hint="default"/>
                      <w:color w:val="auto"/>
                      <w:highlight w:val="none"/>
                      <w:lang w:val="en-US" w:eastAsia="zh-CN"/>
                    </w:rPr>
                    <w:t>70%</w:t>
                  </w:r>
                </w:p>
              </w:tc>
              <w:tc>
                <w:tcPr>
                  <w:tcW w:w="918" w:type="dxa"/>
                  <w:vAlign w:val="center"/>
                </w:tcPr>
                <w:p w14:paraId="700DFEE9">
                  <w:pPr>
                    <w:pStyle w:val="30"/>
                    <w:bidi w:val="0"/>
                    <w:rPr>
                      <w:color w:val="auto"/>
                      <w:highlight w:val="none"/>
                    </w:rPr>
                  </w:pPr>
                  <w:r>
                    <w:rPr>
                      <w:rFonts w:hint="default"/>
                      <w:color w:val="auto"/>
                      <w:highlight w:val="none"/>
                      <w:lang w:val="en-US" w:eastAsia="zh-CN"/>
                    </w:rPr>
                    <w:t>6</w:t>
                  </w:r>
                </w:p>
              </w:tc>
              <w:tc>
                <w:tcPr>
                  <w:tcW w:w="944" w:type="dxa"/>
                  <w:vAlign w:val="center"/>
                </w:tcPr>
                <w:p w14:paraId="72D412ED">
                  <w:pPr>
                    <w:pStyle w:val="30"/>
                    <w:bidi w:val="0"/>
                    <w:rPr>
                      <w:color w:val="auto"/>
                      <w:highlight w:val="none"/>
                    </w:rPr>
                  </w:pPr>
                  <w:r>
                    <w:rPr>
                      <w:rFonts w:hint="default"/>
                      <w:color w:val="auto"/>
                      <w:highlight w:val="none"/>
                      <w:lang w:val="en-US" w:eastAsia="zh-CN"/>
                    </w:rPr>
                    <w:t xml:space="preserve">0.001 </w:t>
                  </w:r>
                </w:p>
              </w:tc>
            </w:tr>
            <w:tr w14:paraId="63E6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4C25411E">
                  <w:pPr>
                    <w:pStyle w:val="30"/>
                    <w:bidi w:val="0"/>
                    <w:rPr>
                      <w:color w:val="auto"/>
                      <w:highlight w:val="none"/>
                    </w:rPr>
                  </w:pPr>
                </w:p>
              </w:tc>
              <w:tc>
                <w:tcPr>
                  <w:tcW w:w="983" w:type="dxa"/>
                  <w:vAlign w:val="center"/>
                </w:tcPr>
                <w:p w14:paraId="48878F2B">
                  <w:pPr>
                    <w:pStyle w:val="30"/>
                    <w:bidi w:val="0"/>
                    <w:rPr>
                      <w:color w:val="auto"/>
                      <w:highlight w:val="none"/>
                    </w:rPr>
                  </w:pPr>
                  <w:r>
                    <w:rPr>
                      <w:rFonts w:hint="eastAsia"/>
                      <w:color w:val="auto"/>
                      <w:highlight w:val="none"/>
                    </w:rPr>
                    <w:t>LAS</w:t>
                  </w:r>
                </w:p>
              </w:tc>
              <w:tc>
                <w:tcPr>
                  <w:tcW w:w="918" w:type="dxa"/>
                  <w:vAlign w:val="center"/>
                </w:tcPr>
                <w:p w14:paraId="03BB6FA6">
                  <w:pPr>
                    <w:pStyle w:val="30"/>
                    <w:bidi w:val="0"/>
                    <w:rPr>
                      <w:color w:val="auto"/>
                      <w:highlight w:val="none"/>
                    </w:rPr>
                  </w:pPr>
                  <w:r>
                    <w:rPr>
                      <w:rFonts w:hint="eastAsia"/>
                      <w:color w:val="auto"/>
                      <w:highlight w:val="none"/>
                    </w:rPr>
                    <w:t>15</w:t>
                  </w:r>
                </w:p>
              </w:tc>
              <w:tc>
                <w:tcPr>
                  <w:tcW w:w="801" w:type="dxa"/>
                  <w:vAlign w:val="center"/>
                </w:tcPr>
                <w:p w14:paraId="04ECEABB">
                  <w:pPr>
                    <w:pStyle w:val="30"/>
                    <w:bidi w:val="0"/>
                    <w:rPr>
                      <w:color w:val="auto"/>
                      <w:highlight w:val="none"/>
                    </w:rPr>
                  </w:pPr>
                  <w:r>
                    <w:rPr>
                      <w:rFonts w:hint="default"/>
                      <w:color w:val="auto"/>
                      <w:highlight w:val="none"/>
                      <w:lang w:val="en-US" w:eastAsia="zh-CN"/>
                    </w:rPr>
                    <w:t xml:space="preserve">0.003 </w:t>
                  </w:r>
                </w:p>
              </w:tc>
              <w:tc>
                <w:tcPr>
                  <w:tcW w:w="537" w:type="dxa"/>
                  <w:vMerge w:val="continue"/>
                  <w:vAlign w:val="center"/>
                </w:tcPr>
                <w:p w14:paraId="0193AC19">
                  <w:pPr>
                    <w:pStyle w:val="30"/>
                    <w:bidi w:val="0"/>
                    <w:rPr>
                      <w:color w:val="auto"/>
                      <w:highlight w:val="none"/>
                    </w:rPr>
                  </w:pPr>
                </w:p>
              </w:tc>
              <w:tc>
                <w:tcPr>
                  <w:tcW w:w="683" w:type="dxa"/>
                  <w:vAlign w:val="center"/>
                </w:tcPr>
                <w:p w14:paraId="5F2AF2FB">
                  <w:pPr>
                    <w:pStyle w:val="30"/>
                    <w:bidi w:val="0"/>
                    <w:rPr>
                      <w:color w:val="auto"/>
                      <w:highlight w:val="none"/>
                    </w:rPr>
                  </w:pPr>
                  <w:r>
                    <w:rPr>
                      <w:rFonts w:hint="default"/>
                      <w:color w:val="auto"/>
                      <w:highlight w:val="none"/>
                      <w:lang w:val="en-US" w:eastAsia="zh-CN"/>
                    </w:rPr>
                    <w:t>50%</w:t>
                  </w:r>
                </w:p>
              </w:tc>
              <w:tc>
                <w:tcPr>
                  <w:tcW w:w="918" w:type="dxa"/>
                  <w:vAlign w:val="center"/>
                </w:tcPr>
                <w:p w14:paraId="377A8938">
                  <w:pPr>
                    <w:pStyle w:val="30"/>
                    <w:bidi w:val="0"/>
                    <w:rPr>
                      <w:color w:val="auto"/>
                      <w:highlight w:val="none"/>
                    </w:rPr>
                  </w:pPr>
                  <w:r>
                    <w:rPr>
                      <w:rFonts w:hint="default"/>
                      <w:color w:val="auto"/>
                      <w:highlight w:val="none"/>
                      <w:lang w:val="en-US" w:eastAsia="zh-CN"/>
                    </w:rPr>
                    <w:t>7.5</w:t>
                  </w:r>
                </w:p>
              </w:tc>
              <w:tc>
                <w:tcPr>
                  <w:tcW w:w="944" w:type="dxa"/>
                  <w:vAlign w:val="center"/>
                </w:tcPr>
                <w:p w14:paraId="2B18FE9B">
                  <w:pPr>
                    <w:pStyle w:val="30"/>
                    <w:bidi w:val="0"/>
                    <w:rPr>
                      <w:color w:val="auto"/>
                      <w:highlight w:val="none"/>
                    </w:rPr>
                  </w:pPr>
                  <w:r>
                    <w:rPr>
                      <w:rFonts w:hint="default"/>
                      <w:color w:val="auto"/>
                      <w:highlight w:val="none"/>
                      <w:lang w:val="en-US" w:eastAsia="zh-CN"/>
                    </w:rPr>
                    <w:t xml:space="preserve">0.001 </w:t>
                  </w:r>
                </w:p>
              </w:tc>
            </w:tr>
            <w:tr w14:paraId="4DF8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vAlign w:val="center"/>
                </w:tcPr>
                <w:p w14:paraId="6C21389A">
                  <w:pPr>
                    <w:pStyle w:val="30"/>
                    <w:bidi w:val="0"/>
                    <w:rPr>
                      <w:rFonts w:hint="eastAsia"/>
                      <w:color w:val="auto"/>
                      <w:highlight w:val="none"/>
                      <w:lang w:val="en-US" w:eastAsia="zh-CN"/>
                    </w:rPr>
                  </w:pPr>
                  <w:r>
                    <w:rPr>
                      <w:rFonts w:hint="eastAsia"/>
                      <w:color w:val="auto"/>
                      <w:highlight w:val="none"/>
                      <w:lang w:eastAsia="zh-CN"/>
                    </w:rPr>
                    <w:t>废水排口</w:t>
                  </w:r>
                  <w:r>
                    <w:rPr>
                      <w:rFonts w:hint="eastAsia"/>
                      <w:color w:val="auto"/>
                      <w:highlight w:val="none"/>
                      <w:lang w:val="en-US" w:eastAsia="zh-CN"/>
                    </w:rPr>
                    <w:t>DW001</w:t>
                  </w:r>
                </w:p>
                <w:p w14:paraId="08AEB5AF">
                  <w:pPr>
                    <w:pStyle w:val="30"/>
                    <w:bidi w:val="0"/>
                    <w:rPr>
                      <w:rFonts w:hint="default"/>
                      <w:color w:val="auto"/>
                      <w:highlight w:val="none"/>
                      <w:lang w:val="en-US" w:eastAsia="zh-CN"/>
                    </w:rPr>
                  </w:pPr>
                  <w:r>
                    <w:rPr>
                      <w:rFonts w:hint="eastAsia"/>
                      <w:color w:val="auto"/>
                      <w:highlight w:val="none"/>
                      <w:lang w:val="en-US" w:eastAsia="zh-CN"/>
                    </w:rPr>
                    <w:t>（3921.96</w:t>
                  </w:r>
                  <w:r>
                    <w:rPr>
                      <w:color w:val="auto"/>
                      <w:highlight w:val="none"/>
                    </w:rPr>
                    <w:t>m</w:t>
                  </w:r>
                  <w:r>
                    <w:rPr>
                      <w:color w:val="auto"/>
                      <w:highlight w:val="none"/>
                      <w:vertAlign w:val="superscript"/>
                    </w:rPr>
                    <w:t>3</w:t>
                  </w:r>
                  <w:r>
                    <w:rPr>
                      <w:rFonts w:hint="eastAsia"/>
                      <w:color w:val="auto"/>
                      <w:highlight w:val="none"/>
                    </w:rPr>
                    <w:t>/a</w:t>
                  </w:r>
                  <w:r>
                    <w:rPr>
                      <w:rFonts w:hint="eastAsia"/>
                      <w:color w:val="auto"/>
                      <w:highlight w:val="none"/>
                      <w:lang w:val="en-US" w:eastAsia="zh-CN"/>
                    </w:rPr>
                    <w:t>）</w:t>
                  </w:r>
                </w:p>
              </w:tc>
              <w:tc>
                <w:tcPr>
                  <w:tcW w:w="983" w:type="dxa"/>
                  <w:shd w:val="clear" w:color="auto" w:fill="auto"/>
                  <w:vAlign w:val="center"/>
                </w:tcPr>
                <w:p w14:paraId="0F6D0DCA">
                  <w:pPr>
                    <w:pStyle w:val="30"/>
                    <w:bidi w:val="0"/>
                    <w:rPr>
                      <w:rFonts w:hint="eastAsia"/>
                      <w:color w:val="auto"/>
                      <w:highlight w:val="none"/>
                      <w:lang w:val="en-US" w:eastAsia="zh-CN"/>
                    </w:rPr>
                  </w:pPr>
                  <w:r>
                    <w:rPr>
                      <w:color w:val="auto"/>
                      <w:highlight w:val="none"/>
                    </w:rPr>
                    <w:t>COD</w:t>
                  </w:r>
                  <w:r>
                    <w:rPr>
                      <w:rFonts w:hint="eastAsia"/>
                      <w:color w:val="auto"/>
                      <w:highlight w:val="none"/>
                    </w:rPr>
                    <w:t>cr</w:t>
                  </w:r>
                </w:p>
              </w:tc>
              <w:tc>
                <w:tcPr>
                  <w:tcW w:w="918" w:type="dxa"/>
                  <w:vAlign w:val="center"/>
                </w:tcPr>
                <w:p w14:paraId="21C03494">
                  <w:pPr>
                    <w:pStyle w:val="30"/>
                    <w:bidi w:val="0"/>
                    <w:rPr>
                      <w:rFonts w:hint="eastAsia"/>
                      <w:color w:val="auto"/>
                      <w:highlight w:val="none"/>
                    </w:rPr>
                  </w:pPr>
                  <w:r>
                    <w:rPr>
                      <w:rFonts w:hint="eastAsia"/>
                      <w:color w:val="auto"/>
                      <w:highlight w:val="none"/>
                      <w:lang w:val="en-US" w:eastAsia="zh-CN"/>
                    </w:rPr>
                    <w:t xml:space="preserve">294.201 </w:t>
                  </w:r>
                </w:p>
              </w:tc>
              <w:tc>
                <w:tcPr>
                  <w:tcW w:w="801" w:type="dxa"/>
                  <w:vAlign w:val="center"/>
                </w:tcPr>
                <w:p w14:paraId="3C4533BB">
                  <w:pPr>
                    <w:pStyle w:val="30"/>
                    <w:bidi w:val="0"/>
                    <w:rPr>
                      <w:rFonts w:hint="default"/>
                      <w:color w:val="auto"/>
                      <w:highlight w:val="none"/>
                      <w:lang w:val="en-US" w:eastAsia="zh-CN"/>
                    </w:rPr>
                  </w:pPr>
                  <w:r>
                    <w:rPr>
                      <w:rFonts w:hint="eastAsia"/>
                      <w:color w:val="auto"/>
                      <w:highlight w:val="none"/>
                      <w:lang w:val="en-US" w:eastAsia="zh-CN"/>
                    </w:rPr>
                    <w:t xml:space="preserve">1.154 </w:t>
                  </w:r>
                </w:p>
              </w:tc>
              <w:tc>
                <w:tcPr>
                  <w:tcW w:w="537" w:type="dxa"/>
                  <w:vMerge w:val="restart"/>
                  <w:vAlign w:val="center"/>
                </w:tcPr>
                <w:p w14:paraId="3D7A0F74">
                  <w:pPr>
                    <w:pStyle w:val="30"/>
                    <w:bidi w:val="0"/>
                    <w:rPr>
                      <w:rFonts w:hint="eastAsia"/>
                      <w:color w:val="auto"/>
                      <w:highlight w:val="none"/>
                      <w:lang w:val="en-US" w:eastAsia="zh-CN"/>
                    </w:rPr>
                  </w:pPr>
                  <w:r>
                    <w:rPr>
                      <w:rFonts w:hint="eastAsia"/>
                      <w:color w:val="auto"/>
                      <w:highlight w:val="none"/>
                      <w:lang w:val="en-US" w:eastAsia="zh-CN"/>
                    </w:rPr>
                    <w:t>/</w:t>
                  </w:r>
                </w:p>
              </w:tc>
              <w:tc>
                <w:tcPr>
                  <w:tcW w:w="683" w:type="dxa"/>
                  <w:vMerge w:val="restart"/>
                  <w:vAlign w:val="center"/>
                </w:tcPr>
                <w:p w14:paraId="7F4F4FC2">
                  <w:pPr>
                    <w:pStyle w:val="30"/>
                    <w:bidi w:val="0"/>
                    <w:rPr>
                      <w:rFonts w:hint="eastAsia"/>
                      <w:color w:val="auto"/>
                      <w:highlight w:val="none"/>
                      <w:lang w:val="en-US" w:eastAsia="zh-CN"/>
                    </w:rPr>
                  </w:pPr>
                  <w:r>
                    <w:rPr>
                      <w:rFonts w:hint="eastAsia"/>
                      <w:color w:val="auto"/>
                      <w:highlight w:val="none"/>
                      <w:lang w:val="en-US" w:eastAsia="zh-CN"/>
                    </w:rPr>
                    <w:t>/</w:t>
                  </w:r>
                </w:p>
              </w:tc>
              <w:tc>
                <w:tcPr>
                  <w:tcW w:w="918" w:type="dxa"/>
                  <w:vAlign w:val="center"/>
                </w:tcPr>
                <w:p w14:paraId="3ABFFB4C">
                  <w:pPr>
                    <w:pStyle w:val="30"/>
                    <w:bidi w:val="0"/>
                    <w:rPr>
                      <w:rFonts w:hint="default"/>
                      <w:color w:val="auto"/>
                      <w:highlight w:val="none"/>
                      <w:lang w:val="en-US" w:eastAsia="zh-CN"/>
                    </w:rPr>
                  </w:pPr>
                  <w:r>
                    <w:rPr>
                      <w:rFonts w:hint="eastAsia"/>
                      <w:color w:val="auto"/>
                      <w:highlight w:val="none"/>
                      <w:lang w:val="en-US" w:eastAsia="zh-CN"/>
                    </w:rPr>
                    <w:t xml:space="preserve">243.507 </w:t>
                  </w:r>
                </w:p>
              </w:tc>
              <w:tc>
                <w:tcPr>
                  <w:tcW w:w="944" w:type="dxa"/>
                  <w:vAlign w:val="center"/>
                </w:tcPr>
                <w:p w14:paraId="38BD8C96">
                  <w:pPr>
                    <w:pStyle w:val="30"/>
                    <w:bidi w:val="0"/>
                    <w:rPr>
                      <w:rFonts w:hint="default"/>
                      <w:color w:val="auto"/>
                      <w:highlight w:val="none"/>
                      <w:lang w:val="en-US" w:eastAsia="zh-CN"/>
                    </w:rPr>
                  </w:pPr>
                  <w:r>
                    <w:rPr>
                      <w:rFonts w:hint="eastAsia"/>
                      <w:color w:val="auto"/>
                      <w:highlight w:val="none"/>
                      <w:lang w:val="en-US" w:eastAsia="zh-CN"/>
                    </w:rPr>
                    <w:t xml:space="preserve">0.955 </w:t>
                  </w:r>
                </w:p>
              </w:tc>
            </w:tr>
            <w:tr w14:paraId="3512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02AC8594">
                  <w:pPr>
                    <w:pStyle w:val="30"/>
                    <w:bidi w:val="0"/>
                    <w:rPr>
                      <w:color w:val="auto"/>
                      <w:highlight w:val="none"/>
                    </w:rPr>
                  </w:pPr>
                </w:p>
              </w:tc>
              <w:tc>
                <w:tcPr>
                  <w:tcW w:w="983" w:type="dxa"/>
                  <w:shd w:val="clear" w:color="auto" w:fill="auto"/>
                  <w:vAlign w:val="center"/>
                </w:tcPr>
                <w:p w14:paraId="4F430F94">
                  <w:pPr>
                    <w:pStyle w:val="30"/>
                    <w:bidi w:val="0"/>
                    <w:rPr>
                      <w:rFonts w:hint="eastAsia"/>
                      <w:color w:val="auto"/>
                      <w:highlight w:val="none"/>
                      <w:lang w:val="en-US" w:eastAsia="zh-CN"/>
                    </w:rPr>
                  </w:pPr>
                  <w:r>
                    <w:rPr>
                      <w:color w:val="auto"/>
                      <w:highlight w:val="none"/>
                    </w:rPr>
                    <w:t>BOD</w:t>
                  </w:r>
                  <w:r>
                    <w:rPr>
                      <w:color w:val="auto"/>
                      <w:highlight w:val="none"/>
                      <w:vertAlign w:val="subscript"/>
                    </w:rPr>
                    <w:t>5</w:t>
                  </w:r>
                </w:p>
              </w:tc>
              <w:tc>
                <w:tcPr>
                  <w:tcW w:w="918" w:type="dxa"/>
                  <w:vAlign w:val="center"/>
                </w:tcPr>
                <w:p w14:paraId="1260451D">
                  <w:pPr>
                    <w:pStyle w:val="30"/>
                    <w:bidi w:val="0"/>
                    <w:rPr>
                      <w:rFonts w:hint="eastAsia"/>
                      <w:color w:val="auto"/>
                      <w:highlight w:val="none"/>
                    </w:rPr>
                  </w:pPr>
                  <w:r>
                    <w:rPr>
                      <w:rFonts w:hint="eastAsia"/>
                      <w:color w:val="auto"/>
                      <w:highlight w:val="none"/>
                      <w:lang w:val="en-US" w:eastAsia="zh-CN"/>
                    </w:rPr>
                    <w:t xml:space="preserve">87.109 </w:t>
                  </w:r>
                </w:p>
              </w:tc>
              <w:tc>
                <w:tcPr>
                  <w:tcW w:w="801" w:type="dxa"/>
                  <w:vAlign w:val="center"/>
                </w:tcPr>
                <w:p w14:paraId="72EE9D7E">
                  <w:pPr>
                    <w:pStyle w:val="30"/>
                    <w:bidi w:val="0"/>
                    <w:rPr>
                      <w:rFonts w:hint="default"/>
                      <w:color w:val="auto"/>
                      <w:highlight w:val="none"/>
                      <w:lang w:val="en-US" w:eastAsia="zh-CN"/>
                    </w:rPr>
                  </w:pPr>
                  <w:r>
                    <w:rPr>
                      <w:rFonts w:hint="eastAsia"/>
                      <w:color w:val="auto"/>
                      <w:highlight w:val="none"/>
                      <w:lang w:val="en-US" w:eastAsia="zh-CN"/>
                    </w:rPr>
                    <w:t xml:space="preserve">0.342 </w:t>
                  </w:r>
                </w:p>
              </w:tc>
              <w:tc>
                <w:tcPr>
                  <w:tcW w:w="537" w:type="dxa"/>
                  <w:vMerge w:val="continue"/>
                  <w:vAlign w:val="center"/>
                </w:tcPr>
                <w:p w14:paraId="383720EA">
                  <w:pPr>
                    <w:pStyle w:val="30"/>
                    <w:bidi w:val="0"/>
                    <w:rPr>
                      <w:color w:val="auto"/>
                      <w:highlight w:val="none"/>
                    </w:rPr>
                  </w:pPr>
                </w:p>
              </w:tc>
              <w:tc>
                <w:tcPr>
                  <w:tcW w:w="683" w:type="dxa"/>
                  <w:vMerge w:val="continue"/>
                  <w:vAlign w:val="center"/>
                </w:tcPr>
                <w:p w14:paraId="30D93CC4">
                  <w:pPr>
                    <w:pStyle w:val="30"/>
                    <w:bidi w:val="0"/>
                    <w:rPr>
                      <w:rFonts w:hint="eastAsia"/>
                      <w:color w:val="auto"/>
                      <w:highlight w:val="none"/>
                    </w:rPr>
                  </w:pPr>
                </w:p>
              </w:tc>
              <w:tc>
                <w:tcPr>
                  <w:tcW w:w="918" w:type="dxa"/>
                  <w:vAlign w:val="center"/>
                </w:tcPr>
                <w:p w14:paraId="5FDB6F42">
                  <w:pPr>
                    <w:pStyle w:val="30"/>
                    <w:bidi w:val="0"/>
                    <w:rPr>
                      <w:rFonts w:hint="default"/>
                      <w:color w:val="auto"/>
                      <w:highlight w:val="none"/>
                      <w:lang w:val="en-US" w:eastAsia="zh-CN"/>
                    </w:rPr>
                  </w:pPr>
                  <w:r>
                    <w:rPr>
                      <w:rFonts w:hint="eastAsia"/>
                      <w:color w:val="auto"/>
                      <w:highlight w:val="none"/>
                      <w:lang w:val="en-US" w:eastAsia="zh-CN"/>
                    </w:rPr>
                    <w:t xml:space="preserve">79.270 </w:t>
                  </w:r>
                </w:p>
              </w:tc>
              <w:tc>
                <w:tcPr>
                  <w:tcW w:w="944" w:type="dxa"/>
                  <w:vAlign w:val="center"/>
                </w:tcPr>
                <w:p w14:paraId="7E20ECD0">
                  <w:pPr>
                    <w:pStyle w:val="30"/>
                    <w:bidi w:val="0"/>
                    <w:rPr>
                      <w:rFonts w:hint="default"/>
                      <w:color w:val="auto"/>
                      <w:highlight w:val="none"/>
                      <w:lang w:val="en-US" w:eastAsia="zh-CN"/>
                    </w:rPr>
                  </w:pPr>
                  <w:r>
                    <w:rPr>
                      <w:rFonts w:hint="eastAsia"/>
                      <w:color w:val="auto"/>
                      <w:highlight w:val="none"/>
                      <w:lang w:val="en-US" w:eastAsia="zh-CN"/>
                    </w:rPr>
                    <w:t xml:space="preserve">0.311 </w:t>
                  </w:r>
                </w:p>
              </w:tc>
            </w:tr>
            <w:tr w14:paraId="45F4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616B712F">
                  <w:pPr>
                    <w:pStyle w:val="30"/>
                    <w:bidi w:val="0"/>
                    <w:rPr>
                      <w:color w:val="auto"/>
                      <w:highlight w:val="none"/>
                    </w:rPr>
                  </w:pPr>
                </w:p>
              </w:tc>
              <w:tc>
                <w:tcPr>
                  <w:tcW w:w="983" w:type="dxa"/>
                  <w:shd w:val="clear" w:color="auto" w:fill="auto"/>
                  <w:vAlign w:val="center"/>
                </w:tcPr>
                <w:p w14:paraId="5866CE69">
                  <w:pPr>
                    <w:pStyle w:val="30"/>
                    <w:bidi w:val="0"/>
                    <w:rPr>
                      <w:rFonts w:hint="eastAsia"/>
                      <w:color w:val="auto"/>
                      <w:highlight w:val="none"/>
                      <w:lang w:val="en-US" w:eastAsia="zh-CN"/>
                    </w:rPr>
                  </w:pPr>
                  <w:r>
                    <w:rPr>
                      <w:color w:val="auto"/>
                      <w:highlight w:val="none"/>
                    </w:rPr>
                    <w:t>NH</w:t>
                  </w:r>
                  <w:r>
                    <w:rPr>
                      <w:color w:val="auto"/>
                      <w:highlight w:val="none"/>
                      <w:vertAlign w:val="subscript"/>
                    </w:rPr>
                    <w:t>3</w:t>
                  </w:r>
                  <w:r>
                    <w:rPr>
                      <w:color w:val="auto"/>
                      <w:highlight w:val="none"/>
                    </w:rPr>
                    <w:t>-N</w:t>
                  </w:r>
                </w:p>
              </w:tc>
              <w:tc>
                <w:tcPr>
                  <w:tcW w:w="918" w:type="dxa"/>
                  <w:vAlign w:val="center"/>
                </w:tcPr>
                <w:p w14:paraId="3F49AA95">
                  <w:pPr>
                    <w:pStyle w:val="30"/>
                    <w:bidi w:val="0"/>
                    <w:rPr>
                      <w:rFonts w:hint="eastAsia"/>
                      <w:color w:val="auto"/>
                      <w:highlight w:val="none"/>
                    </w:rPr>
                  </w:pPr>
                  <w:r>
                    <w:rPr>
                      <w:rFonts w:hint="eastAsia"/>
                      <w:color w:val="auto"/>
                      <w:highlight w:val="none"/>
                      <w:lang w:val="en-US" w:eastAsia="zh-CN"/>
                    </w:rPr>
                    <w:t xml:space="preserve">17.422 </w:t>
                  </w:r>
                </w:p>
              </w:tc>
              <w:tc>
                <w:tcPr>
                  <w:tcW w:w="801" w:type="dxa"/>
                  <w:vAlign w:val="center"/>
                </w:tcPr>
                <w:p w14:paraId="670B739F">
                  <w:pPr>
                    <w:pStyle w:val="30"/>
                    <w:bidi w:val="0"/>
                    <w:rPr>
                      <w:rFonts w:hint="default"/>
                      <w:color w:val="auto"/>
                      <w:highlight w:val="none"/>
                      <w:lang w:val="en-US" w:eastAsia="zh-CN"/>
                    </w:rPr>
                  </w:pPr>
                  <w:r>
                    <w:rPr>
                      <w:rFonts w:hint="eastAsia"/>
                      <w:color w:val="auto"/>
                      <w:highlight w:val="none"/>
                      <w:lang w:val="en-US" w:eastAsia="zh-CN"/>
                    </w:rPr>
                    <w:t xml:space="preserve">0.068 </w:t>
                  </w:r>
                </w:p>
              </w:tc>
              <w:tc>
                <w:tcPr>
                  <w:tcW w:w="537" w:type="dxa"/>
                  <w:vMerge w:val="continue"/>
                  <w:vAlign w:val="center"/>
                </w:tcPr>
                <w:p w14:paraId="20DF07C6">
                  <w:pPr>
                    <w:pStyle w:val="30"/>
                    <w:bidi w:val="0"/>
                    <w:rPr>
                      <w:color w:val="auto"/>
                      <w:highlight w:val="none"/>
                    </w:rPr>
                  </w:pPr>
                </w:p>
              </w:tc>
              <w:tc>
                <w:tcPr>
                  <w:tcW w:w="683" w:type="dxa"/>
                  <w:vMerge w:val="continue"/>
                  <w:vAlign w:val="center"/>
                </w:tcPr>
                <w:p w14:paraId="088F8545">
                  <w:pPr>
                    <w:pStyle w:val="30"/>
                    <w:bidi w:val="0"/>
                    <w:rPr>
                      <w:rFonts w:hint="eastAsia"/>
                      <w:color w:val="auto"/>
                      <w:highlight w:val="none"/>
                    </w:rPr>
                  </w:pPr>
                </w:p>
              </w:tc>
              <w:tc>
                <w:tcPr>
                  <w:tcW w:w="918" w:type="dxa"/>
                  <w:vAlign w:val="center"/>
                </w:tcPr>
                <w:p w14:paraId="30561B7B">
                  <w:pPr>
                    <w:pStyle w:val="30"/>
                    <w:bidi w:val="0"/>
                    <w:rPr>
                      <w:rFonts w:hint="default"/>
                      <w:color w:val="auto"/>
                      <w:highlight w:val="none"/>
                      <w:lang w:val="en-US" w:eastAsia="zh-CN"/>
                    </w:rPr>
                  </w:pPr>
                  <w:r>
                    <w:rPr>
                      <w:rFonts w:hint="eastAsia"/>
                      <w:color w:val="auto"/>
                      <w:highlight w:val="none"/>
                      <w:lang w:val="en-US" w:eastAsia="zh-CN"/>
                    </w:rPr>
                    <w:t xml:space="preserve">17.422 </w:t>
                  </w:r>
                </w:p>
              </w:tc>
              <w:tc>
                <w:tcPr>
                  <w:tcW w:w="944" w:type="dxa"/>
                  <w:vAlign w:val="center"/>
                </w:tcPr>
                <w:p w14:paraId="0B9DB355">
                  <w:pPr>
                    <w:pStyle w:val="30"/>
                    <w:bidi w:val="0"/>
                    <w:rPr>
                      <w:rFonts w:hint="default"/>
                      <w:color w:val="auto"/>
                      <w:highlight w:val="none"/>
                      <w:lang w:val="en-US" w:eastAsia="zh-CN"/>
                    </w:rPr>
                  </w:pPr>
                  <w:r>
                    <w:rPr>
                      <w:rFonts w:hint="eastAsia"/>
                      <w:color w:val="auto"/>
                      <w:highlight w:val="none"/>
                      <w:lang w:val="en-US" w:eastAsia="zh-CN"/>
                    </w:rPr>
                    <w:t xml:space="preserve">0.068 </w:t>
                  </w:r>
                </w:p>
              </w:tc>
            </w:tr>
            <w:tr w14:paraId="5FAA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58F40931">
                  <w:pPr>
                    <w:pStyle w:val="30"/>
                    <w:bidi w:val="0"/>
                    <w:rPr>
                      <w:color w:val="auto"/>
                      <w:highlight w:val="none"/>
                    </w:rPr>
                  </w:pPr>
                </w:p>
              </w:tc>
              <w:tc>
                <w:tcPr>
                  <w:tcW w:w="983" w:type="dxa"/>
                  <w:shd w:val="clear" w:color="auto" w:fill="auto"/>
                  <w:vAlign w:val="center"/>
                </w:tcPr>
                <w:p w14:paraId="4592AF9C">
                  <w:pPr>
                    <w:pStyle w:val="30"/>
                    <w:bidi w:val="0"/>
                    <w:rPr>
                      <w:rFonts w:hint="eastAsia"/>
                      <w:color w:val="auto"/>
                      <w:highlight w:val="none"/>
                      <w:lang w:val="en-US" w:eastAsia="zh-CN"/>
                    </w:rPr>
                  </w:pPr>
                  <w:r>
                    <w:rPr>
                      <w:color w:val="auto"/>
                      <w:highlight w:val="none"/>
                    </w:rPr>
                    <w:t>SS</w:t>
                  </w:r>
                </w:p>
              </w:tc>
              <w:tc>
                <w:tcPr>
                  <w:tcW w:w="918" w:type="dxa"/>
                  <w:vAlign w:val="center"/>
                </w:tcPr>
                <w:p w14:paraId="788CE37E">
                  <w:pPr>
                    <w:pStyle w:val="30"/>
                    <w:bidi w:val="0"/>
                    <w:rPr>
                      <w:rFonts w:hint="eastAsia"/>
                      <w:color w:val="auto"/>
                      <w:highlight w:val="none"/>
                    </w:rPr>
                  </w:pPr>
                  <w:r>
                    <w:rPr>
                      <w:rFonts w:hint="eastAsia"/>
                      <w:color w:val="auto"/>
                      <w:highlight w:val="none"/>
                      <w:lang w:val="en-US" w:eastAsia="zh-CN"/>
                    </w:rPr>
                    <w:t xml:space="preserve">208.163 </w:t>
                  </w:r>
                </w:p>
              </w:tc>
              <w:tc>
                <w:tcPr>
                  <w:tcW w:w="801" w:type="dxa"/>
                  <w:vAlign w:val="center"/>
                </w:tcPr>
                <w:p w14:paraId="4C3E0BF4">
                  <w:pPr>
                    <w:pStyle w:val="30"/>
                    <w:bidi w:val="0"/>
                    <w:rPr>
                      <w:rFonts w:hint="default"/>
                      <w:color w:val="auto"/>
                      <w:highlight w:val="none"/>
                      <w:lang w:val="en-US" w:eastAsia="zh-CN"/>
                    </w:rPr>
                  </w:pPr>
                  <w:r>
                    <w:rPr>
                      <w:rFonts w:hint="eastAsia"/>
                      <w:color w:val="auto"/>
                      <w:highlight w:val="none"/>
                      <w:lang w:val="en-US" w:eastAsia="zh-CN"/>
                    </w:rPr>
                    <w:t xml:space="preserve">0.816 </w:t>
                  </w:r>
                </w:p>
              </w:tc>
              <w:tc>
                <w:tcPr>
                  <w:tcW w:w="537" w:type="dxa"/>
                  <w:vMerge w:val="continue"/>
                  <w:vAlign w:val="center"/>
                </w:tcPr>
                <w:p w14:paraId="59BC4B34">
                  <w:pPr>
                    <w:pStyle w:val="30"/>
                    <w:bidi w:val="0"/>
                    <w:rPr>
                      <w:color w:val="auto"/>
                      <w:highlight w:val="none"/>
                    </w:rPr>
                  </w:pPr>
                </w:p>
              </w:tc>
              <w:tc>
                <w:tcPr>
                  <w:tcW w:w="683" w:type="dxa"/>
                  <w:vMerge w:val="continue"/>
                  <w:vAlign w:val="center"/>
                </w:tcPr>
                <w:p w14:paraId="7D1082FE">
                  <w:pPr>
                    <w:pStyle w:val="30"/>
                    <w:bidi w:val="0"/>
                    <w:rPr>
                      <w:rFonts w:hint="eastAsia"/>
                      <w:color w:val="auto"/>
                      <w:highlight w:val="none"/>
                    </w:rPr>
                  </w:pPr>
                </w:p>
              </w:tc>
              <w:tc>
                <w:tcPr>
                  <w:tcW w:w="918" w:type="dxa"/>
                  <w:vAlign w:val="center"/>
                </w:tcPr>
                <w:p w14:paraId="5764F0F2">
                  <w:pPr>
                    <w:pStyle w:val="30"/>
                    <w:bidi w:val="0"/>
                    <w:rPr>
                      <w:rFonts w:hint="default"/>
                      <w:color w:val="auto"/>
                      <w:highlight w:val="none"/>
                      <w:lang w:val="en-US" w:eastAsia="zh-CN"/>
                    </w:rPr>
                  </w:pPr>
                  <w:r>
                    <w:rPr>
                      <w:rFonts w:hint="eastAsia"/>
                      <w:color w:val="auto"/>
                      <w:highlight w:val="none"/>
                      <w:lang w:val="en-US" w:eastAsia="zh-CN"/>
                    </w:rPr>
                    <w:t xml:space="preserve">97.293 </w:t>
                  </w:r>
                </w:p>
              </w:tc>
              <w:tc>
                <w:tcPr>
                  <w:tcW w:w="944" w:type="dxa"/>
                  <w:vAlign w:val="center"/>
                </w:tcPr>
                <w:p w14:paraId="38AA527F">
                  <w:pPr>
                    <w:pStyle w:val="30"/>
                    <w:bidi w:val="0"/>
                    <w:rPr>
                      <w:rFonts w:hint="default"/>
                      <w:color w:val="auto"/>
                      <w:highlight w:val="none"/>
                      <w:lang w:val="en-US" w:eastAsia="zh-CN"/>
                    </w:rPr>
                  </w:pPr>
                  <w:r>
                    <w:rPr>
                      <w:rFonts w:hint="eastAsia"/>
                      <w:color w:val="auto"/>
                      <w:highlight w:val="none"/>
                      <w:lang w:val="en-US" w:eastAsia="zh-CN"/>
                    </w:rPr>
                    <w:t xml:space="preserve">0.382 </w:t>
                  </w:r>
                </w:p>
              </w:tc>
            </w:tr>
            <w:tr w14:paraId="331F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6CBC3CB1">
                  <w:pPr>
                    <w:pStyle w:val="30"/>
                    <w:bidi w:val="0"/>
                    <w:rPr>
                      <w:color w:val="auto"/>
                      <w:highlight w:val="none"/>
                    </w:rPr>
                  </w:pPr>
                </w:p>
              </w:tc>
              <w:tc>
                <w:tcPr>
                  <w:tcW w:w="983" w:type="dxa"/>
                  <w:vAlign w:val="center"/>
                </w:tcPr>
                <w:p w14:paraId="59D42F4F">
                  <w:pPr>
                    <w:pStyle w:val="30"/>
                    <w:bidi w:val="0"/>
                    <w:rPr>
                      <w:rFonts w:hint="eastAsia"/>
                      <w:color w:val="auto"/>
                      <w:highlight w:val="none"/>
                    </w:rPr>
                  </w:pPr>
                  <w:r>
                    <w:rPr>
                      <w:rFonts w:hint="eastAsia"/>
                      <w:color w:val="auto"/>
                      <w:highlight w:val="none"/>
                    </w:rPr>
                    <w:t>动植物油</w:t>
                  </w:r>
                </w:p>
              </w:tc>
              <w:tc>
                <w:tcPr>
                  <w:tcW w:w="918" w:type="dxa"/>
                  <w:vAlign w:val="center"/>
                </w:tcPr>
                <w:p w14:paraId="42536C14">
                  <w:pPr>
                    <w:pStyle w:val="30"/>
                    <w:bidi w:val="0"/>
                    <w:rPr>
                      <w:rFonts w:hint="eastAsia"/>
                      <w:color w:val="auto"/>
                      <w:highlight w:val="none"/>
                    </w:rPr>
                  </w:pPr>
                  <w:r>
                    <w:rPr>
                      <w:rFonts w:hint="eastAsia"/>
                      <w:color w:val="auto"/>
                      <w:highlight w:val="none"/>
                      <w:lang w:val="en-US" w:eastAsia="zh-CN"/>
                    </w:rPr>
                    <w:t xml:space="preserve">53.606 </w:t>
                  </w:r>
                </w:p>
              </w:tc>
              <w:tc>
                <w:tcPr>
                  <w:tcW w:w="801" w:type="dxa"/>
                  <w:vAlign w:val="center"/>
                </w:tcPr>
                <w:p w14:paraId="0260AADF">
                  <w:pPr>
                    <w:pStyle w:val="30"/>
                    <w:bidi w:val="0"/>
                    <w:rPr>
                      <w:rFonts w:hint="default"/>
                      <w:color w:val="auto"/>
                      <w:highlight w:val="none"/>
                      <w:lang w:val="en-US" w:eastAsia="zh-CN"/>
                    </w:rPr>
                  </w:pPr>
                  <w:r>
                    <w:rPr>
                      <w:rFonts w:hint="eastAsia"/>
                      <w:color w:val="auto"/>
                      <w:highlight w:val="none"/>
                      <w:lang w:val="en-US" w:eastAsia="zh-CN"/>
                    </w:rPr>
                    <w:t xml:space="preserve">0.210 </w:t>
                  </w:r>
                </w:p>
              </w:tc>
              <w:tc>
                <w:tcPr>
                  <w:tcW w:w="537" w:type="dxa"/>
                  <w:vMerge w:val="continue"/>
                  <w:vAlign w:val="center"/>
                </w:tcPr>
                <w:p w14:paraId="099784A9">
                  <w:pPr>
                    <w:pStyle w:val="30"/>
                    <w:bidi w:val="0"/>
                    <w:rPr>
                      <w:color w:val="auto"/>
                      <w:highlight w:val="none"/>
                    </w:rPr>
                  </w:pPr>
                </w:p>
              </w:tc>
              <w:tc>
                <w:tcPr>
                  <w:tcW w:w="683" w:type="dxa"/>
                  <w:vMerge w:val="continue"/>
                  <w:vAlign w:val="center"/>
                </w:tcPr>
                <w:p w14:paraId="779D704E">
                  <w:pPr>
                    <w:pStyle w:val="30"/>
                    <w:bidi w:val="0"/>
                    <w:rPr>
                      <w:rFonts w:hint="eastAsia"/>
                      <w:color w:val="auto"/>
                      <w:highlight w:val="none"/>
                    </w:rPr>
                  </w:pPr>
                </w:p>
              </w:tc>
              <w:tc>
                <w:tcPr>
                  <w:tcW w:w="918" w:type="dxa"/>
                  <w:vAlign w:val="center"/>
                </w:tcPr>
                <w:p w14:paraId="183CBEF9">
                  <w:pPr>
                    <w:pStyle w:val="30"/>
                    <w:bidi w:val="0"/>
                    <w:rPr>
                      <w:rFonts w:hint="default"/>
                      <w:color w:val="auto"/>
                      <w:highlight w:val="none"/>
                      <w:lang w:val="en-US" w:eastAsia="zh-CN"/>
                    </w:rPr>
                  </w:pPr>
                  <w:r>
                    <w:rPr>
                      <w:rFonts w:hint="eastAsia"/>
                      <w:color w:val="auto"/>
                      <w:highlight w:val="none"/>
                      <w:lang w:val="en-US" w:eastAsia="zh-CN"/>
                    </w:rPr>
                    <w:t xml:space="preserve">10.721 </w:t>
                  </w:r>
                </w:p>
              </w:tc>
              <w:tc>
                <w:tcPr>
                  <w:tcW w:w="944" w:type="dxa"/>
                  <w:vAlign w:val="center"/>
                </w:tcPr>
                <w:p w14:paraId="0F7A0949">
                  <w:pPr>
                    <w:pStyle w:val="30"/>
                    <w:bidi w:val="0"/>
                    <w:rPr>
                      <w:rFonts w:hint="default"/>
                      <w:color w:val="auto"/>
                      <w:highlight w:val="none"/>
                      <w:lang w:val="en-US" w:eastAsia="zh-CN"/>
                    </w:rPr>
                  </w:pPr>
                  <w:r>
                    <w:rPr>
                      <w:rFonts w:hint="eastAsia"/>
                      <w:color w:val="auto"/>
                      <w:highlight w:val="none"/>
                      <w:lang w:val="en-US" w:eastAsia="zh-CN"/>
                    </w:rPr>
                    <w:t xml:space="preserve">0.042 </w:t>
                  </w:r>
                </w:p>
              </w:tc>
            </w:tr>
            <w:tr w14:paraId="1234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721C9AF5">
                  <w:pPr>
                    <w:pStyle w:val="30"/>
                    <w:bidi w:val="0"/>
                    <w:rPr>
                      <w:color w:val="auto"/>
                      <w:highlight w:val="none"/>
                    </w:rPr>
                  </w:pPr>
                </w:p>
              </w:tc>
              <w:tc>
                <w:tcPr>
                  <w:tcW w:w="983" w:type="dxa"/>
                  <w:vAlign w:val="center"/>
                </w:tcPr>
                <w:p w14:paraId="4BCE73A9">
                  <w:pPr>
                    <w:pStyle w:val="30"/>
                    <w:bidi w:val="0"/>
                    <w:rPr>
                      <w:rFonts w:hint="eastAsia"/>
                      <w:color w:val="auto"/>
                      <w:highlight w:val="none"/>
                    </w:rPr>
                  </w:pPr>
                  <w:r>
                    <w:rPr>
                      <w:rFonts w:hint="eastAsia"/>
                      <w:color w:val="auto"/>
                      <w:highlight w:val="none"/>
                    </w:rPr>
                    <w:t>石油类</w:t>
                  </w:r>
                </w:p>
              </w:tc>
              <w:tc>
                <w:tcPr>
                  <w:tcW w:w="918" w:type="dxa"/>
                  <w:vAlign w:val="center"/>
                </w:tcPr>
                <w:p w14:paraId="447995DD">
                  <w:pPr>
                    <w:pStyle w:val="30"/>
                    <w:bidi w:val="0"/>
                    <w:rPr>
                      <w:rFonts w:hint="eastAsia"/>
                      <w:color w:val="auto"/>
                      <w:highlight w:val="none"/>
                    </w:rPr>
                  </w:pPr>
                  <w:r>
                    <w:rPr>
                      <w:rFonts w:hint="eastAsia"/>
                      <w:color w:val="auto"/>
                      <w:highlight w:val="none"/>
                      <w:lang w:val="en-US" w:eastAsia="zh-CN"/>
                    </w:rPr>
                    <w:t xml:space="preserve">2.578 </w:t>
                  </w:r>
                </w:p>
              </w:tc>
              <w:tc>
                <w:tcPr>
                  <w:tcW w:w="801" w:type="dxa"/>
                  <w:vAlign w:val="center"/>
                </w:tcPr>
                <w:p w14:paraId="18A74D5A">
                  <w:pPr>
                    <w:pStyle w:val="30"/>
                    <w:bidi w:val="0"/>
                    <w:rPr>
                      <w:rFonts w:hint="default"/>
                      <w:color w:val="auto"/>
                      <w:highlight w:val="none"/>
                      <w:lang w:val="en-US" w:eastAsia="zh-CN"/>
                    </w:rPr>
                  </w:pPr>
                  <w:r>
                    <w:rPr>
                      <w:rFonts w:hint="eastAsia"/>
                      <w:color w:val="auto"/>
                      <w:highlight w:val="none"/>
                      <w:lang w:val="en-US" w:eastAsia="zh-CN"/>
                    </w:rPr>
                    <w:t xml:space="preserve">0.010 </w:t>
                  </w:r>
                </w:p>
              </w:tc>
              <w:tc>
                <w:tcPr>
                  <w:tcW w:w="537" w:type="dxa"/>
                  <w:vMerge w:val="continue"/>
                  <w:vAlign w:val="center"/>
                </w:tcPr>
                <w:p w14:paraId="67464773">
                  <w:pPr>
                    <w:pStyle w:val="30"/>
                    <w:bidi w:val="0"/>
                    <w:rPr>
                      <w:color w:val="auto"/>
                      <w:highlight w:val="none"/>
                    </w:rPr>
                  </w:pPr>
                </w:p>
              </w:tc>
              <w:tc>
                <w:tcPr>
                  <w:tcW w:w="683" w:type="dxa"/>
                  <w:vMerge w:val="continue"/>
                  <w:vAlign w:val="center"/>
                </w:tcPr>
                <w:p w14:paraId="3F3076DF">
                  <w:pPr>
                    <w:pStyle w:val="30"/>
                    <w:bidi w:val="0"/>
                    <w:rPr>
                      <w:rFonts w:hint="eastAsia"/>
                      <w:color w:val="auto"/>
                      <w:highlight w:val="none"/>
                    </w:rPr>
                  </w:pPr>
                </w:p>
              </w:tc>
              <w:tc>
                <w:tcPr>
                  <w:tcW w:w="918" w:type="dxa"/>
                  <w:vAlign w:val="center"/>
                </w:tcPr>
                <w:p w14:paraId="515D9753">
                  <w:pPr>
                    <w:pStyle w:val="30"/>
                    <w:bidi w:val="0"/>
                    <w:rPr>
                      <w:rFonts w:hint="default"/>
                      <w:color w:val="auto"/>
                      <w:highlight w:val="none"/>
                      <w:lang w:val="en-US" w:eastAsia="zh-CN"/>
                    </w:rPr>
                  </w:pPr>
                  <w:r>
                    <w:rPr>
                      <w:rFonts w:hint="eastAsia"/>
                      <w:color w:val="auto"/>
                      <w:highlight w:val="none"/>
                      <w:lang w:val="en-US" w:eastAsia="zh-CN"/>
                    </w:rPr>
                    <w:t xml:space="preserve">0.773 </w:t>
                  </w:r>
                </w:p>
              </w:tc>
              <w:tc>
                <w:tcPr>
                  <w:tcW w:w="944" w:type="dxa"/>
                  <w:vAlign w:val="center"/>
                </w:tcPr>
                <w:p w14:paraId="5911E1B3">
                  <w:pPr>
                    <w:pStyle w:val="30"/>
                    <w:bidi w:val="0"/>
                    <w:rPr>
                      <w:rFonts w:hint="default"/>
                      <w:color w:val="auto"/>
                      <w:highlight w:val="none"/>
                      <w:lang w:val="en-US" w:eastAsia="zh-CN"/>
                    </w:rPr>
                  </w:pPr>
                  <w:r>
                    <w:rPr>
                      <w:rFonts w:hint="eastAsia"/>
                      <w:color w:val="auto"/>
                      <w:highlight w:val="none"/>
                      <w:lang w:val="en-US" w:eastAsia="zh-CN"/>
                    </w:rPr>
                    <w:t xml:space="preserve">0.003 </w:t>
                  </w:r>
                </w:p>
              </w:tc>
            </w:tr>
            <w:tr w14:paraId="4FE7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vAlign w:val="center"/>
                </w:tcPr>
                <w:p w14:paraId="696D2C5C">
                  <w:pPr>
                    <w:pStyle w:val="30"/>
                    <w:bidi w:val="0"/>
                    <w:rPr>
                      <w:color w:val="auto"/>
                      <w:highlight w:val="none"/>
                    </w:rPr>
                  </w:pPr>
                </w:p>
              </w:tc>
              <w:tc>
                <w:tcPr>
                  <w:tcW w:w="983" w:type="dxa"/>
                  <w:vAlign w:val="center"/>
                </w:tcPr>
                <w:p w14:paraId="34E0EA98">
                  <w:pPr>
                    <w:pStyle w:val="30"/>
                    <w:bidi w:val="0"/>
                    <w:rPr>
                      <w:rFonts w:hint="eastAsia"/>
                      <w:color w:val="auto"/>
                      <w:highlight w:val="none"/>
                    </w:rPr>
                  </w:pPr>
                  <w:r>
                    <w:rPr>
                      <w:rFonts w:hint="eastAsia"/>
                      <w:color w:val="auto"/>
                      <w:highlight w:val="none"/>
                    </w:rPr>
                    <w:t>LAS</w:t>
                  </w:r>
                </w:p>
              </w:tc>
              <w:tc>
                <w:tcPr>
                  <w:tcW w:w="918" w:type="dxa"/>
                  <w:vAlign w:val="center"/>
                </w:tcPr>
                <w:p w14:paraId="6E324F0C">
                  <w:pPr>
                    <w:pStyle w:val="30"/>
                    <w:bidi w:val="0"/>
                    <w:rPr>
                      <w:rFonts w:hint="eastAsia"/>
                      <w:color w:val="auto"/>
                      <w:highlight w:val="none"/>
                    </w:rPr>
                  </w:pPr>
                  <w:r>
                    <w:rPr>
                      <w:rFonts w:hint="eastAsia"/>
                      <w:color w:val="auto"/>
                      <w:highlight w:val="none"/>
                      <w:lang w:val="en-US" w:eastAsia="zh-CN"/>
                    </w:rPr>
                    <w:t xml:space="preserve">0.709 </w:t>
                  </w:r>
                </w:p>
              </w:tc>
              <w:tc>
                <w:tcPr>
                  <w:tcW w:w="801" w:type="dxa"/>
                  <w:vAlign w:val="center"/>
                </w:tcPr>
                <w:p w14:paraId="61E24BC6">
                  <w:pPr>
                    <w:pStyle w:val="30"/>
                    <w:bidi w:val="0"/>
                    <w:rPr>
                      <w:rFonts w:hint="default"/>
                      <w:color w:val="auto"/>
                      <w:highlight w:val="none"/>
                      <w:lang w:val="en-US" w:eastAsia="zh-CN"/>
                    </w:rPr>
                  </w:pPr>
                  <w:r>
                    <w:rPr>
                      <w:rFonts w:hint="default"/>
                      <w:color w:val="auto"/>
                      <w:highlight w:val="none"/>
                      <w:lang w:val="en-US" w:eastAsia="zh-CN"/>
                    </w:rPr>
                    <w:t xml:space="preserve">0.003 </w:t>
                  </w:r>
                </w:p>
              </w:tc>
              <w:tc>
                <w:tcPr>
                  <w:tcW w:w="537" w:type="dxa"/>
                  <w:vMerge w:val="continue"/>
                  <w:vAlign w:val="center"/>
                </w:tcPr>
                <w:p w14:paraId="5991607B">
                  <w:pPr>
                    <w:pStyle w:val="30"/>
                    <w:bidi w:val="0"/>
                    <w:rPr>
                      <w:color w:val="auto"/>
                      <w:highlight w:val="none"/>
                    </w:rPr>
                  </w:pPr>
                </w:p>
              </w:tc>
              <w:tc>
                <w:tcPr>
                  <w:tcW w:w="683" w:type="dxa"/>
                  <w:vMerge w:val="continue"/>
                  <w:vAlign w:val="center"/>
                </w:tcPr>
                <w:p w14:paraId="11F5F82D">
                  <w:pPr>
                    <w:pStyle w:val="30"/>
                    <w:bidi w:val="0"/>
                    <w:rPr>
                      <w:rFonts w:hint="eastAsia"/>
                      <w:color w:val="auto"/>
                      <w:highlight w:val="none"/>
                    </w:rPr>
                  </w:pPr>
                </w:p>
              </w:tc>
              <w:tc>
                <w:tcPr>
                  <w:tcW w:w="918" w:type="dxa"/>
                  <w:vAlign w:val="center"/>
                </w:tcPr>
                <w:p w14:paraId="71B26617">
                  <w:pPr>
                    <w:pStyle w:val="30"/>
                    <w:bidi w:val="0"/>
                    <w:rPr>
                      <w:rFonts w:hint="default"/>
                      <w:color w:val="auto"/>
                      <w:highlight w:val="none"/>
                      <w:lang w:val="en-US" w:eastAsia="zh-CN"/>
                    </w:rPr>
                  </w:pPr>
                  <w:r>
                    <w:rPr>
                      <w:rFonts w:hint="eastAsia"/>
                      <w:color w:val="auto"/>
                      <w:highlight w:val="none"/>
                      <w:lang w:val="en-US" w:eastAsia="zh-CN"/>
                    </w:rPr>
                    <w:t xml:space="preserve">0.355 </w:t>
                  </w:r>
                </w:p>
              </w:tc>
              <w:tc>
                <w:tcPr>
                  <w:tcW w:w="944" w:type="dxa"/>
                  <w:vAlign w:val="center"/>
                </w:tcPr>
                <w:p w14:paraId="7429AD16">
                  <w:pPr>
                    <w:pStyle w:val="30"/>
                    <w:bidi w:val="0"/>
                    <w:rPr>
                      <w:rFonts w:hint="default"/>
                      <w:color w:val="auto"/>
                      <w:highlight w:val="none"/>
                      <w:lang w:val="en-US" w:eastAsia="zh-CN"/>
                    </w:rPr>
                  </w:pPr>
                  <w:r>
                    <w:rPr>
                      <w:rFonts w:hint="default"/>
                      <w:color w:val="auto"/>
                      <w:highlight w:val="none"/>
                      <w:lang w:val="en-US" w:eastAsia="zh-CN"/>
                    </w:rPr>
                    <w:t xml:space="preserve">0.001 </w:t>
                  </w:r>
                </w:p>
              </w:tc>
            </w:tr>
            <w:tr w14:paraId="72C1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shd w:val="clear" w:color="auto" w:fill="auto"/>
                  <w:vAlign w:val="center"/>
                </w:tcPr>
                <w:p w14:paraId="1BAB5D83">
                  <w:pPr>
                    <w:pStyle w:val="30"/>
                    <w:bidi w:val="0"/>
                    <w:rPr>
                      <w:color w:val="auto"/>
                      <w:highlight w:val="none"/>
                    </w:rPr>
                  </w:pPr>
                  <w:r>
                    <w:rPr>
                      <w:rFonts w:hint="eastAsia"/>
                      <w:color w:val="auto"/>
                      <w:highlight w:val="none"/>
                      <w:lang w:eastAsia="zh-CN"/>
                    </w:rPr>
                    <w:t>项目东侧地块（含内部综合能源站）</w:t>
                  </w:r>
                  <w:r>
                    <w:rPr>
                      <w:rFonts w:hint="eastAsia"/>
                      <w:color w:val="auto"/>
                      <w:highlight w:val="none"/>
                    </w:rPr>
                    <w:t>生活污水</w:t>
                  </w:r>
                </w:p>
                <w:p w14:paraId="05F42F77">
                  <w:pPr>
                    <w:pStyle w:val="30"/>
                    <w:bidi w:val="0"/>
                    <w:rPr>
                      <w:rFonts w:hint="eastAsia"/>
                      <w:color w:val="auto"/>
                      <w:highlight w:val="none"/>
                    </w:rPr>
                  </w:pPr>
                  <w:r>
                    <w:rPr>
                      <w:rFonts w:hint="eastAsia"/>
                      <w:color w:val="auto"/>
                      <w:highlight w:val="none"/>
                    </w:rPr>
                    <w:t>（</w:t>
                  </w:r>
                  <w:r>
                    <w:rPr>
                      <w:rFonts w:hint="eastAsia"/>
                      <w:color w:val="auto"/>
                      <w:highlight w:val="none"/>
                      <w:lang w:val="en-US" w:eastAsia="zh-CN"/>
                    </w:rPr>
                    <w:t>671.6</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983" w:type="dxa"/>
                  <w:shd w:val="clear" w:color="auto" w:fill="auto"/>
                  <w:vAlign w:val="center"/>
                </w:tcPr>
                <w:p w14:paraId="67ABAB81">
                  <w:pPr>
                    <w:pStyle w:val="30"/>
                    <w:bidi w:val="0"/>
                    <w:rPr>
                      <w:color w:val="auto"/>
                      <w:highlight w:val="none"/>
                    </w:rPr>
                  </w:pPr>
                  <w:r>
                    <w:rPr>
                      <w:rFonts w:hint="default"/>
                      <w:color w:val="auto"/>
                      <w:highlight w:val="none"/>
                      <w:lang w:val="en-US" w:eastAsia="zh-CN"/>
                    </w:rPr>
                    <w:t>COD</w:t>
                  </w:r>
                </w:p>
              </w:tc>
              <w:tc>
                <w:tcPr>
                  <w:tcW w:w="918" w:type="dxa"/>
                  <w:shd w:val="clear" w:color="auto" w:fill="auto"/>
                  <w:vAlign w:val="center"/>
                </w:tcPr>
                <w:p w14:paraId="091220E1">
                  <w:pPr>
                    <w:pStyle w:val="30"/>
                    <w:bidi w:val="0"/>
                    <w:rPr>
                      <w:rFonts w:hint="eastAsia"/>
                      <w:color w:val="auto"/>
                      <w:highlight w:val="none"/>
                    </w:rPr>
                  </w:pPr>
                  <w:r>
                    <w:rPr>
                      <w:rFonts w:hint="default"/>
                      <w:color w:val="auto"/>
                      <w:highlight w:val="none"/>
                      <w:lang w:val="en-US" w:eastAsia="zh-CN"/>
                    </w:rPr>
                    <w:t>300</w:t>
                  </w:r>
                </w:p>
              </w:tc>
              <w:tc>
                <w:tcPr>
                  <w:tcW w:w="801" w:type="dxa"/>
                  <w:shd w:val="clear" w:color="auto" w:fill="auto"/>
                  <w:vAlign w:val="center"/>
                </w:tcPr>
                <w:p w14:paraId="481BDA88">
                  <w:pPr>
                    <w:pStyle w:val="30"/>
                    <w:bidi w:val="0"/>
                    <w:rPr>
                      <w:rFonts w:hint="default"/>
                      <w:color w:val="auto"/>
                      <w:highlight w:val="none"/>
                      <w:lang w:val="en-US" w:eastAsia="zh-CN"/>
                    </w:rPr>
                  </w:pPr>
                  <w:r>
                    <w:rPr>
                      <w:rFonts w:hint="default"/>
                      <w:color w:val="auto"/>
                      <w:highlight w:val="none"/>
                      <w:lang w:val="en-US" w:eastAsia="zh-CN"/>
                    </w:rPr>
                    <w:t xml:space="preserve">0.201 </w:t>
                  </w:r>
                </w:p>
              </w:tc>
              <w:tc>
                <w:tcPr>
                  <w:tcW w:w="537" w:type="dxa"/>
                  <w:vMerge w:val="restart"/>
                  <w:shd w:val="clear" w:color="auto" w:fill="auto"/>
                  <w:vAlign w:val="center"/>
                </w:tcPr>
                <w:p w14:paraId="7BD0AE50">
                  <w:pPr>
                    <w:pStyle w:val="30"/>
                    <w:bidi w:val="0"/>
                    <w:rPr>
                      <w:rFonts w:hint="eastAsia"/>
                      <w:color w:val="auto"/>
                      <w:highlight w:val="none"/>
                      <w:lang w:eastAsia="zh-CN"/>
                    </w:rPr>
                  </w:pPr>
                  <w:r>
                    <w:rPr>
                      <w:rFonts w:hint="eastAsia"/>
                      <w:color w:val="auto"/>
                      <w:highlight w:val="none"/>
                      <w:lang w:eastAsia="zh-CN"/>
                    </w:rPr>
                    <w:t>化粪池</w:t>
                  </w:r>
                </w:p>
              </w:tc>
              <w:tc>
                <w:tcPr>
                  <w:tcW w:w="683" w:type="dxa"/>
                  <w:shd w:val="clear" w:color="auto" w:fill="auto"/>
                  <w:vAlign w:val="center"/>
                </w:tcPr>
                <w:p w14:paraId="55871348">
                  <w:pPr>
                    <w:pStyle w:val="30"/>
                    <w:bidi w:val="0"/>
                    <w:rPr>
                      <w:rFonts w:hint="default"/>
                      <w:color w:val="auto"/>
                      <w:highlight w:val="none"/>
                      <w:lang w:val="en-US" w:eastAsia="zh-CN"/>
                    </w:rPr>
                  </w:pPr>
                  <w:r>
                    <w:rPr>
                      <w:rFonts w:hint="eastAsia"/>
                      <w:color w:val="auto"/>
                      <w:highlight w:val="none"/>
                      <w:lang w:val="en-US" w:eastAsia="zh-CN"/>
                    </w:rPr>
                    <w:t>15%</w:t>
                  </w:r>
                </w:p>
              </w:tc>
              <w:tc>
                <w:tcPr>
                  <w:tcW w:w="918" w:type="dxa"/>
                  <w:shd w:val="clear" w:color="auto" w:fill="auto"/>
                  <w:vAlign w:val="center"/>
                </w:tcPr>
                <w:p w14:paraId="2117EE52">
                  <w:pPr>
                    <w:pStyle w:val="30"/>
                    <w:bidi w:val="0"/>
                    <w:rPr>
                      <w:rFonts w:hint="default"/>
                      <w:color w:val="auto"/>
                      <w:highlight w:val="none"/>
                      <w:lang w:val="en-US" w:eastAsia="zh-CN"/>
                    </w:rPr>
                  </w:pPr>
                  <w:r>
                    <w:rPr>
                      <w:rFonts w:hint="default"/>
                      <w:color w:val="auto"/>
                      <w:highlight w:val="none"/>
                      <w:lang w:val="en-US" w:eastAsia="zh-CN"/>
                    </w:rPr>
                    <w:t>255</w:t>
                  </w:r>
                </w:p>
              </w:tc>
              <w:tc>
                <w:tcPr>
                  <w:tcW w:w="944" w:type="dxa"/>
                  <w:shd w:val="clear" w:color="auto" w:fill="auto"/>
                  <w:vAlign w:val="center"/>
                </w:tcPr>
                <w:p w14:paraId="6A2AB074">
                  <w:pPr>
                    <w:pStyle w:val="30"/>
                    <w:bidi w:val="0"/>
                    <w:rPr>
                      <w:rFonts w:hint="default"/>
                      <w:color w:val="auto"/>
                      <w:highlight w:val="none"/>
                      <w:lang w:val="en-US" w:eastAsia="zh-CN"/>
                    </w:rPr>
                  </w:pPr>
                  <w:r>
                    <w:rPr>
                      <w:rFonts w:hint="default"/>
                      <w:color w:val="auto"/>
                      <w:highlight w:val="none"/>
                      <w:lang w:val="en-US" w:eastAsia="zh-CN"/>
                    </w:rPr>
                    <w:t xml:space="preserve">0.171 </w:t>
                  </w:r>
                </w:p>
              </w:tc>
            </w:tr>
            <w:tr w14:paraId="38F5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shd w:val="clear" w:color="auto" w:fill="auto"/>
                  <w:vAlign w:val="center"/>
                </w:tcPr>
                <w:p w14:paraId="327C2AD4">
                  <w:pPr>
                    <w:pStyle w:val="30"/>
                    <w:bidi w:val="0"/>
                    <w:rPr>
                      <w:rFonts w:hint="eastAsia"/>
                      <w:color w:val="auto"/>
                      <w:highlight w:val="none"/>
                    </w:rPr>
                  </w:pPr>
                </w:p>
              </w:tc>
              <w:tc>
                <w:tcPr>
                  <w:tcW w:w="983" w:type="dxa"/>
                  <w:shd w:val="clear" w:color="auto" w:fill="auto"/>
                  <w:vAlign w:val="center"/>
                </w:tcPr>
                <w:p w14:paraId="100BA0AA">
                  <w:pPr>
                    <w:pStyle w:val="30"/>
                    <w:bidi w:val="0"/>
                    <w:rPr>
                      <w:color w:val="auto"/>
                      <w:highlight w:val="none"/>
                    </w:rPr>
                  </w:pPr>
                  <w:r>
                    <w:rPr>
                      <w:rFonts w:hint="default"/>
                      <w:color w:val="auto"/>
                      <w:highlight w:val="none"/>
                      <w:lang w:val="en-US" w:eastAsia="zh-CN"/>
                    </w:rPr>
                    <w:t>BOD</w:t>
                  </w:r>
                  <w:r>
                    <w:rPr>
                      <w:rFonts w:hint="default"/>
                      <w:color w:val="auto"/>
                      <w:highlight w:val="none"/>
                      <w:vertAlign w:val="subscript"/>
                      <w:lang w:val="en-US" w:eastAsia="zh-CN"/>
                    </w:rPr>
                    <w:t>5</w:t>
                  </w:r>
                </w:p>
              </w:tc>
              <w:tc>
                <w:tcPr>
                  <w:tcW w:w="918" w:type="dxa"/>
                  <w:shd w:val="clear" w:color="auto" w:fill="auto"/>
                  <w:vAlign w:val="center"/>
                </w:tcPr>
                <w:p w14:paraId="1410ADFE">
                  <w:pPr>
                    <w:pStyle w:val="30"/>
                    <w:bidi w:val="0"/>
                    <w:rPr>
                      <w:rFonts w:hint="eastAsia"/>
                      <w:color w:val="auto"/>
                      <w:highlight w:val="none"/>
                    </w:rPr>
                  </w:pPr>
                  <w:r>
                    <w:rPr>
                      <w:rFonts w:hint="default"/>
                      <w:color w:val="auto"/>
                      <w:highlight w:val="none"/>
                      <w:lang w:val="en-US" w:eastAsia="zh-CN"/>
                    </w:rPr>
                    <w:t>100</w:t>
                  </w:r>
                </w:p>
              </w:tc>
              <w:tc>
                <w:tcPr>
                  <w:tcW w:w="801" w:type="dxa"/>
                  <w:shd w:val="clear" w:color="auto" w:fill="auto"/>
                  <w:vAlign w:val="center"/>
                </w:tcPr>
                <w:p w14:paraId="5D512E25">
                  <w:pPr>
                    <w:pStyle w:val="30"/>
                    <w:bidi w:val="0"/>
                    <w:rPr>
                      <w:rFonts w:hint="default"/>
                      <w:color w:val="auto"/>
                      <w:highlight w:val="none"/>
                      <w:lang w:val="en-US" w:eastAsia="zh-CN"/>
                    </w:rPr>
                  </w:pPr>
                  <w:r>
                    <w:rPr>
                      <w:rFonts w:hint="default"/>
                      <w:color w:val="auto"/>
                      <w:highlight w:val="none"/>
                      <w:lang w:val="en-US" w:eastAsia="zh-CN"/>
                    </w:rPr>
                    <w:t xml:space="preserve">0.067 </w:t>
                  </w:r>
                </w:p>
              </w:tc>
              <w:tc>
                <w:tcPr>
                  <w:tcW w:w="537" w:type="dxa"/>
                  <w:vMerge w:val="continue"/>
                  <w:shd w:val="clear" w:color="auto" w:fill="auto"/>
                  <w:vAlign w:val="center"/>
                </w:tcPr>
                <w:p w14:paraId="2925A2CD">
                  <w:pPr>
                    <w:pStyle w:val="30"/>
                    <w:bidi w:val="0"/>
                    <w:rPr>
                      <w:rFonts w:hint="eastAsia"/>
                      <w:color w:val="auto"/>
                      <w:highlight w:val="none"/>
                    </w:rPr>
                  </w:pPr>
                </w:p>
              </w:tc>
              <w:tc>
                <w:tcPr>
                  <w:tcW w:w="683" w:type="dxa"/>
                  <w:shd w:val="clear" w:color="auto" w:fill="auto"/>
                  <w:vAlign w:val="center"/>
                </w:tcPr>
                <w:p w14:paraId="6E0AD2D8">
                  <w:pPr>
                    <w:pStyle w:val="30"/>
                    <w:bidi w:val="0"/>
                    <w:rPr>
                      <w:rFonts w:hint="default"/>
                      <w:color w:val="auto"/>
                      <w:highlight w:val="none"/>
                      <w:lang w:val="en-US" w:eastAsia="zh-CN"/>
                    </w:rPr>
                  </w:pPr>
                  <w:r>
                    <w:rPr>
                      <w:rFonts w:hint="eastAsia"/>
                      <w:color w:val="auto"/>
                      <w:highlight w:val="none"/>
                      <w:lang w:val="en-US" w:eastAsia="zh-CN"/>
                    </w:rPr>
                    <w:t>9%</w:t>
                  </w:r>
                </w:p>
              </w:tc>
              <w:tc>
                <w:tcPr>
                  <w:tcW w:w="918" w:type="dxa"/>
                  <w:shd w:val="clear" w:color="auto" w:fill="auto"/>
                  <w:vAlign w:val="center"/>
                </w:tcPr>
                <w:p w14:paraId="34271DF1">
                  <w:pPr>
                    <w:pStyle w:val="30"/>
                    <w:bidi w:val="0"/>
                    <w:rPr>
                      <w:rFonts w:hint="default"/>
                      <w:color w:val="auto"/>
                      <w:highlight w:val="none"/>
                      <w:lang w:val="en-US" w:eastAsia="zh-CN"/>
                    </w:rPr>
                  </w:pPr>
                  <w:r>
                    <w:rPr>
                      <w:rFonts w:hint="default"/>
                      <w:color w:val="auto"/>
                      <w:highlight w:val="none"/>
                      <w:lang w:val="en-US" w:eastAsia="zh-CN"/>
                    </w:rPr>
                    <w:t>91</w:t>
                  </w:r>
                </w:p>
              </w:tc>
              <w:tc>
                <w:tcPr>
                  <w:tcW w:w="944" w:type="dxa"/>
                  <w:shd w:val="clear" w:color="auto" w:fill="auto"/>
                  <w:vAlign w:val="center"/>
                </w:tcPr>
                <w:p w14:paraId="06A5D7E0">
                  <w:pPr>
                    <w:pStyle w:val="30"/>
                    <w:bidi w:val="0"/>
                    <w:rPr>
                      <w:rFonts w:hint="default"/>
                      <w:color w:val="auto"/>
                      <w:highlight w:val="none"/>
                      <w:lang w:val="en-US" w:eastAsia="zh-CN"/>
                    </w:rPr>
                  </w:pPr>
                  <w:r>
                    <w:rPr>
                      <w:rFonts w:hint="default"/>
                      <w:color w:val="auto"/>
                      <w:highlight w:val="none"/>
                      <w:lang w:val="en-US" w:eastAsia="zh-CN"/>
                    </w:rPr>
                    <w:t xml:space="preserve">0.061 </w:t>
                  </w:r>
                </w:p>
              </w:tc>
            </w:tr>
            <w:tr w14:paraId="2B75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shd w:val="clear" w:color="auto" w:fill="auto"/>
                  <w:vAlign w:val="center"/>
                </w:tcPr>
                <w:p w14:paraId="777EE264">
                  <w:pPr>
                    <w:pStyle w:val="30"/>
                    <w:bidi w:val="0"/>
                    <w:rPr>
                      <w:rFonts w:hint="eastAsia"/>
                      <w:color w:val="auto"/>
                      <w:highlight w:val="none"/>
                    </w:rPr>
                  </w:pPr>
                </w:p>
              </w:tc>
              <w:tc>
                <w:tcPr>
                  <w:tcW w:w="983" w:type="dxa"/>
                  <w:shd w:val="clear" w:color="auto" w:fill="auto"/>
                  <w:vAlign w:val="center"/>
                </w:tcPr>
                <w:p w14:paraId="42402603">
                  <w:pPr>
                    <w:pStyle w:val="30"/>
                    <w:bidi w:val="0"/>
                    <w:rPr>
                      <w:color w:val="auto"/>
                      <w:highlight w:val="none"/>
                    </w:rPr>
                  </w:pPr>
                  <w:r>
                    <w:rPr>
                      <w:rFonts w:hint="default"/>
                      <w:color w:val="auto"/>
                      <w:highlight w:val="none"/>
                      <w:lang w:val="en-US" w:eastAsia="zh-CN"/>
                    </w:rPr>
                    <w:t>NH</w:t>
                  </w:r>
                  <w:r>
                    <w:rPr>
                      <w:rFonts w:hint="default"/>
                      <w:color w:val="auto"/>
                      <w:highlight w:val="none"/>
                      <w:vertAlign w:val="subscript"/>
                      <w:lang w:val="en-US" w:eastAsia="zh-CN"/>
                    </w:rPr>
                    <w:t>3</w:t>
                  </w:r>
                  <w:r>
                    <w:rPr>
                      <w:rFonts w:hint="default"/>
                      <w:color w:val="auto"/>
                      <w:highlight w:val="none"/>
                      <w:lang w:val="en-US" w:eastAsia="zh-CN"/>
                    </w:rPr>
                    <w:t>-N</w:t>
                  </w:r>
                </w:p>
              </w:tc>
              <w:tc>
                <w:tcPr>
                  <w:tcW w:w="918" w:type="dxa"/>
                  <w:shd w:val="clear" w:color="auto" w:fill="auto"/>
                  <w:vAlign w:val="center"/>
                </w:tcPr>
                <w:p w14:paraId="18B6668D">
                  <w:pPr>
                    <w:pStyle w:val="30"/>
                    <w:bidi w:val="0"/>
                    <w:rPr>
                      <w:rFonts w:hint="eastAsia"/>
                      <w:color w:val="auto"/>
                      <w:highlight w:val="none"/>
                    </w:rPr>
                  </w:pPr>
                  <w:r>
                    <w:rPr>
                      <w:rFonts w:hint="default"/>
                      <w:color w:val="auto"/>
                      <w:highlight w:val="none"/>
                      <w:lang w:val="en-US" w:eastAsia="zh-CN"/>
                    </w:rPr>
                    <w:t>20</w:t>
                  </w:r>
                </w:p>
              </w:tc>
              <w:tc>
                <w:tcPr>
                  <w:tcW w:w="801" w:type="dxa"/>
                  <w:shd w:val="clear" w:color="auto" w:fill="auto"/>
                  <w:vAlign w:val="center"/>
                </w:tcPr>
                <w:p w14:paraId="6CEA1BCB">
                  <w:pPr>
                    <w:pStyle w:val="30"/>
                    <w:bidi w:val="0"/>
                    <w:rPr>
                      <w:rFonts w:hint="default"/>
                      <w:color w:val="auto"/>
                      <w:highlight w:val="none"/>
                      <w:lang w:val="en-US" w:eastAsia="zh-CN"/>
                    </w:rPr>
                  </w:pPr>
                  <w:r>
                    <w:rPr>
                      <w:rFonts w:hint="default"/>
                      <w:color w:val="auto"/>
                      <w:highlight w:val="none"/>
                      <w:lang w:val="en-US" w:eastAsia="zh-CN"/>
                    </w:rPr>
                    <w:t xml:space="preserve">0.013 </w:t>
                  </w:r>
                </w:p>
              </w:tc>
              <w:tc>
                <w:tcPr>
                  <w:tcW w:w="537" w:type="dxa"/>
                  <w:vMerge w:val="continue"/>
                  <w:shd w:val="clear" w:color="auto" w:fill="auto"/>
                  <w:vAlign w:val="center"/>
                </w:tcPr>
                <w:p w14:paraId="4886A4FF">
                  <w:pPr>
                    <w:pStyle w:val="30"/>
                    <w:bidi w:val="0"/>
                    <w:rPr>
                      <w:rFonts w:hint="eastAsia"/>
                      <w:color w:val="auto"/>
                      <w:highlight w:val="none"/>
                    </w:rPr>
                  </w:pPr>
                </w:p>
              </w:tc>
              <w:tc>
                <w:tcPr>
                  <w:tcW w:w="683" w:type="dxa"/>
                  <w:shd w:val="clear" w:color="auto" w:fill="auto"/>
                  <w:vAlign w:val="center"/>
                </w:tcPr>
                <w:p w14:paraId="2D56B54F">
                  <w:pPr>
                    <w:pStyle w:val="30"/>
                    <w:bidi w:val="0"/>
                    <w:rPr>
                      <w:rFonts w:hint="eastAsia"/>
                      <w:color w:val="auto"/>
                      <w:highlight w:val="none"/>
                      <w:lang w:val="en-US" w:eastAsia="zh-CN"/>
                    </w:rPr>
                  </w:pPr>
                  <w:r>
                    <w:rPr>
                      <w:rFonts w:hint="eastAsia"/>
                      <w:color w:val="auto"/>
                      <w:highlight w:val="none"/>
                    </w:rPr>
                    <w:t>0</w:t>
                  </w:r>
                </w:p>
              </w:tc>
              <w:tc>
                <w:tcPr>
                  <w:tcW w:w="918" w:type="dxa"/>
                  <w:shd w:val="clear" w:color="auto" w:fill="auto"/>
                  <w:vAlign w:val="center"/>
                </w:tcPr>
                <w:p w14:paraId="20E0E11B">
                  <w:pPr>
                    <w:pStyle w:val="30"/>
                    <w:bidi w:val="0"/>
                    <w:rPr>
                      <w:rFonts w:hint="default"/>
                      <w:color w:val="auto"/>
                      <w:highlight w:val="none"/>
                      <w:lang w:val="en-US" w:eastAsia="zh-CN"/>
                    </w:rPr>
                  </w:pPr>
                  <w:r>
                    <w:rPr>
                      <w:rFonts w:hint="default"/>
                      <w:color w:val="auto"/>
                      <w:highlight w:val="none"/>
                      <w:lang w:val="en-US" w:eastAsia="zh-CN"/>
                    </w:rPr>
                    <w:t>20</w:t>
                  </w:r>
                </w:p>
              </w:tc>
              <w:tc>
                <w:tcPr>
                  <w:tcW w:w="944" w:type="dxa"/>
                  <w:shd w:val="clear" w:color="auto" w:fill="auto"/>
                  <w:vAlign w:val="center"/>
                </w:tcPr>
                <w:p w14:paraId="77669A81">
                  <w:pPr>
                    <w:pStyle w:val="30"/>
                    <w:bidi w:val="0"/>
                    <w:rPr>
                      <w:rFonts w:hint="default"/>
                      <w:color w:val="auto"/>
                      <w:highlight w:val="none"/>
                      <w:lang w:val="en-US" w:eastAsia="zh-CN"/>
                    </w:rPr>
                  </w:pPr>
                  <w:r>
                    <w:rPr>
                      <w:rFonts w:hint="default"/>
                      <w:color w:val="auto"/>
                      <w:highlight w:val="none"/>
                      <w:lang w:val="en-US" w:eastAsia="zh-CN"/>
                    </w:rPr>
                    <w:t xml:space="preserve">0.013 </w:t>
                  </w:r>
                </w:p>
              </w:tc>
            </w:tr>
            <w:tr w14:paraId="630F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shd w:val="clear" w:color="auto" w:fill="auto"/>
                  <w:vAlign w:val="center"/>
                </w:tcPr>
                <w:p w14:paraId="27CE10BE">
                  <w:pPr>
                    <w:pStyle w:val="30"/>
                    <w:bidi w:val="0"/>
                    <w:rPr>
                      <w:rFonts w:hint="eastAsia"/>
                      <w:color w:val="auto"/>
                      <w:highlight w:val="none"/>
                    </w:rPr>
                  </w:pPr>
                </w:p>
              </w:tc>
              <w:tc>
                <w:tcPr>
                  <w:tcW w:w="983" w:type="dxa"/>
                  <w:shd w:val="clear" w:color="auto" w:fill="auto"/>
                  <w:vAlign w:val="center"/>
                </w:tcPr>
                <w:p w14:paraId="2FC2BA58">
                  <w:pPr>
                    <w:pStyle w:val="30"/>
                    <w:bidi w:val="0"/>
                    <w:rPr>
                      <w:color w:val="auto"/>
                      <w:highlight w:val="none"/>
                    </w:rPr>
                  </w:pPr>
                  <w:r>
                    <w:rPr>
                      <w:rFonts w:hint="default"/>
                      <w:color w:val="auto"/>
                      <w:highlight w:val="none"/>
                      <w:lang w:val="en-US" w:eastAsia="zh-CN"/>
                    </w:rPr>
                    <w:t>SS</w:t>
                  </w:r>
                </w:p>
              </w:tc>
              <w:tc>
                <w:tcPr>
                  <w:tcW w:w="918" w:type="dxa"/>
                  <w:shd w:val="clear" w:color="auto" w:fill="auto"/>
                  <w:vAlign w:val="center"/>
                </w:tcPr>
                <w:p w14:paraId="1B1EA3A9">
                  <w:pPr>
                    <w:pStyle w:val="30"/>
                    <w:bidi w:val="0"/>
                    <w:rPr>
                      <w:rFonts w:hint="eastAsia"/>
                      <w:color w:val="auto"/>
                      <w:highlight w:val="none"/>
                    </w:rPr>
                  </w:pPr>
                  <w:r>
                    <w:rPr>
                      <w:rFonts w:hint="default"/>
                      <w:color w:val="auto"/>
                      <w:highlight w:val="none"/>
                      <w:lang w:val="en-US" w:eastAsia="zh-CN"/>
                    </w:rPr>
                    <w:t>200</w:t>
                  </w:r>
                </w:p>
              </w:tc>
              <w:tc>
                <w:tcPr>
                  <w:tcW w:w="801" w:type="dxa"/>
                  <w:shd w:val="clear" w:color="auto" w:fill="auto"/>
                  <w:vAlign w:val="center"/>
                </w:tcPr>
                <w:p w14:paraId="4F96BBB6">
                  <w:pPr>
                    <w:pStyle w:val="30"/>
                    <w:bidi w:val="0"/>
                    <w:rPr>
                      <w:rFonts w:hint="default"/>
                      <w:color w:val="auto"/>
                      <w:highlight w:val="none"/>
                      <w:lang w:val="en-US" w:eastAsia="zh-CN"/>
                    </w:rPr>
                  </w:pPr>
                  <w:r>
                    <w:rPr>
                      <w:rFonts w:hint="default"/>
                      <w:color w:val="auto"/>
                      <w:highlight w:val="none"/>
                      <w:lang w:val="en-US" w:eastAsia="zh-CN"/>
                    </w:rPr>
                    <w:t xml:space="preserve">0.134 </w:t>
                  </w:r>
                </w:p>
              </w:tc>
              <w:tc>
                <w:tcPr>
                  <w:tcW w:w="537" w:type="dxa"/>
                  <w:vMerge w:val="continue"/>
                  <w:shd w:val="clear" w:color="auto" w:fill="auto"/>
                  <w:vAlign w:val="center"/>
                </w:tcPr>
                <w:p w14:paraId="605A4E2B">
                  <w:pPr>
                    <w:pStyle w:val="30"/>
                    <w:bidi w:val="0"/>
                    <w:rPr>
                      <w:rFonts w:hint="eastAsia"/>
                      <w:color w:val="auto"/>
                      <w:highlight w:val="none"/>
                    </w:rPr>
                  </w:pPr>
                </w:p>
              </w:tc>
              <w:tc>
                <w:tcPr>
                  <w:tcW w:w="683" w:type="dxa"/>
                  <w:shd w:val="clear" w:color="auto" w:fill="auto"/>
                  <w:vAlign w:val="center"/>
                </w:tcPr>
                <w:p w14:paraId="7F16F9E9">
                  <w:pPr>
                    <w:pStyle w:val="30"/>
                    <w:bidi w:val="0"/>
                    <w:rPr>
                      <w:rFonts w:hint="eastAsia"/>
                      <w:color w:val="auto"/>
                      <w:highlight w:val="none"/>
                      <w:lang w:val="en-US" w:eastAsia="zh-CN"/>
                    </w:rPr>
                  </w:pPr>
                  <w:r>
                    <w:rPr>
                      <w:rFonts w:hint="eastAsia"/>
                      <w:color w:val="auto"/>
                      <w:highlight w:val="none"/>
                    </w:rPr>
                    <w:t>50%</w:t>
                  </w:r>
                </w:p>
              </w:tc>
              <w:tc>
                <w:tcPr>
                  <w:tcW w:w="918" w:type="dxa"/>
                  <w:shd w:val="clear" w:color="auto" w:fill="auto"/>
                  <w:vAlign w:val="center"/>
                </w:tcPr>
                <w:p w14:paraId="36F339C6">
                  <w:pPr>
                    <w:pStyle w:val="30"/>
                    <w:bidi w:val="0"/>
                    <w:rPr>
                      <w:rFonts w:hint="default"/>
                      <w:color w:val="auto"/>
                      <w:highlight w:val="none"/>
                      <w:lang w:val="en-US" w:eastAsia="zh-CN"/>
                    </w:rPr>
                  </w:pPr>
                  <w:r>
                    <w:rPr>
                      <w:rFonts w:hint="default"/>
                      <w:color w:val="auto"/>
                      <w:highlight w:val="none"/>
                      <w:lang w:val="en-US" w:eastAsia="zh-CN"/>
                    </w:rPr>
                    <w:t>100</w:t>
                  </w:r>
                </w:p>
              </w:tc>
              <w:tc>
                <w:tcPr>
                  <w:tcW w:w="944" w:type="dxa"/>
                  <w:shd w:val="clear" w:color="auto" w:fill="auto"/>
                  <w:vAlign w:val="center"/>
                </w:tcPr>
                <w:p w14:paraId="20CEB51B">
                  <w:pPr>
                    <w:pStyle w:val="30"/>
                    <w:bidi w:val="0"/>
                    <w:rPr>
                      <w:rFonts w:hint="default"/>
                      <w:color w:val="auto"/>
                      <w:highlight w:val="none"/>
                      <w:lang w:val="en-US" w:eastAsia="zh-CN"/>
                    </w:rPr>
                  </w:pPr>
                  <w:r>
                    <w:rPr>
                      <w:rFonts w:hint="default"/>
                      <w:color w:val="auto"/>
                      <w:highlight w:val="none"/>
                      <w:lang w:val="en-US" w:eastAsia="zh-CN"/>
                    </w:rPr>
                    <w:t xml:space="preserve">0.067 </w:t>
                  </w:r>
                </w:p>
              </w:tc>
            </w:tr>
            <w:tr w14:paraId="4A3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shd w:val="clear" w:color="auto" w:fill="auto"/>
                  <w:vAlign w:val="center"/>
                </w:tcPr>
                <w:p w14:paraId="1D6C90A7">
                  <w:pPr>
                    <w:pStyle w:val="30"/>
                    <w:bidi w:val="0"/>
                    <w:rPr>
                      <w:color w:val="auto"/>
                      <w:highlight w:val="none"/>
                      <w:lang w:val="en-US" w:eastAsia="zh-CN"/>
                    </w:rPr>
                  </w:pPr>
                  <w:r>
                    <w:rPr>
                      <w:rFonts w:hint="eastAsia"/>
                      <w:color w:val="auto"/>
                      <w:highlight w:val="none"/>
                    </w:rPr>
                    <w:t>加油站地面冲洗废水（</w:t>
                  </w:r>
                  <w:r>
                    <w:rPr>
                      <w:rFonts w:hint="eastAsia"/>
                      <w:color w:val="auto"/>
                      <w:highlight w:val="none"/>
                      <w:lang w:val="en-US" w:eastAsia="zh-CN"/>
                    </w:rPr>
                    <w:t>87.52</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983" w:type="dxa"/>
                  <w:shd w:val="clear" w:color="auto" w:fill="auto"/>
                  <w:vAlign w:val="center"/>
                </w:tcPr>
                <w:p w14:paraId="1E3425AD">
                  <w:pPr>
                    <w:pStyle w:val="30"/>
                    <w:bidi w:val="0"/>
                    <w:rPr>
                      <w:rFonts w:hint="eastAsia"/>
                      <w:color w:val="auto"/>
                      <w:highlight w:val="none"/>
                      <w:lang w:val="en-US" w:eastAsia="zh-CN"/>
                    </w:rPr>
                  </w:pPr>
                  <w:r>
                    <w:rPr>
                      <w:color w:val="auto"/>
                      <w:highlight w:val="none"/>
                    </w:rPr>
                    <w:t>COD</w:t>
                  </w:r>
                  <w:r>
                    <w:rPr>
                      <w:rFonts w:hint="eastAsia"/>
                      <w:color w:val="auto"/>
                      <w:highlight w:val="none"/>
                    </w:rPr>
                    <w:t>cr</w:t>
                  </w:r>
                </w:p>
              </w:tc>
              <w:tc>
                <w:tcPr>
                  <w:tcW w:w="918" w:type="dxa"/>
                  <w:shd w:val="clear" w:color="auto" w:fill="auto"/>
                  <w:vAlign w:val="center"/>
                </w:tcPr>
                <w:p w14:paraId="5CA4C1DA">
                  <w:pPr>
                    <w:pStyle w:val="30"/>
                    <w:bidi w:val="0"/>
                    <w:rPr>
                      <w:rFonts w:hint="eastAsia"/>
                      <w:color w:val="auto"/>
                      <w:highlight w:val="none"/>
                      <w:lang w:val="en-US" w:eastAsia="zh-CN"/>
                    </w:rPr>
                  </w:pPr>
                  <w:r>
                    <w:rPr>
                      <w:rFonts w:hint="eastAsia"/>
                      <w:color w:val="auto"/>
                      <w:highlight w:val="none"/>
                    </w:rPr>
                    <w:t>200</w:t>
                  </w:r>
                </w:p>
              </w:tc>
              <w:tc>
                <w:tcPr>
                  <w:tcW w:w="801" w:type="dxa"/>
                  <w:shd w:val="clear" w:color="auto" w:fill="auto"/>
                  <w:vAlign w:val="center"/>
                </w:tcPr>
                <w:p w14:paraId="686B677A">
                  <w:pPr>
                    <w:pStyle w:val="30"/>
                    <w:bidi w:val="0"/>
                    <w:rPr>
                      <w:rFonts w:hint="default"/>
                      <w:color w:val="auto"/>
                      <w:highlight w:val="none"/>
                      <w:lang w:val="en-US" w:eastAsia="zh-CN"/>
                    </w:rPr>
                  </w:pPr>
                  <w:r>
                    <w:rPr>
                      <w:rFonts w:hint="default"/>
                      <w:color w:val="auto"/>
                      <w:highlight w:val="none"/>
                      <w:lang w:val="en-US" w:eastAsia="zh-CN"/>
                    </w:rPr>
                    <w:t xml:space="preserve">0.018 </w:t>
                  </w:r>
                </w:p>
              </w:tc>
              <w:tc>
                <w:tcPr>
                  <w:tcW w:w="537" w:type="dxa"/>
                  <w:vMerge w:val="restart"/>
                  <w:shd w:val="clear" w:color="auto" w:fill="auto"/>
                  <w:vAlign w:val="center"/>
                </w:tcPr>
                <w:p w14:paraId="75945103">
                  <w:pPr>
                    <w:pStyle w:val="30"/>
                    <w:bidi w:val="0"/>
                    <w:rPr>
                      <w:color w:val="auto"/>
                      <w:highlight w:val="none"/>
                      <w:lang w:val="en-US" w:eastAsia="zh-CN"/>
                    </w:rPr>
                  </w:pPr>
                  <w:r>
                    <w:rPr>
                      <w:rFonts w:hint="eastAsia"/>
                      <w:color w:val="auto"/>
                      <w:highlight w:val="none"/>
                    </w:rPr>
                    <w:t>三级油水分离池</w:t>
                  </w:r>
                </w:p>
              </w:tc>
              <w:tc>
                <w:tcPr>
                  <w:tcW w:w="683" w:type="dxa"/>
                  <w:shd w:val="clear" w:color="auto" w:fill="auto"/>
                  <w:vAlign w:val="center"/>
                </w:tcPr>
                <w:p w14:paraId="5BA92F8D">
                  <w:pPr>
                    <w:pStyle w:val="30"/>
                    <w:bidi w:val="0"/>
                    <w:rPr>
                      <w:rFonts w:hint="eastAsia"/>
                      <w:color w:val="auto"/>
                      <w:highlight w:val="none"/>
                      <w:lang w:val="en-US" w:eastAsia="zh-CN"/>
                    </w:rPr>
                  </w:pPr>
                  <w:r>
                    <w:rPr>
                      <w:rFonts w:hint="eastAsia"/>
                      <w:color w:val="auto"/>
                      <w:highlight w:val="none"/>
                    </w:rPr>
                    <w:t>0</w:t>
                  </w:r>
                </w:p>
              </w:tc>
              <w:tc>
                <w:tcPr>
                  <w:tcW w:w="918" w:type="dxa"/>
                  <w:shd w:val="clear" w:color="auto" w:fill="auto"/>
                  <w:vAlign w:val="center"/>
                </w:tcPr>
                <w:p w14:paraId="1C70B6DE">
                  <w:pPr>
                    <w:pStyle w:val="30"/>
                    <w:bidi w:val="0"/>
                    <w:rPr>
                      <w:rFonts w:hint="default"/>
                      <w:color w:val="auto"/>
                      <w:highlight w:val="none"/>
                      <w:lang w:val="en-US" w:eastAsia="zh-CN"/>
                    </w:rPr>
                  </w:pPr>
                  <w:r>
                    <w:rPr>
                      <w:rFonts w:hint="default"/>
                      <w:color w:val="auto"/>
                      <w:highlight w:val="none"/>
                      <w:lang w:val="en-US" w:eastAsia="zh-CN"/>
                    </w:rPr>
                    <w:t>200</w:t>
                  </w:r>
                </w:p>
              </w:tc>
              <w:tc>
                <w:tcPr>
                  <w:tcW w:w="944" w:type="dxa"/>
                  <w:shd w:val="clear" w:color="auto" w:fill="auto"/>
                  <w:vAlign w:val="center"/>
                </w:tcPr>
                <w:p w14:paraId="55D371FA">
                  <w:pPr>
                    <w:pStyle w:val="30"/>
                    <w:bidi w:val="0"/>
                    <w:rPr>
                      <w:rFonts w:hint="default"/>
                      <w:color w:val="auto"/>
                      <w:highlight w:val="none"/>
                      <w:lang w:val="en-US" w:eastAsia="zh-CN"/>
                    </w:rPr>
                  </w:pPr>
                  <w:r>
                    <w:rPr>
                      <w:rFonts w:hint="default"/>
                      <w:color w:val="auto"/>
                      <w:highlight w:val="none"/>
                      <w:lang w:val="en-US" w:eastAsia="zh-CN"/>
                    </w:rPr>
                    <w:t xml:space="preserve">0.018 </w:t>
                  </w:r>
                </w:p>
              </w:tc>
            </w:tr>
            <w:tr w14:paraId="388F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050FBADB">
                  <w:pPr>
                    <w:pStyle w:val="30"/>
                    <w:bidi w:val="0"/>
                    <w:rPr>
                      <w:color w:val="auto"/>
                      <w:highlight w:val="none"/>
                    </w:rPr>
                  </w:pPr>
                </w:p>
              </w:tc>
              <w:tc>
                <w:tcPr>
                  <w:tcW w:w="0" w:type="auto"/>
                  <w:shd w:val="clear" w:color="auto" w:fill="auto"/>
                  <w:vAlign w:val="center"/>
                </w:tcPr>
                <w:p w14:paraId="71B8C4D3">
                  <w:pPr>
                    <w:pStyle w:val="30"/>
                    <w:bidi w:val="0"/>
                    <w:rPr>
                      <w:rFonts w:hint="eastAsia"/>
                      <w:color w:val="auto"/>
                      <w:highlight w:val="none"/>
                      <w:lang w:val="en-US" w:eastAsia="zh-CN"/>
                    </w:rPr>
                  </w:pPr>
                  <w:r>
                    <w:rPr>
                      <w:color w:val="auto"/>
                      <w:highlight w:val="none"/>
                    </w:rPr>
                    <w:t>SS</w:t>
                  </w:r>
                </w:p>
              </w:tc>
              <w:tc>
                <w:tcPr>
                  <w:tcW w:w="0" w:type="auto"/>
                  <w:shd w:val="clear" w:color="auto" w:fill="auto"/>
                  <w:vAlign w:val="center"/>
                </w:tcPr>
                <w:p w14:paraId="62B5E7EC">
                  <w:pPr>
                    <w:pStyle w:val="30"/>
                    <w:bidi w:val="0"/>
                    <w:rPr>
                      <w:rFonts w:hint="eastAsia"/>
                      <w:color w:val="auto"/>
                      <w:highlight w:val="none"/>
                      <w:lang w:val="en-US" w:eastAsia="zh-CN"/>
                    </w:rPr>
                  </w:pPr>
                  <w:r>
                    <w:rPr>
                      <w:rFonts w:hint="eastAsia"/>
                      <w:color w:val="auto"/>
                      <w:highlight w:val="none"/>
                    </w:rPr>
                    <w:t>300</w:t>
                  </w:r>
                </w:p>
              </w:tc>
              <w:tc>
                <w:tcPr>
                  <w:tcW w:w="0" w:type="auto"/>
                  <w:shd w:val="clear" w:color="auto" w:fill="auto"/>
                  <w:vAlign w:val="center"/>
                </w:tcPr>
                <w:p w14:paraId="55A78B51">
                  <w:pPr>
                    <w:pStyle w:val="30"/>
                    <w:bidi w:val="0"/>
                    <w:rPr>
                      <w:rFonts w:hint="default"/>
                      <w:color w:val="auto"/>
                      <w:highlight w:val="none"/>
                      <w:lang w:val="en-US" w:eastAsia="zh-CN"/>
                    </w:rPr>
                  </w:pPr>
                  <w:r>
                    <w:rPr>
                      <w:rFonts w:hint="default"/>
                      <w:color w:val="auto"/>
                      <w:highlight w:val="none"/>
                      <w:lang w:val="en-US" w:eastAsia="zh-CN"/>
                    </w:rPr>
                    <w:t xml:space="preserve">0.026 </w:t>
                  </w:r>
                </w:p>
              </w:tc>
              <w:tc>
                <w:tcPr>
                  <w:tcW w:w="537" w:type="dxa"/>
                  <w:vMerge w:val="continue"/>
                </w:tcPr>
                <w:p w14:paraId="333205D0">
                  <w:pPr>
                    <w:pStyle w:val="30"/>
                    <w:bidi w:val="0"/>
                    <w:rPr>
                      <w:color w:val="auto"/>
                      <w:highlight w:val="none"/>
                    </w:rPr>
                  </w:pPr>
                </w:p>
              </w:tc>
              <w:tc>
                <w:tcPr>
                  <w:tcW w:w="0" w:type="auto"/>
                  <w:shd w:val="clear" w:color="auto" w:fill="auto"/>
                  <w:vAlign w:val="center"/>
                </w:tcPr>
                <w:p w14:paraId="4D0E1568">
                  <w:pPr>
                    <w:pStyle w:val="30"/>
                    <w:bidi w:val="0"/>
                    <w:rPr>
                      <w:rFonts w:hint="eastAsia"/>
                      <w:color w:val="auto"/>
                      <w:highlight w:val="none"/>
                      <w:lang w:val="en-US" w:eastAsia="zh-CN"/>
                    </w:rPr>
                  </w:pPr>
                  <w:r>
                    <w:rPr>
                      <w:rFonts w:hint="eastAsia"/>
                      <w:color w:val="auto"/>
                      <w:highlight w:val="none"/>
                    </w:rPr>
                    <w:t>80%</w:t>
                  </w:r>
                </w:p>
              </w:tc>
              <w:tc>
                <w:tcPr>
                  <w:tcW w:w="0" w:type="auto"/>
                  <w:shd w:val="clear" w:color="auto" w:fill="auto"/>
                  <w:vAlign w:val="center"/>
                </w:tcPr>
                <w:p w14:paraId="1DC3EB1E">
                  <w:pPr>
                    <w:pStyle w:val="30"/>
                    <w:bidi w:val="0"/>
                    <w:rPr>
                      <w:rFonts w:hint="default"/>
                      <w:color w:val="auto"/>
                      <w:highlight w:val="none"/>
                      <w:lang w:val="en-US" w:eastAsia="zh-CN"/>
                    </w:rPr>
                  </w:pPr>
                  <w:r>
                    <w:rPr>
                      <w:rFonts w:hint="default"/>
                      <w:color w:val="auto"/>
                      <w:highlight w:val="none"/>
                      <w:lang w:val="en-US" w:eastAsia="zh-CN"/>
                    </w:rPr>
                    <w:t>60</w:t>
                  </w:r>
                </w:p>
              </w:tc>
              <w:tc>
                <w:tcPr>
                  <w:tcW w:w="0" w:type="auto"/>
                  <w:shd w:val="clear" w:color="auto" w:fill="auto"/>
                  <w:vAlign w:val="center"/>
                </w:tcPr>
                <w:p w14:paraId="29DB2594">
                  <w:pPr>
                    <w:pStyle w:val="30"/>
                    <w:bidi w:val="0"/>
                    <w:rPr>
                      <w:rFonts w:hint="default"/>
                      <w:color w:val="auto"/>
                      <w:highlight w:val="none"/>
                      <w:lang w:val="en-US" w:eastAsia="zh-CN"/>
                    </w:rPr>
                  </w:pPr>
                  <w:r>
                    <w:rPr>
                      <w:rFonts w:hint="default"/>
                      <w:color w:val="auto"/>
                      <w:highlight w:val="none"/>
                      <w:lang w:val="en-US" w:eastAsia="zh-CN"/>
                    </w:rPr>
                    <w:t xml:space="preserve">0.005 </w:t>
                  </w:r>
                </w:p>
              </w:tc>
            </w:tr>
            <w:tr w14:paraId="1AC8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11DA873D">
                  <w:pPr>
                    <w:pStyle w:val="30"/>
                    <w:bidi w:val="0"/>
                    <w:rPr>
                      <w:color w:val="auto"/>
                      <w:highlight w:val="none"/>
                    </w:rPr>
                  </w:pPr>
                </w:p>
              </w:tc>
              <w:tc>
                <w:tcPr>
                  <w:tcW w:w="0" w:type="auto"/>
                  <w:shd w:val="clear" w:color="auto" w:fill="auto"/>
                  <w:vAlign w:val="center"/>
                </w:tcPr>
                <w:p w14:paraId="559D0171">
                  <w:pPr>
                    <w:pStyle w:val="30"/>
                    <w:bidi w:val="0"/>
                    <w:rPr>
                      <w:rFonts w:hint="eastAsia"/>
                      <w:color w:val="auto"/>
                      <w:highlight w:val="none"/>
                      <w:lang w:val="en-US" w:eastAsia="zh-CN"/>
                    </w:rPr>
                  </w:pPr>
                  <w:r>
                    <w:rPr>
                      <w:rFonts w:hint="eastAsia"/>
                      <w:color w:val="auto"/>
                      <w:highlight w:val="none"/>
                    </w:rPr>
                    <w:t>石油类</w:t>
                  </w:r>
                </w:p>
              </w:tc>
              <w:tc>
                <w:tcPr>
                  <w:tcW w:w="0" w:type="auto"/>
                  <w:shd w:val="clear" w:color="auto" w:fill="auto"/>
                  <w:vAlign w:val="center"/>
                </w:tcPr>
                <w:p w14:paraId="3CB63049">
                  <w:pPr>
                    <w:pStyle w:val="30"/>
                    <w:bidi w:val="0"/>
                    <w:rPr>
                      <w:rFonts w:hint="eastAsia"/>
                      <w:color w:val="auto"/>
                      <w:highlight w:val="none"/>
                      <w:lang w:val="en-US" w:eastAsia="zh-CN"/>
                    </w:rPr>
                  </w:pPr>
                  <w:r>
                    <w:rPr>
                      <w:color w:val="auto"/>
                      <w:highlight w:val="none"/>
                    </w:rPr>
                    <w:t>20</w:t>
                  </w:r>
                </w:p>
              </w:tc>
              <w:tc>
                <w:tcPr>
                  <w:tcW w:w="0" w:type="auto"/>
                  <w:shd w:val="clear" w:color="auto" w:fill="auto"/>
                  <w:vAlign w:val="center"/>
                </w:tcPr>
                <w:p w14:paraId="29755A34">
                  <w:pPr>
                    <w:pStyle w:val="30"/>
                    <w:bidi w:val="0"/>
                    <w:rPr>
                      <w:rFonts w:hint="default"/>
                      <w:color w:val="auto"/>
                      <w:highlight w:val="none"/>
                      <w:lang w:val="en-US" w:eastAsia="zh-CN"/>
                    </w:rPr>
                  </w:pPr>
                  <w:r>
                    <w:rPr>
                      <w:rFonts w:hint="default"/>
                      <w:color w:val="auto"/>
                      <w:highlight w:val="none"/>
                      <w:lang w:val="en-US" w:eastAsia="zh-CN"/>
                    </w:rPr>
                    <w:t xml:space="preserve">0.002 </w:t>
                  </w:r>
                </w:p>
              </w:tc>
              <w:tc>
                <w:tcPr>
                  <w:tcW w:w="537" w:type="dxa"/>
                  <w:vMerge w:val="continue"/>
                </w:tcPr>
                <w:p w14:paraId="4F9B9346">
                  <w:pPr>
                    <w:pStyle w:val="30"/>
                    <w:bidi w:val="0"/>
                    <w:rPr>
                      <w:color w:val="auto"/>
                      <w:highlight w:val="none"/>
                    </w:rPr>
                  </w:pPr>
                </w:p>
              </w:tc>
              <w:tc>
                <w:tcPr>
                  <w:tcW w:w="0" w:type="auto"/>
                  <w:shd w:val="clear" w:color="auto" w:fill="auto"/>
                  <w:vAlign w:val="center"/>
                </w:tcPr>
                <w:p w14:paraId="0C5A63C9">
                  <w:pPr>
                    <w:pStyle w:val="30"/>
                    <w:bidi w:val="0"/>
                    <w:rPr>
                      <w:rFonts w:hint="eastAsia"/>
                      <w:color w:val="auto"/>
                      <w:highlight w:val="none"/>
                      <w:lang w:val="en-US" w:eastAsia="zh-CN"/>
                    </w:rPr>
                  </w:pPr>
                  <w:r>
                    <w:rPr>
                      <w:rFonts w:hint="eastAsia"/>
                      <w:color w:val="auto"/>
                      <w:highlight w:val="none"/>
                    </w:rPr>
                    <w:t>75%</w:t>
                  </w:r>
                </w:p>
              </w:tc>
              <w:tc>
                <w:tcPr>
                  <w:tcW w:w="0" w:type="auto"/>
                  <w:shd w:val="clear" w:color="auto" w:fill="auto"/>
                  <w:vAlign w:val="center"/>
                </w:tcPr>
                <w:p w14:paraId="1845702E">
                  <w:pPr>
                    <w:pStyle w:val="30"/>
                    <w:bidi w:val="0"/>
                    <w:rPr>
                      <w:rFonts w:hint="default"/>
                      <w:color w:val="auto"/>
                      <w:highlight w:val="none"/>
                      <w:lang w:val="en-US" w:eastAsia="zh-CN"/>
                    </w:rPr>
                  </w:pPr>
                  <w:r>
                    <w:rPr>
                      <w:rFonts w:hint="default"/>
                      <w:color w:val="auto"/>
                      <w:highlight w:val="none"/>
                      <w:lang w:val="en-US" w:eastAsia="zh-CN"/>
                    </w:rPr>
                    <w:t>5</w:t>
                  </w:r>
                </w:p>
              </w:tc>
              <w:tc>
                <w:tcPr>
                  <w:tcW w:w="0" w:type="auto"/>
                  <w:shd w:val="clear" w:color="auto" w:fill="auto"/>
                  <w:vAlign w:val="center"/>
                </w:tcPr>
                <w:p w14:paraId="0425E354">
                  <w:pPr>
                    <w:pStyle w:val="30"/>
                    <w:bidi w:val="0"/>
                    <w:rPr>
                      <w:rFonts w:hint="default"/>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4</w:t>
                  </w:r>
                  <w:r>
                    <w:rPr>
                      <w:rFonts w:hint="default"/>
                      <w:color w:val="auto"/>
                      <w:highlight w:val="none"/>
                      <w:lang w:val="en-US" w:eastAsia="zh-CN"/>
                    </w:rPr>
                    <w:t xml:space="preserve"> </w:t>
                  </w:r>
                </w:p>
              </w:tc>
            </w:tr>
            <w:tr w14:paraId="0357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shd w:val="clear" w:color="auto" w:fill="auto"/>
                  <w:vAlign w:val="center"/>
                </w:tcPr>
                <w:p w14:paraId="18E42F9D">
                  <w:pPr>
                    <w:pStyle w:val="30"/>
                    <w:bidi w:val="0"/>
                    <w:rPr>
                      <w:color w:val="auto"/>
                      <w:highlight w:val="none"/>
                    </w:rPr>
                  </w:pPr>
                  <w:r>
                    <w:rPr>
                      <w:rFonts w:hint="eastAsia"/>
                      <w:color w:val="auto"/>
                      <w:highlight w:val="none"/>
                    </w:rPr>
                    <w:t>加油站初期雨水</w:t>
                  </w:r>
                </w:p>
                <w:p w14:paraId="1AACEC8D">
                  <w:pPr>
                    <w:pStyle w:val="30"/>
                    <w:bidi w:val="0"/>
                    <w:rPr>
                      <w:color w:val="auto"/>
                      <w:highlight w:val="none"/>
                      <w:lang w:val="en-US" w:eastAsia="zh-CN"/>
                    </w:rPr>
                  </w:pPr>
                  <w:r>
                    <w:rPr>
                      <w:rFonts w:hint="eastAsia"/>
                      <w:color w:val="auto"/>
                      <w:highlight w:val="none"/>
                    </w:rPr>
                    <w:t>（</w:t>
                  </w:r>
                  <w:r>
                    <w:rPr>
                      <w:rFonts w:hint="eastAsia"/>
                      <w:color w:val="auto"/>
                      <w:highlight w:val="none"/>
                      <w:lang w:val="en-US" w:eastAsia="zh-CN"/>
                    </w:rPr>
                    <w:t>1589.71</w:t>
                  </w:r>
                  <w:r>
                    <w:rPr>
                      <w:color w:val="auto"/>
                      <w:highlight w:val="none"/>
                    </w:rPr>
                    <w:t>m</w:t>
                  </w:r>
                  <w:r>
                    <w:rPr>
                      <w:color w:val="auto"/>
                      <w:highlight w:val="none"/>
                      <w:vertAlign w:val="superscript"/>
                    </w:rPr>
                    <w:t>3</w:t>
                  </w:r>
                  <w:r>
                    <w:rPr>
                      <w:rFonts w:hint="eastAsia"/>
                      <w:color w:val="auto"/>
                      <w:highlight w:val="none"/>
                    </w:rPr>
                    <w:t>/a）</w:t>
                  </w:r>
                </w:p>
              </w:tc>
              <w:tc>
                <w:tcPr>
                  <w:tcW w:w="0" w:type="auto"/>
                  <w:shd w:val="clear" w:color="auto" w:fill="auto"/>
                  <w:vAlign w:val="center"/>
                </w:tcPr>
                <w:p w14:paraId="14E6614D">
                  <w:pPr>
                    <w:pStyle w:val="30"/>
                    <w:bidi w:val="0"/>
                    <w:rPr>
                      <w:rFonts w:hint="eastAsia"/>
                      <w:color w:val="auto"/>
                      <w:highlight w:val="none"/>
                      <w:lang w:val="en-US" w:eastAsia="zh-CN"/>
                    </w:rPr>
                  </w:pPr>
                  <w:r>
                    <w:rPr>
                      <w:color w:val="auto"/>
                      <w:highlight w:val="none"/>
                    </w:rPr>
                    <w:t>COD</w:t>
                  </w:r>
                  <w:r>
                    <w:rPr>
                      <w:rFonts w:hint="eastAsia"/>
                      <w:color w:val="auto"/>
                      <w:highlight w:val="none"/>
                    </w:rPr>
                    <w:t>cr</w:t>
                  </w:r>
                </w:p>
              </w:tc>
              <w:tc>
                <w:tcPr>
                  <w:tcW w:w="0" w:type="auto"/>
                  <w:shd w:val="clear" w:color="auto" w:fill="auto"/>
                  <w:vAlign w:val="center"/>
                </w:tcPr>
                <w:p w14:paraId="47BC0C5D">
                  <w:pPr>
                    <w:pStyle w:val="30"/>
                    <w:bidi w:val="0"/>
                    <w:rPr>
                      <w:rFonts w:hint="eastAsia"/>
                      <w:color w:val="auto"/>
                      <w:highlight w:val="none"/>
                      <w:lang w:val="en-US" w:eastAsia="zh-CN"/>
                    </w:rPr>
                  </w:pPr>
                  <w:r>
                    <w:rPr>
                      <w:rFonts w:hint="eastAsia"/>
                      <w:color w:val="auto"/>
                      <w:highlight w:val="none"/>
                    </w:rPr>
                    <w:t>100</w:t>
                  </w:r>
                </w:p>
              </w:tc>
              <w:tc>
                <w:tcPr>
                  <w:tcW w:w="801" w:type="dxa"/>
                  <w:shd w:val="clear" w:color="auto" w:fill="auto"/>
                  <w:vAlign w:val="center"/>
                </w:tcPr>
                <w:p w14:paraId="3F8E6E6B">
                  <w:pPr>
                    <w:pStyle w:val="30"/>
                    <w:bidi w:val="0"/>
                    <w:rPr>
                      <w:rFonts w:hint="default"/>
                      <w:color w:val="auto"/>
                      <w:highlight w:val="none"/>
                      <w:lang w:val="en-US" w:eastAsia="zh-CN"/>
                    </w:rPr>
                  </w:pPr>
                  <w:r>
                    <w:rPr>
                      <w:rFonts w:hint="default"/>
                      <w:color w:val="auto"/>
                      <w:highlight w:val="none"/>
                      <w:lang w:val="en-US" w:eastAsia="zh-CN"/>
                    </w:rPr>
                    <w:t xml:space="preserve">0.159 </w:t>
                  </w:r>
                </w:p>
              </w:tc>
              <w:tc>
                <w:tcPr>
                  <w:tcW w:w="537" w:type="dxa"/>
                  <w:vMerge w:val="continue"/>
                </w:tcPr>
                <w:p w14:paraId="120F77D9">
                  <w:pPr>
                    <w:pStyle w:val="30"/>
                    <w:bidi w:val="0"/>
                    <w:rPr>
                      <w:color w:val="auto"/>
                      <w:highlight w:val="none"/>
                    </w:rPr>
                  </w:pPr>
                </w:p>
              </w:tc>
              <w:tc>
                <w:tcPr>
                  <w:tcW w:w="0" w:type="auto"/>
                  <w:shd w:val="clear" w:color="auto" w:fill="auto"/>
                  <w:vAlign w:val="center"/>
                </w:tcPr>
                <w:p w14:paraId="34017F53">
                  <w:pPr>
                    <w:pStyle w:val="30"/>
                    <w:bidi w:val="0"/>
                    <w:rPr>
                      <w:rFonts w:hint="eastAsia"/>
                      <w:color w:val="auto"/>
                      <w:highlight w:val="none"/>
                      <w:lang w:val="en-US" w:eastAsia="zh-CN"/>
                    </w:rPr>
                  </w:pPr>
                  <w:r>
                    <w:rPr>
                      <w:rFonts w:hint="eastAsia"/>
                      <w:color w:val="auto"/>
                      <w:highlight w:val="none"/>
                    </w:rPr>
                    <w:t>0</w:t>
                  </w:r>
                </w:p>
              </w:tc>
              <w:tc>
                <w:tcPr>
                  <w:tcW w:w="0" w:type="auto"/>
                  <w:shd w:val="clear" w:color="auto" w:fill="auto"/>
                  <w:vAlign w:val="center"/>
                </w:tcPr>
                <w:p w14:paraId="5AA1B85B">
                  <w:pPr>
                    <w:pStyle w:val="30"/>
                    <w:bidi w:val="0"/>
                    <w:rPr>
                      <w:rFonts w:hint="default"/>
                      <w:color w:val="auto"/>
                      <w:highlight w:val="none"/>
                      <w:lang w:val="en-US" w:eastAsia="zh-CN"/>
                    </w:rPr>
                  </w:pPr>
                  <w:r>
                    <w:rPr>
                      <w:rFonts w:hint="default"/>
                      <w:color w:val="auto"/>
                      <w:highlight w:val="none"/>
                      <w:lang w:val="en-US" w:eastAsia="zh-CN"/>
                    </w:rPr>
                    <w:t>100</w:t>
                  </w:r>
                </w:p>
              </w:tc>
              <w:tc>
                <w:tcPr>
                  <w:tcW w:w="944" w:type="dxa"/>
                  <w:shd w:val="clear" w:color="auto" w:fill="auto"/>
                  <w:vAlign w:val="center"/>
                </w:tcPr>
                <w:p w14:paraId="7D52EA25">
                  <w:pPr>
                    <w:pStyle w:val="30"/>
                    <w:bidi w:val="0"/>
                    <w:rPr>
                      <w:rFonts w:hint="default"/>
                      <w:color w:val="auto"/>
                      <w:highlight w:val="none"/>
                      <w:lang w:val="en-US" w:eastAsia="zh-CN"/>
                    </w:rPr>
                  </w:pPr>
                  <w:r>
                    <w:rPr>
                      <w:rFonts w:hint="default"/>
                      <w:color w:val="auto"/>
                      <w:highlight w:val="none"/>
                      <w:lang w:val="en-US" w:eastAsia="zh-CN"/>
                    </w:rPr>
                    <w:t xml:space="preserve">0.159 </w:t>
                  </w:r>
                </w:p>
              </w:tc>
            </w:tr>
            <w:tr w14:paraId="78EA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1588C3F1">
                  <w:pPr>
                    <w:pStyle w:val="30"/>
                    <w:bidi w:val="0"/>
                    <w:rPr>
                      <w:color w:val="auto"/>
                      <w:highlight w:val="none"/>
                    </w:rPr>
                  </w:pPr>
                </w:p>
              </w:tc>
              <w:tc>
                <w:tcPr>
                  <w:tcW w:w="0" w:type="auto"/>
                  <w:shd w:val="clear" w:color="auto" w:fill="auto"/>
                  <w:vAlign w:val="center"/>
                </w:tcPr>
                <w:p w14:paraId="05040A21">
                  <w:pPr>
                    <w:pStyle w:val="30"/>
                    <w:bidi w:val="0"/>
                    <w:rPr>
                      <w:rFonts w:hint="eastAsia"/>
                      <w:color w:val="auto"/>
                      <w:highlight w:val="none"/>
                      <w:lang w:val="en-US" w:eastAsia="zh-CN"/>
                    </w:rPr>
                  </w:pPr>
                  <w:r>
                    <w:rPr>
                      <w:color w:val="auto"/>
                      <w:highlight w:val="none"/>
                    </w:rPr>
                    <w:t>SS</w:t>
                  </w:r>
                </w:p>
              </w:tc>
              <w:tc>
                <w:tcPr>
                  <w:tcW w:w="0" w:type="auto"/>
                  <w:shd w:val="clear" w:color="auto" w:fill="auto"/>
                  <w:vAlign w:val="center"/>
                </w:tcPr>
                <w:p w14:paraId="2D524B58">
                  <w:pPr>
                    <w:pStyle w:val="30"/>
                    <w:bidi w:val="0"/>
                    <w:rPr>
                      <w:rFonts w:hint="eastAsia"/>
                      <w:color w:val="auto"/>
                      <w:highlight w:val="none"/>
                      <w:lang w:val="en-US" w:eastAsia="zh-CN"/>
                    </w:rPr>
                  </w:pPr>
                  <w:r>
                    <w:rPr>
                      <w:rFonts w:hint="eastAsia"/>
                      <w:color w:val="auto"/>
                      <w:highlight w:val="none"/>
                    </w:rPr>
                    <w:t>200</w:t>
                  </w:r>
                </w:p>
              </w:tc>
              <w:tc>
                <w:tcPr>
                  <w:tcW w:w="801" w:type="dxa"/>
                  <w:shd w:val="clear" w:color="auto" w:fill="auto"/>
                  <w:vAlign w:val="center"/>
                </w:tcPr>
                <w:p w14:paraId="571B9CFE">
                  <w:pPr>
                    <w:pStyle w:val="30"/>
                    <w:bidi w:val="0"/>
                    <w:rPr>
                      <w:rFonts w:hint="default"/>
                      <w:color w:val="auto"/>
                      <w:highlight w:val="none"/>
                      <w:lang w:val="en-US" w:eastAsia="zh-CN"/>
                    </w:rPr>
                  </w:pPr>
                  <w:r>
                    <w:rPr>
                      <w:rFonts w:hint="default"/>
                      <w:color w:val="auto"/>
                      <w:highlight w:val="none"/>
                      <w:lang w:val="en-US" w:eastAsia="zh-CN"/>
                    </w:rPr>
                    <w:t xml:space="preserve">0.318 </w:t>
                  </w:r>
                </w:p>
              </w:tc>
              <w:tc>
                <w:tcPr>
                  <w:tcW w:w="537" w:type="dxa"/>
                  <w:vMerge w:val="continue"/>
                </w:tcPr>
                <w:p w14:paraId="578C6308">
                  <w:pPr>
                    <w:pStyle w:val="30"/>
                    <w:bidi w:val="0"/>
                    <w:rPr>
                      <w:color w:val="auto"/>
                      <w:highlight w:val="none"/>
                    </w:rPr>
                  </w:pPr>
                </w:p>
              </w:tc>
              <w:tc>
                <w:tcPr>
                  <w:tcW w:w="0" w:type="auto"/>
                  <w:shd w:val="clear" w:color="auto" w:fill="auto"/>
                  <w:vAlign w:val="center"/>
                </w:tcPr>
                <w:p w14:paraId="1C5534B9">
                  <w:pPr>
                    <w:pStyle w:val="30"/>
                    <w:bidi w:val="0"/>
                    <w:rPr>
                      <w:rFonts w:hint="eastAsia"/>
                      <w:color w:val="auto"/>
                      <w:highlight w:val="none"/>
                      <w:lang w:val="en-US" w:eastAsia="zh-CN"/>
                    </w:rPr>
                  </w:pPr>
                  <w:r>
                    <w:rPr>
                      <w:rFonts w:hint="eastAsia"/>
                      <w:color w:val="auto"/>
                      <w:highlight w:val="none"/>
                    </w:rPr>
                    <w:t>80%</w:t>
                  </w:r>
                </w:p>
              </w:tc>
              <w:tc>
                <w:tcPr>
                  <w:tcW w:w="0" w:type="auto"/>
                  <w:shd w:val="clear" w:color="auto" w:fill="auto"/>
                  <w:vAlign w:val="center"/>
                </w:tcPr>
                <w:p w14:paraId="0A7C9A8A">
                  <w:pPr>
                    <w:pStyle w:val="30"/>
                    <w:bidi w:val="0"/>
                    <w:rPr>
                      <w:rFonts w:hint="default"/>
                      <w:color w:val="auto"/>
                      <w:highlight w:val="none"/>
                      <w:lang w:val="en-US" w:eastAsia="zh-CN"/>
                    </w:rPr>
                  </w:pPr>
                  <w:r>
                    <w:rPr>
                      <w:rFonts w:hint="default"/>
                      <w:color w:val="auto"/>
                      <w:highlight w:val="none"/>
                      <w:lang w:val="en-US" w:eastAsia="zh-CN"/>
                    </w:rPr>
                    <w:t>40</w:t>
                  </w:r>
                </w:p>
              </w:tc>
              <w:tc>
                <w:tcPr>
                  <w:tcW w:w="944" w:type="dxa"/>
                  <w:shd w:val="clear" w:color="auto" w:fill="auto"/>
                  <w:vAlign w:val="center"/>
                </w:tcPr>
                <w:p w14:paraId="54110956">
                  <w:pPr>
                    <w:pStyle w:val="30"/>
                    <w:bidi w:val="0"/>
                    <w:rPr>
                      <w:rFonts w:hint="default"/>
                      <w:color w:val="auto"/>
                      <w:highlight w:val="none"/>
                      <w:lang w:val="en-US" w:eastAsia="zh-CN"/>
                    </w:rPr>
                  </w:pPr>
                  <w:r>
                    <w:rPr>
                      <w:rFonts w:hint="default"/>
                      <w:color w:val="auto"/>
                      <w:highlight w:val="none"/>
                      <w:lang w:val="en-US" w:eastAsia="zh-CN"/>
                    </w:rPr>
                    <w:t xml:space="preserve">0.064 </w:t>
                  </w:r>
                </w:p>
              </w:tc>
            </w:tr>
            <w:tr w14:paraId="7FA5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0CAEB103">
                  <w:pPr>
                    <w:pStyle w:val="30"/>
                    <w:bidi w:val="0"/>
                    <w:rPr>
                      <w:color w:val="auto"/>
                      <w:highlight w:val="none"/>
                    </w:rPr>
                  </w:pPr>
                </w:p>
              </w:tc>
              <w:tc>
                <w:tcPr>
                  <w:tcW w:w="0" w:type="auto"/>
                  <w:shd w:val="clear" w:color="auto" w:fill="auto"/>
                  <w:vAlign w:val="center"/>
                </w:tcPr>
                <w:p w14:paraId="67C3208A">
                  <w:pPr>
                    <w:pStyle w:val="30"/>
                    <w:bidi w:val="0"/>
                    <w:rPr>
                      <w:rFonts w:hint="eastAsia"/>
                      <w:color w:val="auto"/>
                      <w:highlight w:val="none"/>
                      <w:lang w:val="en-US" w:eastAsia="zh-CN"/>
                    </w:rPr>
                  </w:pPr>
                  <w:r>
                    <w:rPr>
                      <w:rFonts w:hint="eastAsia"/>
                      <w:color w:val="auto"/>
                      <w:highlight w:val="none"/>
                    </w:rPr>
                    <w:t>石油类</w:t>
                  </w:r>
                </w:p>
              </w:tc>
              <w:tc>
                <w:tcPr>
                  <w:tcW w:w="0" w:type="auto"/>
                  <w:shd w:val="clear" w:color="auto" w:fill="auto"/>
                  <w:vAlign w:val="center"/>
                </w:tcPr>
                <w:p w14:paraId="74232063">
                  <w:pPr>
                    <w:pStyle w:val="30"/>
                    <w:bidi w:val="0"/>
                    <w:rPr>
                      <w:rFonts w:hint="eastAsia"/>
                      <w:color w:val="auto"/>
                      <w:highlight w:val="none"/>
                      <w:lang w:val="en-US" w:eastAsia="zh-CN"/>
                    </w:rPr>
                  </w:pPr>
                  <w:r>
                    <w:rPr>
                      <w:rFonts w:hint="eastAsia"/>
                      <w:color w:val="auto"/>
                      <w:highlight w:val="none"/>
                    </w:rPr>
                    <w:t>20</w:t>
                  </w:r>
                </w:p>
              </w:tc>
              <w:tc>
                <w:tcPr>
                  <w:tcW w:w="801" w:type="dxa"/>
                  <w:shd w:val="clear" w:color="auto" w:fill="auto"/>
                  <w:vAlign w:val="center"/>
                </w:tcPr>
                <w:p w14:paraId="2ABA243E">
                  <w:pPr>
                    <w:pStyle w:val="30"/>
                    <w:bidi w:val="0"/>
                    <w:rPr>
                      <w:rFonts w:hint="default"/>
                      <w:color w:val="auto"/>
                      <w:highlight w:val="none"/>
                      <w:lang w:val="en-US" w:eastAsia="zh-CN"/>
                    </w:rPr>
                  </w:pPr>
                  <w:r>
                    <w:rPr>
                      <w:rFonts w:hint="default"/>
                      <w:color w:val="auto"/>
                      <w:highlight w:val="none"/>
                      <w:lang w:val="en-US" w:eastAsia="zh-CN"/>
                    </w:rPr>
                    <w:t xml:space="preserve">0.032 </w:t>
                  </w:r>
                </w:p>
              </w:tc>
              <w:tc>
                <w:tcPr>
                  <w:tcW w:w="537" w:type="dxa"/>
                  <w:vMerge w:val="continue"/>
                </w:tcPr>
                <w:p w14:paraId="77E76481">
                  <w:pPr>
                    <w:pStyle w:val="30"/>
                    <w:bidi w:val="0"/>
                    <w:rPr>
                      <w:color w:val="auto"/>
                      <w:highlight w:val="none"/>
                    </w:rPr>
                  </w:pPr>
                </w:p>
              </w:tc>
              <w:tc>
                <w:tcPr>
                  <w:tcW w:w="0" w:type="auto"/>
                  <w:shd w:val="clear" w:color="auto" w:fill="auto"/>
                  <w:vAlign w:val="center"/>
                </w:tcPr>
                <w:p w14:paraId="0AF08C3F">
                  <w:pPr>
                    <w:pStyle w:val="30"/>
                    <w:bidi w:val="0"/>
                    <w:rPr>
                      <w:rFonts w:hint="eastAsia"/>
                      <w:color w:val="auto"/>
                      <w:highlight w:val="none"/>
                      <w:lang w:val="en-US" w:eastAsia="zh-CN"/>
                    </w:rPr>
                  </w:pPr>
                  <w:r>
                    <w:rPr>
                      <w:rFonts w:hint="eastAsia"/>
                      <w:color w:val="auto"/>
                      <w:highlight w:val="none"/>
                    </w:rPr>
                    <w:t>75%</w:t>
                  </w:r>
                </w:p>
              </w:tc>
              <w:tc>
                <w:tcPr>
                  <w:tcW w:w="0" w:type="auto"/>
                  <w:shd w:val="clear" w:color="auto" w:fill="auto"/>
                  <w:vAlign w:val="center"/>
                </w:tcPr>
                <w:p w14:paraId="0FE326B6">
                  <w:pPr>
                    <w:pStyle w:val="30"/>
                    <w:bidi w:val="0"/>
                    <w:rPr>
                      <w:rFonts w:hint="default"/>
                      <w:color w:val="auto"/>
                      <w:highlight w:val="none"/>
                      <w:lang w:val="en-US" w:eastAsia="zh-CN"/>
                    </w:rPr>
                  </w:pPr>
                  <w:r>
                    <w:rPr>
                      <w:rFonts w:hint="default"/>
                      <w:color w:val="auto"/>
                      <w:highlight w:val="none"/>
                      <w:lang w:val="en-US" w:eastAsia="zh-CN"/>
                    </w:rPr>
                    <w:t>5</w:t>
                  </w:r>
                </w:p>
              </w:tc>
              <w:tc>
                <w:tcPr>
                  <w:tcW w:w="944" w:type="dxa"/>
                  <w:shd w:val="clear" w:color="auto" w:fill="auto"/>
                  <w:vAlign w:val="center"/>
                </w:tcPr>
                <w:p w14:paraId="63733EFA">
                  <w:pPr>
                    <w:pStyle w:val="30"/>
                    <w:bidi w:val="0"/>
                    <w:rPr>
                      <w:rFonts w:hint="default"/>
                      <w:color w:val="auto"/>
                      <w:highlight w:val="none"/>
                      <w:lang w:val="en-US" w:eastAsia="zh-CN"/>
                    </w:rPr>
                  </w:pPr>
                  <w:r>
                    <w:rPr>
                      <w:rFonts w:hint="default"/>
                      <w:color w:val="auto"/>
                      <w:highlight w:val="none"/>
                      <w:lang w:val="en-US" w:eastAsia="zh-CN"/>
                    </w:rPr>
                    <w:t xml:space="preserve">0.008 </w:t>
                  </w:r>
                </w:p>
              </w:tc>
            </w:tr>
            <w:tr w14:paraId="2C5F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restart"/>
                  <w:vAlign w:val="center"/>
                </w:tcPr>
                <w:p w14:paraId="34DF7711">
                  <w:pPr>
                    <w:pStyle w:val="30"/>
                    <w:bidi w:val="0"/>
                    <w:rPr>
                      <w:rFonts w:hint="eastAsia"/>
                      <w:color w:val="auto"/>
                      <w:highlight w:val="none"/>
                      <w:lang w:val="en-US" w:eastAsia="zh-CN"/>
                    </w:rPr>
                  </w:pPr>
                  <w:r>
                    <w:rPr>
                      <w:rFonts w:hint="eastAsia"/>
                      <w:color w:val="auto"/>
                      <w:highlight w:val="none"/>
                      <w:lang w:eastAsia="zh-CN"/>
                    </w:rPr>
                    <w:t>废水排口</w:t>
                  </w:r>
                  <w:r>
                    <w:rPr>
                      <w:rFonts w:hint="eastAsia"/>
                      <w:color w:val="auto"/>
                      <w:highlight w:val="none"/>
                      <w:lang w:val="en-US" w:eastAsia="zh-CN"/>
                    </w:rPr>
                    <w:t>DW002</w:t>
                  </w:r>
                </w:p>
                <w:p w14:paraId="3E0BA89A">
                  <w:pPr>
                    <w:pStyle w:val="30"/>
                    <w:bidi w:val="0"/>
                    <w:rPr>
                      <w:color w:val="auto"/>
                      <w:highlight w:val="none"/>
                    </w:rPr>
                  </w:pPr>
                  <w:r>
                    <w:rPr>
                      <w:rFonts w:hint="eastAsia"/>
                      <w:color w:val="auto"/>
                      <w:highlight w:val="none"/>
                      <w:lang w:val="en-US" w:eastAsia="zh-CN"/>
                    </w:rPr>
                    <w:t>（2348.82</w:t>
                  </w:r>
                  <w:r>
                    <w:rPr>
                      <w:color w:val="auto"/>
                      <w:highlight w:val="none"/>
                    </w:rPr>
                    <w:t>m</w:t>
                  </w:r>
                  <w:r>
                    <w:rPr>
                      <w:color w:val="auto"/>
                      <w:highlight w:val="none"/>
                      <w:vertAlign w:val="superscript"/>
                    </w:rPr>
                    <w:t>3</w:t>
                  </w:r>
                  <w:r>
                    <w:rPr>
                      <w:rFonts w:hint="eastAsia"/>
                      <w:color w:val="auto"/>
                      <w:highlight w:val="none"/>
                    </w:rPr>
                    <w:t>/a</w:t>
                  </w:r>
                  <w:r>
                    <w:rPr>
                      <w:rFonts w:hint="eastAsia"/>
                      <w:color w:val="auto"/>
                      <w:highlight w:val="none"/>
                      <w:lang w:val="en-US" w:eastAsia="zh-CN"/>
                    </w:rPr>
                    <w:t>）</w:t>
                  </w:r>
                </w:p>
              </w:tc>
              <w:tc>
                <w:tcPr>
                  <w:tcW w:w="983" w:type="dxa"/>
                  <w:shd w:val="clear" w:color="auto" w:fill="auto"/>
                  <w:vAlign w:val="center"/>
                </w:tcPr>
                <w:p w14:paraId="32D7E182">
                  <w:pPr>
                    <w:pStyle w:val="30"/>
                    <w:bidi w:val="0"/>
                    <w:rPr>
                      <w:rFonts w:hint="eastAsia"/>
                      <w:color w:val="auto"/>
                      <w:highlight w:val="none"/>
                    </w:rPr>
                  </w:pPr>
                  <w:r>
                    <w:rPr>
                      <w:rFonts w:hint="default"/>
                      <w:color w:val="auto"/>
                      <w:highlight w:val="none"/>
                      <w:lang w:val="en-US" w:eastAsia="zh-CN"/>
                    </w:rPr>
                    <w:t>COD</w:t>
                  </w:r>
                </w:p>
              </w:tc>
              <w:tc>
                <w:tcPr>
                  <w:tcW w:w="918" w:type="dxa"/>
                  <w:shd w:val="clear" w:color="auto" w:fill="auto"/>
                  <w:vAlign w:val="center"/>
                </w:tcPr>
                <w:p w14:paraId="20C5E018">
                  <w:pPr>
                    <w:pStyle w:val="30"/>
                    <w:bidi w:val="0"/>
                    <w:rPr>
                      <w:rFonts w:hint="eastAsia"/>
                      <w:color w:val="auto"/>
                      <w:highlight w:val="none"/>
                    </w:rPr>
                  </w:pPr>
                  <w:r>
                    <w:rPr>
                      <w:rFonts w:hint="eastAsia"/>
                      <w:color w:val="auto"/>
                      <w:highlight w:val="none"/>
                      <w:lang w:val="en-US" w:eastAsia="zh-CN"/>
                    </w:rPr>
                    <w:t xml:space="preserve">160.912 </w:t>
                  </w:r>
                </w:p>
              </w:tc>
              <w:tc>
                <w:tcPr>
                  <w:tcW w:w="801" w:type="dxa"/>
                  <w:shd w:val="clear" w:color="auto" w:fill="auto"/>
                  <w:vAlign w:val="center"/>
                </w:tcPr>
                <w:p w14:paraId="641228A1">
                  <w:pPr>
                    <w:pStyle w:val="30"/>
                    <w:bidi w:val="0"/>
                    <w:rPr>
                      <w:rFonts w:hint="default"/>
                      <w:color w:val="auto"/>
                      <w:highlight w:val="none"/>
                      <w:lang w:val="en-US" w:eastAsia="zh-CN"/>
                    </w:rPr>
                  </w:pPr>
                  <w:r>
                    <w:rPr>
                      <w:rFonts w:hint="eastAsia"/>
                      <w:color w:val="auto"/>
                      <w:highlight w:val="none"/>
                      <w:lang w:val="en-US" w:eastAsia="zh-CN"/>
                    </w:rPr>
                    <w:t xml:space="preserve">0.378 </w:t>
                  </w:r>
                </w:p>
              </w:tc>
              <w:tc>
                <w:tcPr>
                  <w:tcW w:w="537" w:type="dxa"/>
                  <w:vMerge w:val="restart"/>
                  <w:vAlign w:val="center"/>
                </w:tcPr>
                <w:p w14:paraId="51889241">
                  <w:pPr>
                    <w:pStyle w:val="30"/>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w:t>
                  </w:r>
                </w:p>
              </w:tc>
              <w:tc>
                <w:tcPr>
                  <w:tcW w:w="683" w:type="dxa"/>
                  <w:vMerge w:val="restart"/>
                  <w:shd w:val="clear" w:color="auto" w:fill="auto"/>
                  <w:vAlign w:val="center"/>
                </w:tcPr>
                <w:p w14:paraId="07496F85">
                  <w:pPr>
                    <w:pStyle w:val="30"/>
                    <w:bidi w:val="0"/>
                    <w:rPr>
                      <w:rFonts w:hint="eastAsia"/>
                      <w:color w:val="auto"/>
                      <w:highlight w:val="none"/>
                      <w:lang w:val="en-US" w:eastAsia="zh-CN"/>
                    </w:rPr>
                  </w:pPr>
                  <w:r>
                    <w:rPr>
                      <w:rFonts w:hint="eastAsia"/>
                      <w:color w:val="auto"/>
                      <w:highlight w:val="none"/>
                      <w:lang w:val="en-US" w:eastAsia="zh-CN"/>
                    </w:rPr>
                    <w:t>/</w:t>
                  </w:r>
                </w:p>
              </w:tc>
              <w:tc>
                <w:tcPr>
                  <w:tcW w:w="918" w:type="dxa"/>
                  <w:shd w:val="clear" w:color="auto" w:fill="auto"/>
                  <w:vAlign w:val="center"/>
                </w:tcPr>
                <w:p w14:paraId="615D5E7C">
                  <w:pPr>
                    <w:pStyle w:val="30"/>
                    <w:bidi w:val="0"/>
                    <w:rPr>
                      <w:rFonts w:hint="default"/>
                      <w:color w:val="auto"/>
                      <w:highlight w:val="none"/>
                      <w:lang w:val="en-US" w:eastAsia="zh-CN"/>
                    </w:rPr>
                  </w:pPr>
                  <w:r>
                    <w:rPr>
                      <w:rFonts w:hint="eastAsia"/>
                      <w:color w:val="auto"/>
                      <w:highlight w:val="none"/>
                      <w:lang w:val="en-US" w:eastAsia="zh-CN"/>
                    </w:rPr>
                    <w:t xml:space="preserve">148.045 </w:t>
                  </w:r>
                </w:p>
              </w:tc>
              <w:tc>
                <w:tcPr>
                  <w:tcW w:w="944" w:type="dxa"/>
                  <w:shd w:val="clear" w:color="auto" w:fill="auto"/>
                  <w:vAlign w:val="center"/>
                </w:tcPr>
                <w:p w14:paraId="766FDBAB">
                  <w:pPr>
                    <w:pStyle w:val="30"/>
                    <w:bidi w:val="0"/>
                    <w:rPr>
                      <w:rFonts w:hint="default"/>
                      <w:color w:val="auto"/>
                      <w:highlight w:val="none"/>
                      <w:lang w:val="en-US" w:eastAsia="zh-CN"/>
                    </w:rPr>
                  </w:pPr>
                  <w:r>
                    <w:rPr>
                      <w:rFonts w:hint="eastAsia"/>
                      <w:color w:val="auto"/>
                      <w:highlight w:val="none"/>
                      <w:lang w:val="en-US" w:eastAsia="zh-CN"/>
                    </w:rPr>
                    <w:t xml:space="preserve">0.348 </w:t>
                  </w:r>
                </w:p>
              </w:tc>
            </w:tr>
            <w:tr w14:paraId="64CE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2970306D">
                  <w:pPr>
                    <w:pStyle w:val="30"/>
                    <w:bidi w:val="0"/>
                    <w:rPr>
                      <w:color w:val="auto"/>
                      <w:highlight w:val="none"/>
                    </w:rPr>
                  </w:pPr>
                </w:p>
              </w:tc>
              <w:tc>
                <w:tcPr>
                  <w:tcW w:w="983" w:type="dxa"/>
                  <w:shd w:val="clear" w:color="auto" w:fill="auto"/>
                  <w:vAlign w:val="center"/>
                </w:tcPr>
                <w:p w14:paraId="458C324A">
                  <w:pPr>
                    <w:pStyle w:val="30"/>
                    <w:bidi w:val="0"/>
                    <w:rPr>
                      <w:rFonts w:hint="eastAsia"/>
                      <w:color w:val="auto"/>
                      <w:highlight w:val="none"/>
                    </w:rPr>
                  </w:pPr>
                  <w:r>
                    <w:rPr>
                      <w:rFonts w:hint="default"/>
                      <w:color w:val="auto"/>
                      <w:highlight w:val="none"/>
                      <w:lang w:val="en-US" w:eastAsia="zh-CN"/>
                    </w:rPr>
                    <w:t>BOD</w:t>
                  </w:r>
                  <w:r>
                    <w:rPr>
                      <w:rFonts w:hint="default"/>
                      <w:color w:val="auto"/>
                      <w:highlight w:val="none"/>
                      <w:vertAlign w:val="subscript"/>
                      <w:lang w:val="en-US" w:eastAsia="zh-CN"/>
                    </w:rPr>
                    <w:t>5</w:t>
                  </w:r>
                </w:p>
              </w:tc>
              <w:tc>
                <w:tcPr>
                  <w:tcW w:w="918" w:type="dxa"/>
                  <w:shd w:val="clear" w:color="auto" w:fill="auto"/>
                  <w:vAlign w:val="center"/>
                </w:tcPr>
                <w:p w14:paraId="79ED85C0">
                  <w:pPr>
                    <w:pStyle w:val="30"/>
                    <w:bidi w:val="0"/>
                    <w:rPr>
                      <w:rFonts w:hint="eastAsia"/>
                      <w:color w:val="auto"/>
                      <w:highlight w:val="none"/>
                    </w:rPr>
                  </w:pPr>
                  <w:r>
                    <w:rPr>
                      <w:rFonts w:hint="eastAsia"/>
                      <w:color w:val="auto"/>
                      <w:highlight w:val="none"/>
                      <w:lang w:val="en-US" w:eastAsia="zh-CN"/>
                    </w:rPr>
                    <w:t xml:space="preserve">28.593 </w:t>
                  </w:r>
                </w:p>
              </w:tc>
              <w:tc>
                <w:tcPr>
                  <w:tcW w:w="801" w:type="dxa"/>
                  <w:shd w:val="clear" w:color="auto" w:fill="auto"/>
                  <w:vAlign w:val="center"/>
                </w:tcPr>
                <w:p w14:paraId="195D5F02">
                  <w:pPr>
                    <w:pStyle w:val="30"/>
                    <w:bidi w:val="0"/>
                    <w:rPr>
                      <w:rFonts w:hint="default"/>
                      <w:color w:val="auto"/>
                      <w:highlight w:val="none"/>
                      <w:lang w:val="en-US" w:eastAsia="zh-CN"/>
                    </w:rPr>
                  </w:pPr>
                  <w:r>
                    <w:rPr>
                      <w:rFonts w:hint="eastAsia"/>
                      <w:color w:val="auto"/>
                      <w:highlight w:val="none"/>
                      <w:lang w:val="en-US" w:eastAsia="zh-CN"/>
                    </w:rPr>
                    <w:t xml:space="preserve">0.067 </w:t>
                  </w:r>
                </w:p>
              </w:tc>
              <w:tc>
                <w:tcPr>
                  <w:tcW w:w="537" w:type="dxa"/>
                  <w:vMerge w:val="continue"/>
                </w:tcPr>
                <w:p w14:paraId="44DADCFB">
                  <w:pPr>
                    <w:pStyle w:val="30"/>
                    <w:bidi w:val="0"/>
                    <w:rPr>
                      <w:color w:val="auto"/>
                      <w:highlight w:val="none"/>
                    </w:rPr>
                  </w:pPr>
                </w:p>
              </w:tc>
              <w:tc>
                <w:tcPr>
                  <w:tcW w:w="683" w:type="dxa"/>
                  <w:vMerge w:val="continue"/>
                  <w:shd w:val="clear" w:color="auto" w:fill="auto"/>
                  <w:vAlign w:val="center"/>
                </w:tcPr>
                <w:p w14:paraId="7C89DE6D">
                  <w:pPr>
                    <w:pStyle w:val="30"/>
                    <w:bidi w:val="0"/>
                    <w:rPr>
                      <w:rFonts w:hint="eastAsia"/>
                      <w:color w:val="auto"/>
                      <w:highlight w:val="none"/>
                    </w:rPr>
                  </w:pPr>
                </w:p>
              </w:tc>
              <w:tc>
                <w:tcPr>
                  <w:tcW w:w="918" w:type="dxa"/>
                  <w:shd w:val="clear" w:color="auto" w:fill="auto"/>
                  <w:vAlign w:val="center"/>
                </w:tcPr>
                <w:p w14:paraId="5E5E3CC0">
                  <w:pPr>
                    <w:pStyle w:val="30"/>
                    <w:bidi w:val="0"/>
                    <w:rPr>
                      <w:rFonts w:hint="default"/>
                      <w:color w:val="auto"/>
                      <w:highlight w:val="none"/>
                      <w:lang w:val="en-US" w:eastAsia="zh-CN"/>
                    </w:rPr>
                  </w:pPr>
                  <w:r>
                    <w:rPr>
                      <w:rFonts w:hint="eastAsia"/>
                      <w:color w:val="auto"/>
                      <w:highlight w:val="none"/>
                      <w:lang w:val="en-US" w:eastAsia="zh-CN"/>
                    </w:rPr>
                    <w:t xml:space="preserve">26.020 </w:t>
                  </w:r>
                </w:p>
              </w:tc>
              <w:tc>
                <w:tcPr>
                  <w:tcW w:w="944" w:type="dxa"/>
                  <w:shd w:val="clear" w:color="auto" w:fill="auto"/>
                  <w:vAlign w:val="center"/>
                </w:tcPr>
                <w:p w14:paraId="292D89C4">
                  <w:pPr>
                    <w:pStyle w:val="30"/>
                    <w:bidi w:val="0"/>
                    <w:rPr>
                      <w:rFonts w:hint="default"/>
                      <w:color w:val="auto"/>
                      <w:highlight w:val="none"/>
                      <w:lang w:val="en-US" w:eastAsia="zh-CN"/>
                    </w:rPr>
                  </w:pPr>
                  <w:r>
                    <w:rPr>
                      <w:rFonts w:hint="eastAsia"/>
                      <w:color w:val="auto"/>
                      <w:highlight w:val="none"/>
                      <w:lang w:val="en-US" w:eastAsia="zh-CN"/>
                    </w:rPr>
                    <w:t xml:space="preserve">0.061 </w:t>
                  </w:r>
                </w:p>
              </w:tc>
            </w:tr>
            <w:tr w14:paraId="13B2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46A827C0">
                  <w:pPr>
                    <w:pStyle w:val="30"/>
                    <w:bidi w:val="0"/>
                    <w:rPr>
                      <w:color w:val="auto"/>
                      <w:highlight w:val="none"/>
                    </w:rPr>
                  </w:pPr>
                </w:p>
              </w:tc>
              <w:tc>
                <w:tcPr>
                  <w:tcW w:w="983" w:type="dxa"/>
                  <w:shd w:val="clear" w:color="auto" w:fill="auto"/>
                  <w:vAlign w:val="center"/>
                </w:tcPr>
                <w:p w14:paraId="76787206">
                  <w:pPr>
                    <w:pStyle w:val="30"/>
                    <w:bidi w:val="0"/>
                    <w:rPr>
                      <w:rFonts w:hint="eastAsia"/>
                      <w:color w:val="auto"/>
                      <w:highlight w:val="none"/>
                    </w:rPr>
                  </w:pPr>
                  <w:r>
                    <w:rPr>
                      <w:rFonts w:hint="default"/>
                      <w:color w:val="auto"/>
                      <w:highlight w:val="none"/>
                      <w:lang w:val="en-US" w:eastAsia="zh-CN"/>
                    </w:rPr>
                    <w:t>SS</w:t>
                  </w:r>
                </w:p>
              </w:tc>
              <w:tc>
                <w:tcPr>
                  <w:tcW w:w="918" w:type="dxa"/>
                  <w:shd w:val="clear" w:color="auto" w:fill="auto"/>
                  <w:vAlign w:val="center"/>
                </w:tcPr>
                <w:p w14:paraId="3EA4A5BF">
                  <w:pPr>
                    <w:pStyle w:val="30"/>
                    <w:bidi w:val="0"/>
                    <w:rPr>
                      <w:rFonts w:hint="eastAsia"/>
                      <w:color w:val="auto"/>
                      <w:highlight w:val="none"/>
                    </w:rPr>
                  </w:pPr>
                  <w:r>
                    <w:rPr>
                      <w:rFonts w:hint="eastAsia"/>
                      <w:color w:val="auto"/>
                      <w:highlight w:val="none"/>
                      <w:lang w:val="en-US" w:eastAsia="zh-CN"/>
                    </w:rPr>
                    <w:t xml:space="preserve">203.726 </w:t>
                  </w:r>
                </w:p>
              </w:tc>
              <w:tc>
                <w:tcPr>
                  <w:tcW w:w="801" w:type="dxa"/>
                  <w:shd w:val="clear" w:color="auto" w:fill="auto"/>
                  <w:vAlign w:val="center"/>
                </w:tcPr>
                <w:p w14:paraId="7F0ED47B">
                  <w:pPr>
                    <w:pStyle w:val="30"/>
                    <w:bidi w:val="0"/>
                    <w:rPr>
                      <w:rFonts w:hint="default"/>
                      <w:color w:val="auto"/>
                      <w:highlight w:val="none"/>
                      <w:lang w:val="en-US" w:eastAsia="zh-CN"/>
                    </w:rPr>
                  </w:pPr>
                  <w:r>
                    <w:rPr>
                      <w:rFonts w:hint="eastAsia"/>
                      <w:color w:val="auto"/>
                      <w:highlight w:val="none"/>
                      <w:lang w:val="en-US" w:eastAsia="zh-CN"/>
                    </w:rPr>
                    <w:t xml:space="preserve">0.479 </w:t>
                  </w:r>
                </w:p>
              </w:tc>
              <w:tc>
                <w:tcPr>
                  <w:tcW w:w="537" w:type="dxa"/>
                  <w:vMerge w:val="continue"/>
                </w:tcPr>
                <w:p w14:paraId="56F17AA9">
                  <w:pPr>
                    <w:pStyle w:val="30"/>
                    <w:bidi w:val="0"/>
                    <w:rPr>
                      <w:color w:val="auto"/>
                      <w:highlight w:val="none"/>
                    </w:rPr>
                  </w:pPr>
                </w:p>
              </w:tc>
              <w:tc>
                <w:tcPr>
                  <w:tcW w:w="683" w:type="dxa"/>
                  <w:vMerge w:val="continue"/>
                  <w:shd w:val="clear" w:color="auto" w:fill="auto"/>
                  <w:vAlign w:val="center"/>
                </w:tcPr>
                <w:p w14:paraId="4A8A759C">
                  <w:pPr>
                    <w:pStyle w:val="30"/>
                    <w:bidi w:val="0"/>
                    <w:rPr>
                      <w:rFonts w:hint="eastAsia"/>
                      <w:color w:val="auto"/>
                      <w:highlight w:val="none"/>
                    </w:rPr>
                  </w:pPr>
                </w:p>
              </w:tc>
              <w:tc>
                <w:tcPr>
                  <w:tcW w:w="918" w:type="dxa"/>
                  <w:shd w:val="clear" w:color="auto" w:fill="auto"/>
                  <w:vAlign w:val="center"/>
                </w:tcPr>
                <w:p w14:paraId="5148328C">
                  <w:pPr>
                    <w:pStyle w:val="30"/>
                    <w:bidi w:val="0"/>
                    <w:rPr>
                      <w:rFonts w:hint="default"/>
                      <w:color w:val="auto"/>
                      <w:highlight w:val="none"/>
                      <w:lang w:val="en-US" w:eastAsia="zh-CN"/>
                    </w:rPr>
                  </w:pPr>
                  <w:r>
                    <w:rPr>
                      <w:rFonts w:hint="eastAsia"/>
                      <w:color w:val="auto"/>
                      <w:highlight w:val="none"/>
                      <w:lang w:val="en-US" w:eastAsia="zh-CN"/>
                    </w:rPr>
                    <w:t xml:space="preserve">57.901 </w:t>
                  </w:r>
                </w:p>
              </w:tc>
              <w:tc>
                <w:tcPr>
                  <w:tcW w:w="944" w:type="dxa"/>
                  <w:shd w:val="clear" w:color="auto" w:fill="auto"/>
                  <w:vAlign w:val="center"/>
                </w:tcPr>
                <w:p w14:paraId="7570111B">
                  <w:pPr>
                    <w:pStyle w:val="30"/>
                    <w:bidi w:val="0"/>
                    <w:rPr>
                      <w:rFonts w:hint="default"/>
                      <w:color w:val="auto"/>
                      <w:highlight w:val="none"/>
                      <w:lang w:val="en-US" w:eastAsia="zh-CN"/>
                    </w:rPr>
                  </w:pPr>
                  <w:r>
                    <w:rPr>
                      <w:rFonts w:hint="eastAsia"/>
                      <w:color w:val="auto"/>
                      <w:highlight w:val="none"/>
                      <w:lang w:val="en-US" w:eastAsia="zh-CN"/>
                    </w:rPr>
                    <w:t xml:space="preserve">0.136 </w:t>
                  </w:r>
                </w:p>
              </w:tc>
            </w:tr>
            <w:tr w14:paraId="62F2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082691E5">
                  <w:pPr>
                    <w:pStyle w:val="30"/>
                    <w:bidi w:val="0"/>
                    <w:rPr>
                      <w:color w:val="auto"/>
                      <w:highlight w:val="none"/>
                    </w:rPr>
                  </w:pPr>
                </w:p>
              </w:tc>
              <w:tc>
                <w:tcPr>
                  <w:tcW w:w="983" w:type="dxa"/>
                  <w:shd w:val="clear" w:color="auto" w:fill="auto"/>
                  <w:vAlign w:val="center"/>
                </w:tcPr>
                <w:p w14:paraId="490AA339">
                  <w:pPr>
                    <w:pStyle w:val="30"/>
                    <w:bidi w:val="0"/>
                    <w:rPr>
                      <w:rFonts w:hint="eastAsia"/>
                      <w:color w:val="auto"/>
                      <w:highlight w:val="none"/>
                    </w:rPr>
                  </w:pPr>
                  <w:r>
                    <w:rPr>
                      <w:rFonts w:hint="default"/>
                      <w:color w:val="auto"/>
                      <w:highlight w:val="none"/>
                      <w:lang w:val="en-US" w:eastAsia="zh-CN"/>
                    </w:rPr>
                    <w:t>NH</w:t>
                  </w:r>
                  <w:r>
                    <w:rPr>
                      <w:rFonts w:hint="default"/>
                      <w:color w:val="auto"/>
                      <w:highlight w:val="none"/>
                      <w:vertAlign w:val="subscript"/>
                      <w:lang w:val="en-US" w:eastAsia="zh-CN"/>
                    </w:rPr>
                    <w:t>3</w:t>
                  </w:r>
                  <w:r>
                    <w:rPr>
                      <w:rFonts w:hint="default"/>
                      <w:color w:val="auto"/>
                      <w:highlight w:val="none"/>
                      <w:lang w:val="en-US" w:eastAsia="zh-CN"/>
                    </w:rPr>
                    <w:t>-N</w:t>
                  </w:r>
                </w:p>
              </w:tc>
              <w:tc>
                <w:tcPr>
                  <w:tcW w:w="918" w:type="dxa"/>
                  <w:shd w:val="clear" w:color="auto" w:fill="auto"/>
                  <w:vAlign w:val="center"/>
                </w:tcPr>
                <w:p w14:paraId="79087D3B">
                  <w:pPr>
                    <w:pStyle w:val="30"/>
                    <w:bidi w:val="0"/>
                    <w:rPr>
                      <w:rFonts w:hint="eastAsia"/>
                      <w:color w:val="auto"/>
                      <w:highlight w:val="none"/>
                    </w:rPr>
                  </w:pPr>
                  <w:r>
                    <w:rPr>
                      <w:rFonts w:hint="eastAsia"/>
                      <w:color w:val="auto"/>
                      <w:highlight w:val="none"/>
                      <w:lang w:val="en-US" w:eastAsia="zh-CN"/>
                    </w:rPr>
                    <w:t xml:space="preserve">5.719 </w:t>
                  </w:r>
                </w:p>
              </w:tc>
              <w:tc>
                <w:tcPr>
                  <w:tcW w:w="801" w:type="dxa"/>
                  <w:shd w:val="clear" w:color="auto" w:fill="auto"/>
                  <w:vAlign w:val="center"/>
                </w:tcPr>
                <w:p w14:paraId="68FEC6C7">
                  <w:pPr>
                    <w:pStyle w:val="30"/>
                    <w:bidi w:val="0"/>
                    <w:rPr>
                      <w:rFonts w:hint="default"/>
                      <w:color w:val="auto"/>
                      <w:highlight w:val="none"/>
                      <w:lang w:val="en-US" w:eastAsia="zh-CN"/>
                    </w:rPr>
                  </w:pPr>
                  <w:r>
                    <w:rPr>
                      <w:rFonts w:hint="eastAsia"/>
                      <w:color w:val="auto"/>
                      <w:highlight w:val="none"/>
                      <w:lang w:val="en-US" w:eastAsia="zh-CN"/>
                    </w:rPr>
                    <w:t xml:space="preserve">0.013 </w:t>
                  </w:r>
                </w:p>
              </w:tc>
              <w:tc>
                <w:tcPr>
                  <w:tcW w:w="537" w:type="dxa"/>
                  <w:vMerge w:val="continue"/>
                </w:tcPr>
                <w:p w14:paraId="21214F07">
                  <w:pPr>
                    <w:pStyle w:val="30"/>
                    <w:bidi w:val="0"/>
                    <w:rPr>
                      <w:color w:val="auto"/>
                      <w:highlight w:val="none"/>
                    </w:rPr>
                  </w:pPr>
                </w:p>
              </w:tc>
              <w:tc>
                <w:tcPr>
                  <w:tcW w:w="683" w:type="dxa"/>
                  <w:vMerge w:val="continue"/>
                  <w:shd w:val="clear" w:color="auto" w:fill="auto"/>
                  <w:vAlign w:val="center"/>
                </w:tcPr>
                <w:p w14:paraId="41800825">
                  <w:pPr>
                    <w:pStyle w:val="30"/>
                    <w:bidi w:val="0"/>
                    <w:rPr>
                      <w:rFonts w:hint="eastAsia"/>
                      <w:color w:val="auto"/>
                      <w:highlight w:val="none"/>
                    </w:rPr>
                  </w:pPr>
                </w:p>
              </w:tc>
              <w:tc>
                <w:tcPr>
                  <w:tcW w:w="918" w:type="dxa"/>
                  <w:shd w:val="clear" w:color="auto" w:fill="auto"/>
                  <w:vAlign w:val="center"/>
                </w:tcPr>
                <w:p w14:paraId="0F24A1B1">
                  <w:pPr>
                    <w:pStyle w:val="30"/>
                    <w:bidi w:val="0"/>
                    <w:rPr>
                      <w:rFonts w:hint="default"/>
                      <w:color w:val="auto"/>
                      <w:highlight w:val="none"/>
                      <w:lang w:val="en-US" w:eastAsia="zh-CN"/>
                    </w:rPr>
                  </w:pPr>
                  <w:r>
                    <w:rPr>
                      <w:rFonts w:hint="eastAsia"/>
                      <w:color w:val="auto"/>
                      <w:highlight w:val="none"/>
                      <w:lang w:val="en-US" w:eastAsia="zh-CN"/>
                    </w:rPr>
                    <w:t xml:space="preserve">5.719 </w:t>
                  </w:r>
                </w:p>
              </w:tc>
              <w:tc>
                <w:tcPr>
                  <w:tcW w:w="944" w:type="dxa"/>
                  <w:shd w:val="clear" w:color="auto" w:fill="auto"/>
                  <w:vAlign w:val="center"/>
                </w:tcPr>
                <w:p w14:paraId="111CD3B9">
                  <w:pPr>
                    <w:pStyle w:val="30"/>
                    <w:bidi w:val="0"/>
                    <w:rPr>
                      <w:rFonts w:hint="default"/>
                      <w:color w:val="auto"/>
                      <w:highlight w:val="none"/>
                      <w:lang w:val="en-US" w:eastAsia="zh-CN"/>
                    </w:rPr>
                  </w:pPr>
                  <w:r>
                    <w:rPr>
                      <w:rFonts w:hint="eastAsia"/>
                      <w:color w:val="auto"/>
                      <w:highlight w:val="none"/>
                      <w:lang w:val="en-US" w:eastAsia="zh-CN"/>
                    </w:rPr>
                    <w:t xml:space="preserve">0.013 </w:t>
                  </w:r>
                </w:p>
              </w:tc>
            </w:tr>
            <w:tr w14:paraId="59E0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817" w:type="dxa"/>
                  <w:vMerge w:val="continue"/>
                </w:tcPr>
                <w:p w14:paraId="5D616C7D">
                  <w:pPr>
                    <w:pStyle w:val="30"/>
                    <w:bidi w:val="0"/>
                    <w:rPr>
                      <w:color w:val="auto"/>
                      <w:highlight w:val="none"/>
                    </w:rPr>
                  </w:pPr>
                </w:p>
              </w:tc>
              <w:tc>
                <w:tcPr>
                  <w:tcW w:w="983" w:type="dxa"/>
                  <w:shd w:val="clear" w:color="auto" w:fill="auto"/>
                  <w:vAlign w:val="center"/>
                </w:tcPr>
                <w:p w14:paraId="73120DAA">
                  <w:pPr>
                    <w:pStyle w:val="30"/>
                    <w:bidi w:val="0"/>
                    <w:rPr>
                      <w:rFonts w:hint="eastAsia"/>
                      <w:color w:val="auto"/>
                      <w:highlight w:val="none"/>
                    </w:rPr>
                  </w:pPr>
                  <w:r>
                    <w:rPr>
                      <w:rFonts w:hint="eastAsia"/>
                      <w:color w:val="auto"/>
                      <w:highlight w:val="none"/>
                      <w:lang w:val="en-US" w:eastAsia="zh-CN"/>
                    </w:rPr>
                    <w:t>石油类</w:t>
                  </w:r>
                </w:p>
              </w:tc>
              <w:tc>
                <w:tcPr>
                  <w:tcW w:w="918" w:type="dxa"/>
                  <w:shd w:val="clear" w:color="auto" w:fill="auto"/>
                  <w:vAlign w:val="center"/>
                </w:tcPr>
                <w:p w14:paraId="0854A913">
                  <w:pPr>
                    <w:pStyle w:val="30"/>
                    <w:bidi w:val="0"/>
                    <w:rPr>
                      <w:rFonts w:hint="eastAsia"/>
                      <w:color w:val="auto"/>
                      <w:highlight w:val="none"/>
                    </w:rPr>
                  </w:pPr>
                  <w:r>
                    <w:rPr>
                      <w:rFonts w:hint="eastAsia"/>
                      <w:color w:val="auto"/>
                      <w:highlight w:val="none"/>
                      <w:lang w:val="en-US" w:eastAsia="zh-CN"/>
                    </w:rPr>
                    <w:t xml:space="preserve">14.281 </w:t>
                  </w:r>
                </w:p>
              </w:tc>
              <w:tc>
                <w:tcPr>
                  <w:tcW w:w="801" w:type="dxa"/>
                  <w:shd w:val="clear" w:color="auto" w:fill="auto"/>
                  <w:vAlign w:val="center"/>
                </w:tcPr>
                <w:p w14:paraId="0791C93E">
                  <w:pPr>
                    <w:pStyle w:val="30"/>
                    <w:bidi w:val="0"/>
                    <w:rPr>
                      <w:rFonts w:hint="default"/>
                      <w:color w:val="auto"/>
                      <w:highlight w:val="none"/>
                      <w:lang w:val="en-US" w:eastAsia="zh-CN"/>
                    </w:rPr>
                  </w:pPr>
                  <w:r>
                    <w:rPr>
                      <w:rFonts w:hint="eastAsia"/>
                      <w:color w:val="auto"/>
                      <w:highlight w:val="none"/>
                      <w:lang w:val="en-US" w:eastAsia="zh-CN"/>
                    </w:rPr>
                    <w:t xml:space="preserve">0.034 </w:t>
                  </w:r>
                </w:p>
              </w:tc>
              <w:tc>
                <w:tcPr>
                  <w:tcW w:w="537" w:type="dxa"/>
                  <w:vMerge w:val="continue"/>
                </w:tcPr>
                <w:p w14:paraId="05E9A259">
                  <w:pPr>
                    <w:pStyle w:val="30"/>
                    <w:bidi w:val="0"/>
                    <w:rPr>
                      <w:color w:val="auto"/>
                      <w:highlight w:val="none"/>
                    </w:rPr>
                  </w:pPr>
                </w:p>
              </w:tc>
              <w:tc>
                <w:tcPr>
                  <w:tcW w:w="683" w:type="dxa"/>
                  <w:vMerge w:val="continue"/>
                  <w:shd w:val="clear" w:color="auto" w:fill="auto"/>
                  <w:vAlign w:val="center"/>
                </w:tcPr>
                <w:p w14:paraId="31DD34ED">
                  <w:pPr>
                    <w:pStyle w:val="30"/>
                    <w:bidi w:val="0"/>
                    <w:rPr>
                      <w:rFonts w:hint="eastAsia"/>
                      <w:color w:val="auto"/>
                      <w:highlight w:val="none"/>
                    </w:rPr>
                  </w:pPr>
                </w:p>
              </w:tc>
              <w:tc>
                <w:tcPr>
                  <w:tcW w:w="918" w:type="dxa"/>
                  <w:shd w:val="clear" w:color="auto" w:fill="auto"/>
                  <w:vAlign w:val="center"/>
                </w:tcPr>
                <w:p w14:paraId="45555745">
                  <w:pPr>
                    <w:pStyle w:val="30"/>
                    <w:bidi w:val="0"/>
                    <w:rPr>
                      <w:rFonts w:hint="default"/>
                      <w:color w:val="auto"/>
                      <w:highlight w:val="none"/>
                      <w:lang w:val="en-US" w:eastAsia="zh-CN"/>
                    </w:rPr>
                  </w:pPr>
                  <w:r>
                    <w:rPr>
                      <w:rFonts w:hint="eastAsia"/>
                      <w:color w:val="auto"/>
                      <w:highlight w:val="none"/>
                      <w:lang w:val="en-US" w:eastAsia="zh-CN"/>
                    </w:rPr>
                    <w:t xml:space="preserve">3.570 </w:t>
                  </w:r>
                </w:p>
              </w:tc>
              <w:tc>
                <w:tcPr>
                  <w:tcW w:w="944" w:type="dxa"/>
                  <w:shd w:val="clear" w:color="auto" w:fill="auto"/>
                  <w:vAlign w:val="center"/>
                </w:tcPr>
                <w:p w14:paraId="0BBCA5B0">
                  <w:pPr>
                    <w:pStyle w:val="30"/>
                    <w:bidi w:val="0"/>
                    <w:rPr>
                      <w:rFonts w:hint="default"/>
                      <w:color w:val="auto"/>
                      <w:highlight w:val="none"/>
                      <w:lang w:val="en-US" w:eastAsia="zh-CN"/>
                    </w:rPr>
                  </w:pPr>
                  <w:r>
                    <w:rPr>
                      <w:rFonts w:hint="eastAsia"/>
                      <w:color w:val="auto"/>
                      <w:highlight w:val="none"/>
                      <w:lang w:val="en-US" w:eastAsia="zh-CN"/>
                    </w:rPr>
                    <w:t xml:space="preserve">0.008 </w:t>
                  </w:r>
                </w:p>
              </w:tc>
            </w:tr>
          </w:tbl>
          <w:p w14:paraId="5C5489C9">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项目综合废水排放情况表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91"/>
              <w:gridCol w:w="938"/>
              <w:gridCol w:w="900"/>
              <w:gridCol w:w="1036"/>
              <w:gridCol w:w="2250"/>
              <w:gridCol w:w="1286"/>
            </w:tblGrid>
            <w:tr w14:paraId="089E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restart"/>
                  <w:vAlign w:val="center"/>
                </w:tcPr>
                <w:p w14:paraId="6F8E1AF5">
                  <w:pPr>
                    <w:pStyle w:val="30"/>
                    <w:bidi w:val="0"/>
                    <w:rPr>
                      <w:color w:val="auto"/>
                      <w:highlight w:val="none"/>
                    </w:rPr>
                  </w:pPr>
                  <w:r>
                    <w:rPr>
                      <w:color w:val="auto"/>
                      <w:highlight w:val="none"/>
                    </w:rPr>
                    <w:t>类别</w:t>
                  </w:r>
                </w:p>
              </w:tc>
              <w:tc>
                <w:tcPr>
                  <w:tcW w:w="938" w:type="dxa"/>
                  <w:vMerge w:val="restart"/>
                  <w:vAlign w:val="center"/>
                </w:tcPr>
                <w:p w14:paraId="2B433D57">
                  <w:pPr>
                    <w:pStyle w:val="30"/>
                    <w:bidi w:val="0"/>
                    <w:rPr>
                      <w:color w:val="auto"/>
                      <w:highlight w:val="none"/>
                    </w:rPr>
                  </w:pPr>
                  <w:r>
                    <w:rPr>
                      <w:color w:val="auto"/>
                      <w:highlight w:val="none"/>
                    </w:rPr>
                    <w:t>污染物</w:t>
                  </w:r>
                </w:p>
                <w:p w14:paraId="37866556">
                  <w:pPr>
                    <w:pStyle w:val="30"/>
                    <w:bidi w:val="0"/>
                    <w:rPr>
                      <w:color w:val="auto"/>
                      <w:highlight w:val="none"/>
                    </w:rPr>
                  </w:pPr>
                  <w:r>
                    <w:rPr>
                      <w:color w:val="auto"/>
                      <w:highlight w:val="none"/>
                    </w:rPr>
                    <w:t>名称</w:t>
                  </w:r>
                </w:p>
              </w:tc>
              <w:tc>
                <w:tcPr>
                  <w:tcW w:w="1936" w:type="dxa"/>
                  <w:gridSpan w:val="2"/>
                  <w:vAlign w:val="center"/>
                </w:tcPr>
                <w:p w14:paraId="255D9DC5">
                  <w:pPr>
                    <w:pStyle w:val="30"/>
                    <w:bidi w:val="0"/>
                    <w:rPr>
                      <w:color w:val="auto"/>
                      <w:highlight w:val="none"/>
                    </w:rPr>
                  </w:pPr>
                  <w:r>
                    <w:rPr>
                      <w:color w:val="auto"/>
                      <w:highlight w:val="none"/>
                    </w:rPr>
                    <w:t>排放情况</w:t>
                  </w:r>
                </w:p>
              </w:tc>
              <w:tc>
                <w:tcPr>
                  <w:tcW w:w="2250" w:type="dxa"/>
                  <w:vMerge w:val="restart"/>
                  <w:vAlign w:val="center"/>
                </w:tcPr>
                <w:p w14:paraId="09DA9118">
                  <w:pPr>
                    <w:pStyle w:val="30"/>
                    <w:bidi w:val="0"/>
                    <w:rPr>
                      <w:color w:val="auto"/>
                      <w:highlight w:val="none"/>
                    </w:rPr>
                  </w:pPr>
                  <w:r>
                    <w:rPr>
                      <w:rFonts w:hint="eastAsia"/>
                      <w:color w:val="auto"/>
                      <w:highlight w:val="none"/>
                    </w:rPr>
                    <w:t>排放标准</w:t>
                  </w:r>
                </w:p>
              </w:tc>
              <w:tc>
                <w:tcPr>
                  <w:tcW w:w="1286" w:type="dxa"/>
                  <w:vMerge w:val="restart"/>
                  <w:vAlign w:val="center"/>
                </w:tcPr>
                <w:p w14:paraId="637A8F4D">
                  <w:pPr>
                    <w:pStyle w:val="30"/>
                    <w:bidi w:val="0"/>
                    <w:rPr>
                      <w:color w:val="auto"/>
                      <w:highlight w:val="none"/>
                    </w:rPr>
                  </w:pPr>
                  <w:r>
                    <w:rPr>
                      <w:rFonts w:hint="eastAsia"/>
                      <w:color w:val="auto"/>
                      <w:highlight w:val="none"/>
                    </w:rPr>
                    <w:t>标准限值（mg/L）</w:t>
                  </w:r>
                </w:p>
              </w:tc>
            </w:tr>
            <w:tr w14:paraId="0DD7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vAlign w:val="center"/>
                </w:tcPr>
                <w:p w14:paraId="54BBD5DD">
                  <w:pPr>
                    <w:pStyle w:val="30"/>
                    <w:bidi w:val="0"/>
                    <w:rPr>
                      <w:color w:val="auto"/>
                      <w:highlight w:val="none"/>
                    </w:rPr>
                  </w:pPr>
                </w:p>
              </w:tc>
              <w:tc>
                <w:tcPr>
                  <w:tcW w:w="938" w:type="dxa"/>
                  <w:vMerge w:val="continue"/>
                  <w:vAlign w:val="center"/>
                </w:tcPr>
                <w:p w14:paraId="2228299D">
                  <w:pPr>
                    <w:pStyle w:val="30"/>
                    <w:bidi w:val="0"/>
                    <w:rPr>
                      <w:color w:val="auto"/>
                      <w:highlight w:val="none"/>
                    </w:rPr>
                  </w:pPr>
                </w:p>
              </w:tc>
              <w:tc>
                <w:tcPr>
                  <w:tcW w:w="900" w:type="dxa"/>
                  <w:vAlign w:val="center"/>
                </w:tcPr>
                <w:p w14:paraId="7BE2BB15">
                  <w:pPr>
                    <w:pStyle w:val="30"/>
                    <w:bidi w:val="0"/>
                    <w:rPr>
                      <w:color w:val="auto"/>
                      <w:highlight w:val="none"/>
                    </w:rPr>
                  </w:pPr>
                  <w:r>
                    <w:rPr>
                      <w:color w:val="auto"/>
                      <w:highlight w:val="none"/>
                    </w:rPr>
                    <w:t>排放浓度mg/m</w:t>
                  </w:r>
                  <w:r>
                    <w:rPr>
                      <w:color w:val="auto"/>
                      <w:highlight w:val="none"/>
                      <w:vertAlign w:val="superscript"/>
                    </w:rPr>
                    <w:t>3</w:t>
                  </w:r>
                </w:p>
              </w:tc>
              <w:tc>
                <w:tcPr>
                  <w:tcW w:w="1036" w:type="dxa"/>
                  <w:vAlign w:val="center"/>
                </w:tcPr>
                <w:p w14:paraId="23B36850">
                  <w:pPr>
                    <w:pStyle w:val="30"/>
                    <w:bidi w:val="0"/>
                    <w:rPr>
                      <w:color w:val="auto"/>
                      <w:highlight w:val="none"/>
                    </w:rPr>
                  </w:pPr>
                  <w:r>
                    <w:rPr>
                      <w:color w:val="auto"/>
                      <w:highlight w:val="none"/>
                    </w:rPr>
                    <w:t>排放量t/a</w:t>
                  </w:r>
                </w:p>
              </w:tc>
              <w:tc>
                <w:tcPr>
                  <w:tcW w:w="2250" w:type="dxa"/>
                  <w:vMerge w:val="continue"/>
                  <w:vAlign w:val="center"/>
                </w:tcPr>
                <w:p w14:paraId="5F25F9E9">
                  <w:pPr>
                    <w:pStyle w:val="30"/>
                    <w:bidi w:val="0"/>
                    <w:rPr>
                      <w:color w:val="auto"/>
                      <w:highlight w:val="none"/>
                    </w:rPr>
                  </w:pPr>
                </w:p>
              </w:tc>
              <w:tc>
                <w:tcPr>
                  <w:tcW w:w="1286" w:type="dxa"/>
                  <w:vMerge w:val="continue"/>
                  <w:vAlign w:val="center"/>
                </w:tcPr>
                <w:p w14:paraId="1A9BC466">
                  <w:pPr>
                    <w:pStyle w:val="30"/>
                    <w:bidi w:val="0"/>
                    <w:rPr>
                      <w:color w:val="auto"/>
                      <w:highlight w:val="none"/>
                    </w:rPr>
                  </w:pPr>
                </w:p>
              </w:tc>
            </w:tr>
            <w:tr w14:paraId="1C38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restart"/>
                  <w:shd w:val="clear" w:color="auto" w:fill="auto"/>
                  <w:vAlign w:val="center"/>
                </w:tcPr>
                <w:p w14:paraId="6B0D533E">
                  <w:pPr>
                    <w:pStyle w:val="30"/>
                    <w:bidi w:val="0"/>
                    <w:rPr>
                      <w:rFonts w:hint="default"/>
                      <w:color w:val="auto"/>
                      <w:highlight w:val="none"/>
                      <w:lang w:val="en-US" w:eastAsia="zh-CN"/>
                    </w:rPr>
                  </w:pPr>
                  <w:r>
                    <w:rPr>
                      <w:rFonts w:hint="eastAsia"/>
                      <w:color w:val="auto"/>
                      <w:highlight w:val="none"/>
                      <w:lang w:eastAsia="zh-CN"/>
                    </w:rPr>
                    <w:t>西侧地块废水排口</w:t>
                  </w:r>
                  <w:r>
                    <w:rPr>
                      <w:rFonts w:hint="eastAsia"/>
                      <w:color w:val="auto"/>
                      <w:highlight w:val="none"/>
                      <w:lang w:val="en-US" w:eastAsia="zh-CN"/>
                    </w:rPr>
                    <w:t>DW001</w:t>
                  </w:r>
                </w:p>
                <w:p w14:paraId="78840B18">
                  <w:pPr>
                    <w:pStyle w:val="30"/>
                    <w:bidi w:val="0"/>
                    <w:rPr>
                      <w:color w:val="auto"/>
                      <w:highlight w:val="none"/>
                    </w:rPr>
                  </w:pPr>
                  <w:r>
                    <w:rPr>
                      <w:rFonts w:hint="eastAsia"/>
                      <w:color w:val="auto"/>
                      <w:highlight w:val="none"/>
                      <w:lang w:val="en-US" w:eastAsia="zh-CN"/>
                    </w:rPr>
                    <w:t>3921.96</w:t>
                  </w:r>
                  <w:r>
                    <w:rPr>
                      <w:color w:val="auto"/>
                      <w:highlight w:val="none"/>
                    </w:rPr>
                    <w:t>m</w:t>
                  </w:r>
                  <w:r>
                    <w:rPr>
                      <w:color w:val="auto"/>
                      <w:highlight w:val="none"/>
                      <w:vertAlign w:val="superscript"/>
                    </w:rPr>
                    <w:t>3</w:t>
                  </w:r>
                  <w:r>
                    <w:rPr>
                      <w:rFonts w:hint="eastAsia"/>
                      <w:color w:val="auto"/>
                      <w:highlight w:val="none"/>
                    </w:rPr>
                    <w:t>/a</w:t>
                  </w:r>
                </w:p>
              </w:tc>
              <w:tc>
                <w:tcPr>
                  <w:tcW w:w="938" w:type="dxa"/>
                  <w:shd w:val="clear" w:color="auto" w:fill="auto"/>
                  <w:vAlign w:val="center"/>
                </w:tcPr>
                <w:p w14:paraId="24CB0CE2">
                  <w:pPr>
                    <w:pStyle w:val="30"/>
                    <w:bidi w:val="0"/>
                    <w:rPr>
                      <w:rFonts w:hint="default"/>
                      <w:color w:val="auto"/>
                      <w:highlight w:val="none"/>
                      <w:lang w:val="en-US"/>
                    </w:rPr>
                  </w:pPr>
                  <w:r>
                    <w:rPr>
                      <w:rFonts w:hint="eastAsia"/>
                      <w:color w:val="auto"/>
                      <w:highlight w:val="none"/>
                      <w:lang w:val="en-US" w:eastAsia="zh-CN"/>
                    </w:rPr>
                    <w:t>CODcr</w:t>
                  </w:r>
                </w:p>
              </w:tc>
              <w:tc>
                <w:tcPr>
                  <w:tcW w:w="900" w:type="dxa"/>
                  <w:shd w:val="clear" w:color="auto" w:fill="auto"/>
                  <w:vAlign w:val="center"/>
                </w:tcPr>
                <w:p w14:paraId="65269C86">
                  <w:pPr>
                    <w:pStyle w:val="30"/>
                    <w:bidi w:val="0"/>
                    <w:rPr>
                      <w:rFonts w:hint="default"/>
                      <w:color w:val="auto"/>
                      <w:highlight w:val="none"/>
                      <w:lang w:val="en-US" w:eastAsia="zh-CN"/>
                    </w:rPr>
                  </w:pPr>
                  <w:r>
                    <w:rPr>
                      <w:rFonts w:hint="eastAsia"/>
                      <w:color w:val="auto"/>
                      <w:highlight w:val="none"/>
                      <w:lang w:val="en-US" w:eastAsia="zh-CN"/>
                    </w:rPr>
                    <w:t xml:space="preserve">243.507 </w:t>
                  </w:r>
                </w:p>
              </w:tc>
              <w:tc>
                <w:tcPr>
                  <w:tcW w:w="1036" w:type="dxa"/>
                  <w:shd w:val="clear" w:color="auto" w:fill="auto"/>
                  <w:vAlign w:val="center"/>
                </w:tcPr>
                <w:p w14:paraId="38A3E43A">
                  <w:pPr>
                    <w:pStyle w:val="30"/>
                    <w:bidi w:val="0"/>
                    <w:rPr>
                      <w:rFonts w:hint="default"/>
                      <w:color w:val="auto"/>
                      <w:highlight w:val="none"/>
                      <w:lang w:val="en-US" w:eastAsia="zh-CN"/>
                    </w:rPr>
                  </w:pPr>
                  <w:r>
                    <w:rPr>
                      <w:rFonts w:hint="eastAsia"/>
                      <w:color w:val="auto"/>
                      <w:highlight w:val="none"/>
                      <w:lang w:val="en-US" w:eastAsia="zh-CN"/>
                    </w:rPr>
                    <w:t xml:space="preserve">0.955 </w:t>
                  </w:r>
                </w:p>
              </w:tc>
              <w:tc>
                <w:tcPr>
                  <w:tcW w:w="2250" w:type="dxa"/>
                  <w:vMerge w:val="restart"/>
                  <w:shd w:val="clear" w:color="auto" w:fill="auto"/>
                  <w:vAlign w:val="center"/>
                </w:tcPr>
                <w:p w14:paraId="5C15CC40">
                  <w:pPr>
                    <w:pStyle w:val="30"/>
                    <w:bidi w:val="0"/>
                    <w:ind w:left="0" w:leftChars="0" w:right="0" w:rightChars="0" w:firstLine="0" w:firstLineChars="0"/>
                    <w:jc w:val="center"/>
                    <w:rPr>
                      <w:color w:val="auto"/>
                      <w:highlight w:val="none"/>
                    </w:rPr>
                  </w:pPr>
                  <w:r>
                    <w:rPr>
                      <w:rFonts w:hint="eastAsia"/>
                      <w:color w:val="auto"/>
                      <w:highlight w:val="none"/>
                    </w:rPr>
                    <w:t>从严执行</w:t>
                  </w:r>
                  <w:r>
                    <w:rPr>
                      <w:rFonts w:hint="eastAsia"/>
                      <w:color w:val="auto"/>
                      <w:highlight w:val="none"/>
                      <w:lang w:eastAsia="zh-CN"/>
                    </w:rPr>
                    <w:t>石姚湾净水厂</w:t>
                  </w:r>
                  <w:r>
                    <w:rPr>
                      <w:rFonts w:hint="eastAsia"/>
                      <w:color w:val="auto"/>
                      <w:highlight w:val="none"/>
                    </w:rPr>
                    <w:t>接管浓度限值、</w:t>
                  </w:r>
                  <w:r>
                    <w:rPr>
                      <w:color w:val="auto"/>
                      <w:highlight w:val="none"/>
                    </w:rPr>
                    <w:t>《汽车维修业水污染物排放标准》（GB26877－2011）表2间接排放标准</w:t>
                  </w:r>
                  <w:r>
                    <w:rPr>
                      <w:rFonts w:hint="eastAsia"/>
                      <w:color w:val="auto"/>
                      <w:highlight w:val="none"/>
                      <w:lang w:eastAsia="zh-CN"/>
                    </w:rPr>
                    <w:t>、</w:t>
                  </w:r>
                  <w:r>
                    <w:rPr>
                      <w:rFonts w:hint="eastAsia"/>
                      <w:color w:val="auto"/>
                      <w:highlight w:val="none"/>
                    </w:rPr>
                    <w:t>《污水综合排放标准》（GB8978-1996）表4中三级标准</w:t>
                  </w:r>
                </w:p>
              </w:tc>
              <w:tc>
                <w:tcPr>
                  <w:tcW w:w="1286" w:type="dxa"/>
                  <w:shd w:val="clear" w:color="auto" w:fill="auto"/>
                  <w:vAlign w:val="center"/>
                </w:tcPr>
                <w:p w14:paraId="7CEFE9FC">
                  <w:pPr>
                    <w:pStyle w:val="30"/>
                    <w:bidi w:val="0"/>
                    <w:rPr>
                      <w:rFonts w:hint="default"/>
                      <w:color w:val="auto"/>
                      <w:highlight w:val="none"/>
                      <w:lang w:val="en-US" w:eastAsia="zh-CN"/>
                    </w:rPr>
                  </w:pPr>
                  <w:r>
                    <w:rPr>
                      <w:rFonts w:hint="eastAsia"/>
                      <w:color w:val="auto"/>
                      <w:highlight w:val="none"/>
                      <w:lang w:val="en-US" w:eastAsia="zh-CN"/>
                    </w:rPr>
                    <w:t>280</w:t>
                  </w:r>
                </w:p>
              </w:tc>
            </w:tr>
            <w:tr w14:paraId="3147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1EA20704">
                  <w:pPr>
                    <w:pStyle w:val="30"/>
                    <w:bidi w:val="0"/>
                    <w:rPr>
                      <w:color w:val="auto"/>
                      <w:highlight w:val="none"/>
                    </w:rPr>
                  </w:pPr>
                </w:p>
              </w:tc>
              <w:tc>
                <w:tcPr>
                  <w:tcW w:w="938" w:type="dxa"/>
                  <w:shd w:val="clear" w:color="auto" w:fill="auto"/>
                  <w:vAlign w:val="center"/>
                </w:tcPr>
                <w:p w14:paraId="6F5C86F5">
                  <w:pPr>
                    <w:pStyle w:val="30"/>
                    <w:bidi w:val="0"/>
                    <w:rPr>
                      <w:color w:val="auto"/>
                      <w:highlight w:val="none"/>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900" w:type="dxa"/>
                  <w:shd w:val="clear" w:color="auto" w:fill="auto"/>
                  <w:vAlign w:val="center"/>
                </w:tcPr>
                <w:p w14:paraId="121A7189">
                  <w:pPr>
                    <w:pStyle w:val="30"/>
                    <w:bidi w:val="0"/>
                    <w:rPr>
                      <w:rFonts w:hint="default"/>
                      <w:color w:val="auto"/>
                      <w:highlight w:val="none"/>
                      <w:lang w:val="en-US" w:eastAsia="zh-CN"/>
                    </w:rPr>
                  </w:pPr>
                  <w:r>
                    <w:rPr>
                      <w:rFonts w:hint="eastAsia"/>
                      <w:color w:val="auto"/>
                      <w:highlight w:val="none"/>
                      <w:lang w:val="en-US" w:eastAsia="zh-CN"/>
                    </w:rPr>
                    <w:t xml:space="preserve">79.270 </w:t>
                  </w:r>
                </w:p>
              </w:tc>
              <w:tc>
                <w:tcPr>
                  <w:tcW w:w="1036" w:type="dxa"/>
                  <w:shd w:val="clear" w:color="auto" w:fill="auto"/>
                  <w:vAlign w:val="center"/>
                </w:tcPr>
                <w:p w14:paraId="0A6816B3">
                  <w:pPr>
                    <w:pStyle w:val="30"/>
                    <w:bidi w:val="0"/>
                    <w:rPr>
                      <w:rFonts w:hint="default"/>
                      <w:color w:val="auto"/>
                      <w:highlight w:val="none"/>
                      <w:lang w:val="en-US" w:eastAsia="zh-CN"/>
                    </w:rPr>
                  </w:pPr>
                  <w:r>
                    <w:rPr>
                      <w:rFonts w:hint="eastAsia"/>
                      <w:color w:val="auto"/>
                      <w:highlight w:val="none"/>
                      <w:lang w:val="en-US" w:eastAsia="zh-CN"/>
                    </w:rPr>
                    <w:t xml:space="preserve">0.311 </w:t>
                  </w:r>
                </w:p>
              </w:tc>
              <w:tc>
                <w:tcPr>
                  <w:tcW w:w="2250" w:type="dxa"/>
                  <w:vMerge w:val="continue"/>
                  <w:vAlign w:val="center"/>
                </w:tcPr>
                <w:p w14:paraId="5AFA8415">
                  <w:pPr>
                    <w:pStyle w:val="30"/>
                    <w:bidi w:val="0"/>
                    <w:ind w:left="0" w:leftChars="0" w:right="0" w:rightChars="0" w:firstLine="0" w:firstLineChars="0"/>
                    <w:jc w:val="center"/>
                    <w:rPr>
                      <w:color w:val="auto"/>
                      <w:highlight w:val="none"/>
                    </w:rPr>
                  </w:pPr>
                </w:p>
              </w:tc>
              <w:tc>
                <w:tcPr>
                  <w:tcW w:w="1286" w:type="dxa"/>
                  <w:shd w:val="clear" w:color="auto" w:fill="auto"/>
                  <w:vAlign w:val="center"/>
                </w:tcPr>
                <w:p w14:paraId="796D753A">
                  <w:pPr>
                    <w:pStyle w:val="30"/>
                    <w:bidi w:val="0"/>
                    <w:rPr>
                      <w:rFonts w:hint="default"/>
                      <w:color w:val="auto"/>
                      <w:highlight w:val="none"/>
                      <w:lang w:val="en-US" w:eastAsia="zh-CN"/>
                    </w:rPr>
                  </w:pPr>
                  <w:r>
                    <w:rPr>
                      <w:rFonts w:hint="eastAsia"/>
                      <w:color w:val="auto"/>
                      <w:highlight w:val="none"/>
                      <w:lang w:val="en-US" w:eastAsia="zh-CN"/>
                    </w:rPr>
                    <w:t>105</w:t>
                  </w:r>
                </w:p>
              </w:tc>
            </w:tr>
            <w:tr w14:paraId="418E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3F583155">
                  <w:pPr>
                    <w:pStyle w:val="30"/>
                    <w:bidi w:val="0"/>
                    <w:rPr>
                      <w:color w:val="auto"/>
                      <w:highlight w:val="none"/>
                    </w:rPr>
                  </w:pPr>
                </w:p>
              </w:tc>
              <w:tc>
                <w:tcPr>
                  <w:tcW w:w="938" w:type="dxa"/>
                  <w:shd w:val="clear" w:color="auto" w:fill="auto"/>
                  <w:vAlign w:val="center"/>
                </w:tcPr>
                <w:p w14:paraId="60A63454">
                  <w:pPr>
                    <w:pStyle w:val="30"/>
                    <w:bidi w:val="0"/>
                    <w:rPr>
                      <w:color w:val="auto"/>
                      <w:highlight w:val="none"/>
                    </w:rPr>
                  </w:pPr>
                  <w:r>
                    <w:rPr>
                      <w:rFonts w:hint="eastAsia"/>
                      <w:color w:val="auto"/>
                      <w:highlight w:val="none"/>
                      <w:lang w:val="en-US" w:eastAsia="zh-CN"/>
                    </w:rPr>
                    <w:t>SS</w:t>
                  </w:r>
                </w:p>
              </w:tc>
              <w:tc>
                <w:tcPr>
                  <w:tcW w:w="900" w:type="dxa"/>
                  <w:shd w:val="clear" w:color="auto" w:fill="auto"/>
                  <w:vAlign w:val="center"/>
                </w:tcPr>
                <w:p w14:paraId="5562319E">
                  <w:pPr>
                    <w:pStyle w:val="30"/>
                    <w:bidi w:val="0"/>
                    <w:rPr>
                      <w:rFonts w:hint="default"/>
                      <w:color w:val="auto"/>
                      <w:highlight w:val="none"/>
                      <w:lang w:val="en-US" w:eastAsia="zh-CN"/>
                    </w:rPr>
                  </w:pPr>
                  <w:r>
                    <w:rPr>
                      <w:rFonts w:hint="eastAsia"/>
                      <w:color w:val="auto"/>
                      <w:highlight w:val="none"/>
                      <w:lang w:val="en-US" w:eastAsia="zh-CN"/>
                    </w:rPr>
                    <w:t xml:space="preserve">17.422 </w:t>
                  </w:r>
                </w:p>
              </w:tc>
              <w:tc>
                <w:tcPr>
                  <w:tcW w:w="1036" w:type="dxa"/>
                  <w:shd w:val="clear" w:color="auto" w:fill="auto"/>
                  <w:vAlign w:val="center"/>
                </w:tcPr>
                <w:p w14:paraId="3355C102">
                  <w:pPr>
                    <w:pStyle w:val="30"/>
                    <w:bidi w:val="0"/>
                    <w:rPr>
                      <w:rFonts w:hint="default"/>
                      <w:color w:val="auto"/>
                      <w:highlight w:val="none"/>
                      <w:lang w:val="en-US" w:eastAsia="zh-CN"/>
                    </w:rPr>
                  </w:pPr>
                  <w:r>
                    <w:rPr>
                      <w:rFonts w:hint="eastAsia"/>
                      <w:color w:val="auto"/>
                      <w:highlight w:val="none"/>
                      <w:lang w:val="en-US" w:eastAsia="zh-CN"/>
                    </w:rPr>
                    <w:t xml:space="preserve">0.068 </w:t>
                  </w:r>
                </w:p>
              </w:tc>
              <w:tc>
                <w:tcPr>
                  <w:tcW w:w="2250" w:type="dxa"/>
                  <w:vMerge w:val="continue"/>
                  <w:vAlign w:val="center"/>
                </w:tcPr>
                <w:p w14:paraId="0483E78C">
                  <w:pPr>
                    <w:pStyle w:val="30"/>
                    <w:bidi w:val="0"/>
                    <w:ind w:left="0" w:leftChars="0" w:right="0" w:rightChars="0" w:firstLine="0" w:firstLineChars="0"/>
                    <w:jc w:val="center"/>
                    <w:rPr>
                      <w:color w:val="auto"/>
                      <w:highlight w:val="none"/>
                    </w:rPr>
                  </w:pPr>
                </w:p>
              </w:tc>
              <w:tc>
                <w:tcPr>
                  <w:tcW w:w="1286" w:type="dxa"/>
                  <w:shd w:val="clear" w:color="auto" w:fill="auto"/>
                  <w:vAlign w:val="center"/>
                </w:tcPr>
                <w:p w14:paraId="0AA13BD9">
                  <w:pPr>
                    <w:pStyle w:val="30"/>
                    <w:bidi w:val="0"/>
                    <w:rPr>
                      <w:rFonts w:hint="default"/>
                      <w:color w:val="auto"/>
                      <w:highlight w:val="none"/>
                      <w:lang w:val="en-US" w:eastAsia="zh-CN"/>
                    </w:rPr>
                  </w:pPr>
                  <w:r>
                    <w:rPr>
                      <w:rFonts w:hint="eastAsia"/>
                      <w:color w:val="auto"/>
                      <w:highlight w:val="none"/>
                      <w:lang w:val="en-US" w:eastAsia="zh-CN"/>
                    </w:rPr>
                    <w:t>100</w:t>
                  </w:r>
                </w:p>
              </w:tc>
            </w:tr>
            <w:tr w14:paraId="03B9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246349F3">
                  <w:pPr>
                    <w:pStyle w:val="30"/>
                    <w:bidi w:val="0"/>
                    <w:rPr>
                      <w:color w:val="auto"/>
                      <w:highlight w:val="none"/>
                    </w:rPr>
                  </w:pPr>
                </w:p>
              </w:tc>
              <w:tc>
                <w:tcPr>
                  <w:tcW w:w="938" w:type="dxa"/>
                  <w:shd w:val="clear" w:color="auto" w:fill="auto"/>
                  <w:vAlign w:val="center"/>
                </w:tcPr>
                <w:p w14:paraId="659F5312">
                  <w:pPr>
                    <w:pStyle w:val="30"/>
                    <w:bidi w:val="0"/>
                    <w:rPr>
                      <w:color w:val="auto"/>
                      <w:highlight w:val="none"/>
                    </w:rPr>
                  </w:pPr>
                  <w:r>
                    <w:rPr>
                      <w:rFonts w:hint="default"/>
                      <w:color w:val="auto"/>
                      <w:highlight w:val="none"/>
                      <w:lang w:val="en-US" w:eastAsia="zh-CN"/>
                    </w:rPr>
                    <w:t>NH</w:t>
                  </w:r>
                  <w:r>
                    <w:rPr>
                      <w:rFonts w:hint="default"/>
                      <w:color w:val="auto"/>
                      <w:highlight w:val="none"/>
                      <w:vertAlign w:val="subscript"/>
                      <w:lang w:val="en-US" w:eastAsia="zh-CN"/>
                    </w:rPr>
                    <w:t>3</w:t>
                  </w:r>
                  <w:r>
                    <w:rPr>
                      <w:rFonts w:hint="default"/>
                      <w:color w:val="auto"/>
                      <w:highlight w:val="none"/>
                      <w:lang w:val="en-US" w:eastAsia="zh-CN"/>
                    </w:rPr>
                    <w:t>-N</w:t>
                  </w:r>
                </w:p>
              </w:tc>
              <w:tc>
                <w:tcPr>
                  <w:tcW w:w="900" w:type="dxa"/>
                  <w:shd w:val="clear" w:color="auto" w:fill="auto"/>
                  <w:vAlign w:val="center"/>
                </w:tcPr>
                <w:p w14:paraId="238DD068">
                  <w:pPr>
                    <w:pStyle w:val="30"/>
                    <w:bidi w:val="0"/>
                    <w:rPr>
                      <w:rFonts w:hint="default"/>
                      <w:color w:val="auto"/>
                      <w:highlight w:val="none"/>
                      <w:lang w:val="en-US" w:eastAsia="zh-CN"/>
                    </w:rPr>
                  </w:pPr>
                  <w:r>
                    <w:rPr>
                      <w:rFonts w:hint="eastAsia"/>
                      <w:color w:val="auto"/>
                      <w:highlight w:val="none"/>
                      <w:lang w:val="en-US" w:eastAsia="zh-CN"/>
                    </w:rPr>
                    <w:t xml:space="preserve">97.293 </w:t>
                  </w:r>
                </w:p>
              </w:tc>
              <w:tc>
                <w:tcPr>
                  <w:tcW w:w="1036" w:type="dxa"/>
                  <w:shd w:val="clear" w:color="auto" w:fill="auto"/>
                  <w:vAlign w:val="center"/>
                </w:tcPr>
                <w:p w14:paraId="2CCB9CFC">
                  <w:pPr>
                    <w:pStyle w:val="30"/>
                    <w:bidi w:val="0"/>
                    <w:rPr>
                      <w:rFonts w:hint="default"/>
                      <w:color w:val="auto"/>
                      <w:highlight w:val="none"/>
                      <w:lang w:val="en-US" w:eastAsia="zh-CN"/>
                    </w:rPr>
                  </w:pPr>
                  <w:r>
                    <w:rPr>
                      <w:rFonts w:hint="eastAsia"/>
                      <w:color w:val="auto"/>
                      <w:highlight w:val="none"/>
                      <w:lang w:val="en-US" w:eastAsia="zh-CN"/>
                    </w:rPr>
                    <w:t xml:space="preserve">0.382 </w:t>
                  </w:r>
                </w:p>
              </w:tc>
              <w:tc>
                <w:tcPr>
                  <w:tcW w:w="2250" w:type="dxa"/>
                  <w:vMerge w:val="continue"/>
                  <w:vAlign w:val="center"/>
                </w:tcPr>
                <w:p w14:paraId="188B0D7D">
                  <w:pPr>
                    <w:pStyle w:val="30"/>
                    <w:bidi w:val="0"/>
                    <w:ind w:left="0" w:leftChars="0" w:right="0" w:rightChars="0" w:firstLine="0" w:firstLineChars="0"/>
                    <w:jc w:val="center"/>
                    <w:rPr>
                      <w:color w:val="auto"/>
                      <w:highlight w:val="none"/>
                    </w:rPr>
                  </w:pPr>
                </w:p>
              </w:tc>
              <w:tc>
                <w:tcPr>
                  <w:tcW w:w="1286" w:type="dxa"/>
                  <w:shd w:val="clear" w:color="auto" w:fill="auto"/>
                  <w:vAlign w:val="center"/>
                </w:tcPr>
                <w:p w14:paraId="123928A6">
                  <w:pPr>
                    <w:pStyle w:val="30"/>
                    <w:bidi w:val="0"/>
                    <w:rPr>
                      <w:rFonts w:hint="default"/>
                      <w:color w:val="auto"/>
                      <w:highlight w:val="none"/>
                      <w:lang w:val="en-US" w:eastAsia="zh-CN"/>
                    </w:rPr>
                  </w:pPr>
                  <w:r>
                    <w:rPr>
                      <w:rFonts w:hint="eastAsia"/>
                      <w:color w:val="auto"/>
                      <w:highlight w:val="none"/>
                      <w:lang w:val="en-US" w:eastAsia="zh-CN"/>
                    </w:rPr>
                    <w:t>25</w:t>
                  </w:r>
                </w:p>
              </w:tc>
            </w:tr>
            <w:tr w14:paraId="7098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11E8BDC9">
                  <w:pPr>
                    <w:pStyle w:val="30"/>
                    <w:bidi w:val="0"/>
                    <w:rPr>
                      <w:color w:val="auto"/>
                      <w:highlight w:val="none"/>
                    </w:rPr>
                  </w:pPr>
                </w:p>
              </w:tc>
              <w:tc>
                <w:tcPr>
                  <w:tcW w:w="938" w:type="dxa"/>
                  <w:shd w:val="clear" w:color="auto" w:fill="auto"/>
                  <w:vAlign w:val="center"/>
                </w:tcPr>
                <w:p w14:paraId="5327F525">
                  <w:pPr>
                    <w:pStyle w:val="30"/>
                    <w:bidi w:val="0"/>
                    <w:rPr>
                      <w:color w:val="auto"/>
                      <w:highlight w:val="none"/>
                    </w:rPr>
                  </w:pPr>
                  <w:r>
                    <w:rPr>
                      <w:rFonts w:hint="eastAsia"/>
                      <w:color w:val="auto"/>
                      <w:highlight w:val="none"/>
                      <w:lang w:val="en-US" w:eastAsia="zh-CN"/>
                    </w:rPr>
                    <w:t>动植物油</w:t>
                  </w:r>
                </w:p>
              </w:tc>
              <w:tc>
                <w:tcPr>
                  <w:tcW w:w="900" w:type="dxa"/>
                  <w:shd w:val="clear" w:color="auto" w:fill="auto"/>
                  <w:vAlign w:val="center"/>
                </w:tcPr>
                <w:p w14:paraId="1EE4E2F5">
                  <w:pPr>
                    <w:pStyle w:val="30"/>
                    <w:bidi w:val="0"/>
                    <w:rPr>
                      <w:rFonts w:hint="default"/>
                      <w:color w:val="auto"/>
                      <w:highlight w:val="none"/>
                      <w:lang w:val="en-US" w:eastAsia="zh-CN"/>
                    </w:rPr>
                  </w:pPr>
                  <w:r>
                    <w:rPr>
                      <w:rFonts w:hint="eastAsia"/>
                      <w:color w:val="auto"/>
                      <w:highlight w:val="none"/>
                      <w:lang w:val="en-US" w:eastAsia="zh-CN"/>
                    </w:rPr>
                    <w:t xml:space="preserve">10.721 </w:t>
                  </w:r>
                </w:p>
              </w:tc>
              <w:tc>
                <w:tcPr>
                  <w:tcW w:w="1036" w:type="dxa"/>
                  <w:shd w:val="clear" w:color="auto" w:fill="auto"/>
                  <w:vAlign w:val="center"/>
                </w:tcPr>
                <w:p w14:paraId="0A41F9DB">
                  <w:pPr>
                    <w:pStyle w:val="30"/>
                    <w:bidi w:val="0"/>
                    <w:rPr>
                      <w:rFonts w:hint="default"/>
                      <w:color w:val="auto"/>
                      <w:highlight w:val="none"/>
                      <w:lang w:val="en-US" w:eastAsia="zh-CN"/>
                    </w:rPr>
                  </w:pPr>
                  <w:r>
                    <w:rPr>
                      <w:rFonts w:hint="eastAsia"/>
                      <w:color w:val="auto"/>
                      <w:highlight w:val="none"/>
                      <w:lang w:val="en-US" w:eastAsia="zh-CN"/>
                    </w:rPr>
                    <w:t xml:space="preserve">0.042 </w:t>
                  </w:r>
                </w:p>
              </w:tc>
              <w:tc>
                <w:tcPr>
                  <w:tcW w:w="2250" w:type="dxa"/>
                  <w:vMerge w:val="continue"/>
                  <w:vAlign w:val="center"/>
                </w:tcPr>
                <w:p w14:paraId="70DF7CB8">
                  <w:pPr>
                    <w:pStyle w:val="30"/>
                    <w:bidi w:val="0"/>
                    <w:ind w:left="0" w:leftChars="0" w:right="0" w:rightChars="0" w:firstLine="0" w:firstLineChars="0"/>
                    <w:jc w:val="center"/>
                    <w:rPr>
                      <w:color w:val="auto"/>
                      <w:highlight w:val="none"/>
                    </w:rPr>
                  </w:pPr>
                </w:p>
              </w:tc>
              <w:tc>
                <w:tcPr>
                  <w:tcW w:w="1286" w:type="dxa"/>
                  <w:shd w:val="clear" w:color="auto" w:fill="auto"/>
                  <w:vAlign w:val="center"/>
                </w:tcPr>
                <w:p w14:paraId="6DE25D6F">
                  <w:pPr>
                    <w:pStyle w:val="30"/>
                    <w:bidi w:val="0"/>
                    <w:rPr>
                      <w:rFonts w:hint="default"/>
                      <w:color w:val="auto"/>
                      <w:highlight w:val="none"/>
                      <w:lang w:val="en-US" w:eastAsia="zh-CN"/>
                    </w:rPr>
                  </w:pPr>
                  <w:r>
                    <w:rPr>
                      <w:rFonts w:hint="eastAsia"/>
                      <w:color w:val="auto"/>
                      <w:highlight w:val="none"/>
                      <w:lang w:val="en-US" w:eastAsia="zh-CN"/>
                    </w:rPr>
                    <w:t>100</w:t>
                  </w:r>
                </w:p>
              </w:tc>
            </w:tr>
            <w:tr w14:paraId="7D42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48B6281E">
                  <w:pPr>
                    <w:pStyle w:val="30"/>
                    <w:bidi w:val="0"/>
                    <w:rPr>
                      <w:color w:val="auto"/>
                      <w:highlight w:val="none"/>
                    </w:rPr>
                  </w:pPr>
                </w:p>
              </w:tc>
              <w:tc>
                <w:tcPr>
                  <w:tcW w:w="938" w:type="dxa"/>
                  <w:shd w:val="clear" w:color="auto" w:fill="auto"/>
                  <w:vAlign w:val="center"/>
                </w:tcPr>
                <w:p w14:paraId="247E7919">
                  <w:pPr>
                    <w:pStyle w:val="30"/>
                    <w:bidi w:val="0"/>
                    <w:rPr>
                      <w:color w:val="auto"/>
                      <w:highlight w:val="none"/>
                    </w:rPr>
                  </w:pPr>
                  <w:r>
                    <w:rPr>
                      <w:rFonts w:hint="eastAsia"/>
                      <w:color w:val="auto"/>
                      <w:highlight w:val="none"/>
                      <w:lang w:val="en-US" w:eastAsia="zh-CN"/>
                    </w:rPr>
                    <w:t>石油类</w:t>
                  </w:r>
                </w:p>
              </w:tc>
              <w:tc>
                <w:tcPr>
                  <w:tcW w:w="900" w:type="dxa"/>
                  <w:shd w:val="clear" w:color="auto" w:fill="auto"/>
                  <w:vAlign w:val="center"/>
                </w:tcPr>
                <w:p w14:paraId="0CA5A0BC">
                  <w:pPr>
                    <w:pStyle w:val="30"/>
                    <w:bidi w:val="0"/>
                    <w:rPr>
                      <w:rFonts w:hint="default"/>
                      <w:color w:val="auto"/>
                      <w:highlight w:val="none"/>
                      <w:lang w:val="en-US" w:eastAsia="zh-CN"/>
                    </w:rPr>
                  </w:pPr>
                  <w:r>
                    <w:rPr>
                      <w:rFonts w:hint="eastAsia"/>
                      <w:color w:val="auto"/>
                      <w:highlight w:val="none"/>
                      <w:lang w:val="en-US" w:eastAsia="zh-CN"/>
                    </w:rPr>
                    <w:t xml:space="preserve">0.773 </w:t>
                  </w:r>
                </w:p>
              </w:tc>
              <w:tc>
                <w:tcPr>
                  <w:tcW w:w="1036" w:type="dxa"/>
                  <w:shd w:val="clear" w:color="auto" w:fill="auto"/>
                  <w:vAlign w:val="center"/>
                </w:tcPr>
                <w:p w14:paraId="040C525B">
                  <w:pPr>
                    <w:pStyle w:val="30"/>
                    <w:bidi w:val="0"/>
                    <w:rPr>
                      <w:rFonts w:hint="default"/>
                      <w:color w:val="auto"/>
                      <w:highlight w:val="none"/>
                      <w:lang w:val="en-US" w:eastAsia="zh-CN"/>
                    </w:rPr>
                  </w:pPr>
                  <w:r>
                    <w:rPr>
                      <w:rFonts w:hint="eastAsia"/>
                      <w:color w:val="auto"/>
                      <w:highlight w:val="none"/>
                      <w:lang w:val="en-US" w:eastAsia="zh-CN"/>
                    </w:rPr>
                    <w:t xml:space="preserve">0.003 </w:t>
                  </w:r>
                </w:p>
              </w:tc>
              <w:tc>
                <w:tcPr>
                  <w:tcW w:w="2250" w:type="dxa"/>
                  <w:vMerge w:val="continue"/>
                  <w:vAlign w:val="center"/>
                </w:tcPr>
                <w:p w14:paraId="67B3CCBA">
                  <w:pPr>
                    <w:pStyle w:val="30"/>
                    <w:bidi w:val="0"/>
                    <w:ind w:left="0" w:leftChars="0" w:right="0" w:rightChars="0" w:firstLine="0" w:firstLineChars="0"/>
                    <w:jc w:val="center"/>
                    <w:rPr>
                      <w:color w:val="auto"/>
                      <w:highlight w:val="none"/>
                    </w:rPr>
                  </w:pPr>
                </w:p>
              </w:tc>
              <w:tc>
                <w:tcPr>
                  <w:tcW w:w="1286" w:type="dxa"/>
                  <w:shd w:val="clear" w:color="auto" w:fill="auto"/>
                  <w:vAlign w:val="center"/>
                </w:tcPr>
                <w:p w14:paraId="61C36E51">
                  <w:pPr>
                    <w:pStyle w:val="30"/>
                    <w:bidi w:val="0"/>
                    <w:rPr>
                      <w:rFonts w:hint="default"/>
                      <w:color w:val="auto"/>
                      <w:highlight w:val="none"/>
                      <w:lang w:val="en-US" w:eastAsia="zh-CN"/>
                    </w:rPr>
                  </w:pPr>
                  <w:r>
                    <w:rPr>
                      <w:rFonts w:hint="eastAsia"/>
                      <w:color w:val="auto"/>
                      <w:highlight w:val="none"/>
                      <w:lang w:val="en-US" w:eastAsia="zh-CN"/>
                    </w:rPr>
                    <w:t>10</w:t>
                  </w:r>
                </w:p>
              </w:tc>
            </w:tr>
            <w:tr w14:paraId="7084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08276704">
                  <w:pPr>
                    <w:pStyle w:val="30"/>
                    <w:bidi w:val="0"/>
                    <w:rPr>
                      <w:color w:val="auto"/>
                      <w:highlight w:val="none"/>
                    </w:rPr>
                  </w:pPr>
                </w:p>
              </w:tc>
              <w:tc>
                <w:tcPr>
                  <w:tcW w:w="938" w:type="dxa"/>
                  <w:shd w:val="clear" w:color="auto" w:fill="auto"/>
                  <w:vAlign w:val="center"/>
                </w:tcPr>
                <w:p w14:paraId="6D6D4DE3">
                  <w:pPr>
                    <w:pStyle w:val="30"/>
                    <w:bidi w:val="0"/>
                    <w:rPr>
                      <w:color w:val="auto"/>
                      <w:highlight w:val="none"/>
                    </w:rPr>
                  </w:pPr>
                  <w:r>
                    <w:rPr>
                      <w:rFonts w:hint="eastAsia"/>
                      <w:color w:val="auto"/>
                      <w:highlight w:val="none"/>
                      <w:lang w:val="en-US" w:eastAsia="zh-CN"/>
                    </w:rPr>
                    <w:t>LAS</w:t>
                  </w:r>
                </w:p>
              </w:tc>
              <w:tc>
                <w:tcPr>
                  <w:tcW w:w="900" w:type="dxa"/>
                  <w:shd w:val="clear" w:color="auto" w:fill="auto"/>
                  <w:vAlign w:val="center"/>
                </w:tcPr>
                <w:p w14:paraId="769C00BC">
                  <w:pPr>
                    <w:pStyle w:val="30"/>
                    <w:bidi w:val="0"/>
                    <w:rPr>
                      <w:rFonts w:hint="default"/>
                      <w:color w:val="auto"/>
                      <w:highlight w:val="none"/>
                      <w:lang w:val="en-US" w:eastAsia="zh-CN"/>
                    </w:rPr>
                  </w:pPr>
                  <w:r>
                    <w:rPr>
                      <w:rFonts w:hint="eastAsia"/>
                      <w:color w:val="auto"/>
                      <w:highlight w:val="none"/>
                      <w:lang w:val="en-US" w:eastAsia="zh-CN"/>
                    </w:rPr>
                    <w:t xml:space="preserve">0.355 </w:t>
                  </w:r>
                </w:p>
              </w:tc>
              <w:tc>
                <w:tcPr>
                  <w:tcW w:w="1036" w:type="dxa"/>
                  <w:shd w:val="clear" w:color="auto" w:fill="auto"/>
                  <w:vAlign w:val="center"/>
                </w:tcPr>
                <w:p w14:paraId="547840BA">
                  <w:pPr>
                    <w:pStyle w:val="30"/>
                    <w:bidi w:val="0"/>
                    <w:rPr>
                      <w:rFonts w:hint="default"/>
                      <w:color w:val="auto"/>
                      <w:highlight w:val="none"/>
                      <w:lang w:val="en-US" w:eastAsia="zh-CN"/>
                    </w:rPr>
                  </w:pPr>
                  <w:r>
                    <w:rPr>
                      <w:rFonts w:hint="default"/>
                      <w:color w:val="auto"/>
                      <w:highlight w:val="none"/>
                      <w:lang w:val="en-US" w:eastAsia="zh-CN"/>
                    </w:rPr>
                    <w:t xml:space="preserve">0.001 </w:t>
                  </w:r>
                </w:p>
              </w:tc>
              <w:tc>
                <w:tcPr>
                  <w:tcW w:w="2250" w:type="dxa"/>
                  <w:vMerge w:val="continue"/>
                  <w:vAlign w:val="center"/>
                </w:tcPr>
                <w:p w14:paraId="65BC8ACD">
                  <w:pPr>
                    <w:pStyle w:val="30"/>
                    <w:bidi w:val="0"/>
                    <w:ind w:left="0" w:leftChars="0" w:right="0" w:rightChars="0" w:firstLine="0" w:firstLineChars="0"/>
                    <w:jc w:val="center"/>
                    <w:rPr>
                      <w:color w:val="auto"/>
                      <w:highlight w:val="none"/>
                    </w:rPr>
                  </w:pPr>
                </w:p>
              </w:tc>
              <w:tc>
                <w:tcPr>
                  <w:tcW w:w="1286" w:type="dxa"/>
                  <w:shd w:val="clear" w:color="auto" w:fill="auto"/>
                  <w:vAlign w:val="center"/>
                </w:tcPr>
                <w:p w14:paraId="28DA5E1D">
                  <w:pPr>
                    <w:pStyle w:val="30"/>
                    <w:bidi w:val="0"/>
                    <w:rPr>
                      <w:rFonts w:hint="default"/>
                      <w:color w:val="auto"/>
                      <w:highlight w:val="none"/>
                      <w:lang w:val="en-US" w:eastAsia="zh-CN"/>
                    </w:rPr>
                  </w:pPr>
                  <w:r>
                    <w:rPr>
                      <w:rFonts w:hint="eastAsia"/>
                      <w:color w:val="auto"/>
                      <w:highlight w:val="none"/>
                      <w:lang w:val="en-US" w:eastAsia="zh-CN"/>
                    </w:rPr>
                    <w:t>10</w:t>
                  </w:r>
                </w:p>
              </w:tc>
            </w:tr>
            <w:tr w14:paraId="0CA8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restart"/>
                </w:tcPr>
                <w:p w14:paraId="21505359">
                  <w:pPr>
                    <w:pStyle w:val="30"/>
                    <w:bidi w:val="0"/>
                    <w:rPr>
                      <w:rFonts w:hint="eastAsia"/>
                      <w:color w:val="auto"/>
                      <w:highlight w:val="none"/>
                      <w:lang w:val="en-US" w:eastAsia="zh-CN"/>
                    </w:rPr>
                  </w:pPr>
                  <w:r>
                    <w:rPr>
                      <w:rFonts w:hint="eastAsia"/>
                      <w:color w:val="auto"/>
                      <w:highlight w:val="none"/>
                      <w:lang w:eastAsia="zh-CN"/>
                    </w:rPr>
                    <w:t>东侧地块废水排口</w:t>
                  </w:r>
                  <w:r>
                    <w:rPr>
                      <w:rFonts w:hint="eastAsia"/>
                      <w:color w:val="auto"/>
                      <w:highlight w:val="none"/>
                      <w:lang w:val="en-US" w:eastAsia="zh-CN"/>
                    </w:rPr>
                    <w:t>DW002</w:t>
                  </w:r>
                </w:p>
                <w:p w14:paraId="6352C06E">
                  <w:pPr>
                    <w:pStyle w:val="30"/>
                    <w:bidi w:val="0"/>
                    <w:rPr>
                      <w:color w:val="auto"/>
                      <w:highlight w:val="none"/>
                    </w:rPr>
                  </w:pPr>
                  <w:r>
                    <w:rPr>
                      <w:rFonts w:hint="eastAsia"/>
                      <w:color w:val="auto"/>
                      <w:highlight w:val="none"/>
                      <w:lang w:val="en-US" w:eastAsia="zh-CN"/>
                    </w:rPr>
                    <w:t>2348.82</w:t>
                  </w:r>
                  <w:r>
                    <w:rPr>
                      <w:color w:val="auto"/>
                      <w:highlight w:val="none"/>
                    </w:rPr>
                    <w:t>m</w:t>
                  </w:r>
                  <w:r>
                    <w:rPr>
                      <w:color w:val="auto"/>
                      <w:highlight w:val="none"/>
                      <w:vertAlign w:val="superscript"/>
                    </w:rPr>
                    <w:t>3</w:t>
                  </w:r>
                  <w:r>
                    <w:rPr>
                      <w:rFonts w:hint="eastAsia"/>
                      <w:color w:val="auto"/>
                      <w:highlight w:val="none"/>
                    </w:rPr>
                    <w:t>/a</w:t>
                  </w:r>
                </w:p>
              </w:tc>
              <w:tc>
                <w:tcPr>
                  <w:tcW w:w="938" w:type="dxa"/>
                  <w:shd w:val="clear" w:color="auto" w:fill="auto"/>
                  <w:vAlign w:val="center"/>
                </w:tcPr>
                <w:p w14:paraId="09E8B337">
                  <w:pPr>
                    <w:pStyle w:val="30"/>
                    <w:bidi w:val="0"/>
                    <w:rPr>
                      <w:rFonts w:hint="eastAsia"/>
                      <w:color w:val="auto"/>
                      <w:highlight w:val="none"/>
                      <w:lang w:val="en-US" w:eastAsia="zh-CN"/>
                    </w:rPr>
                  </w:pPr>
                  <w:r>
                    <w:rPr>
                      <w:rFonts w:hint="default"/>
                      <w:color w:val="auto"/>
                      <w:highlight w:val="none"/>
                      <w:lang w:val="en-US" w:eastAsia="zh-CN"/>
                    </w:rPr>
                    <w:t>COD</w:t>
                  </w:r>
                </w:p>
              </w:tc>
              <w:tc>
                <w:tcPr>
                  <w:tcW w:w="900" w:type="dxa"/>
                  <w:shd w:val="clear" w:color="auto" w:fill="auto"/>
                  <w:vAlign w:val="center"/>
                </w:tcPr>
                <w:p w14:paraId="680F2727">
                  <w:pPr>
                    <w:pStyle w:val="30"/>
                    <w:bidi w:val="0"/>
                    <w:rPr>
                      <w:rFonts w:hint="eastAsia"/>
                      <w:color w:val="auto"/>
                      <w:highlight w:val="none"/>
                      <w:lang w:val="en-US" w:eastAsia="zh-CN"/>
                    </w:rPr>
                  </w:pPr>
                  <w:r>
                    <w:rPr>
                      <w:rFonts w:hint="eastAsia"/>
                      <w:color w:val="auto"/>
                      <w:highlight w:val="none"/>
                      <w:lang w:val="en-US" w:eastAsia="zh-CN"/>
                    </w:rPr>
                    <w:t xml:space="preserve">148.045 </w:t>
                  </w:r>
                </w:p>
              </w:tc>
              <w:tc>
                <w:tcPr>
                  <w:tcW w:w="1036" w:type="dxa"/>
                  <w:shd w:val="clear" w:color="auto" w:fill="auto"/>
                  <w:vAlign w:val="center"/>
                </w:tcPr>
                <w:p w14:paraId="729A26EA">
                  <w:pPr>
                    <w:pStyle w:val="30"/>
                    <w:bidi w:val="0"/>
                    <w:rPr>
                      <w:rFonts w:hint="eastAsia"/>
                      <w:color w:val="auto"/>
                      <w:highlight w:val="none"/>
                      <w:lang w:val="en-US" w:eastAsia="zh-CN"/>
                    </w:rPr>
                  </w:pPr>
                  <w:r>
                    <w:rPr>
                      <w:rFonts w:hint="eastAsia"/>
                      <w:color w:val="auto"/>
                      <w:highlight w:val="none"/>
                      <w:lang w:val="en-US" w:eastAsia="zh-CN"/>
                    </w:rPr>
                    <w:t xml:space="preserve">0.348 </w:t>
                  </w:r>
                </w:p>
              </w:tc>
              <w:tc>
                <w:tcPr>
                  <w:tcW w:w="2250" w:type="dxa"/>
                  <w:vMerge w:val="restart"/>
                  <w:vAlign w:val="center"/>
                </w:tcPr>
                <w:p w14:paraId="4680C3D0">
                  <w:pPr>
                    <w:pStyle w:val="30"/>
                    <w:bidi w:val="0"/>
                    <w:ind w:left="0" w:leftChars="0" w:right="0" w:rightChars="0" w:firstLine="0" w:firstLineChars="0"/>
                    <w:jc w:val="center"/>
                    <w:rPr>
                      <w:color w:val="auto"/>
                      <w:highlight w:val="none"/>
                    </w:rPr>
                  </w:pPr>
                  <w:r>
                    <w:rPr>
                      <w:rFonts w:hint="eastAsia"/>
                      <w:color w:val="auto"/>
                      <w:highlight w:val="none"/>
                    </w:rPr>
                    <w:t>从严执行</w:t>
                  </w:r>
                  <w:r>
                    <w:rPr>
                      <w:rFonts w:hint="eastAsia"/>
                      <w:color w:val="auto"/>
                      <w:highlight w:val="none"/>
                      <w:lang w:eastAsia="zh-CN"/>
                    </w:rPr>
                    <w:t>石姚湾净水厂</w:t>
                  </w:r>
                  <w:r>
                    <w:rPr>
                      <w:rFonts w:hint="eastAsia"/>
                      <w:color w:val="auto"/>
                      <w:highlight w:val="none"/>
                    </w:rPr>
                    <w:t>接管浓度限值</w:t>
                  </w:r>
                  <w:r>
                    <w:rPr>
                      <w:rFonts w:hint="eastAsia"/>
                      <w:color w:val="auto"/>
                      <w:highlight w:val="none"/>
                      <w:lang w:eastAsia="zh-CN"/>
                    </w:rPr>
                    <w:t>、</w:t>
                  </w:r>
                  <w:r>
                    <w:rPr>
                      <w:rFonts w:hint="eastAsia"/>
                      <w:color w:val="auto"/>
                      <w:highlight w:val="none"/>
                    </w:rPr>
                    <w:t>《污水综合排放标准》（GB8978-1996）表4中三级标准</w:t>
                  </w:r>
                </w:p>
              </w:tc>
              <w:tc>
                <w:tcPr>
                  <w:tcW w:w="1286" w:type="dxa"/>
                  <w:shd w:val="clear" w:color="auto" w:fill="auto"/>
                  <w:vAlign w:val="center"/>
                </w:tcPr>
                <w:p w14:paraId="6EDE9E41">
                  <w:pPr>
                    <w:pStyle w:val="30"/>
                    <w:bidi w:val="0"/>
                    <w:rPr>
                      <w:rFonts w:hint="default"/>
                      <w:color w:val="auto"/>
                      <w:highlight w:val="none"/>
                      <w:lang w:val="en-US" w:eastAsia="zh-CN"/>
                    </w:rPr>
                  </w:pPr>
                  <w:r>
                    <w:rPr>
                      <w:rFonts w:hint="eastAsia"/>
                      <w:color w:val="auto"/>
                      <w:highlight w:val="none"/>
                      <w:lang w:val="en-US" w:eastAsia="zh-CN"/>
                    </w:rPr>
                    <w:t>280</w:t>
                  </w:r>
                </w:p>
              </w:tc>
            </w:tr>
            <w:tr w14:paraId="6993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78782D5F">
                  <w:pPr>
                    <w:pStyle w:val="30"/>
                    <w:bidi w:val="0"/>
                    <w:rPr>
                      <w:color w:val="auto"/>
                      <w:highlight w:val="none"/>
                    </w:rPr>
                  </w:pPr>
                </w:p>
              </w:tc>
              <w:tc>
                <w:tcPr>
                  <w:tcW w:w="938" w:type="dxa"/>
                  <w:shd w:val="clear" w:color="auto" w:fill="auto"/>
                  <w:vAlign w:val="center"/>
                </w:tcPr>
                <w:p w14:paraId="04745CD7">
                  <w:pPr>
                    <w:pStyle w:val="30"/>
                    <w:bidi w:val="0"/>
                    <w:rPr>
                      <w:rFonts w:hint="eastAsia"/>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900" w:type="dxa"/>
                  <w:shd w:val="clear" w:color="auto" w:fill="auto"/>
                  <w:vAlign w:val="center"/>
                </w:tcPr>
                <w:p w14:paraId="51953A73">
                  <w:pPr>
                    <w:pStyle w:val="30"/>
                    <w:bidi w:val="0"/>
                    <w:rPr>
                      <w:rFonts w:hint="eastAsia"/>
                      <w:color w:val="auto"/>
                      <w:highlight w:val="none"/>
                      <w:lang w:val="en-US" w:eastAsia="zh-CN"/>
                    </w:rPr>
                  </w:pPr>
                  <w:r>
                    <w:rPr>
                      <w:rFonts w:hint="eastAsia"/>
                      <w:color w:val="auto"/>
                      <w:highlight w:val="none"/>
                      <w:lang w:val="en-US" w:eastAsia="zh-CN"/>
                    </w:rPr>
                    <w:t xml:space="preserve">26.020 </w:t>
                  </w:r>
                </w:p>
              </w:tc>
              <w:tc>
                <w:tcPr>
                  <w:tcW w:w="1036" w:type="dxa"/>
                  <w:shd w:val="clear" w:color="auto" w:fill="auto"/>
                  <w:vAlign w:val="center"/>
                </w:tcPr>
                <w:p w14:paraId="6F73EAB2">
                  <w:pPr>
                    <w:pStyle w:val="30"/>
                    <w:bidi w:val="0"/>
                    <w:rPr>
                      <w:rFonts w:hint="eastAsia"/>
                      <w:color w:val="auto"/>
                      <w:highlight w:val="none"/>
                      <w:lang w:val="en-US" w:eastAsia="zh-CN"/>
                    </w:rPr>
                  </w:pPr>
                  <w:r>
                    <w:rPr>
                      <w:rFonts w:hint="eastAsia"/>
                      <w:color w:val="auto"/>
                      <w:highlight w:val="none"/>
                      <w:lang w:val="en-US" w:eastAsia="zh-CN"/>
                    </w:rPr>
                    <w:t xml:space="preserve">0.061 </w:t>
                  </w:r>
                </w:p>
              </w:tc>
              <w:tc>
                <w:tcPr>
                  <w:tcW w:w="2250" w:type="dxa"/>
                  <w:vMerge w:val="continue"/>
                </w:tcPr>
                <w:p w14:paraId="18DFDD1B">
                  <w:pPr>
                    <w:pStyle w:val="30"/>
                    <w:bidi w:val="0"/>
                    <w:rPr>
                      <w:color w:val="auto"/>
                      <w:highlight w:val="none"/>
                    </w:rPr>
                  </w:pPr>
                </w:p>
              </w:tc>
              <w:tc>
                <w:tcPr>
                  <w:tcW w:w="1286" w:type="dxa"/>
                  <w:shd w:val="clear" w:color="auto" w:fill="auto"/>
                  <w:vAlign w:val="center"/>
                </w:tcPr>
                <w:p w14:paraId="340A98DC">
                  <w:pPr>
                    <w:pStyle w:val="30"/>
                    <w:bidi w:val="0"/>
                    <w:rPr>
                      <w:rFonts w:hint="default"/>
                      <w:color w:val="auto"/>
                      <w:highlight w:val="none"/>
                      <w:lang w:val="en-US" w:eastAsia="zh-CN"/>
                    </w:rPr>
                  </w:pPr>
                  <w:r>
                    <w:rPr>
                      <w:rFonts w:hint="eastAsia"/>
                      <w:color w:val="auto"/>
                      <w:highlight w:val="none"/>
                      <w:lang w:val="en-US" w:eastAsia="zh-CN"/>
                    </w:rPr>
                    <w:t>105</w:t>
                  </w:r>
                </w:p>
              </w:tc>
            </w:tr>
            <w:tr w14:paraId="7380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1F441D8C">
                  <w:pPr>
                    <w:pStyle w:val="30"/>
                    <w:bidi w:val="0"/>
                    <w:rPr>
                      <w:color w:val="auto"/>
                      <w:highlight w:val="none"/>
                    </w:rPr>
                  </w:pPr>
                </w:p>
              </w:tc>
              <w:tc>
                <w:tcPr>
                  <w:tcW w:w="938" w:type="dxa"/>
                  <w:shd w:val="clear" w:color="auto" w:fill="auto"/>
                  <w:vAlign w:val="center"/>
                </w:tcPr>
                <w:p w14:paraId="78C9C947">
                  <w:pPr>
                    <w:pStyle w:val="30"/>
                    <w:bidi w:val="0"/>
                    <w:rPr>
                      <w:rFonts w:hint="eastAsia"/>
                      <w:color w:val="auto"/>
                      <w:highlight w:val="none"/>
                      <w:lang w:val="en-US" w:eastAsia="zh-CN"/>
                    </w:rPr>
                  </w:pPr>
                  <w:r>
                    <w:rPr>
                      <w:rFonts w:hint="default"/>
                      <w:color w:val="auto"/>
                      <w:highlight w:val="none"/>
                      <w:lang w:val="en-US" w:eastAsia="zh-CN"/>
                    </w:rPr>
                    <w:t>SS</w:t>
                  </w:r>
                </w:p>
              </w:tc>
              <w:tc>
                <w:tcPr>
                  <w:tcW w:w="900" w:type="dxa"/>
                  <w:shd w:val="clear" w:color="auto" w:fill="auto"/>
                  <w:vAlign w:val="center"/>
                </w:tcPr>
                <w:p w14:paraId="4B9846A5">
                  <w:pPr>
                    <w:pStyle w:val="30"/>
                    <w:bidi w:val="0"/>
                    <w:rPr>
                      <w:rFonts w:hint="eastAsia"/>
                      <w:color w:val="auto"/>
                      <w:highlight w:val="none"/>
                      <w:lang w:val="en-US" w:eastAsia="zh-CN"/>
                    </w:rPr>
                  </w:pPr>
                  <w:r>
                    <w:rPr>
                      <w:rFonts w:hint="eastAsia"/>
                      <w:color w:val="auto"/>
                      <w:highlight w:val="none"/>
                      <w:lang w:val="en-US" w:eastAsia="zh-CN"/>
                    </w:rPr>
                    <w:t xml:space="preserve">57.901 </w:t>
                  </w:r>
                </w:p>
              </w:tc>
              <w:tc>
                <w:tcPr>
                  <w:tcW w:w="1036" w:type="dxa"/>
                  <w:shd w:val="clear" w:color="auto" w:fill="auto"/>
                  <w:vAlign w:val="center"/>
                </w:tcPr>
                <w:p w14:paraId="1527E821">
                  <w:pPr>
                    <w:pStyle w:val="30"/>
                    <w:bidi w:val="0"/>
                    <w:rPr>
                      <w:rFonts w:hint="eastAsia"/>
                      <w:color w:val="auto"/>
                      <w:highlight w:val="none"/>
                      <w:lang w:val="en-US" w:eastAsia="zh-CN"/>
                    </w:rPr>
                  </w:pPr>
                  <w:r>
                    <w:rPr>
                      <w:rFonts w:hint="eastAsia"/>
                      <w:color w:val="auto"/>
                      <w:highlight w:val="none"/>
                      <w:lang w:val="en-US" w:eastAsia="zh-CN"/>
                    </w:rPr>
                    <w:t xml:space="preserve">0.136 </w:t>
                  </w:r>
                </w:p>
              </w:tc>
              <w:tc>
                <w:tcPr>
                  <w:tcW w:w="2250" w:type="dxa"/>
                  <w:vMerge w:val="continue"/>
                </w:tcPr>
                <w:p w14:paraId="530946AA">
                  <w:pPr>
                    <w:pStyle w:val="30"/>
                    <w:bidi w:val="0"/>
                    <w:rPr>
                      <w:color w:val="auto"/>
                      <w:highlight w:val="none"/>
                    </w:rPr>
                  </w:pPr>
                </w:p>
              </w:tc>
              <w:tc>
                <w:tcPr>
                  <w:tcW w:w="1286" w:type="dxa"/>
                  <w:shd w:val="clear" w:color="auto" w:fill="auto"/>
                  <w:vAlign w:val="center"/>
                </w:tcPr>
                <w:p w14:paraId="3C121096">
                  <w:pPr>
                    <w:pStyle w:val="30"/>
                    <w:bidi w:val="0"/>
                    <w:rPr>
                      <w:rFonts w:hint="default"/>
                      <w:color w:val="auto"/>
                      <w:highlight w:val="none"/>
                      <w:lang w:val="en-US" w:eastAsia="zh-CN"/>
                    </w:rPr>
                  </w:pPr>
                  <w:r>
                    <w:rPr>
                      <w:rFonts w:hint="eastAsia"/>
                      <w:color w:val="auto"/>
                      <w:highlight w:val="none"/>
                      <w:lang w:val="en-US" w:eastAsia="zh-CN"/>
                    </w:rPr>
                    <w:t>130</w:t>
                  </w:r>
                </w:p>
              </w:tc>
            </w:tr>
            <w:tr w14:paraId="0821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0884B447">
                  <w:pPr>
                    <w:pStyle w:val="30"/>
                    <w:bidi w:val="0"/>
                    <w:rPr>
                      <w:color w:val="auto"/>
                      <w:highlight w:val="none"/>
                    </w:rPr>
                  </w:pPr>
                </w:p>
              </w:tc>
              <w:tc>
                <w:tcPr>
                  <w:tcW w:w="938" w:type="dxa"/>
                  <w:shd w:val="clear" w:color="auto" w:fill="auto"/>
                  <w:vAlign w:val="center"/>
                </w:tcPr>
                <w:p w14:paraId="006E591D">
                  <w:pPr>
                    <w:pStyle w:val="30"/>
                    <w:bidi w:val="0"/>
                    <w:rPr>
                      <w:rFonts w:hint="eastAsia"/>
                      <w:color w:val="auto"/>
                      <w:highlight w:val="none"/>
                      <w:lang w:val="en-US" w:eastAsia="zh-CN"/>
                    </w:rPr>
                  </w:pPr>
                  <w:r>
                    <w:rPr>
                      <w:rFonts w:hint="default"/>
                      <w:color w:val="auto"/>
                      <w:highlight w:val="none"/>
                      <w:lang w:val="en-US" w:eastAsia="zh-CN"/>
                    </w:rPr>
                    <w:t>NH</w:t>
                  </w:r>
                  <w:r>
                    <w:rPr>
                      <w:rFonts w:hint="default"/>
                      <w:color w:val="auto"/>
                      <w:highlight w:val="none"/>
                      <w:vertAlign w:val="subscript"/>
                      <w:lang w:val="en-US" w:eastAsia="zh-CN"/>
                    </w:rPr>
                    <w:t>3</w:t>
                  </w:r>
                  <w:r>
                    <w:rPr>
                      <w:rFonts w:hint="default"/>
                      <w:color w:val="auto"/>
                      <w:highlight w:val="none"/>
                      <w:lang w:val="en-US" w:eastAsia="zh-CN"/>
                    </w:rPr>
                    <w:t>-N</w:t>
                  </w:r>
                </w:p>
              </w:tc>
              <w:tc>
                <w:tcPr>
                  <w:tcW w:w="900" w:type="dxa"/>
                  <w:shd w:val="clear" w:color="auto" w:fill="auto"/>
                  <w:vAlign w:val="center"/>
                </w:tcPr>
                <w:p w14:paraId="616417CA">
                  <w:pPr>
                    <w:pStyle w:val="30"/>
                    <w:bidi w:val="0"/>
                    <w:rPr>
                      <w:rFonts w:hint="eastAsia"/>
                      <w:color w:val="auto"/>
                      <w:highlight w:val="none"/>
                      <w:lang w:val="en-US" w:eastAsia="zh-CN"/>
                    </w:rPr>
                  </w:pPr>
                  <w:r>
                    <w:rPr>
                      <w:rFonts w:hint="eastAsia"/>
                      <w:color w:val="auto"/>
                      <w:highlight w:val="none"/>
                      <w:lang w:val="en-US" w:eastAsia="zh-CN"/>
                    </w:rPr>
                    <w:t xml:space="preserve">5.719 </w:t>
                  </w:r>
                </w:p>
              </w:tc>
              <w:tc>
                <w:tcPr>
                  <w:tcW w:w="1036" w:type="dxa"/>
                  <w:shd w:val="clear" w:color="auto" w:fill="auto"/>
                  <w:vAlign w:val="center"/>
                </w:tcPr>
                <w:p w14:paraId="61DFA044">
                  <w:pPr>
                    <w:pStyle w:val="30"/>
                    <w:bidi w:val="0"/>
                    <w:rPr>
                      <w:rFonts w:hint="eastAsia"/>
                      <w:color w:val="auto"/>
                      <w:highlight w:val="none"/>
                      <w:lang w:val="en-US" w:eastAsia="zh-CN"/>
                    </w:rPr>
                  </w:pPr>
                  <w:r>
                    <w:rPr>
                      <w:rFonts w:hint="eastAsia"/>
                      <w:color w:val="auto"/>
                      <w:highlight w:val="none"/>
                      <w:lang w:val="en-US" w:eastAsia="zh-CN"/>
                    </w:rPr>
                    <w:t xml:space="preserve">0.013 </w:t>
                  </w:r>
                </w:p>
              </w:tc>
              <w:tc>
                <w:tcPr>
                  <w:tcW w:w="2250" w:type="dxa"/>
                  <w:vMerge w:val="continue"/>
                </w:tcPr>
                <w:p w14:paraId="747F8709">
                  <w:pPr>
                    <w:pStyle w:val="30"/>
                    <w:bidi w:val="0"/>
                    <w:rPr>
                      <w:color w:val="auto"/>
                      <w:highlight w:val="none"/>
                    </w:rPr>
                  </w:pPr>
                </w:p>
              </w:tc>
              <w:tc>
                <w:tcPr>
                  <w:tcW w:w="1286" w:type="dxa"/>
                  <w:shd w:val="clear" w:color="auto" w:fill="auto"/>
                  <w:vAlign w:val="center"/>
                </w:tcPr>
                <w:p w14:paraId="05B92C35">
                  <w:pPr>
                    <w:pStyle w:val="30"/>
                    <w:bidi w:val="0"/>
                    <w:rPr>
                      <w:rFonts w:hint="default"/>
                      <w:color w:val="auto"/>
                      <w:highlight w:val="none"/>
                      <w:lang w:val="en-US" w:eastAsia="zh-CN"/>
                    </w:rPr>
                  </w:pPr>
                  <w:r>
                    <w:rPr>
                      <w:rFonts w:hint="eastAsia"/>
                      <w:color w:val="auto"/>
                      <w:highlight w:val="none"/>
                      <w:lang w:val="en-US" w:eastAsia="zh-CN"/>
                    </w:rPr>
                    <w:t>43</w:t>
                  </w:r>
                </w:p>
              </w:tc>
            </w:tr>
            <w:tr w14:paraId="4444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191" w:type="dxa"/>
                  <w:vMerge w:val="continue"/>
                </w:tcPr>
                <w:p w14:paraId="6CFBE852">
                  <w:pPr>
                    <w:pStyle w:val="30"/>
                    <w:bidi w:val="0"/>
                    <w:rPr>
                      <w:color w:val="auto"/>
                      <w:highlight w:val="none"/>
                    </w:rPr>
                  </w:pPr>
                </w:p>
              </w:tc>
              <w:tc>
                <w:tcPr>
                  <w:tcW w:w="938" w:type="dxa"/>
                  <w:shd w:val="clear" w:color="auto" w:fill="auto"/>
                  <w:vAlign w:val="center"/>
                </w:tcPr>
                <w:p w14:paraId="77DD0861">
                  <w:pPr>
                    <w:pStyle w:val="30"/>
                    <w:bidi w:val="0"/>
                    <w:rPr>
                      <w:rFonts w:hint="eastAsia"/>
                      <w:color w:val="auto"/>
                      <w:highlight w:val="none"/>
                      <w:lang w:val="en-US" w:eastAsia="zh-CN"/>
                    </w:rPr>
                  </w:pPr>
                  <w:r>
                    <w:rPr>
                      <w:rFonts w:hint="eastAsia"/>
                      <w:color w:val="auto"/>
                      <w:highlight w:val="none"/>
                      <w:lang w:val="en-US" w:eastAsia="zh-CN"/>
                    </w:rPr>
                    <w:t>石油类</w:t>
                  </w:r>
                </w:p>
              </w:tc>
              <w:tc>
                <w:tcPr>
                  <w:tcW w:w="900" w:type="dxa"/>
                  <w:shd w:val="clear" w:color="auto" w:fill="auto"/>
                  <w:vAlign w:val="center"/>
                </w:tcPr>
                <w:p w14:paraId="4B24A684">
                  <w:pPr>
                    <w:pStyle w:val="30"/>
                    <w:bidi w:val="0"/>
                    <w:rPr>
                      <w:rFonts w:hint="eastAsia"/>
                      <w:color w:val="auto"/>
                      <w:highlight w:val="none"/>
                      <w:lang w:val="en-US" w:eastAsia="zh-CN"/>
                    </w:rPr>
                  </w:pPr>
                  <w:r>
                    <w:rPr>
                      <w:rFonts w:hint="eastAsia"/>
                      <w:color w:val="auto"/>
                      <w:highlight w:val="none"/>
                      <w:lang w:val="en-US" w:eastAsia="zh-CN"/>
                    </w:rPr>
                    <w:t xml:space="preserve">3.570 </w:t>
                  </w:r>
                </w:p>
              </w:tc>
              <w:tc>
                <w:tcPr>
                  <w:tcW w:w="1036" w:type="dxa"/>
                  <w:shd w:val="clear" w:color="auto" w:fill="auto"/>
                  <w:vAlign w:val="center"/>
                </w:tcPr>
                <w:p w14:paraId="640EE93A">
                  <w:pPr>
                    <w:pStyle w:val="30"/>
                    <w:bidi w:val="0"/>
                    <w:rPr>
                      <w:rFonts w:hint="eastAsia"/>
                      <w:color w:val="auto"/>
                      <w:highlight w:val="none"/>
                      <w:lang w:val="en-US" w:eastAsia="zh-CN"/>
                    </w:rPr>
                  </w:pPr>
                  <w:r>
                    <w:rPr>
                      <w:rFonts w:hint="eastAsia"/>
                      <w:color w:val="auto"/>
                      <w:highlight w:val="none"/>
                      <w:lang w:val="en-US" w:eastAsia="zh-CN"/>
                    </w:rPr>
                    <w:t xml:space="preserve">0.008 </w:t>
                  </w:r>
                </w:p>
              </w:tc>
              <w:tc>
                <w:tcPr>
                  <w:tcW w:w="2250" w:type="dxa"/>
                  <w:vMerge w:val="continue"/>
                </w:tcPr>
                <w:p w14:paraId="79C1A188">
                  <w:pPr>
                    <w:pStyle w:val="30"/>
                    <w:bidi w:val="0"/>
                    <w:rPr>
                      <w:color w:val="auto"/>
                      <w:highlight w:val="none"/>
                    </w:rPr>
                  </w:pPr>
                </w:p>
              </w:tc>
              <w:tc>
                <w:tcPr>
                  <w:tcW w:w="1286" w:type="dxa"/>
                  <w:shd w:val="clear" w:color="auto" w:fill="auto"/>
                  <w:vAlign w:val="center"/>
                </w:tcPr>
                <w:p w14:paraId="3DF56A73">
                  <w:pPr>
                    <w:pStyle w:val="30"/>
                    <w:bidi w:val="0"/>
                    <w:rPr>
                      <w:rFonts w:hint="default"/>
                      <w:color w:val="auto"/>
                      <w:highlight w:val="none"/>
                      <w:lang w:val="en-US" w:eastAsia="zh-CN"/>
                    </w:rPr>
                  </w:pPr>
                  <w:r>
                    <w:rPr>
                      <w:rFonts w:hint="eastAsia"/>
                      <w:color w:val="auto"/>
                      <w:highlight w:val="none"/>
                      <w:lang w:val="en-US" w:eastAsia="zh-CN"/>
                    </w:rPr>
                    <w:t>20</w:t>
                  </w:r>
                </w:p>
              </w:tc>
            </w:tr>
          </w:tbl>
          <w:p w14:paraId="23C7279C">
            <w:pPr>
              <w:rPr>
                <w:color w:val="auto"/>
                <w:highlight w:val="none"/>
              </w:rPr>
            </w:pPr>
            <w:r>
              <w:rPr>
                <w:rFonts w:hint="eastAsia"/>
                <w:color w:val="auto"/>
                <w:highlight w:val="none"/>
              </w:rPr>
              <w:t>2、废水排放去向</w:t>
            </w:r>
          </w:p>
          <w:p w14:paraId="662318DC">
            <w:pPr>
              <w:ind w:firstLine="480" w:firstLineChars="200"/>
              <w:rPr>
                <w:color w:val="auto"/>
                <w:highlight w:val="none"/>
              </w:rPr>
            </w:pPr>
            <w:r>
              <w:rPr>
                <w:rFonts w:hint="eastAsia"/>
                <w:color w:val="auto"/>
                <w:highlight w:val="none"/>
              </w:rPr>
              <w:t>项目</w:t>
            </w:r>
            <w:r>
              <w:rPr>
                <w:rFonts w:hint="eastAsia"/>
                <w:color w:val="auto"/>
                <w:highlight w:val="none"/>
                <w:lang w:eastAsia="zh-CN"/>
              </w:rPr>
              <w:t>西侧地块</w:t>
            </w:r>
            <w:r>
              <w:rPr>
                <w:rFonts w:hint="eastAsia"/>
                <w:color w:val="auto"/>
                <w:highlight w:val="none"/>
              </w:rPr>
              <w:t>设置</w:t>
            </w:r>
            <w:r>
              <w:rPr>
                <w:rFonts w:hint="eastAsia"/>
                <w:color w:val="auto"/>
                <w:highlight w:val="none"/>
              </w:rPr>
              <w:t>1座隔油池（10m</w:t>
            </w:r>
            <w:r>
              <w:rPr>
                <w:rFonts w:hint="eastAsia"/>
                <w:color w:val="auto"/>
                <w:highlight w:val="none"/>
                <w:vertAlign w:val="superscript"/>
              </w:rPr>
              <w:t>3</w:t>
            </w:r>
            <w:r>
              <w:rPr>
                <w:rFonts w:hint="eastAsia"/>
                <w:color w:val="auto"/>
                <w:highlight w:val="none"/>
              </w:rPr>
              <w:t>）、1座化粪池（20m</w:t>
            </w:r>
            <w:r>
              <w:rPr>
                <w:rFonts w:hint="eastAsia"/>
                <w:color w:val="auto"/>
                <w:highlight w:val="none"/>
                <w:vertAlign w:val="superscript"/>
              </w:rPr>
              <w:t>3</w:t>
            </w:r>
            <w:r>
              <w:rPr>
                <w:rFonts w:hint="eastAsia"/>
                <w:color w:val="auto"/>
                <w:highlight w:val="none"/>
              </w:rPr>
              <w:t>）、1座</w:t>
            </w:r>
            <w:r>
              <w:rPr>
                <w:rFonts w:hint="eastAsia"/>
                <w:color w:val="auto"/>
                <w:highlight w:val="none"/>
                <w:lang w:eastAsia="zh-CN"/>
              </w:rPr>
              <w:t>隔油</w:t>
            </w:r>
            <w:r>
              <w:rPr>
                <w:rFonts w:hint="eastAsia"/>
                <w:color w:val="auto"/>
                <w:highlight w:val="none"/>
                <w:lang w:val="en-US" w:eastAsia="zh-CN"/>
              </w:rPr>
              <w:t>+</w:t>
            </w:r>
            <w:r>
              <w:rPr>
                <w:rFonts w:hint="eastAsia"/>
                <w:color w:val="auto"/>
                <w:highlight w:val="none"/>
                <w:lang w:eastAsia="zh-CN"/>
              </w:rPr>
              <w:t>沉淀池</w:t>
            </w:r>
            <w:r>
              <w:rPr>
                <w:rFonts w:hint="eastAsia"/>
                <w:color w:val="auto"/>
                <w:highlight w:val="none"/>
              </w:rPr>
              <w:t>（</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1座事故应急池（280</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w:t>
            </w:r>
            <w:r>
              <w:rPr>
                <w:rFonts w:hint="eastAsia"/>
                <w:color w:val="auto"/>
                <w:highlight w:val="none"/>
              </w:rPr>
              <w:t>。</w:t>
            </w:r>
            <w:r>
              <w:rPr>
                <w:rFonts w:hint="eastAsia"/>
                <w:color w:val="auto"/>
                <w:highlight w:val="none"/>
                <w:lang w:eastAsia="zh-CN"/>
              </w:rPr>
              <w:t>智慧货运服务中心产生的</w:t>
            </w:r>
            <w:r>
              <w:rPr>
                <w:rFonts w:hint="eastAsia"/>
                <w:color w:val="auto"/>
                <w:highlight w:val="none"/>
              </w:rPr>
              <w:t>餐饮废水</w:t>
            </w:r>
            <w:r>
              <w:rPr>
                <w:color w:val="auto"/>
                <w:highlight w:val="none"/>
              </w:rPr>
              <w:t>经</w:t>
            </w:r>
            <w:r>
              <w:rPr>
                <w:rFonts w:hint="eastAsia"/>
                <w:color w:val="auto"/>
                <w:highlight w:val="none"/>
              </w:rPr>
              <w:t>隔油池处理后汇同</w:t>
            </w:r>
            <w:r>
              <w:rPr>
                <w:rFonts w:hint="eastAsia"/>
                <w:color w:val="auto"/>
                <w:highlight w:val="none"/>
                <w:lang w:eastAsia="zh-CN"/>
              </w:rPr>
              <w:t>西侧地块产生的</w:t>
            </w:r>
            <w:r>
              <w:rPr>
                <w:rFonts w:hint="eastAsia"/>
                <w:color w:val="auto"/>
                <w:highlight w:val="none"/>
              </w:rPr>
              <w:t>生活污水通过化粪池</w:t>
            </w:r>
            <w:r>
              <w:rPr>
                <w:color w:val="auto"/>
                <w:highlight w:val="none"/>
              </w:rPr>
              <w:t>处理</w:t>
            </w:r>
            <w:r>
              <w:rPr>
                <w:rFonts w:hint="eastAsia"/>
                <w:color w:val="auto"/>
                <w:highlight w:val="none"/>
                <w:lang w:eastAsia="zh-CN"/>
              </w:rPr>
              <w:t>，智慧货运维修中心</w:t>
            </w:r>
            <w:r>
              <w:rPr>
                <w:rFonts w:hint="eastAsia"/>
                <w:color w:val="auto"/>
                <w:highlight w:val="none"/>
              </w:rPr>
              <w:t>地面冲洗废水、洗车废水经</w:t>
            </w:r>
            <w:r>
              <w:rPr>
                <w:rFonts w:hint="eastAsia"/>
                <w:color w:val="auto"/>
                <w:highlight w:val="none"/>
                <w:lang w:eastAsia="zh-CN"/>
              </w:rPr>
              <w:t>隔油池和</w:t>
            </w:r>
            <w:r>
              <w:rPr>
                <w:rFonts w:hint="eastAsia"/>
                <w:color w:val="auto"/>
                <w:highlight w:val="none"/>
              </w:rPr>
              <w:t>加入混凝剂的</w:t>
            </w:r>
            <w:r>
              <w:rPr>
                <w:rFonts w:hint="eastAsia"/>
                <w:color w:val="auto"/>
                <w:highlight w:val="none"/>
                <w:lang w:eastAsia="zh-CN"/>
              </w:rPr>
              <w:t>沉淀池</w:t>
            </w:r>
            <w:r>
              <w:rPr>
                <w:rFonts w:hint="eastAsia"/>
                <w:color w:val="auto"/>
                <w:highlight w:val="none"/>
              </w:rPr>
              <w:t>处理</w:t>
            </w:r>
            <w:r>
              <w:rPr>
                <w:rFonts w:hint="eastAsia"/>
                <w:color w:val="auto"/>
                <w:highlight w:val="none"/>
                <w:lang w:eastAsia="zh-CN"/>
              </w:rPr>
              <w:t>，经西侧地块废水排口（</w:t>
            </w:r>
            <w:r>
              <w:rPr>
                <w:rFonts w:hint="eastAsia"/>
                <w:color w:val="auto"/>
                <w:highlight w:val="none"/>
                <w:lang w:val="en-US" w:eastAsia="zh-CN"/>
              </w:rPr>
              <w:t>DW001</w:t>
            </w:r>
            <w:r>
              <w:rPr>
                <w:rFonts w:hint="eastAsia"/>
                <w:color w:val="auto"/>
                <w:highlight w:val="none"/>
                <w:lang w:eastAsia="zh-CN"/>
              </w:rPr>
              <w:t>）</w:t>
            </w:r>
            <w:r>
              <w:rPr>
                <w:rFonts w:hint="eastAsia"/>
                <w:color w:val="auto"/>
                <w:highlight w:val="none"/>
              </w:rPr>
              <w:t>接入</w:t>
            </w:r>
            <w:r>
              <w:rPr>
                <w:color w:val="auto"/>
                <w:highlight w:val="none"/>
              </w:rPr>
              <w:t>市政污水管网排入</w:t>
            </w:r>
            <w:r>
              <w:rPr>
                <w:bCs/>
                <w:color w:val="auto"/>
                <w:kern w:val="0"/>
                <w:highlight w:val="none"/>
                <w:lang w:bidi="en-US"/>
              </w:rPr>
              <w:t>淮南</w:t>
            </w:r>
            <w:r>
              <w:rPr>
                <w:rFonts w:hint="eastAsia"/>
                <w:bCs/>
                <w:color w:val="auto"/>
                <w:kern w:val="0"/>
                <w:highlight w:val="none"/>
                <w:lang w:eastAsia="zh-CN" w:bidi="en-US"/>
              </w:rPr>
              <w:t>石姚湾净水厂</w:t>
            </w:r>
            <w:r>
              <w:rPr>
                <w:color w:val="auto"/>
                <w:highlight w:val="none"/>
              </w:rPr>
              <w:t>进一步处理后汇入</w:t>
            </w:r>
            <w:r>
              <w:rPr>
                <w:rFonts w:hint="eastAsia"/>
                <w:color w:val="auto"/>
                <w:highlight w:val="none"/>
              </w:rPr>
              <w:t>淮河</w:t>
            </w:r>
            <w:r>
              <w:rPr>
                <w:color w:val="auto"/>
                <w:highlight w:val="none"/>
              </w:rPr>
              <w:t>。</w:t>
            </w:r>
            <w:r>
              <w:rPr>
                <w:rFonts w:hint="eastAsia"/>
                <w:color w:val="auto"/>
                <w:highlight w:val="none"/>
                <w:lang w:eastAsia="zh-CN"/>
              </w:rPr>
              <w:t>废水排放</w:t>
            </w:r>
            <w:r>
              <w:rPr>
                <w:rFonts w:hint="eastAsia"/>
                <w:color w:val="auto"/>
                <w:highlight w:val="none"/>
              </w:rPr>
              <w:t>从严执行</w:t>
            </w:r>
            <w:r>
              <w:rPr>
                <w:color w:val="auto"/>
                <w:highlight w:val="none"/>
              </w:rPr>
              <w:t>《汽车维修业水污染物排放标准》（GB26877－2011）表2间接排放标准</w:t>
            </w:r>
            <w:r>
              <w:rPr>
                <w:rFonts w:hint="eastAsia"/>
                <w:color w:val="auto"/>
                <w:highlight w:val="none"/>
                <w:lang w:eastAsia="zh-CN"/>
              </w:rPr>
              <w:t>、石姚湾净水厂</w:t>
            </w:r>
            <w:r>
              <w:rPr>
                <w:rFonts w:hint="eastAsia"/>
                <w:color w:val="auto"/>
                <w:highlight w:val="none"/>
              </w:rPr>
              <w:t>接管浓度限值、《污水综合排放标准》（GB8978-1996）表4中三级标准</w:t>
            </w:r>
            <w:r>
              <w:rPr>
                <w:color w:val="auto"/>
                <w:highlight w:val="none"/>
              </w:rPr>
              <w:t>。</w:t>
            </w:r>
          </w:p>
          <w:p w14:paraId="79E677E9">
            <w:pPr>
              <w:ind w:firstLine="480" w:firstLineChars="200"/>
              <w:rPr>
                <w:color w:val="auto"/>
                <w:highlight w:val="none"/>
              </w:rPr>
            </w:pPr>
            <w:r>
              <w:rPr>
                <w:rFonts w:hint="eastAsia"/>
                <w:color w:val="auto"/>
                <w:highlight w:val="none"/>
                <w:lang w:eastAsia="zh-CN"/>
              </w:rPr>
              <w:t>项目东侧地块设置</w:t>
            </w:r>
            <w:r>
              <w:rPr>
                <w:rFonts w:hint="eastAsia"/>
                <w:color w:val="auto"/>
                <w:highlight w:val="none"/>
              </w:rPr>
              <w:t>1座化粪池（</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、1座</w:t>
            </w:r>
            <w:r>
              <w:rPr>
                <w:rFonts w:hint="eastAsia"/>
                <w:color w:val="auto"/>
                <w:highlight w:val="none"/>
              </w:rPr>
              <w:t>三级油水分离池（</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1座初期雨水池</w:t>
            </w:r>
            <w:r>
              <w:rPr>
                <w:rFonts w:hint="eastAsia"/>
                <w:color w:val="auto"/>
                <w:sz w:val="24"/>
                <w:highlight w:val="none"/>
                <w:lang w:val="en-US" w:eastAsia="zh-CN"/>
              </w:rPr>
              <w:t>兼事故应急池</w:t>
            </w:r>
            <w:r>
              <w:rPr>
                <w:rFonts w:hint="eastAsia"/>
                <w:color w:val="auto"/>
                <w:highlight w:val="none"/>
                <w:lang w:val="en-US" w:eastAsia="zh-CN"/>
              </w:rPr>
              <w:t>（150</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w:t>
            </w:r>
            <w:r>
              <w:rPr>
                <w:rFonts w:hint="eastAsia"/>
                <w:color w:val="auto"/>
                <w:highlight w:val="none"/>
                <w:lang w:eastAsia="zh-CN"/>
              </w:rPr>
              <w:t>；东侧地块产生的生活污水经化粪池处理，内部综合能源站</w:t>
            </w:r>
            <w:r>
              <w:rPr>
                <w:color w:val="auto"/>
                <w:highlight w:val="none"/>
              </w:rPr>
              <w:t>地面冲洗废水</w:t>
            </w:r>
            <w:r>
              <w:rPr>
                <w:rFonts w:hint="eastAsia"/>
                <w:color w:val="auto"/>
                <w:highlight w:val="none"/>
              </w:rPr>
              <w:t>、加油站初期雨水</w:t>
            </w:r>
            <w:r>
              <w:rPr>
                <w:color w:val="auto"/>
                <w:highlight w:val="none"/>
              </w:rPr>
              <w:t>经</w:t>
            </w:r>
            <w:r>
              <w:rPr>
                <w:rFonts w:hint="eastAsia"/>
                <w:color w:val="auto"/>
                <w:highlight w:val="none"/>
              </w:rPr>
              <w:t>三级油水分离池</w:t>
            </w:r>
            <w:r>
              <w:rPr>
                <w:color w:val="auto"/>
                <w:highlight w:val="none"/>
              </w:rPr>
              <w:t>处理</w:t>
            </w:r>
            <w:r>
              <w:rPr>
                <w:rFonts w:hint="eastAsia"/>
                <w:color w:val="auto"/>
                <w:highlight w:val="none"/>
                <w:lang w:eastAsia="zh-CN"/>
              </w:rPr>
              <w:t>，经东侧地块废水排口（</w:t>
            </w:r>
            <w:r>
              <w:rPr>
                <w:rFonts w:hint="eastAsia"/>
                <w:color w:val="auto"/>
                <w:highlight w:val="none"/>
                <w:lang w:val="en-US" w:eastAsia="zh-CN"/>
              </w:rPr>
              <w:t>DW002</w:t>
            </w:r>
            <w:r>
              <w:rPr>
                <w:rFonts w:hint="eastAsia"/>
                <w:color w:val="auto"/>
                <w:highlight w:val="none"/>
                <w:lang w:eastAsia="zh-CN"/>
              </w:rPr>
              <w:t>）</w:t>
            </w:r>
            <w:r>
              <w:rPr>
                <w:rFonts w:hint="eastAsia"/>
                <w:color w:val="auto"/>
                <w:highlight w:val="none"/>
              </w:rPr>
              <w:t>接入</w:t>
            </w:r>
            <w:r>
              <w:rPr>
                <w:color w:val="auto"/>
                <w:highlight w:val="none"/>
              </w:rPr>
              <w:t>市政污水管网排入</w:t>
            </w:r>
            <w:r>
              <w:rPr>
                <w:bCs/>
                <w:color w:val="auto"/>
                <w:kern w:val="0"/>
                <w:highlight w:val="none"/>
                <w:lang w:bidi="en-US"/>
              </w:rPr>
              <w:t>淮南</w:t>
            </w:r>
            <w:r>
              <w:rPr>
                <w:rFonts w:hint="eastAsia"/>
                <w:bCs/>
                <w:color w:val="auto"/>
                <w:kern w:val="0"/>
                <w:highlight w:val="none"/>
                <w:lang w:eastAsia="zh-CN" w:bidi="en-US"/>
              </w:rPr>
              <w:t>石姚湾净水厂</w:t>
            </w:r>
            <w:r>
              <w:rPr>
                <w:color w:val="auto"/>
                <w:highlight w:val="none"/>
              </w:rPr>
              <w:t>进一步处理后汇入</w:t>
            </w:r>
            <w:r>
              <w:rPr>
                <w:rFonts w:hint="eastAsia"/>
                <w:color w:val="auto"/>
                <w:highlight w:val="none"/>
              </w:rPr>
              <w:t>淮河</w:t>
            </w:r>
            <w:r>
              <w:rPr>
                <w:color w:val="auto"/>
                <w:highlight w:val="none"/>
              </w:rPr>
              <w:t>。</w:t>
            </w:r>
            <w:r>
              <w:rPr>
                <w:rFonts w:hint="eastAsia"/>
                <w:color w:val="auto"/>
                <w:highlight w:val="none"/>
                <w:lang w:eastAsia="zh-CN"/>
              </w:rPr>
              <w:t>废水排放</w:t>
            </w:r>
            <w:r>
              <w:rPr>
                <w:rFonts w:hint="eastAsia"/>
                <w:color w:val="auto"/>
                <w:highlight w:val="none"/>
              </w:rPr>
              <w:t>从严执行</w:t>
            </w:r>
            <w:r>
              <w:rPr>
                <w:rFonts w:hint="eastAsia"/>
                <w:color w:val="auto"/>
                <w:highlight w:val="none"/>
                <w:lang w:eastAsia="zh-CN"/>
              </w:rPr>
              <w:t>石姚湾净水厂</w:t>
            </w:r>
            <w:r>
              <w:rPr>
                <w:rFonts w:hint="eastAsia"/>
                <w:color w:val="auto"/>
                <w:highlight w:val="none"/>
              </w:rPr>
              <w:t>接管浓度限值、《污水综合排放标准》（GB8978-1996）表4中三级标准</w:t>
            </w:r>
            <w:r>
              <w:rPr>
                <w:color w:val="auto"/>
                <w:highlight w:val="none"/>
              </w:rPr>
              <w:t>。</w:t>
            </w:r>
          </w:p>
          <w:p w14:paraId="373BF868">
            <w:pPr>
              <w:rPr>
                <w:color w:val="auto"/>
                <w:highlight w:val="none"/>
              </w:rPr>
            </w:pPr>
            <w:r>
              <w:rPr>
                <w:color w:val="auto"/>
                <w:highlight w:val="none"/>
              </w:rPr>
              <w:t>3、废水治理设施技术可行性分析</w:t>
            </w:r>
          </w:p>
          <w:p w14:paraId="780C7D96">
            <w:pPr>
              <w:ind w:firstLine="480" w:firstLineChars="200"/>
              <w:jc w:val="left"/>
              <w:rPr>
                <w:color w:val="auto"/>
                <w:highlight w:val="none"/>
              </w:rPr>
            </w:pPr>
            <w:r>
              <w:rPr>
                <w:color w:val="auto"/>
                <w:highlight w:val="none"/>
              </w:rPr>
              <w:t>项目拟设置隔油池处理厨房</w:t>
            </w:r>
            <w:r>
              <w:rPr>
                <w:rFonts w:hint="eastAsia"/>
                <w:color w:val="auto"/>
                <w:highlight w:val="none"/>
              </w:rPr>
              <w:t>餐饮废水</w:t>
            </w:r>
            <w:r>
              <w:rPr>
                <w:color w:val="auto"/>
                <w:highlight w:val="none"/>
              </w:rPr>
              <w:t>，设置</w:t>
            </w:r>
            <w:r>
              <w:rPr>
                <w:rFonts w:hint="eastAsia"/>
                <w:color w:val="auto"/>
                <w:highlight w:val="none"/>
              </w:rPr>
              <w:t>三级油水分离池</w:t>
            </w:r>
            <w:r>
              <w:rPr>
                <w:color w:val="auto"/>
                <w:highlight w:val="none"/>
              </w:rPr>
              <w:t>处理</w:t>
            </w:r>
            <w:r>
              <w:rPr>
                <w:rFonts w:hint="eastAsia"/>
                <w:color w:val="auto"/>
                <w:highlight w:val="none"/>
              </w:rPr>
              <w:t>加油站</w:t>
            </w:r>
            <w:r>
              <w:rPr>
                <w:color w:val="auto"/>
                <w:highlight w:val="none"/>
              </w:rPr>
              <w:t>地面清洁废水</w:t>
            </w:r>
            <w:r>
              <w:rPr>
                <w:rFonts w:hint="eastAsia"/>
                <w:color w:val="auto"/>
                <w:highlight w:val="none"/>
              </w:rPr>
              <w:t>以及</w:t>
            </w:r>
            <w:r>
              <w:rPr>
                <w:color w:val="auto"/>
                <w:highlight w:val="none"/>
              </w:rPr>
              <w:t>雨天产生的初期雨水，</w:t>
            </w:r>
            <w:r>
              <w:rPr>
                <w:rFonts w:hint="eastAsia"/>
                <w:color w:val="auto"/>
                <w:highlight w:val="none"/>
              </w:rPr>
              <w:t>设置</w:t>
            </w:r>
            <w:r>
              <w:rPr>
                <w:rFonts w:hint="eastAsia"/>
                <w:color w:val="auto"/>
                <w:highlight w:val="none"/>
                <w:lang w:eastAsia="zh-CN"/>
              </w:rPr>
              <w:t>隔油池和沉淀池</w:t>
            </w:r>
            <w:r>
              <w:rPr>
                <w:rFonts w:hint="eastAsia"/>
                <w:color w:val="auto"/>
                <w:highlight w:val="none"/>
              </w:rPr>
              <w:t>处理</w:t>
            </w:r>
            <w:r>
              <w:rPr>
                <w:rFonts w:hint="eastAsia"/>
                <w:color w:val="auto"/>
                <w:highlight w:val="none"/>
                <w:lang w:eastAsia="zh-CN"/>
              </w:rPr>
              <w:t>智慧货运维修中心</w:t>
            </w:r>
            <w:r>
              <w:rPr>
                <w:rFonts w:hint="eastAsia"/>
                <w:color w:val="auto"/>
                <w:highlight w:val="none"/>
              </w:rPr>
              <w:t>地面冲洗废水、洗车废水，</w:t>
            </w:r>
            <w:r>
              <w:rPr>
                <w:color w:val="auto"/>
                <w:highlight w:val="none"/>
              </w:rPr>
              <w:t>设置地埋式化粪池处理生活污水，本项目的污水处理设施的可行性分析如下：</w:t>
            </w:r>
          </w:p>
          <w:p w14:paraId="5BA72A9E">
            <w:pPr>
              <w:ind w:firstLine="480" w:firstLineChars="200"/>
              <w:jc w:val="left"/>
              <w:rPr>
                <w:color w:val="auto"/>
                <w:highlight w:val="none"/>
              </w:rPr>
            </w:pPr>
            <w:r>
              <w:rPr>
                <w:rFonts w:hint="eastAsia"/>
                <w:color w:val="auto"/>
                <w:highlight w:val="none"/>
              </w:rPr>
              <w:t>（1）</w:t>
            </w:r>
            <w:r>
              <w:rPr>
                <w:color w:val="auto"/>
                <w:highlight w:val="none"/>
              </w:rPr>
              <w:t>污水处理厂概况</w:t>
            </w:r>
          </w:p>
          <w:p w14:paraId="6D83AA81">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石姚湾净水厂位于淮南市田家庵区，建设设计规模为处理污水</w:t>
            </w:r>
            <w:r>
              <w:rPr>
                <w:rFonts w:hint="default" w:ascii="Times New Roman" w:hAnsi="Times New Roman" w:eastAsia="宋体" w:cs="Times New Roman"/>
                <w:color w:val="auto"/>
                <w:kern w:val="0"/>
                <w:sz w:val="24"/>
                <w:szCs w:val="24"/>
                <w:highlight w:val="none"/>
                <w:lang w:val="en-US" w:eastAsia="zh-CN" w:bidi="ar"/>
              </w:rPr>
              <w:t>5.0</w:t>
            </w:r>
            <w:r>
              <w:rPr>
                <w:rFonts w:hint="eastAsia" w:ascii="宋体" w:hAnsi="宋体" w:eastAsia="宋体" w:cs="宋体"/>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，主要处理工艺采用侧流改良</w:t>
            </w:r>
            <w:r>
              <w:rPr>
                <w:rFonts w:hint="default" w:ascii="Times New Roman" w:hAnsi="Times New Roman" w:eastAsia="宋体" w:cs="Times New Roman"/>
                <w:color w:val="auto"/>
                <w:kern w:val="0"/>
                <w:sz w:val="24"/>
                <w:szCs w:val="24"/>
                <w:highlight w:val="none"/>
                <w:lang w:val="en-US" w:eastAsia="zh-CN" w:bidi="ar"/>
              </w:rPr>
              <w:t>A/A/O/A/O</w:t>
            </w:r>
            <w:r>
              <w:rPr>
                <w:rFonts w:hint="eastAsia" w:ascii="宋体" w:hAnsi="宋体" w:eastAsia="宋体" w:cs="宋体"/>
                <w:color w:val="auto"/>
                <w:kern w:val="0"/>
                <w:sz w:val="24"/>
                <w:szCs w:val="24"/>
                <w:highlight w:val="none"/>
                <w:lang w:val="en-US" w:eastAsia="zh-CN" w:bidi="ar"/>
              </w:rPr>
              <w:t>为主的二级生化处理工艺，深度处理采用高效沉淀池</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反硝化深床滤池工艺，并采用次氯酸钠消毒处理，出水水质执行</w:t>
            </w:r>
            <w:r>
              <w:rPr>
                <w:rFonts w:hint="default" w:ascii="Times New Roman" w:hAnsi="Times New Roman" w:eastAsia="宋体" w:cs="Times New Roman"/>
                <w:color w:val="auto"/>
                <w:kern w:val="0"/>
                <w:sz w:val="24"/>
                <w:szCs w:val="24"/>
                <w:highlight w:val="none"/>
                <w:lang w:val="en-US" w:eastAsia="zh-CN" w:bidi="ar"/>
              </w:rPr>
              <w:t>COD</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30mg/L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BOD</w:t>
            </w:r>
            <w:r>
              <w:rPr>
                <w:rFonts w:hint="default" w:ascii="Times New Roman" w:hAnsi="Times New Roman" w:eastAsia="宋体" w:cs="Times New Roman"/>
                <w:color w:val="auto"/>
                <w:kern w:val="0"/>
                <w:sz w:val="15"/>
                <w:szCs w:val="15"/>
                <w:highlight w:val="none"/>
                <w:lang w:val="en-US" w:eastAsia="zh-CN" w:bidi="ar"/>
              </w:rPr>
              <w:t>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TP</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0.3mg/L</w:t>
            </w:r>
            <w:r>
              <w:rPr>
                <w:rFonts w:hint="eastAsia" w:ascii="宋体" w:hAnsi="宋体" w:eastAsia="宋体" w:cs="宋体"/>
                <w:color w:val="auto"/>
                <w:kern w:val="0"/>
                <w:sz w:val="24"/>
                <w:szCs w:val="24"/>
                <w:highlight w:val="none"/>
                <w:lang w:val="en-US" w:eastAsia="zh-CN" w:bidi="ar"/>
              </w:rPr>
              <w:t>、氨氮≤</w:t>
            </w:r>
            <w:r>
              <w:rPr>
                <w:rFonts w:hint="default" w:ascii="Times New Roman" w:hAnsi="Times New Roman" w:eastAsia="宋体" w:cs="Times New Roman"/>
                <w:color w:val="auto"/>
                <w:kern w:val="0"/>
                <w:sz w:val="24"/>
                <w:szCs w:val="24"/>
                <w:highlight w:val="none"/>
                <w:lang w:val="en-US" w:eastAsia="zh-CN" w:bidi="ar"/>
              </w:rPr>
              <w:t>1.5mg/L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TN</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10mg/L</w:t>
            </w:r>
            <w:r>
              <w:rPr>
                <w:rFonts w:hint="eastAsia" w:ascii="宋体" w:hAnsi="宋体" w:eastAsia="宋体" w:cs="宋体"/>
                <w:color w:val="auto"/>
                <w:kern w:val="0"/>
                <w:sz w:val="24"/>
                <w:szCs w:val="24"/>
                <w:highlight w:val="none"/>
                <w:lang w:val="en-US" w:eastAsia="zh-CN" w:bidi="ar"/>
              </w:rPr>
              <w:t>，其余指标执行《城镇污水处理厂污染物综合排放标准》（</w:t>
            </w:r>
            <w:r>
              <w:rPr>
                <w:rFonts w:hint="default" w:ascii="Times New Roman" w:hAnsi="Times New Roman" w:eastAsia="宋体" w:cs="Times New Roman"/>
                <w:color w:val="auto"/>
                <w:kern w:val="0"/>
                <w:sz w:val="24"/>
                <w:szCs w:val="24"/>
                <w:highlight w:val="none"/>
                <w:lang w:val="en-US" w:eastAsia="zh-CN" w:bidi="ar"/>
              </w:rPr>
              <w:t>GB18918-2002</w:t>
            </w:r>
            <w:r>
              <w:rPr>
                <w:rFonts w:hint="eastAsia" w:ascii="宋体" w:hAnsi="宋体" w:eastAsia="宋体" w:cs="宋体"/>
                <w:color w:val="auto"/>
                <w:kern w:val="0"/>
                <w:sz w:val="24"/>
                <w:szCs w:val="24"/>
                <w:highlight w:val="none"/>
                <w:lang w:val="en-US" w:eastAsia="zh-CN" w:bidi="ar"/>
              </w:rPr>
              <w:t>）中一级</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标准。</w:t>
            </w:r>
          </w:p>
          <w:p w14:paraId="18C62AFA">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）接管可行性分析</w:t>
            </w:r>
          </w:p>
          <w:p w14:paraId="38658D56">
            <w:pPr>
              <w:keepNext w:val="0"/>
              <w:keepLines w:val="0"/>
              <w:widowControl/>
              <w:suppressLineNumbers w:val="0"/>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①处理规模的可行性</w:t>
            </w:r>
          </w:p>
          <w:p w14:paraId="4D4516DD">
            <w:pPr>
              <w:keepNext w:val="0"/>
              <w:keepLines w:val="0"/>
              <w:widowControl/>
              <w:suppressLineNumbers w:val="0"/>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目前，石姚湾净水厂运转正常</w:t>
            </w:r>
            <w:r>
              <w:rPr>
                <w:rFonts w:hint="eastAsia" w:ascii="宋体" w:hAnsi="宋体" w:cs="宋体"/>
                <w:color w:val="auto"/>
                <w:kern w:val="0"/>
                <w:sz w:val="24"/>
                <w:szCs w:val="24"/>
                <w:highlight w:val="none"/>
                <w:lang w:val="en-US" w:eastAsia="zh-CN" w:bidi="ar"/>
              </w:rPr>
              <w:t>，目前接受污水量约</w:t>
            </w:r>
            <w:r>
              <w:rPr>
                <w:rFonts w:hint="eastAsia" w:ascii="宋体" w:hAnsi="宋体" w:eastAsia="宋体" w:cs="宋体"/>
                <w:color w:val="auto"/>
                <w:kern w:val="0"/>
                <w:sz w:val="24"/>
                <w:szCs w:val="24"/>
                <w:highlight w:val="none"/>
                <w:lang w:val="en-US" w:eastAsia="zh-CN" w:bidi="ar"/>
              </w:rPr>
              <w:t>为</w:t>
            </w:r>
            <w:r>
              <w:rPr>
                <w:rFonts w:hint="default" w:ascii="Times New Roman" w:hAnsi="Times New Roman" w:eastAsia="宋体" w:cs="Times New Roman"/>
                <w:color w:val="auto"/>
                <w:kern w:val="0"/>
                <w:sz w:val="24"/>
                <w:szCs w:val="24"/>
                <w:highlight w:val="none"/>
                <w:lang w:val="en-US" w:eastAsia="zh-CN" w:bidi="ar"/>
              </w:rPr>
              <w:t>3</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580m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，剩余处理能力</w:t>
            </w:r>
            <w:r>
              <w:rPr>
                <w:rFonts w:hint="default" w:ascii="Times New Roman" w:hAnsi="Times New Roman" w:eastAsia="宋体"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420m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本项目废水量为</w:t>
            </w:r>
            <w:r>
              <w:rPr>
                <w:rFonts w:hint="eastAsia" w:ascii="Times New Roman" w:hAnsi="Times New Roman" w:eastAsia="宋体" w:cs="Times New Roman"/>
                <w:color w:val="auto"/>
                <w:kern w:val="0"/>
                <w:sz w:val="24"/>
                <w:szCs w:val="24"/>
                <w:highlight w:val="none"/>
                <w:lang w:val="en-US" w:eastAsia="zh-CN" w:bidi="ar"/>
              </w:rPr>
              <w:t>12.56</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eastAsia" w:cs="Times New Roman"/>
                <w:color w:val="auto"/>
                <w:kern w:val="0"/>
                <w:sz w:val="24"/>
                <w:szCs w:val="24"/>
                <w:highlight w:val="none"/>
                <w:lang w:val="en-US" w:eastAsia="zh-CN" w:bidi="ar"/>
              </w:rPr>
              <w:t>，占石姚湾净水厂处理能力余量的0.72%，</w:t>
            </w:r>
            <w:r>
              <w:rPr>
                <w:rFonts w:hint="eastAsia" w:ascii="宋体" w:hAnsi="宋体" w:eastAsia="宋体" w:cs="宋体"/>
                <w:color w:val="auto"/>
                <w:kern w:val="0"/>
                <w:sz w:val="24"/>
                <w:szCs w:val="24"/>
                <w:highlight w:val="none"/>
                <w:lang w:val="en-US" w:eastAsia="zh-CN" w:bidi="ar"/>
              </w:rPr>
              <w:t>接纳本项目废水后水处理总量未超石姚湾净水厂近期处理规模。目前石姚湾净水厂运行稳定，因此，本项目排放水量进入石姚湾净水厂是可行的。</w:t>
            </w:r>
          </w:p>
          <w:p w14:paraId="5FD3E07E">
            <w:pPr>
              <w:keepNext w:val="0"/>
              <w:keepLines w:val="0"/>
              <w:widowControl/>
              <w:suppressLineNumbers w:val="0"/>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②工艺及接管标准上的可行性分析</w:t>
            </w:r>
          </w:p>
          <w:p w14:paraId="02CACF38">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项目排放废水经废水处理设施处理后满足</w:t>
            </w:r>
            <w:r>
              <w:rPr>
                <w:color w:val="auto"/>
                <w:highlight w:val="none"/>
              </w:rPr>
              <w:t>《汽车维修业水污染物排放标准》（GB26877－2011）表2间接排放标准</w:t>
            </w:r>
            <w:r>
              <w:rPr>
                <w:rFonts w:hint="eastAsia"/>
                <w:color w:val="auto"/>
                <w:highlight w:val="none"/>
                <w:lang w:eastAsia="zh-CN"/>
              </w:rPr>
              <w:t>、石姚湾净水厂</w:t>
            </w:r>
            <w:r>
              <w:rPr>
                <w:rFonts w:hint="eastAsia"/>
                <w:color w:val="auto"/>
                <w:highlight w:val="none"/>
              </w:rPr>
              <w:t>接管浓度限值</w:t>
            </w:r>
            <w:r>
              <w:rPr>
                <w:rFonts w:hint="eastAsia"/>
                <w:color w:val="auto"/>
                <w:highlight w:val="none"/>
                <w:lang w:eastAsia="zh-CN"/>
              </w:rPr>
              <w:t>和</w:t>
            </w:r>
            <w:r>
              <w:rPr>
                <w:rFonts w:hint="eastAsia"/>
                <w:color w:val="auto"/>
                <w:highlight w:val="none"/>
              </w:rPr>
              <w:t>《污水综合排放标准》（GB8978-1996）表4中三级标准</w:t>
            </w:r>
            <w:r>
              <w:rPr>
                <w:rFonts w:hint="eastAsia" w:ascii="宋体" w:hAnsi="宋体" w:eastAsia="宋体" w:cs="宋体"/>
                <w:color w:val="auto"/>
                <w:kern w:val="0"/>
                <w:sz w:val="24"/>
                <w:szCs w:val="24"/>
                <w:highlight w:val="none"/>
                <w:lang w:val="en-US" w:eastAsia="zh-CN" w:bidi="ar"/>
              </w:rPr>
              <w:t>，项目水质简单，污水中不含有对污水处理工艺造成不良影响的污染物，不会对石姚湾净水厂的处理造成冲击，因此项目废水接管排入石姚湾净水厂集中处理可行。</w:t>
            </w:r>
          </w:p>
          <w:p w14:paraId="45BA7849">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③纳管路径上的可行性分析</w:t>
            </w:r>
          </w:p>
          <w:p w14:paraId="48279118">
            <w:pPr>
              <w:keepNext w:val="0"/>
              <w:keepLines w:val="0"/>
              <w:widowControl/>
              <w:suppressLineNumbers w:val="0"/>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本项目位于淮南市田家庵区安城镇，距离本项目较近干道沿淮路北侧已铺设</w:t>
            </w:r>
            <w:r>
              <w:rPr>
                <w:rFonts w:hint="default" w:ascii="Times New Roman" w:hAnsi="Times New Roman" w:eastAsia="宋体" w:cs="Times New Roman"/>
                <w:color w:val="auto"/>
                <w:kern w:val="0"/>
                <w:sz w:val="24"/>
                <w:szCs w:val="24"/>
                <w:highlight w:val="none"/>
                <w:lang w:val="en-US" w:eastAsia="zh-CN" w:bidi="ar"/>
              </w:rPr>
              <w:t>DN1400</w:t>
            </w:r>
            <w:r>
              <w:rPr>
                <w:rFonts w:hint="eastAsia" w:ascii="宋体" w:hAnsi="宋体" w:eastAsia="宋体" w:cs="宋体"/>
                <w:color w:val="auto"/>
                <w:kern w:val="0"/>
                <w:sz w:val="24"/>
                <w:szCs w:val="24"/>
                <w:highlight w:val="none"/>
                <w:lang w:val="en-US" w:eastAsia="zh-CN" w:bidi="ar"/>
              </w:rPr>
              <w:t>污水干管，本项目建设地点属于石姚湾净水厂收水范围。本项目营运期厂区内部需要铺设污水管网，走向为从污水总排口经厂区东北侧设置管径</w:t>
            </w:r>
            <w:r>
              <w:rPr>
                <w:rFonts w:hint="eastAsia" w:ascii="宋体" w:hAnsi="宋体" w:cs="宋体"/>
                <w:color w:val="auto"/>
                <w:kern w:val="0"/>
                <w:sz w:val="24"/>
                <w:szCs w:val="24"/>
                <w:highlight w:val="none"/>
                <w:lang w:val="en-US" w:eastAsia="zh-CN" w:bidi="ar"/>
              </w:rPr>
              <w:t>DN</w:t>
            </w:r>
            <w:r>
              <w:rPr>
                <w:rFonts w:hint="default" w:ascii="Times New Roman" w:hAnsi="Times New Roman" w:eastAsia="宋体" w:cs="Times New Roman"/>
                <w:color w:val="auto"/>
                <w:kern w:val="0"/>
                <w:sz w:val="24"/>
                <w:szCs w:val="24"/>
                <w:highlight w:val="none"/>
                <w:lang w:val="en-US" w:eastAsia="zh-CN" w:bidi="ar"/>
              </w:rPr>
              <w:t>400</w:t>
            </w:r>
            <w:r>
              <w:rPr>
                <w:rFonts w:hint="eastAsia" w:ascii="宋体" w:hAnsi="宋体" w:eastAsia="宋体" w:cs="宋体"/>
                <w:color w:val="auto"/>
                <w:kern w:val="0"/>
                <w:sz w:val="24"/>
                <w:szCs w:val="24"/>
                <w:highlight w:val="none"/>
                <w:lang w:val="en-US" w:eastAsia="zh-CN" w:bidi="ar"/>
              </w:rPr>
              <w:t xml:space="preserve">污水管线与沿淮路已建市政污水管线接通，因此本项目综合废水排入石姚湾净水厂接管可行。 </w:t>
            </w:r>
          </w:p>
          <w:p w14:paraId="1FAF3212">
            <w:pPr>
              <w:keepNext w:val="0"/>
              <w:keepLines w:val="0"/>
              <w:widowControl/>
              <w:suppressLineNumbers w:val="0"/>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综上所述，本项目产生的废水能得到妥善处理，不会对周边的水环境产生影响。</w:t>
            </w:r>
          </w:p>
          <w:p w14:paraId="520EA6CF">
            <w:pPr>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废水污染物监测要求</w:t>
            </w:r>
          </w:p>
          <w:p w14:paraId="6A350406">
            <w:pPr>
              <w:ind w:firstLine="480" w:firstLineChars="200"/>
              <w:rPr>
                <w:color w:val="auto"/>
                <w:highlight w:val="none"/>
              </w:rPr>
            </w:pPr>
            <w:r>
              <w:rPr>
                <w:color w:val="auto"/>
                <w:highlight w:val="none"/>
              </w:rPr>
              <w:t>根据</w:t>
            </w:r>
            <w:r>
              <w:rPr>
                <w:rFonts w:hint="eastAsia"/>
                <w:color w:val="auto"/>
                <w:highlight w:val="none"/>
              </w:rPr>
              <w:t>《排污单位自行监测技术指南 总则》（HJ819-2017）、</w:t>
            </w:r>
            <w:bookmarkStart w:id="31" w:name="OLE_LINK31"/>
            <w:r>
              <w:rPr>
                <w:color w:val="auto"/>
                <w:highlight w:val="none"/>
              </w:rPr>
              <w:t>《排污单位自行监测技术指南</w:t>
            </w:r>
            <w:r>
              <w:rPr>
                <w:rFonts w:hint="eastAsia"/>
                <w:color w:val="auto"/>
                <w:highlight w:val="none"/>
              </w:rPr>
              <w:t xml:space="preserve"> </w:t>
            </w:r>
            <w:r>
              <w:rPr>
                <w:color w:val="auto"/>
                <w:highlight w:val="none"/>
              </w:rPr>
              <w:t>储油库、加油站》（HJ1249-2022）</w:t>
            </w:r>
            <w:bookmarkEnd w:id="31"/>
            <w:r>
              <w:rPr>
                <w:color w:val="auto"/>
                <w:highlight w:val="none"/>
              </w:rPr>
              <w:t>，项目废</w:t>
            </w:r>
            <w:r>
              <w:rPr>
                <w:rFonts w:hint="eastAsia"/>
                <w:color w:val="auto"/>
                <w:highlight w:val="none"/>
              </w:rPr>
              <w:t>水</w:t>
            </w:r>
            <w:r>
              <w:rPr>
                <w:color w:val="auto"/>
                <w:highlight w:val="none"/>
              </w:rPr>
              <w:t>监测计划见</w:t>
            </w:r>
            <w:r>
              <w:rPr>
                <w:rFonts w:hint="eastAsia"/>
                <w:color w:val="auto"/>
                <w:highlight w:val="none"/>
              </w:rPr>
              <w:t>下表</w:t>
            </w:r>
            <w:r>
              <w:rPr>
                <w:color w:val="auto"/>
                <w:highlight w:val="none"/>
              </w:rPr>
              <w:t>。</w:t>
            </w:r>
          </w:p>
          <w:p w14:paraId="3C076074">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t xml:space="preserve"> </w:t>
            </w:r>
            <w:r>
              <w:rPr>
                <w:color w:val="auto"/>
                <w:kern w:val="0"/>
                <w:szCs w:val="18"/>
                <w:highlight w:val="none"/>
              </w:rPr>
              <w:t>废</w:t>
            </w:r>
            <w:r>
              <w:rPr>
                <w:rFonts w:hint="eastAsia"/>
                <w:color w:val="auto"/>
                <w:kern w:val="0"/>
                <w:szCs w:val="18"/>
                <w:highlight w:val="none"/>
              </w:rPr>
              <w:t>水</w:t>
            </w:r>
            <w:r>
              <w:rPr>
                <w:color w:val="auto"/>
                <w:kern w:val="0"/>
                <w:szCs w:val="18"/>
                <w:highlight w:val="none"/>
              </w:rPr>
              <w:t>监测计划一览表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946"/>
              <w:gridCol w:w="908"/>
              <w:gridCol w:w="3684"/>
            </w:tblGrid>
            <w:tr w14:paraId="7AB4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Align w:val="center"/>
                </w:tcPr>
                <w:p w14:paraId="264C44A5">
                  <w:pPr>
                    <w:pStyle w:val="30"/>
                    <w:rPr>
                      <w:color w:val="auto"/>
                      <w:highlight w:val="none"/>
                    </w:rPr>
                  </w:pPr>
                  <w:r>
                    <w:rPr>
                      <w:color w:val="auto"/>
                      <w:highlight w:val="none"/>
                    </w:rPr>
                    <w:t>监测点位</w:t>
                  </w:r>
                </w:p>
              </w:tc>
              <w:tc>
                <w:tcPr>
                  <w:tcW w:w="1946" w:type="dxa"/>
                  <w:vAlign w:val="center"/>
                </w:tcPr>
                <w:p w14:paraId="2CECCB62">
                  <w:pPr>
                    <w:pStyle w:val="30"/>
                    <w:rPr>
                      <w:color w:val="auto"/>
                      <w:highlight w:val="none"/>
                    </w:rPr>
                  </w:pPr>
                  <w:r>
                    <w:rPr>
                      <w:color w:val="auto"/>
                      <w:highlight w:val="none"/>
                    </w:rPr>
                    <w:t>监测指标</w:t>
                  </w:r>
                </w:p>
              </w:tc>
              <w:tc>
                <w:tcPr>
                  <w:tcW w:w="908" w:type="dxa"/>
                  <w:vAlign w:val="center"/>
                </w:tcPr>
                <w:p w14:paraId="5909F36A">
                  <w:pPr>
                    <w:pStyle w:val="30"/>
                    <w:rPr>
                      <w:color w:val="auto"/>
                      <w:highlight w:val="none"/>
                    </w:rPr>
                  </w:pPr>
                  <w:r>
                    <w:rPr>
                      <w:color w:val="auto"/>
                      <w:highlight w:val="none"/>
                    </w:rPr>
                    <w:t>监测频次</w:t>
                  </w:r>
                </w:p>
              </w:tc>
              <w:tc>
                <w:tcPr>
                  <w:tcW w:w="3684" w:type="dxa"/>
                  <w:vAlign w:val="center"/>
                </w:tcPr>
                <w:p w14:paraId="1E7DB0EF">
                  <w:pPr>
                    <w:pStyle w:val="30"/>
                    <w:rPr>
                      <w:color w:val="auto"/>
                      <w:highlight w:val="none"/>
                    </w:rPr>
                  </w:pPr>
                  <w:r>
                    <w:rPr>
                      <w:color w:val="auto"/>
                      <w:highlight w:val="none"/>
                    </w:rPr>
                    <w:t>执行排放标准</w:t>
                  </w:r>
                </w:p>
              </w:tc>
            </w:tr>
            <w:tr w14:paraId="7B6F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Align w:val="center"/>
                </w:tcPr>
                <w:p w14:paraId="73A04599">
                  <w:pPr>
                    <w:widowControl/>
                    <w:adjustRightInd w:val="0"/>
                    <w:snapToGrid w:val="0"/>
                    <w:spacing w:line="240" w:lineRule="auto"/>
                    <w:jc w:val="center"/>
                    <w:rPr>
                      <w:rFonts w:hint="default" w:eastAsia="宋体"/>
                      <w:color w:val="auto"/>
                      <w:highlight w:val="none"/>
                      <w:lang w:val="en-US" w:eastAsia="zh-CN"/>
                    </w:rPr>
                  </w:pPr>
                  <w:r>
                    <w:rPr>
                      <w:rFonts w:hint="eastAsia" w:ascii="瀹嬩綋" w:hAnsi="瀹嬩綋" w:eastAsia="宋体" w:cs="瀹嬩綋"/>
                      <w:color w:val="auto"/>
                      <w:kern w:val="0"/>
                      <w:sz w:val="18"/>
                      <w:szCs w:val="18"/>
                      <w:highlight w:val="none"/>
                      <w:lang w:eastAsia="zh-CN" w:bidi="ar"/>
                    </w:rPr>
                    <w:t>西</w:t>
                  </w:r>
                  <w:r>
                    <w:rPr>
                      <w:rFonts w:hint="eastAsia" w:ascii="Times New Roman" w:hAnsi="Times New Roman" w:eastAsia="宋体" w:cs="Times New Roman"/>
                      <w:color w:val="auto"/>
                      <w:kern w:val="0"/>
                      <w:sz w:val="18"/>
                      <w:szCs w:val="18"/>
                      <w:highlight w:val="none"/>
                      <w:lang w:val="en-US" w:eastAsia="zh-CN" w:bidi="ar-SA"/>
                    </w:rPr>
                    <w:t>侧地块废水排口DW001</w:t>
                  </w:r>
                </w:p>
              </w:tc>
              <w:tc>
                <w:tcPr>
                  <w:tcW w:w="1946" w:type="dxa"/>
                  <w:vAlign w:val="center"/>
                </w:tcPr>
                <w:p w14:paraId="5A796472">
                  <w:pPr>
                    <w:pStyle w:val="30"/>
                    <w:rPr>
                      <w:color w:val="auto"/>
                      <w:highlight w:val="none"/>
                    </w:rPr>
                  </w:pPr>
                  <w:r>
                    <w:rPr>
                      <w:rFonts w:hint="eastAsia"/>
                      <w:color w:val="auto"/>
                      <w:highlight w:val="none"/>
                    </w:rPr>
                    <w:t>PH值、CODcr、BOD</w:t>
                  </w:r>
                  <w:r>
                    <w:rPr>
                      <w:rFonts w:hint="eastAsia"/>
                      <w:color w:val="auto"/>
                      <w:highlight w:val="none"/>
                      <w:vertAlign w:val="subscript"/>
                    </w:rPr>
                    <w:t>5</w:t>
                  </w:r>
                  <w:r>
                    <w:rPr>
                      <w:rFonts w:hint="eastAsia"/>
                      <w:color w:val="auto"/>
                      <w:highlight w:val="none"/>
                    </w:rPr>
                    <w:t>、氨氮、SS、石油类、动植物油、LAS、总磷</w:t>
                  </w:r>
                </w:p>
              </w:tc>
              <w:tc>
                <w:tcPr>
                  <w:tcW w:w="908" w:type="dxa"/>
                  <w:vAlign w:val="center"/>
                </w:tcPr>
                <w:p w14:paraId="73F647B3">
                  <w:pPr>
                    <w:pStyle w:val="30"/>
                    <w:rPr>
                      <w:color w:val="auto"/>
                      <w:highlight w:val="none"/>
                    </w:rPr>
                  </w:pPr>
                  <w:r>
                    <w:rPr>
                      <w:color w:val="auto"/>
                      <w:highlight w:val="none"/>
                    </w:rPr>
                    <w:t>1次/年</w:t>
                  </w:r>
                </w:p>
              </w:tc>
              <w:tc>
                <w:tcPr>
                  <w:tcW w:w="3684" w:type="dxa"/>
                  <w:vAlign w:val="center"/>
                </w:tcPr>
                <w:p w14:paraId="3D4E6014">
                  <w:pPr>
                    <w:pStyle w:val="30"/>
                    <w:rPr>
                      <w:color w:val="auto"/>
                      <w:highlight w:val="none"/>
                    </w:rPr>
                  </w:pPr>
                  <w:r>
                    <w:rPr>
                      <w:rFonts w:hint="eastAsia" w:ascii="宋体" w:hAnsi="宋体" w:cs="宋体"/>
                      <w:color w:val="auto"/>
                      <w:highlight w:val="none"/>
                      <w:lang w:bidi="ar"/>
                    </w:rPr>
                    <w:t>从严执行</w:t>
                  </w:r>
                  <w:r>
                    <w:rPr>
                      <w:color w:val="auto"/>
                      <w:highlight w:val="none"/>
                    </w:rPr>
                    <w:t>《汽车维修业水污染物排放标准》（GB26877－2011）表2间接排放标准</w:t>
                  </w:r>
                  <w:r>
                    <w:rPr>
                      <w:rFonts w:hint="eastAsia"/>
                      <w:color w:val="auto"/>
                      <w:highlight w:val="none"/>
                      <w:lang w:eastAsia="zh-CN"/>
                    </w:rPr>
                    <w:t>、</w:t>
                  </w:r>
                  <w:r>
                    <w:rPr>
                      <w:rFonts w:hint="eastAsia" w:ascii="宋体" w:hAnsi="宋体" w:cs="宋体"/>
                      <w:color w:val="auto"/>
                      <w:highlight w:val="none"/>
                      <w:lang w:eastAsia="zh-CN" w:bidi="ar"/>
                    </w:rPr>
                    <w:t>淮南石姚湾净水厂</w:t>
                  </w:r>
                  <w:r>
                    <w:rPr>
                      <w:rFonts w:hint="eastAsia"/>
                      <w:color w:val="auto"/>
                      <w:highlight w:val="none"/>
                    </w:rPr>
                    <w:t>接管标准、《污水综合排放标准》（GB8978-1996）表4中三级标准</w:t>
                  </w:r>
                </w:p>
              </w:tc>
            </w:tr>
            <w:tr w14:paraId="1233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Align w:val="center"/>
                </w:tcPr>
                <w:p w14:paraId="0551DCC2">
                  <w:pPr>
                    <w:widowControl/>
                    <w:adjustRightInd w:val="0"/>
                    <w:snapToGrid w:val="0"/>
                    <w:spacing w:line="240" w:lineRule="auto"/>
                    <w:jc w:val="center"/>
                    <w:rPr>
                      <w:rFonts w:ascii="瀹嬩綋" w:hAnsi="瀹嬩綋" w:eastAsia="瀹嬩綋" w:cs="瀹嬩綋"/>
                      <w:color w:val="auto"/>
                      <w:kern w:val="0"/>
                      <w:sz w:val="18"/>
                      <w:szCs w:val="18"/>
                      <w:highlight w:val="none"/>
                      <w:lang w:bidi="ar"/>
                    </w:rPr>
                  </w:pPr>
                  <w:r>
                    <w:rPr>
                      <w:rFonts w:hint="eastAsia" w:ascii="瀹嬩綋" w:hAnsi="瀹嬩綋" w:cs="瀹嬩綋"/>
                      <w:color w:val="auto"/>
                      <w:kern w:val="0"/>
                      <w:sz w:val="18"/>
                      <w:szCs w:val="18"/>
                      <w:highlight w:val="none"/>
                      <w:lang w:eastAsia="zh-CN" w:bidi="ar"/>
                    </w:rPr>
                    <w:t>东</w:t>
                  </w:r>
                  <w:r>
                    <w:rPr>
                      <w:rFonts w:hint="eastAsia" w:ascii="Times New Roman" w:hAnsi="Times New Roman" w:eastAsia="宋体" w:cs="Times New Roman"/>
                      <w:color w:val="auto"/>
                      <w:kern w:val="0"/>
                      <w:sz w:val="18"/>
                      <w:szCs w:val="18"/>
                      <w:highlight w:val="none"/>
                      <w:lang w:val="en-US" w:eastAsia="zh-CN" w:bidi="ar-SA"/>
                    </w:rPr>
                    <w:t>侧地块废水排口DW00</w:t>
                  </w:r>
                  <w:r>
                    <w:rPr>
                      <w:rFonts w:hint="eastAsia" w:cs="Times New Roman"/>
                      <w:color w:val="auto"/>
                      <w:kern w:val="0"/>
                      <w:sz w:val="18"/>
                      <w:szCs w:val="18"/>
                      <w:highlight w:val="none"/>
                      <w:lang w:val="en-US" w:eastAsia="zh-CN" w:bidi="ar-SA"/>
                    </w:rPr>
                    <w:t>2</w:t>
                  </w:r>
                </w:p>
              </w:tc>
              <w:tc>
                <w:tcPr>
                  <w:tcW w:w="1946" w:type="dxa"/>
                  <w:vAlign w:val="center"/>
                </w:tcPr>
                <w:p w14:paraId="049CFB92">
                  <w:pPr>
                    <w:pStyle w:val="30"/>
                    <w:rPr>
                      <w:rFonts w:hint="eastAsia"/>
                      <w:color w:val="auto"/>
                      <w:highlight w:val="none"/>
                    </w:rPr>
                  </w:pPr>
                  <w:r>
                    <w:rPr>
                      <w:rFonts w:hint="eastAsia"/>
                      <w:color w:val="auto"/>
                      <w:highlight w:val="none"/>
                    </w:rPr>
                    <w:t>PH值、CODcr、BOD</w:t>
                  </w:r>
                  <w:r>
                    <w:rPr>
                      <w:rFonts w:hint="eastAsia"/>
                      <w:color w:val="auto"/>
                      <w:highlight w:val="none"/>
                      <w:vertAlign w:val="subscript"/>
                    </w:rPr>
                    <w:t>5</w:t>
                  </w:r>
                  <w:r>
                    <w:rPr>
                      <w:rFonts w:hint="eastAsia"/>
                      <w:color w:val="auto"/>
                      <w:highlight w:val="none"/>
                    </w:rPr>
                    <w:t>、氨氮、SS、石油类、总磷</w:t>
                  </w:r>
                </w:p>
              </w:tc>
              <w:tc>
                <w:tcPr>
                  <w:tcW w:w="908" w:type="dxa"/>
                  <w:vAlign w:val="center"/>
                </w:tcPr>
                <w:p w14:paraId="20B46042">
                  <w:pPr>
                    <w:pStyle w:val="30"/>
                    <w:rPr>
                      <w:color w:val="auto"/>
                      <w:highlight w:val="none"/>
                    </w:rPr>
                  </w:pPr>
                  <w:r>
                    <w:rPr>
                      <w:color w:val="auto"/>
                      <w:highlight w:val="none"/>
                    </w:rPr>
                    <w:t>1次/年</w:t>
                  </w:r>
                </w:p>
              </w:tc>
              <w:tc>
                <w:tcPr>
                  <w:tcW w:w="3684" w:type="dxa"/>
                  <w:vAlign w:val="center"/>
                </w:tcPr>
                <w:p w14:paraId="53F0C9E0">
                  <w:pPr>
                    <w:pStyle w:val="30"/>
                    <w:rPr>
                      <w:rFonts w:hint="eastAsia" w:ascii="宋体" w:hAnsi="宋体" w:cs="宋体"/>
                      <w:color w:val="auto"/>
                      <w:highlight w:val="none"/>
                      <w:lang w:bidi="ar"/>
                    </w:rPr>
                  </w:pPr>
                  <w:r>
                    <w:rPr>
                      <w:rFonts w:hint="eastAsia" w:ascii="宋体" w:hAnsi="宋体" w:cs="宋体"/>
                      <w:color w:val="auto"/>
                      <w:highlight w:val="none"/>
                      <w:lang w:bidi="ar"/>
                    </w:rPr>
                    <w:t>从严执行</w:t>
                  </w:r>
                  <w:r>
                    <w:rPr>
                      <w:rFonts w:hint="eastAsia" w:ascii="宋体" w:hAnsi="宋体" w:cs="宋体"/>
                      <w:color w:val="auto"/>
                      <w:highlight w:val="none"/>
                      <w:lang w:eastAsia="zh-CN" w:bidi="ar"/>
                    </w:rPr>
                    <w:t>淮南石姚湾净水厂</w:t>
                  </w:r>
                  <w:r>
                    <w:rPr>
                      <w:rFonts w:hint="eastAsia"/>
                      <w:color w:val="auto"/>
                      <w:highlight w:val="none"/>
                    </w:rPr>
                    <w:t>接管标准、《污水综合排放标准》（GB8978-1996）表4中三级标准</w:t>
                  </w:r>
                </w:p>
              </w:tc>
            </w:tr>
          </w:tbl>
          <w:p w14:paraId="14414AD9">
            <w:pPr>
              <w:bidi w:val="0"/>
              <w:rPr>
                <w:b/>
                <w:bCs/>
                <w:color w:val="auto"/>
                <w:highlight w:val="none"/>
              </w:rPr>
            </w:pPr>
            <w:r>
              <w:rPr>
                <w:rFonts w:hint="eastAsia"/>
                <w:b/>
                <w:bCs/>
                <w:color w:val="auto"/>
                <w:highlight w:val="none"/>
              </w:rPr>
              <w:t>三、噪声环境影响分析</w:t>
            </w:r>
          </w:p>
          <w:p w14:paraId="5CB1D06A">
            <w:pPr>
              <w:rPr>
                <w:rFonts w:hint="eastAsia"/>
                <w:color w:val="auto"/>
                <w:highlight w:val="none"/>
              </w:rPr>
            </w:pPr>
            <w:r>
              <w:rPr>
                <w:rFonts w:hint="eastAsia"/>
                <w:color w:val="auto"/>
                <w:highlight w:val="none"/>
              </w:rPr>
              <w:t>1、噪声源强</w:t>
            </w:r>
          </w:p>
          <w:p w14:paraId="3DE44FFD">
            <w:pPr>
              <w:ind w:firstLine="480" w:firstLineChars="200"/>
              <w:rPr>
                <w:color w:val="auto"/>
                <w:highlight w:val="none"/>
              </w:rPr>
            </w:pPr>
            <w:r>
              <w:rPr>
                <w:color w:val="auto"/>
                <w:highlight w:val="none"/>
              </w:rPr>
              <w:t>本项目</w:t>
            </w:r>
            <w:r>
              <w:rPr>
                <w:rFonts w:hint="eastAsia"/>
                <w:color w:val="auto"/>
                <w:highlight w:val="none"/>
                <w:lang w:eastAsia="zh-CN"/>
              </w:rPr>
              <w:t>西侧地块</w:t>
            </w:r>
            <w:r>
              <w:rPr>
                <w:color w:val="auto"/>
                <w:highlight w:val="none"/>
              </w:rPr>
              <w:t>营运期噪声源主要为</w:t>
            </w:r>
            <w:r>
              <w:rPr>
                <w:rFonts w:hint="eastAsia"/>
                <w:color w:val="auto"/>
                <w:highlight w:val="none"/>
                <w:lang w:eastAsia="zh-CN"/>
              </w:rPr>
              <w:t>智慧货运维修中心中</w:t>
            </w:r>
            <w:r>
              <w:rPr>
                <w:rFonts w:hint="eastAsia"/>
                <w:color w:val="auto"/>
                <w:highlight w:val="none"/>
              </w:rPr>
              <w:t>车辆维修过程中产生噪声</w:t>
            </w:r>
            <w:r>
              <w:rPr>
                <w:color w:val="auto"/>
                <w:highlight w:val="none"/>
              </w:rPr>
              <w:t>，噪声源强约为6</w:t>
            </w:r>
            <w:r>
              <w:rPr>
                <w:rFonts w:hint="eastAsia"/>
                <w:color w:val="auto"/>
                <w:highlight w:val="none"/>
              </w:rPr>
              <w:t>0~85</w:t>
            </w:r>
            <w:r>
              <w:rPr>
                <w:color w:val="auto"/>
                <w:highlight w:val="none"/>
              </w:rPr>
              <w:t>dB（A）。</w:t>
            </w:r>
            <w:r>
              <w:rPr>
                <w:rFonts w:hint="eastAsia"/>
                <w:color w:val="auto"/>
                <w:highlight w:val="none"/>
                <w:lang w:eastAsia="zh-CN"/>
              </w:rPr>
              <w:t>东侧地块营运期噪声源主要为加油机加油作业的噪声。本项目</w:t>
            </w:r>
            <w:r>
              <w:rPr>
                <w:rFonts w:eastAsiaTheme="minorEastAsia"/>
                <w:color w:val="auto"/>
                <w:szCs w:val="24"/>
                <w:highlight w:val="none"/>
              </w:rPr>
              <w:t>产生噪声的噪声源强调查清单见</w:t>
            </w:r>
            <w:r>
              <w:rPr>
                <w:rFonts w:hint="eastAsia" w:eastAsiaTheme="minorEastAsia"/>
                <w:color w:val="auto"/>
                <w:szCs w:val="24"/>
                <w:highlight w:val="none"/>
                <w:lang w:eastAsia="zh-CN"/>
              </w:rPr>
              <w:t>下表</w:t>
            </w:r>
            <w:r>
              <w:rPr>
                <w:rFonts w:hint="eastAsia"/>
                <w:color w:val="auto"/>
                <w:highlight w:val="none"/>
                <w:lang w:eastAsia="zh-CN"/>
              </w:rPr>
              <w:t>。</w:t>
            </w:r>
          </w:p>
        </w:tc>
        <w:tc>
          <w:tcPr>
            <w:tcW w:w="240" w:type="dxa"/>
          </w:tcPr>
          <w:p w14:paraId="096D2D9F">
            <w:pPr>
              <w:ind w:firstLine="480" w:firstLineChars="200"/>
              <w:rPr>
                <w:color w:val="auto"/>
                <w:highlight w:val="none"/>
              </w:rPr>
            </w:pPr>
          </w:p>
        </w:tc>
      </w:tr>
    </w:tbl>
    <w:p w14:paraId="1B44491D">
      <w:pPr>
        <w:jc w:val="center"/>
        <w:rPr>
          <w:rFonts w:hint="eastAsia"/>
          <w:color w:val="auto"/>
          <w:highlight w:val="none"/>
        </w:rPr>
        <w:sectPr>
          <w:pgSz w:w="11906" w:h="16838"/>
          <w:pgMar w:top="1440" w:right="1800" w:bottom="1440" w:left="1800" w:header="851" w:footer="992" w:gutter="0"/>
          <w:cols w:space="425" w:num="1"/>
          <w:docGrid w:type="lines" w:linePitch="312" w:charSpace="0"/>
        </w:sectPr>
      </w:pPr>
    </w:p>
    <w:p w14:paraId="086FD169">
      <w:pPr>
        <w:pStyle w:val="6"/>
        <w:rPr>
          <w:color w:val="auto"/>
          <w:highlight w:val="none"/>
        </w:rPr>
      </w:pPr>
      <w:bookmarkStart w:id="32" w:name="PT_6"/>
      <w:r>
        <w:rPr>
          <w:color w:val="auto"/>
          <w:highlight w:val="none"/>
        </w:rPr>
        <w:t xml:space="preserve">表 </w:t>
      </w:r>
      <w:r>
        <w:rPr>
          <w:rFonts w:hint="eastAsia"/>
          <w:color w:val="auto"/>
          <w:highlight w:val="none"/>
          <w:lang w:val="en-US" w:eastAsia="zh-CN"/>
        </w:rPr>
        <w:t>4</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lang w:val="en-US" w:eastAsia="zh-CN"/>
        </w:rPr>
        <w:t xml:space="preserve"> </w:t>
      </w:r>
      <w:r>
        <w:rPr>
          <w:rFonts w:hint="eastAsia"/>
          <w:color w:val="auto"/>
          <w:highlight w:val="none"/>
          <w:lang w:eastAsia="zh-CN"/>
        </w:rPr>
        <w:t>本项目西侧地块</w:t>
      </w:r>
      <w:r>
        <w:rPr>
          <w:color w:val="auto"/>
          <w:highlight w:val="none"/>
        </w:rPr>
        <w:t>工业企业噪声源强调查清单</w:t>
      </w:r>
    </w:p>
    <w:tbl>
      <w:tblPr>
        <w:tblStyle w:val="24"/>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448"/>
        <w:gridCol w:w="766"/>
        <w:gridCol w:w="650"/>
        <w:gridCol w:w="550"/>
        <w:gridCol w:w="610"/>
        <w:gridCol w:w="610"/>
        <w:gridCol w:w="621"/>
        <w:gridCol w:w="508"/>
        <w:gridCol w:w="508"/>
        <w:gridCol w:w="508"/>
        <w:gridCol w:w="525"/>
        <w:gridCol w:w="502"/>
        <w:gridCol w:w="502"/>
        <w:gridCol w:w="502"/>
        <w:gridCol w:w="511"/>
        <w:gridCol w:w="434"/>
        <w:gridCol w:w="485"/>
        <w:gridCol w:w="485"/>
        <w:gridCol w:w="485"/>
        <w:gridCol w:w="485"/>
        <w:gridCol w:w="516"/>
        <w:gridCol w:w="516"/>
        <w:gridCol w:w="517"/>
        <w:gridCol w:w="517"/>
        <w:gridCol w:w="727"/>
      </w:tblGrid>
      <w:tr w14:paraId="797E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141" w:type="pct"/>
            <w:vMerge w:val="restart"/>
            <w:vAlign w:val="center"/>
          </w:tcPr>
          <w:p w14:paraId="18417F54">
            <w:pPr>
              <w:pStyle w:val="30"/>
              <w:bidi w:val="0"/>
              <w:rPr>
                <w:color w:val="auto"/>
                <w:highlight w:val="none"/>
              </w:rPr>
            </w:pPr>
            <w:r>
              <w:rPr>
                <w:color w:val="auto"/>
                <w:highlight w:val="none"/>
              </w:rPr>
              <w:t>序号</w:t>
            </w:r>
          </w:p>
        </w:tc>
        <w:tc>
          <w:tcPr>
            <w:tcW w:w="161" w:type="pct"/>
            <w:vMerge w:val="restart"/>
            <w:vAlign w:val="center"/>
          </w:tcPr>
          <w:p w14:paraId="66BAC9D7">
            <w:pPr>
              <w:pStyle w:val="30"/>
              <w:bidi w:val="0"/>
              <w:rPr>
                <w:color w:val="auto"/>
                <w:highlight w:val="none"/>
              </w:rPr>
            </w:pPr>
            <w:r>
              <w:rPr>
                <w:color w:val="auto"/>
                <w:highlight w:val="none"/>
              </w:rPr>
              <w:t>建筑物名称</w:t>
            </w:r>
          </w:p>
        </w:tc>
        <w:tc>
          <w:tcPr>
            <w:tcW w:w="275" w:type="pct"/>
            <w:vMerge w:val="restart"/>
            <w:vAlign w:val="center"/>
          </w:tcPr>
          <w:p w14:paraId="66C701C8">
            <w:pPr>
              <w:pStyle w:val="30"/>
              <w:bidi w:val="0"/>
              <w:rPr>
                <w:color w:val="auto"/>
                <w:highlight w:val="none"/>
              </w:rPr>
            </w:pPr>
            <w:r>
              <w:rPr>
                <w:color w:val="auto"/>
                <w:highlight w:val="none"/>
              </w:rPr>
              <w:t>声源名称</w:t>
            </w:r>
          </w:p>
        </w:tc>
        <w:tc>
          <w:tcPr>
            <w:tcW w:w="234" w:type="pct"/>
            <w:vAlign w:val="center"/>
          </w:tcPr>
          <w:p w14:paraId="43185271">
            <w:pPr>
              <w:pStyle w:val="30"/>
              <w:bidi w:val="0"/>
              <w:rPr>
                <w:color w:val="auto"/>
                <w:highlight w:val="none"/>
                <w:lang w:eastAsia="zh-CN"/>
              </w:rPr>
            </w:pPr>
            <w:r>
              <w:rPr>
                <w:color w:val="auto"/>
                <w:highlight w:val="none"/>
                <w:lang w:eastAsia="zh-CN"/>
              </w:rPr>
              <w:t>声源源强</w:t>
            </w:r>
          </w:p>
        </w:tc>
        <w:tc>
          <w:tcPr>
            <w:tcW w:w="198" w:type="pct"/>
            <w:vMerge w:val="restart"/>
            <w:vAlign w:val="center"/>
          </w:tcPr>
          <w:p w14:paraId="4AF10A31">
            <w:pPr>
              <w:pStyle w:val="30"/>
              <w:bidi w:val="0"/>
              <w:rPr>
                <w:color w:val="auto"/>
                <w:highlight w:val="none"/>
              </w:rPr>
            </w:pPr>
            <w:r>
              <w:rPr>
                <w:color w:val="auto"/>
                <w:highlight w:val="none"/>
              </w:rPr>
              <w:t>声源控制措施</w:t>
            </w:r>
          </w:p>
        </w:tc>
        <w:tc>
          <w:tcPr>
            <w:tcW w:w="663" w:type="pct"/>
            <w:gridSpan w:val="3"/>
            <w:vAlign w:val="center"/>
          </w:tcPr>
          <w:p w14:paraId="1D2D90F1">
            <w:pPr>
              <w:pStyle w:val="30"/>
              <w:bidi w:val="0"/>
              <w:rPr>
                <w:color w:val="auto"/>
                <w:highlight w:val="none"/>
              </w:rPr>
            </w:pPr>
            <w:r>
              <w:rPr>
                <w:color w:val="auto"/>
                <w:highlight w:val="none"/>
              </w:rPr>
              <w:t>空间相对位置/m</w:t>
            </w:r>
          </w:p>
        </w:tc>
        <w:tc>
          <w:tcPr>
            <w:tcW w:w="738" w:type="pct"/>
            <w:gridSpan w:val="4"/>
            <w:vAlign w:val="center"/>
          </w:tcPr>
          <w:p w14:paraId="7A4556A2">
            <w:pPr>
              <w:pStyle w:val="30"/>
              <w:bidi w:val="0"/>
              <w:rPr>
                <w:color w:val="auto"/>
                <w:highlight w:val="none"/>
              </w:rPr>
            </w:pPr>
            <w:r>
              <w:rPr>
                <w:color w:val="auto"/>
                <w:highlight w:val="none"/>
              </w:rPr>
              <w:t>距室内边界距离/m</w:t>
            </w:r>
          </w:p>
        </w:tc>
        <w:tc>
          <w:tcPr>
            <w:tcW w:w="726" w:type="pct"/>
            <w:gridSpan w:val="4"/>
            <w:vAlign w:val="center"/>
          </w:tcPr>
          <w:p w14:paraId="3C6D62A1">
            <w:pPr>
              <w:pStyle w:val="30"/>
              <w:bidi w:val="0"/>
              <w:rPr>
                <w:color w:val="auto"/>
                <w:highlight w:val="none"/>
              </w:rPr>
            </w:pPr>
            <w:r>
              <w:rPr>
                <w:color w:val="auto"/>
                <w:highlight w:val="none"/>
              </w:rPr>
              <w:t>室内边界声级/dB(A)</w:t>
            </w:r>
          </w:p>
        </w:tc>
        <w:tc>
          <w:tcPr>
            <w:tcW w:w="156" w:type="pct"/>
            <w:vMerge w:val="restart"/>
            <w:vAlign w:val="center"/>
          </w:tcPr>
          <w:p w14:paraId="786D3F5C">
            <w:pPr>
              <w:pStyle w:val="30"/>
              <w:bidi w:val="0"/>
              <w:rPr>
                <w:color w:val="auto"/>
                <w:highlight w:val="none"/>
              </w:rPr>
            </w:pPr>
            <w:r>
              <w:rPr>
                <w:color w:val="auto"/>
                <w:highlight w:val="none"/>
              </w:rPr>
              <w:t>运行时段</w:t>
            </w:r>
          </w:p>
        </w:tc>
        <w:tc>
          <w:tcPr>
            <w:tcW w:w="698" w:type="pct"/>
            <w:gridSpan w:val="4"/>
            <w:vAlign w:val="center"/>
          </w:tcPr>
          <w:p w14:paraId="0A80AB09">
            <w:pPr>
              <w:pStyle w:val="30"/>
              <w:bidi w:val="0"/>
              <w:rPr>
                <w:color w:val="auto"/>
                <w:highlight w:val="none"/>
              </w:rPr>
            </w:pPr>
            <w:r>
              <w:rPr>
                <w:color w:val="auto"/>
                <w:highlight w:val="none"/>
              </w:rPr>
              <w:t>建筑物插入损失 / dB(A)</w:t>
            </w:r>
            <w:bookmarkStart w:id="33" w:name="PT_10"/>
            <w:bookmarkEnd w:id="33"/>
          </w:p>
        </w:tc>
        <w:tc>
          <w:tcPr>
            <w:tcW w:w="1005" w:type="pct"/>
            <w:gridSpan w:val="5"/>
            <w:vAlign w:val="center"/>
          </w:tcPr>
          <w:p w14:paraId="4CF46528">
            <w:pPr>
              <w:pStyle w:val="30"/>
              <w:bidi w:val="0"/>
              <w:rPr>
                <w:color w:val="auto"/>
                <w:highlight w:val="none"/>
              </w:rPr>
            </w:pPr>
            <w:r>
              <w:rPr>
                <w:color w:val="auto"/>
                <w:highlight w:val="none"/>
              </w:rPr>
              <w:t>建筑物外噪声声压级/dB(A)</w:t>
            </w:r>
          </w:p>
        </w:tc>
      </w:tr>
      <w:tr w14:paraId="2CF1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vMerge w:val="continue"/>
            <w:shd w:val="clear" w:color="auto" w:fill="FFFFFF"/>
            <w:tcMar>
              <w:top w:w="0" w:type="dxa"/>
              <w:left w:w="0" w:type="dxa"/>
              <w:bottom w:w="0" w:type="dxa"/>
              <w:right w:w="0" w:type="dxa"/>
            </w:tcMar>
            <w:vAlign w:val="center"/>
          </w:tcPr>
          <w:p w14:paraId="15F98922">
            <w:pPr>
              <w:pStyle w:val="30"/>
              <w:bidi w:val="0"/>
              <w:rPr>
                <w:rFonts w:hint="default"/>
                <w:color w:val="auto"/>
                <w:highlight w:val="none"/>
                <w:lang w:val="en-US" w:eastAsia="zh-CN"/>
              </w:rPr>
            </w:pPr>
          </w:p>
        </w:tc>
        <w:tc>
          <w:tcPr>
            <w:tcW w:w="161" w:type="pct"/>
            <w:vMerge w:val="continue"/>
            <w:shd w:val="clear" w:color="auto" w:fill="FFFFFF"/>
            <w:tcMar>
              <w:top w:w="0" w:type="dxa"/>
              <w:left w:w="0" w:type="dxa"/>
              <w:bottom w:w="0" w:type="dxa"/>
              <w:right w:w="0" w:type="dxa"/>
            </w:tcMar>
            <w:vAlign w:val="center"/>
          </w:tcPr>
          <w:p w14:paraId="43724DF6">
            <w:pPr>
              <w:pStyle w:val="30"/>
              <w:bidi w:val="0"/>
              <w:rPr>
                <w:color w:val="auto"/>
                <w:highlight w:val="none"/>
              </w:rPr>
            </w:pPr>
          </w:p>
        </w:tc>
        <w:tc>
          <w:tcPr>
            <w:tcW w:w="275" w:type="pct"/>
            <w:vMerge w:val="continue"/>
            <w:shd w:val="clear" w:color="auto" w:fill="FFFFFF"/>
            <w:tcMar>
              <w:top w:w="0" w:type="dxa"/>
              <w:left w:w="0" w:type="dxa"/>
              <w:bottom w:w="0" w:type="dxa"/>
              <w:right w:w="0" w:type="dxa"/>
            </w:tcMar>
            <w:vAlign w:val="center"/>
          </w:tcPr>
          <w:p w14:paraId="5AD6F450">
            <w:pPr>
              <w:pStyle w:val="30"/>
              <w:bidi w:val="0"/>
              <w:rPr>
                <w:color w:val="auto"/>
                <w:highlight w:val="none"/>
              </w:rPr>
            </w:pPr>
          </w:p>
        </w:tc>
        <w:tc>
          <w:tcPr>
            <w:tcW w:w="234" w:type="pct"/>
            <w:shd w:val="clear" w:color="auto" w:fill="FFFFFF"/>
            <w:tcMar>
              <w:top w:w="0" w:type="dxa"/>
              <w:left w:w="0" w:type="dxa"/>
              <w:bottom w:w="0" w:type="dxa"/>
              <w:right w:w="0" w:type="dxa"/>
            </w:tcMar>
            <w:vAlign w:val="center"/>
          </w:tcPr>
          <w:p w14:paraId="43C4A25D">
            <w:pPr>
              <w:pStyle w:val="30"/>
              <w:bidi w:val="0"/>
              <w:rPr>
                <w:color w:val="auto"/>
                <w:highlight w:val="none"/>
              </w:rPr>
            </w:pPr>
            <w:r>
              <w:rPr>
                <w:color w:val="auto"/>
                <w:highlight w:val="none"/>
              </w:rPr>
              <w:t>声功率级/dB(A)</w:t>
            </w:r>
          </w:p>
        </w:tc>
        <w:tc>
          <w:tcPr>
            <w:tcW w:w="198" w:type="pct"/>
            <w:vMerge w:val="continue"/>
            <w:shd w:val="clear" w:color="auto" w:fill="FFFFFF"/>
            <w:tcMar>
              <w:top w:w="0" w:type="dxa"/>
              <w:left w:w="0" w:type="dxa"/>
              <w:bottom w:w="0" w:type="dxa"/>
              <w:right w:w="0" w:type="dxa"/>
            </w:tcMar>
            <w:vAlign w:val="center"/>
          </w:tcPr>
          <w:p w14:paraId="5721B4D5">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766697A1">
            <w:pPr>
              <w:pStyle w:val="30"/>
              <w:bidi w:val="0"/>
              <w:rPr>
                <w:color w:val="auto"/>
                <w:highlight w:val="none"/>
              </w:rPr>
            </w:pPr>
            <w:r>
              <w:rPr>
                <w:color w:val="auto"/>
                <w:highlight w:val="none"/>
              </w:rPr>
              <w:t>X</w:t>
            </w:r>
          </w:p>
        </w:tc>
        <w:tc>
          <w:tcPr>
            <w:tcW w:w="219" w:type="pct"/>
            <w:shd w:val="clear" w:color="auto" w:fill="FFFFFF"/>
            <w:tcMar>
              <w:top w:w="0" w:type="dxa"/>
              <w:left w:w="0" w:type="dxa"/>
              <w:bottom w:w="0" w:type="dxa"/>
              <w:right w:w="0" w:type="dxa"/>
            </w:tcMar>
            <w:vAlign w:val="center"/>
          </w:tcPr>
          <w:p w14:paraId="6B179D2B">
            <w:pPr>
              <w:pStyle w:val="30"/>
              <w:bidi w:val="0"/>
              <w:rPr>
                <w:color w:val="auto"/>
                <w:highlight w:val="none"/>
              </w:rPr>
            </w:pPr>
            <w:r>
              <w:rPr>
                <w:color w:val="auto"/>
                <w:highlight w:val="none"/>
              </w:rPr>
              <w:t>Y</w:t>
            </w:r>
          </w:p>
        </w:tc>
        <w:tc>
          <w:tcPr>
            <w:tcW w:w="223" w:type="pct"/>
            <w:shd w:val="clear" w:color="auto" w:fill="FFFFFF"/>
            <w:tcMar>
              <w:top w:w="0" w:type="dxa"/>
              <w:left w:w="0" w:type="dxa"/>
              <w:bottom w:w="0" w:type="dxa"/>
              <w:right w:w="0" w:type="dxa"/>
            </w:tcMar>
            <w:vAlign w:val="center"/>
          </w:tcPr>
          <w:p w14:paraId="57FB0E7F">
            <w:pPr>
              <w:pStyle w:val="30"/>
              <w:bidi w:val="0"/>
              <w:rPr>
                <w:color w:val="auto"/>
                <w:highlight w:val="none"/>
              </w:rPr>
            </w:pPr>
            <w:r>
              <w:rPr>
                <w:color w:val="auto"/>
                <w:highlight w:val="none"/>
              </w:rPr>
              <w:t>Z</w:t>
            </w:r>
          </w:p>
        </w:tc>
        <w:tc>
          <w:tcPr>
            <w:tcW w:w="182" w:type="pct"/>
            <w:shd w:val="clear" w:color="auto" w:fill="FFFFFF"/>
            <w:tcMar>
              <w:top w:w="0" w:type="dxa"/>
              <w:left w:w="0" w:type="dxa"/>
              <w:bottom w:w="0" w:type="dxa"/>
              <w:right w:w="0" w:type="dxa"/>
            </w:tcMar>
            <w:vAlign w:val="center"/>
          </w:tcPr>
          <w:p w14:paraId="150721AC">
            <w:pPr>
              <w:pStyle w:val="30"/>
              <w:bidi w:val="0"/>
              <w:rPr>
                <w:color w:val="auto"/>
                <w:highlight w:val="none"/>
              </w:rPr>
            </w:pPr>
            <w:r>
              <w:rPr>
                <w:rFonts w:hint="eastAsia"/>
                <w:color w:val="auto"/>
                <w:highlight w:val="none"/>
                <w:lang w:val="en-US" w:eastAsia="zh-CN"/>
              </w:rPr>
              <w:t>东</w:t>
            </w:r>
          </w:p>
        </w:tc>
        <w:tc>
          <w:tcPr>
            <w:tcW w:w="182" w:type="pct"/>
            <w:shd w:val="clear" w:color="auto" w:fill="FFFFFF"/>
            <w:tcMar>
              <w:top w:w="0" w:type="dxa"/>
              <w:left w:w="0" w:type="dxa"/>
              <w:bottom w:w="0" w:type="dxa"/>
              <w:right w:w="0" w:type="dxa"/>
            </w:tcMar>
            <w:vAlign w:val="center"/>
          </w:tcPr>
          <w:p w14:paraId="00DFB5F7">
            <w:pPr>
              <w:pStyle w:val="30"/>
              <w:bidi w:val="0"/>
              <w:rPr>
                <w:color w:val="auto"/>
                <w:highlight w:val="none"/>
              </w:rPr>
            </w:pPr>
            <w:r>
              <w:rPr>
                <w:rFonts w:hint="eastAsia"/>
                <w:color w:val="auto"/>
                <w:highlight w:val="none"/>
                <w:lang w:val="en-US" w:eastAsia="zh-CN"/>
              </w:rPr>
              <w:t>南</w:t>
            </w:r>
          </w:p>
        </w:tc>
        <w:tc>
          <w:tcPr>
            <w:tcW w:w="182" w:type="pct"/>
            <w:shd w:val="clear" w:color="auto" w:fill="FFFFFF"/>
            <w:tcMar>
              <w:top w:w="0" w:type="dxa"/>
              <w:left w:w="0" w:type="dxa"/>
              <w:bottom w:w="0" w:type="dxa"/>
              <w:right w:w="0" w:type="dxa"/>
            </w:tcMar>
            <w:vAlign w:val="center"/>
          </w:tcPr>
          <w:p w14:paraId="1A4C837C">
            <w:pPr>
              <w:pStyle w:val="30"/>
              <w:bidi w:val="0"/>
              <w:rPr>
                <w:color w:val="auto"/>
                <w:highlight w:val="none"/>
              </w:rPr>
            </w:pPr>
            <w:r>
              <w:rPr>
                <w:rFonts w:hint="eastAsia"/>
                <w:color w:val="auto"/>
                <w:highlight w:val="none"/>
                <w:lang w:val="en-US" w:eastAsia="zh-CN"/>
              </w:rPr>
              <w:t>西</w:t>
            </w:r>
          </w:p>
        </w:tc>
        <w:tc>
          <w:tcPr>
            <w:tcW w:w="189" w:type="pct"/>
            <w:shd w:val="clear" w:color="auto" w:fill="FFFFFF"/>
            <w:tcMar>
              <w:top w:w="0" w:type="dxa"/>
              <w:left w:w="0" w:type="dxa"/>
              <w:bottom w:w="0" w:type="dxa"/>
              <w:right w:w="0" w:type="dxa"/>
            </w:tcMar>
            <w:vAlign w:val="center"/>
          </w:tcPr>
          <w:p w14:paraId="431BA3A5">
            <w:pPr>
              <w:pStyle w:val="30"/>
              <w:bidi w:val="0"/>
              <w:rPr>
                <w:color w:val="auto"/>
                <w:highlight w:val="none"/>
              </w:rPr>
            </w:pPr>
            <w:r>
              <w:rPr>
                <w:rFonts w:hint="eastAsia"/>
                <w:color w:val="auto"/>
                <w:highlight w:val="none"/>
                <w:lang w:val="en-US" w:eastAsia="zh-CN"/>
              </w:rPr>
              <w:t>北</w:t>
            </w:r>
          </w:p>
        </w:tc>
        <w:tc>
          <w:tcPr>
            <w:tcW w:w="180" w:type="pct"/>
            <w:shd w:val="clear" w:color="auto" w:fill="FFFFFF"/>
            <w:tcMar>
              <w:top w:w="0" w:type="dxa"/>
              <w:left w:w="0" w:type="dxa"/>
              <w:bottom w:w="0" w:type="dxa"/>
              <w:right w:w="0" w:type="dxa"/>
            </w:tcMar>
            <w:vAlign w:val="center"/>
          </w:tcPr>
          <w:p w14:paraId="4638F021">
            <w:pPr>
              <w:pStyle w:val="30"/>
              <w:bidi w:val="0"/>
              <w:rPr>
                <w:color w:val="auto"/>
                <w:highlight w:val="none"/>
              </w:rPr>
            </w:pPr>
            <w:r>
              <w:rPr>
                <w:rFonts w:hint="eastAsia"/>
                <w:color w:val="auto"/>
                <w:highlight w:val="none"/>
                <w:lang w:val="en-US" w:eastAsia="zh-CN"/>
              </w:rPr>
              <w:t>东</w:t>
            </w:r>
          </w:p>
        </w:tc>
        <w:tc>
          <w:tcPr>
            <w:tcW w:w="180" w:type="pct"/>
            <w:shd w:val="clear" w:color="auto" w:fill="FFFFFF"/>
            <w:tcMar>
              <w:top w:w="0" w:type="dxa"/>
              <w:left w:w="0" w:type="dxa"/>
              <w:bottom w:w="0" w:type="dxa"/>
              <w:right w:w="0" w:type="dxa"/>
            </w:tcMar>
            <w:vAlign w:val="center"/>
          </w:tcPr>
          <w:p w14:paraId="6D5EB370">
            <w:pPr>
              <w:pStyle w:val="30"/>
              <w:bidi w:val="0"/>
              <w:rPr>
                <w:color w:val="auto"/>
                <w:highlight w:val="none"/>
              </w:rPr>
            </w:pPr>
            <w:r>
              <w:rPr>
                <w:rFonts w:hint="eastAsia"/>
                <w:color w:val="auto"/>
                <w:highlight w:val="none"/>
                <w:lang w:val="en-US" w:eastAsia="zh-CN"/>
              </w:rPr>
              <w:t>南</w:t>
            </w:r>
          </w:p>
        </w:tc>
        <w:tc>
          <w:tcPr>
            <w:tcW w:w="180" w:type="pct"/>
            <w:shd w:val="clear" w:color="auto" w:fill="FFFFFF"/>
            <w:tcMar>
              <w:top w:w="0" w:type="dxa"/>
              <w:left w:w="0" w:type="dxa"/>
              <w:bottom w:w="0" w:type="dxa"/>
              <w:right w:w="0" w:type="dxa"/>
            </w:tcMar>
            <w:vAlign w:val="center"/>
          </w:tcPr>
          <w:p w14:paraId="384DC1E4">
            <w:pPr>
              <w:pStyle w:val="30"/>
              <w:bidi w:val="0"/>
              <w:rPr>
                <w:color w:val="auto"/>
                <w:highlight w:val="none"/>
              </w:rPr>
            </w:pPr>
            <w:r>
              <w:rPr>
                <w:rFonts w:hint="eastAsia"/>
                <w:color w:val="auto"/>
                <w:highlight w:val="none"/>
                <w:lang w:val="en-US" w:eastAsia="zh-CN"/>
              </w:rPr>
              <w:t>西</w:t>
            </w:r>
          </w:p>
        </w:tc>
        <w:tc>
          <w:tcPr>
            <w:tcW w:w="184" w:type="pct"/>
            <w:shd w:val="clear" w:color="auto" w:fill="FFFFFF"/>
            <w:tcMar>
              <w:top w:w="0" w:type="dxa"/>
              <w:left w:w="0" w:type="dxa"/>
              <w:bottom w:w="0" w:type="dxa"/>
              <w:right w:w="0" w:type="dxa"/>
            </w:tcMar>
            <w:vAlign w:val="center"/>
          </w:tcPr>
          <w:p w14:paraId="4F04484D">
            <w:pPr>
              <w:pStyle w:val="30"/>
              <w:bidi w:val="0"/>
              <w:rPr>
                <w:color w:val="auto"/>
                <w:highlight w:val="none"/>
              </w:rPr>
            </w:pPr>
            <w:r>
              <w:rPr>
                <w:rFonts w:hint="eastAsia"/>
                <w:color w:val="auto"/>
                <w:highlight w:val="none"/>
                <w:lang w:val="en-US" w:eastAsia="zh-CN"/>
              </w:rPr>
              <w:t>北</w:t>
            </w:r>
          </w:p>
        </w:tc>
        <w:tc>
          <w:tcPr>
            <w:tcW w:w="156" w:type="pct"/>
            <w:vMerge w:val="continue"/>
            <w:shd w:val="clear" w:color="auto" w:fill="FFFFFF"/>
            <w:tcMar>
              <w:top w:w="0" w:type="dxa"/>
              <w:left w:w="0" w:type="dxa"/>
              <w:bottom w:w="0" w:type="dxa"/>
              <w:right w:w="0" w:type="dxa"/>
            </w:tcMar>
            <w:vAlign w:val="center"/>
          </w:tcPr>
          <w:p w14:paraId="1EDAF421">
            <w:pPr>
              <w:pStyle w:val="30"/>
              <w:bidi w:val="0"/>
              <w:rPr>
                <w:color w:val="auto"/>
                <w:highlight w:val="none"/>
              </w:rPr>
            </w:pPr>
          </w:p>
        </w:tc>
        <w:tc>
          <w:tcPr>
            <w:tcW w:w="174" w:type="pct"/>
            <w:shd w:val="clear" w:color="auto" w:fill="FFFFFF"/>
            <w:tcMar>
              <w:top w:w="0" w:type="dxa"/>
              <w:left w:w="0" w:type="dxa"/>
              <w:bottom w:w="0" w:type="dxa"/>
              <w:right w:w="0" w:type="dxa"/>
            </w:tcMar>
            <w:vAlign w:val="center"/>
          </w:tcPr>
          <w:p w14:paraId="5CFD9B4C">
            <w:pPr>
              <w:pStyle w:val="30"/>
              <w:bidi w:val="0"/>
              <w:rPr>
                <w:color w:val="auto"/>
                <w:highlight w:val="none"/>
              </w:rPr>
            </w:pPr>
            <w:r>
              <w:rPr>
                <w:rFonts w:hint="eastAsia"/>
                <w:color w:val="auto"/>
                <w:highlight w:val="none"/>
                <w:lang w:val="en-US" w:eastAsia="zh-CN"/>
              </w:rPr>
              <w:t>东</w:t>
            </w:r>
          </w:p>
        </w:tc>
        <w:tc>
          <w:tcPr>
            <w:tcW w:w="174" w:type="pct"/>
            <w:shd w:val="clear" w:color="auto" w:fill="FFFFFF"/>
            <w:tcMar>
              <w:top w:w="0" w:type="dxa"/>
              <w:left w:w="0" w:type="dxa"/>
              <w:bottom w:w="0" w:type="dxa"/>
              <w:right w:w="0" w:type="dxa"/>
            </w:tcMar>
            <w:vAlign w:val="center"/>
          </w:tcPr>
          <w:p w14:paraId="4E8C60DD">
            <w:pPr>
              <w:pStyle w:val="30"/>
              <w:bidi w:val="0"/>
              <w:rPr>
                <w:color w:val="auto"/>
                <w:highlight w:val="none"/>
              </w:rPr>
            </w:pPr>
            <w:r>
              <w:rPr>
                <w:rFonts w:hint="eastAsia"/>
                <w:color w:val="auto"/>
                <w:highlight w:val="none"/>
                <w:lang w:val="en-US" w:eastAsia="zh-CN"/>
              </w:rPr>
              <w:t>南</w:t>
            </w:r>
          </w:p>
        </w:tc>
        <w:tc>
          <w:tcPr>
            <w:tcW w:w="174" w:type="pct"/>
            <w:shd w:val="clear" w:color="auto" w:fill="FFFFFF"/>
            <w:tcMar>
              <w:top w:w="0" w:type="dxa"/>
              <w:left w:w="0" w:type="dxa"/>
              <w:bottom w:w="0" w:type="dxa"/>
              <w:right w:w="0" w:type="dxa"/>
            </w:tcMar>
            <w:vAlign w:val="center"/>
          </w:tcPr>
          <w:p w14:paraId="12C35092">
            <w:pPr>
              <w:pStyle w:val="30"/>
              <w:bidi w:val="0"/>
              <w:rPr>
                <w:color w:val="auto"/>
                <w:highlight w:val="none"/>
              </w:rPr>
            </w:pPr>
            <w:r>
              <w:rPr>
                <w:rFonts w:hint="eastAsia"/>
                <w:color w:val="auto"/>
                <w:highlight w:val="none"/>
                <w:lang w:val="en-US" w:eastAsia="zh-CN"/>
              </w:rPr>
              <w:t>西</w:t>
            </w:r>
          </w:p>
        </w:tc>
        <w:tc>
          <w:tcPr>
            <w:tcW w:w="174" w:type="pct"/>
            <w:shd w:val="clear" w:color="auto" w:fill="FFFFFF"/>
            <w:tcMar>
              <w:top w:w="0" w:type="dxa"/>
              <w:left w:w="0" w:type="dxa"/>
              <w:bottom w:w="0" w:type="dxa"/>
              <w:right w:w="0" w:type="dxa"/>
            </w:tcMar>
            <w:vAlign w:val="center"/>
          </w:tcPr>
          <w:p w14:paraId="5974297B">
            <w:pPr>
              <w:pStyle w:val="30"/>
              <w:bidi w:val="0"/>
              <w:rPr>
                <w:color w:val="auto"/>
                <w:highlight w:val="none"/>
              </w:rPr>
            </w:pPr>
            <w:r>
              <w:rPr>
                <w:rFonts w:hint="eastAsia"/>
                <w:color w:val="auto"/>
                <w:highlight w:val="none"/>
                <w:lang w:val="en-US" w:eastAsia="zh-CN"/>
              </w:rPr>
              <w:t>北</w:t>
            </w:r>
          </w:p>
        </w:tc>
        <w:tc>
          <w:tcPr>
            <w:tcW w:w="185" w:type="pct"/>
            <w:shd w:val="clear" w:color="auto" w:fill="FFFFFF"/>
            <w:tcMar>
              <w:top w:w="0" w:type="dxa"/>
              <w:left w:w="0" w:type="dxa"/>
              <w:bottom w:w="0" w:type="dxa"/>
              <w:right w:w="0" w:type="dxa"/>
            </w:tcMar>
            <w:vAlign w:val="center"/>
          </w:tcPr>
          <w:p w14:paraId="266E2865">
            <w:pPr>
              <w:pStyle w:val="30"/>
              <w:bidi w:val="0"/>
              <w:rPr>
                <w:color w:val="auto"/>
                <w:highlight w:val="none"/>
              </w:rPr>
            </w:pPr>
            <w:r>
              <w:rPr>
                <w:rFonts w:hint="eastAsia"/>
                <w:color w:val="auto"/>
                <w:highlight w:val="none"/>
                <w:lang w:val="en-US" w:eastAsia="zh-CN"/>
              </w:rPr>
              <w:t>东</w:t>
            </w:r>
          </w:p>
        </w:tc>
        <w:tc>
          <w:tcPr>
            <w:tcW w:w="185" w:type="pct"/>
            <w:shd w:val="clear" w:color="auto" w:fill="FFFFFF"/>
            <w:tcMar>
              <w:top w:w="0" w:type="dxa"/>
              <w:left w:w="0" w:type="dxa"/>
              <w:bottom w:w="0" w:type="dxa"/>
              <w:right w:w="0" w:type="dxa"/>
            </w:tcMar>
            <w:vAlign w:val="center"/>
          </w:tcPr>
          <w:p w14:paraId="7975E755">
            <w:pPr>
              <w:pStyle w:val="30"/>
              <w:bidi w:val="0"/>
              <w:rPr>
                <w:color w:val="auto"/>
                <w:highlight w:val="none"/>
              </w:rPr>
            </w:pPr>
            <w:r>
              <w:rPr>
                <w:rFonts w:hint="eastAsia"/>
                <w:color w:val="auto"/>
                <w:highlight w:val="none"/>
                <w:lang w:val="en-US" w:eastAsia="zh-CN"/>
              </w:rPr>
              <w:t>南</w:t>
            </w:r>
          </w:p>
        </w:tc>
        <w:tc>
          <w:tcPr>
            <w:tcW w:w="186" w:type="pct"/>
            <w:shd w:val="clear" w:color="auto" w:fill="FFFFFF"/>
            <w:tcMar>
              <w:top w:w="0" w:type="dxa"/>
              <w:left w:w="0" w:type="dxa"/>
              <w:bottom w:w="0" w:type="dxa"/>
              <w:right w:w="0" w:type="dxa"/>
            </w:tcMar>
            <w:vAlign w:val="center"/>
          </w:tcPr>
          <w:p w14:paraId="0206A806">
            <w:pPr>
              <w:pStyle w:val="30"/>
              <w:bidi w:val="0"/>
              <w:rPr>
                <w:color w:val="auto"/>
                <w:highlight w:val="none"/>
              </w:rPr>
            </w:pPr>
            <w:r>
              <w:rPr>
                <w:rFonts w:hint="eastAsia"/>
                <w:color w:val="auto"/>
                <w:highlight w:val="none"/>
                <w:lang w:val="en-US" w:eastAsia="zh-CN"/>
              </w:rPr>
              <w:t>西</w:t>
            </w:r>
          </w:p>
        </w:tc>
        <w:tc>
          <w:tcPr>
            <w:tcW w:w="186" w:type="pct"/>
            <w:shd w:val="clear" w:color="auto" w:fill="FFFFFF"/>
            <w:tcMar>
              <w:top w:w="0" w:type="dxa"/>
              <w:left w:w="0" w:type="dxa"/>
              <w:bottom w:w="0" w:type="dxa"/>
              <w:right w:w="0" w:type="dxa"/>
            </w:tcMar>
            <w:vAlign w:val="center"/>
          </w:tcPr>
          <w:p w14:paraId="195887B6">
            <w:pPr>
              <w:pStyle w:val="30"/>
              <w:bidi w:val="0"/>
              <w:rPr>
                <w:color w:val="auto"/>
                <w:highlight w:val="none"/>
              </w:rPr>
            </w:pPr>
            <w:r>
              <w:rPr>
                <w:rFonts w:hint="eastAsia"/>
                <w:color w:val="auto"/>
                <w:highlight w:val="none"/>
                <w:lang w:val="en-US" w:eastAsia="zh-CN"/>
              </w:rPr>
              <w:t>北</w:t>
            </w:r>
          </w:p>
        </w:tc>
        <w:tc>
          <w:tcPr>
            <w:tcW w:w="261" w:type="pct"/>
            <w:shd w:val="clear" w:color="auto" w:fill="FFFFFF"/>
            <w:tcMar>
              <w:top w:w="0" w:type="dxa"/>
              <w:left w:w="0" w:type="dxa"/>
              <w:bottom w:w="0" w:type="dxa"/>
              <w:right w:w="0" w:type="dxa"/>
            </w:tcMar>
            <w:vAlign w:val="center"/>
          </w:tcPr>
          <w:p w14:paraId="1430C9DB">
            <w:pPr>
              <w:pStyle w:val="30"/>
              <w:bidi w:val="0"/>
              <w:rPr>
                <w:color w:val="auto"/>
                <w:highlight w:val="none"/>
              </w:rPr>
            </w:pPr>
            <w:r>
              <w:rPr>
                <w:color w:val="auto"/>
                <w:highlight w:val="none"/>
              </w:rPr>
              <w:t>建筑物外距离</w:t>
            </w:r>
          </w:p>
        </w:tc>
      </w:tr>
      <w:tr w14:paraId="1CC7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14697626">
            <w:pPr>
              <w:pStyle w:val="30"/>
              <w:bidi w:val="0"/>
              <w:rPr>
                <w:color w:val="auto"/>
                <w:highlight w:val="none"/>
              </w:rPr>
            </w:pPr>
            <w:r>
              <w:rPr>
                <w:color w:val="auto"/>
                <w:highlight w:val="none"/>
              </w:rPr>
              <w:t>1</w:t>
            </w:r>
          </w:p>
        </w:tc>
        <w:tc>
          <w:tcPr>
            <w:tcW w:w="161" w:type="pct"/>
            <w:vMerge w:val="restart"/>
            <w:shd w:val="clear" w:color="auto" w:fill="FFFFFF"/>
            <w:tcMar>
              <w:top w:w="0" w:type="dxa"/>
              <w:left w:w="0" w:type="dxa"/>
              <w:bottom w:w="0" w:type="dxa"/>
              <w:right w:w="0" w:type="dxa"/>
            </w:tcMar>
            <w:vAlign w:val="center"/>
          </w:tcPr>
          <w:p w14:paraId="64E704A6">
            <w:pPr>
              <w:pStyle w:val="30"/>
              <w:bidi w:val="0"/>
              <w:rPr>
                <w:rFonts w:hint="eastAsia"/>
                <w:color w:val="auto"/>
                <w:highlight w:val="none"/>
                <w:lang w:eastAsia="zh-CN"/>
              </w:rPr>
            </w:pPr>
            <w:r>
              <w:rPr>
                <w:rFonts w:hint="eastAsia"/>
                <w:color w:val="auto"/>
                <w:highlight w:val="none"/>
                <w:lang w:eastAsia="zh-CN"/>
              </w:rPr>
              <w:t>智慧货运维修中心</w:t>
            </w:r>
          </w:p>
        </w:tc>
        <w:tc>
          <w:tcPr>
            <w:tcW w:w="275" w:type="pct"/>
            <w:shd w:val="clear" w:color="auto" w:fill="FFFFFF"/>
            <w:tcMar>
              <w:top w:w="0" w:type="dxa"/>
              <w:left w:w="0" w:type="dxa"/>
              <w:bottom w:w="0" w:type="dxa"/>
              <w:right w:w="0" w:type="dxa"/>
            </w:tcMar>
            <w:vAlign w:val="center"/>
          </w:tcPr>
          <w:p w14:paraId="3D4B569D">
            <w:pPr>
              <w:pStyle w:val="30"/>
              <w:bidi w:val="0"/>
              <w:rPr>
                <w:color w:val="auto"/>
                <w:highlight w:val="none"/>
              </w:rPr>
            </w:pPr>
            <w:r>
              <w:rPr>
                <w:color w:val="auto"/>
                <w:highlight w:val="none"/>
              </w:rPr>
              <w:t>角磨机2</w:t>
            </w:r>
          </w:p>
        </w:tc>
        <w:tc>
          <w:tcPr>
            <w:tcW w:w="234" w:type="pct"/>
            <w:shd w:val="clear" w:color="auto" w:fill="FFFFFF"/>
            <w:tcMar>
              <w:top w:w="0" w:type="dxa"/>
              <w:left w:w="0" w:type="dxa"/>
              <w:bottom w:w="0" w:type="dxa"/>
              <w:right w:w="0" w:type="dxa"/>
            </w:tcMar>
            <w:vAlign w:val="center"/>
          </w:tcPr>
          <w:p w14:paraId="49A4A502">
            <w:pPr>
              <w:pStyle w:val="30"/>
              <w:bidi w:val="0"/>
              <w:rPr>
                <w:color w:val="auto"/>
                <w:highlight w:val="none"/>
              </w:rPr>
            </w:pPr>
            <w:r>
              <w:rPr>
                <w:color w:val="auto"/>
                <w:highlight w:val="none"/>
              </w:rPr>
              <w:t>85</w:t>
            </w:r>
          </w:p>
        </w:tc>
        <w:tc>
          <w:tcPr>
            <w:tcW w:w="198" w:type="pct"/>
            <w:vMerge w:val="restart"/>
            <w:shd w:val="clear" w:color="auto" w:fill="FFFFFF"/>
            <w:tcMar>
              <w:top w:w="0" w:type="dxa"/>
              <w:left w:w="0" w:type="dxa"/>
              <w:bottom w:w="0" w:type="dxa"/>
              <w:right w:w="0" w:type="dxa"/>
            </w:tcMar>
            <w:vAlign w:val="center"/>
          </w:tcPr>
          <w:p w14:paraId="47C6F474">
            <w:pPr>
              <w:pStyle w:val="30"/>
              <w:bidi w:val="0"/>
              <w:rPr>
                <w:color w:val="auto"/>
                <w:highlight w:val="none"/>
              </w:rPr>
            </w:pPr>
            <w:r>
              <w:rPr>
                <w:rFonts w:hint="default" w:ascii="Times New Roman" w:hAnsi="Times New Roman" w:eastAsia="宋体" w:cs="Times New Roman"/>
                <w:color w:val="auto"/>
                <w:sz w:val="18"/>
                <w:szCs w:val="18"/>
                <w:highlight w:val="none"/>
              </w:rPr>
              <w:t>采用低噪声设备，安装减震基座</w:t>
            </w:r>
          </w:p>
        </w:tc>
        <w:tc>
          <w:tcPr>
            <w:tcW w:w="219" w:type="pct"/>
            <w:shd w:val="clear" w:color="auto" w:fill="FFFFFF"/>
            <w:tcMar>
              <w:top w:w="0" w:type="dxa"/>
              <w:left w:w="0" w:type="dxa"/>
              <w:bottom w:w="0" w:type="dxa"/>
              <w:right w:w="0" w:type="dxa"/>
            </w:tcMar>
            <w:vAlign w:val="center"/>
          </w:tcPr>
          <w:p w14:paraId="11E498F8">
            <w:pPr>
              <w:pStyle w:val="30"/>
              <w:bidi w:val="0"/>
              <w:rPr>
                <w:color w:val="auto"/>
                <w:highlight w:val="none"/>
              </w:rPr>
            </w:pPr>
            <w:r>
              <w:rPr>
                <w:color w:val="auto"/>
                <w:highlight w:val="none"/>
              </w:rPr>
              <w:t>33.6</w:t>
            </w:r>
          </w:p>
        </w:tc>
        <w:tc>
          <w:tcPr>
            <w:tcW w:w="219" w:type="pct"/>
            <w:shd w:val="clear" w:color="auto" w:fill="FFFFFF"/>
            <w:tcMar>
              <w:top w:w="0" w:type="dxa"/>
              <w:left w:w="0" w:type="dxa"/>
              <w:bottom w:w="0" w:type="dxa"/>
              <w:right w:w="0" w:type="dxa"/>
            </w:tcMar>
            <w:vAlign w:val="center"/>
          </w:tcPr>
          <w:p w14:paraId="3D1865D6">
            <w:pPr>
              <w:pStyle w:val="30"/>
              <w:bidi w:val="0"/>
              <w:rPr>
                <w:color w:val="auto"/>
                <w:highlight w:val="none"/>
              </w:rPr>
            </w:pPr>
            <w:r>
              <w:rPr>
                <w:color w:val="auto"/>
                <w:highlight w:val="none"/>
              </w:rPr>
              <w:t>-6.2</w:t>
            </w:r>
          </w:p>
        </w:tc>
        <w:tc>
          <w:tcPr>
            <w:tcW w:w="223" w:type="pct"/>
            <w:shd w:val="clear" w:color="auto" w:fill="FFFFFF"/>
            <w:tcMar>
              <w:top w:w="0" w:type="dxa"/>
              <w:left w:w="0" w:type="dxa"/>
              <w:bottom w:w="0" w:type="dxa"/>
              <w:right w:w="0" w:type="dxa"/>
            </w:tcMar>
            <w:vAlign w:val="center"/>
          </w:tcPr>
          <w:p w14:paraId="59C821F5">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3546187E">
            <w:pPr>
              <w:pStyle w:val="30"/>
              <w:bidi w:val="0"/>
              <w:rPr>
                <w:color w:val="auto"/>
                <w:highlight w:val="none"/>
              </w:rPr>
            </w:pPr>
            <w:r>
              <w:rPr>
                <w:color w:val="auto"/>
                <w:highlight w:val="none"/>
              </w:rPr>
              <w:t>51.8</w:t>
            </w:r>
          </w:p>
        </w:tc>
        <w:tc>
          <w:tcPr>
            <w:tcW w:w="182" w:type="pct"/>
            <w:shd w:val="clear" w:color="auto" w:fill="FFFFFF"/>
            <w:tcMar>
              <w:top w:w="0" w:type="dxa"/>
              <w:left w:w="0" w:type="dxa"/>
              <w:bottom w:w="0" w:type="dxa"/>
              <w:right w:w="0" w:type="dxa"/>
            </w:tcMar>
            <w:vAlign w:val="center"/>
          </w:tcPr>
          <w:p w14:paraId="16CC820F">
            <w:pPr>
              <w:pStyle w:val="30"/>
              <w:bidi w:val="0"/>
              <w:rPr>
                <w:color w:val="auto"/>
                <w:highlight w:val="none"/>
              </w:rPr>
            </w:pPr>
            <w:r>
              <w:rPr>
                <w:color w:val="auto"/>
                <w:highlight w:val="none"/>
              </w:rPr>
              <w:t>20.4</w:t>
            </w:r>
          </w:p>
        </w:tc>
        <w:tc>
          <w:tcPr>
            <w:tcW w:w="182" w:type="pct"/>
            <w:shd w:val="clear" w:color="auto" w:fill="FFFFFF"/>
            <w:tcMar>
              <w:top w:w="0" w:type="dxa"/>
              <w:left w:w="0" w:type="dxa"/>
              <w:bottom w:w="0" w:type="dxa"/>
              <w:right w:w="0" w:type="dxa"/>
            </w:tcMar>
            <w:vAlign w:val="center"/>
          </w:tcPr>
          <w:p w14:paraId="189BD525">
            <w:pPr>
              <w:pStyle w:val="30"/>
              <w:bidi w:val="0"/>
              <w:rPr>
                <w:color w:val="auto"/>
                <w:highlight w:val="none"/>
              </w:rPr>
            </w:pPr>
            <w:r>
              <w:rPr>
                <w:color w:val="auto"/>
                <w:highlight w:val="none"/>
              </w:rPr>
              <w:t>37.6</w:t>
            </w:r>
          </w:p>
        </w:tc>
        <w:tc>
          <w:tcPr>
            <w:tcW w:w="189" w:type="pct"/>
            <w:shd w:val="clear" w:color="auto" w:fill="FFFFFF"/>
            <w:tcMar>
              <w:top w:w="0" w:type="dxa"/>
              <w:left w:w="0" w:type="dxa"/>
              <w:bottom w:w="0" w:type="dxa"/>
              <w:right w:w="0" w:type="dxa"/>
            </w:tcMar>
            <w:vAlign w:val="center"/>
          </w:tcPr>
          <w:p w14:paraId="6E347C5D">
            <w:pPr>
              <w:pStyle w:val="30"/>
              <w:bidi w:val="0"/>
              <w:rPr>
                <w:color w:val="auto"/>
                <w:highlight w:val="none"/>
              </w:rPr>
            </w:pPr>
            <w:r>
              <w:rPr>
                <w:color w:val="auto"/>
                <w:highlight w:val="none"/>
              </w:rPr>
              <w:t>31.9</w:t>
            </w:r>
          </w:p>
        </w:tc>
        <w:tc>
          <w:tcPr>
            <w:tcW w:w="180" w:type="pct"/>
            <w:shd w:val="clear" w:color="auto" w:fill="FFFFFF"/>
            <w:tcMar>
              <w:top w:w="0" w:type="dxa"/>
              <w:left w:w="0" w:type="dxa"/>
              <w:bottom w:w="0" w:type="dxa"/>
              <w:right w:w="0" w:type="dxa"/>
            </w:tcMar>
            <w:vAlign w:val="center"/>
          </w:tcPr>
          <w:p w14:paraId="225DFF34">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65E93AD2">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215869A3">
            <w:pPr>
              <w:pStyle w:val="30"/>
              <w:bidi w:val="0"/>
              <w:rPr>
                <w:color w:val="auto"/>
                <w:highlight w:val="none"/>
              </w:rPr>
            </w:pPr>
            <w:r>
              <w:rPr>
                <w:color w:val="auto"/>
                <w:highlight w:val="none"/>
              </w:rPr>
              <w:t>68.2</w:t>
            </w:r>
          </w:p>
        </w:tc>
        <w:tc>
          <w:tcPr>
            <w:tcW w:w="184" w:type="pct"/>
            <w:shd w:val="clear" w:color="auto" w:fill="FFFFFF"/>
            <w:tcMar>
              <w:top w:w="0" w:type="dxa"/>
              <w:left w:w="0" w:type="dxa"/>
              <w:bottom w:w="0" w:type="dxa"/>
              <w:right w:w="0" w:type="dxa"/>
            </w:tcMar>
            <w:vAlign w:val="center"/>
          </w:tcPr>
          <w:p w14:paraId="69B35101">
            <w:pPr>
              <w:pStyle w:val="30"/>
              <w:bidi w:val="0"/>
              <w:rPr>
                <w:color w:val="auto"/>
                <w:highlight w:val="none"/>
              </w:rPr>
            </w:pPr>
            <w:r>
              <w:rPr>
                <w:color w:val="auto"/>
                <w:highlight w:val="none"/>
              </w:rPr>
              <w:t>68.2</w:t>
            </w:r>
          </w:p>
        </w:tc>
        <w:tc>
          <w:tcPr>
            <w:tcW w:w="156" w:type="pct"/>
            <w:shd w:val="clear" w:color="auto" w:fill="FFFFFF"/>
            <w:tcMar>
              <w:top w:w="0" w:type="dxa"/>
              <w:left w:w="0" w:type="dxa"/>
              <w:bottom w:w="0" w:type="dxa"/>
              <w:right w:w="0" w:type="dxa"/>
            </w:tcMar>
            <w:vAlign w:val="center"/>
          </w:tcPr>
          <w:p w14:paraId="08135389">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40624CA5">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60550396">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C1ED677">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5F650419">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35D18D41">
            <w:pPr>
              <w:pStyle w:val="30"/>
              <w:bidi w:val="0"/>
              <w:rPr>
                <w:color w:val="auto"/>
                <w:highlight w:val="none"/>
              </w:rPr>
            </w:pPr>
            <w:r>
              <w:rPr>
                <w:color w:val="auto"/>
                <w:highlight w:val="none"/>
              </w:rPr>
              <w:t>42.2</w:t>
            </w:r>
          </w:p>
        </w:tc>
        <w:tc>
          <w:tcPr>
            <w:tcW w:w="185" w:type="pct"/>
            <w:shd w:val="clear" w:color="auto" w:fill="FFFFFF"/>
            <w:tcMar>
              <w:top w:w="0" w:type="dxa"/>
              <w:left w:w="0" w:type="dxa"/>
              <w:bottom w:w="0" w:type="dxa"/>
              <w:right w:w="0" w:type="dxa"/>
            </w:tcMar>
            <w:vAlign w:val="center"/>
          </w:tcPr>
          <w:p w14:paraId="74DAEEFD">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0E5CBC69">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36D37066">
            <w:pPr>
              <w:pStyle w:val="30"/>
              <w:bidi w:val="0"/>
              <w:rPr>
                <w:color w:val="auto"/>
                <w:highlight w:val="none"/>
              </w:rPr>
            </w:pPr>
            <w:r>
              <w:rPr>
                <w:color w:val="auto"/>
                <w:highlight w:val="none"/>
              </w:rPr>
              <w:t>42.2</w:t>
            </w:r>
          </w:p>
        </w:tc>
        <w:tc>
          <w:tcPr>
            <w:tcW w:w="261" w:type="pct"/>
            <w:shd w:val="clear" w:color="auto" w:fill="FFFFFF"/>
            <w:tcMar>
              <w:top w:w="0" w:type="dxa"/>
              <w:left w:w="0" w:type="dxa"/>
              <w:bottom w:w="0" w:type="dxa"/>
              <w:right w:w="0" w:type="dxa"/>
            </w:tcMar>
            <w:vAlign w:val="center"/>
          </w:tcPr>
          <w:p w14:paraId="1AB9EC6A">
            <w:pPr>
              <w:pStyle w:val="30"/>
              <w:bidi w:val="0"/>
              <w:rPr>
                <w:color w:val="auto"/>
                <w:highlight w:val="none"/>
              </w:rPr>
            </w:pPr>
            <w:r>
              <w:rPr>
                <w:color w:val="auto"/>
                <w:highlight w:val="none"/>
              </w:rPr>
              <w:t>1</w:t>
            </w:r>
          </w:p>
        </w:tc>
      </w:tr>
      <w:tr w14:paraId="3F51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1E6D289B">
            <w:pPr>
              <w:pStyle w:val="30"/>
              <w:bidi w:val="0"/>
              <w:rPr>
                <w:color w:val="auto"/>
                <w:highlight w:val="none"/>
              </w:rPr>
            </w:pPr>
            <w:r>
              <w:rPr>
                <w:color w:val="auto"/>
                <w:highlight w:val="none"/>
              </w:rPr>
              <w:t>2</w:t>
            </w:r>
          </w:p>
        </w:tc>
        <w:tc>
          <w:tcPr>
            <w:tcW w:w="161" w:type="pct"/>
            <w:vMerge w:val="continue"/>
            <w:shd w:val="clear" w:color="auto" w:fill="FFFFFF"/>
            <w:tcMar>
              <w:top w:w="0" w:type="dxa"/>
              <w:left w:w="0" w:type="dxa"/>
              <w:bottom w:w="0" w:type="dxa"/>
              <w:right w:w="0" w:type="dxa"/>
            </w:tcMar>
            <w:vAlign w:val="center"/>
          </w:tcPr>
          <w:p w14:paraId="7678F731">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19ECC23B">
            <w:pPr>
              <w:pStyle w:val="30"/>
              <w:bidi w:val="0"/>
              <w:rPr>
                <w:color w:val="auto"/>
                <w:highlight w:val="none"/>
              </w:rPr>
            </w:pPr>
            <w:r>
              <w:rPr>
                <w:color w:val="auto"/>
                <w:highlight w:val="none"/>
              </w:rPr>
              <w:t>角磨机</w:t>
            </w:r>
          </w:p>
        </w:tc>
        <w:tc>
          <w:tcPr>
            <w:tcW w:w="234" w:type="pct"/>
            <w:shd w:val="clear" w:color="auto" w:fill="FFFFFF"/>
            <w:tcMar>
              <w:top w:w="0" w:type="dxa"/>
              <w:left w:w="0" w:type="dxa"/>
              <w:bottom w:w="0" w:type="dxa"/>
              <w:right w:w="0" w:type="dxa"/>
            </w:tcMar>
            <w:vAlign w:val="center"/>
          </w:tcPr>
          <w:p w14:paraId="1B6F614E">
            <w:pPr>
              <w:pStyle w:val="30"/>
              <w:bidi w:val="0"/>
              <w:rPr>
                <w:color w:val="auto"/>
                <w:highlight w:val="none"/>
              </w:rPr>
            </w:pPr>
            <w:r>
              <w:rPr>
                <w:color w:val="auto"/>
                <w:highlight w:val="none"/>
              </w:rPr>
              <w:t>85</w:t>
            </w:r>
          </w:p>
        </w:tc>
        <w:tc>
          <w:tcPr>
            <w:tcW w:w="198" w:type="pct"/>
            <w:vMerge w:val="continue"/>
            <w:shd w:val="clear" w:color="auto" w:fill="FFFFFF"/>
            <w:tcMar>
              <w:top w:w="0" w:type="dxa"/>
              <w:left w:w="0" w:type="dxa"/>
              <w:bottom w:w="0" w:type="dxa"/>
              <w:right w:w="0" w:type="dxa"/>
            </w:tcMar>
            <w:vAlign w:val="center"/>
          </w:tcPr>
          <w:p w14:paraId="26729A53">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67C89C2E">
            <w:pPr>
              <w:pStyle w:val="30"/>
              <w:bidi w:val="0"/>
              <w:rPr>
                <w:color w:val="auto"/>
                <w:highlight w:val="none"/>
              </w:rPr>
            </w:pPr>
            <w:r>
              <w:rPr>
                <w:color w:val="auto"/>
                <w:highlight w:val="none"/>
              </w:rPr>
              <w:t>32.1</w:t>
            </w:r>
          </w:p>
        </w:tc>
        <w:tc>
          <w:tcPr>
            <w:tcW w:w="219" w:type="pct"/>
            <w:shd w:val="clear" w:color="auto" w:fill="FFFFFF"/>
            <w:tcMar>
              <w:top w:w="0" w:type="dxa"/>
              <w:left w:w="0" w:type="dxa"/>
              <w:bottom w:w="0" w:type="dxa"/>
              <w:right w:w="0" w:type="dxa"/>
            </w:tcMar>
            <w:vAlign w:val="center"/>
          </w:tcPr>
          <w:p w14:paraId="6F4E6C4A">
            <w:pPr>
              <w:pStyle w:val="30"/>
              <w:bidi w:val="0"/>
              <w:rPr>
                <w:color w:val="auto"/>
                <w:highlight w:val="none"/>
              </w:rPr>
            </w:pPr>
            <w:r>
              <w:rPr>
                <w:color w:val="auto"/>
                <w:highlight w:val="none"/>
              </w:rPr>
              <w:t>-6.3</w:t>
            </w:r>
          </w:p>
        </w:tc>
        <w:tc>
          <w:tcPr>
            <w:tcW w:w="223" w:type="pct"/>
            <w:shd w:val="clear" w:color="auto" w:fill="FFFFFF"/>
            <w:tcMar>
              <w:top w:w="0" w:type="dxa"/>
              <w:left w:w="0" w:type="dxa"/>
              <w:bottom w:w="0" w:type="dxa"/>
              <w:right w:w="0" w:type="dxa"/>
            </w:tcMar>
            <w:vAlign w:val="center"/>
          </w:tcPr>
          <w:p w14:paraId="58DBD14E">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3B059064">
            <w:pPr>
              <w:pStyle w:val="30"/>
              <w:bidi w:val="0"/>
              <w:rPr>
                <w:color w:val="auto"/>
                <w:highlight w:val="none"/>
              </w:rPr>
            </w:pPr>
            <w:r>
              <w:rPr>
                <w:color w:val="auto"/>
                <w:highlight w:val="none"/>
              </w:rPr>
              <w:t>53.2</w:t>
            </w:r>
          </w:p>
        </w:tc>
        <w:tc>
          <w:tcPr>
            <w:tcW w:w="182" w:type="pct"/>
            <w:shd w:val="clear" w:color="auto" w:fill="FFFFFF"/>
            <w:tcMar>
              <w:top w:w="0" w:type="dxa"/>
              <w:left w:w="0" w:type="dxa"/>
              <w:bottom w:w="0" w:type="dxa"/>
              <w:right w:w="0" w:type="dxa"/>
            </w:tcMar>
            <w:vAlign w:val="center"/>
          </w:tcPr>
          <w:p w14:paraId="3578670D">
            <w:pPr>
              <w:pStyle w:val="30"/>
              <w:bidi w:val="0"/>
              <w:rPr>
                <w:color w:val="auto"/>
                <w:highlight w:val="none"/>
              </w:rPr>
            </w:pPr>
            <w:r>
              <w:rPr>
                <w:color w:val="auto"/>
                <w:highlight w:val="none"/>
              </w:rPr>
              <w:t>19.8</w:t>
            </w:r>
          </w:p>
        </w:tc>
        <w:tc>
          <w:tcPr>
            <w:tcW w:w="182" w:type="pct"/>
            <w:shd w:val="clear" w:color="auto" w:fill="FFFFFF"/>
            <w:tcMar>
              <w:top w:w="0" w:type="dxa"/>
              <w:left w:w="0" w:type="dxa"/>
              <w:bottom w:w="0" w:type="dxa"/>
              <w:right w:w="0" w:type="dxa"/>
            </w:tcMar>
            <w:vAlign w:val="center"/>
          </w:tcPr>
          <w:p w14:paraId="1FAA66B9">
            <w:pPr>
              <w:pStyle w:val="30"/>
              <w:bidi w:val="0"/>
              <w:rPr>
                <w:color w:val="auto"/>
                <w:highlight w:val="none"/>
              </w:rPr>
            </w:pPr>
            <w:r>
              <w:rPr>
                <w:color w:val="auto"/>
                <w:highlight w:val="none"/>
              </w:rPr>
              <w:t>36.2</w:t>
            </w:r>
          </w:p>
        </w:tc>
        <w:tc>
          <w:tcPr>
            <w:tcW w:w="189" w:type="pct"/>
            <w:shd w:val="clear" w:color="auto" w:fill="FFFFFF"/>
            <w:tcMar>
              <w:top w:w="0" w:type="dxa"/>
              <w:left w:w="0" w:type="dxa"/>
              <w:bottom w:w="0" w:type="dxa"/>
              <w:right w:w="0" w:type="dxa"/>
            </w:tcMar>
            <w:vAlign w:val="center"/>
          </w:tcPr>
          <w:p w14:paraId="3C30B0A8">
            <w:pPr>
              <w:pStyle w:val="30"/>
              <w:bidi w:val="0"/>
              <w:rPr>
                <w:color w:val="auto"/>
                <w:highlight w:val="none"/>
              </w:rPr>
            </w:pPr>
            <w:r>
              <w:rPr>
                <w:color w:val="auto"/>
                <w:highlight w:val="none"/>
              </w:rPr>
              <w:t>32.5</w:t>
            </w:r>
          </w:p>
        </w:tc>
        <w:tc>
          <w:tcPr>
            <w:tcW w:w="180" w:type="pct"/>
            <w:shd w:val="clear" w:color="auto" w:fill="FFFFFF"/>
            <w:tcMar>
              <w:top w:w="0" w:type="dxa"/>
              <w:left w:w="0" w:type="dxa"/>
              <w:bottom w:w="0" w:type="dxa"/>
              <w:right w:w="0" w:type="dxa"/>
            </w:tcMar>
            <w:vAlign w:val="center"/>
          </w:tcPr>
          <w:p w14:paraId="2C510F7E">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37D565D4">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74539A41">
            <w:pPr>
              <w:pStyle w:val="30"/>
              <w:bidi w:val="0"/>
              <w:rPr>
                <w:color w:val="auto"/>
                <w:highlight w:val="none"/>
              </w:rPr>
            </w:pPr>
            <w:r>
              <w:rPr>
                <w:color w:val="auto"/>
                <w:highlight w:val="none"/>
              </w:rPr>
              <w:t>68.2</w:t>
            </w:r>
          </w:p>
        </w:tc>
        <w:tc>
          <w:tcPr>
            <w:tcW w:w="184" w:type="pct"/>
            <w:shd w:val="clear" w:color="auto" w:fill="FFFFFF"/>
            <w:tcMar>
              <w:top w:w="0" w:type="dxa"/>
              <w:left w:w="0" w:type="dxa"/>
              <w:bottom w:w="0" w:type="dxa"/>
              <w:right w:w="0" w:type="dxa"/>
            </w:tcMar>
            <w:vAlign w:val="center"/>
          </w:tcPr>
          <w:p w14:paraId="0FB22085">
            <w:pPr>
              <w:pStyle w:val="30"/>
              <w:bidi w:val="0"/>
              <w:rPr>
                <w:color w:val="auto"/>
                <w:highlight w:val="none"/>
              </w:rPr>
            </w:pPr>
            <w:r>
              <w:rPr>
                <w:color w:val="auto"/>
                <w:highlight w:val="none"/>
              </w:rPr>
              <w:t>68.2</w:t>
            </w:r>
          </w:p>
        </w:tc>
        <w:tc>
          <w:tcPr>
            <w:tcW w:w="156" w:type="pct"/>
            <w:shd w:val="clear" w:color="auto" w:fill="FFFFFF"/>
            <w:tcMar>
              <w:top w:w="0" w:type="dxa"/>
              <w:left w:w="0" w:type="dxa"/>
              <w:bottom w:w="0" w:type="dxa"/>
              <w:right w:w="0" w:type="dxa"/>
            </w:tcMar>
            <w:vAlign w:val="center"/>
          </w:tcPr>
          <w:p w14:paraId="08AC5085">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671B7210">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77525E15">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6031633B">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1DC09981">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2826C64F">
            <w:pPr>
              <w:pStyle w:val="30"/>
              <w:bidi w:val="0"/>
              <w:rPr>
                <w:color w:val="auto"/>
                <w:highlight w:val="none"/>
              </w:rPr>
            </w:pPr>
            <w:r>
              <w:rPr>
                <w:color w:val="auto"/>
                <w:highlight w:val="none"/>
              </w:rPr>
              <w:t>42.2</w:t>
            </w:r>
          </w:p>
        </w:tc>
        <w:tc>
          <w:tcPr>
            <w:tcW w:w="185" w:type="pct"/>
            <w:shd w:val="clear" w:color="auto" w:fill="FFFFFF"/>
            <w:tcMar>
              <w:top w:w="0" w:type="dxa"/>
              <w:left w:w="0" w:type="dxa"/>
              <w:bottom w:w="0" w:type="dxa"/>
              <w:right w:w="0" w:type="dxa"/>
            </w:tcMar>
            <w:vAlign w:val="center"/>
          </w:tcPr>
          <w:p w14:paraId="4652BCB7">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0E877F30">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28940C52">
            <w:pPr>
              <w:pStyle w:val="30"/>
              <w:bidi w:val="0"/>
              <w:rPr>
                <w:color w:val="auto"/>
                <w:highlight w:val="none"/>
              </w:rPr>
            </w:pPr>
            <w:r>
              <w:rPr>
                <w:color w:val="auto"/>
                <w:highlight w:val="none"/>
              </w:rPr>
              <w:t>42.2</w:t>
            </w:r>
          </w:p>
        </w:tc>
        <w:tc>
          <w:tcPr>
            <w:tcW w:w="261" w:type="pct"/>
            <w:shd w:val="clear" w:color="auto" w:fill="FFFFFF"/>
            <w:tcMar>
              <w:top w:w="0" w:type="dxa"/>
              <w:left w:w="0" w:type="dxa"/>
              <w:bottom w:w="0" w:type="dxa"/>
              <w:right w:w="0" w:type="dxa"/>
            </w:tcMar>
            <w:vAlign w:val="center"/>
          </w:tcPr>
          <w:p w14:paraId="73B041BC">
            <w:pPr>
              <w:pStyle w:val="30"/>
              <w:bidi w:val="0"/>
              <w:rPr>
                <w:color w:val="auto"/>
                <w:highlight w:val="none"/>
              </w:rPr>
            </w:pPr>
            <w:r>
              <w:rPr>
                <w:color w:val="auto"/>
                <w:highlight w:val="none"/>
              </w:rPr>
              <w:t>1</w:t>
            </w:r>
          </w:p>
        </w:tc>
      </w:tr>
      <w:tr w14:paraId="3FBF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3B939E63">
            <w:pPr>
              <w:pStyle w:val="30"/>
              <w:bidi w:val="0"/>
              <w:rPr>
                <w:color w:val="auto"/>
                <w:highlight w:val="none"/>
              </w:rPr>
            </w:pPr>
            <w:r>
              <w:rPr>
                <w:color w:val="auto"/>
                <w:highlight w:val="none"/>
              </w:rPr>
              <w:t>3</w:t>
            </w:r>
          </w:p>
        </w:tc>
        <w:tc>
          <w:tcPr>
            <w:tcW w:w="161" w:type="pct"/>
            <w:vMerge w:val="continue"/>
            <w:shd w:val="clear" w:color="auto" w:fill="FFFFFF"/>
            <w:tcMar>
              <w:top w:w="0" w:type="dxa"/>
              <w:left w:w="0" w:type="dxa"/>
              <w:bottom w:w="0" w:type="dxa"/>
              <w:right w:w="0" w:type="dxa"/>
            </w:tcMar>
            <w:vAlign w:val="center"/>
          </w:tcPr>
          <w:p w14:paraId="62F54257">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0E53DA78">
            <w:pPr>
              <w:pStyle w:val="30"/>
              <w:bidi w:val="0"/>
              <w:rPr>
                <w:color w:val="auto"/>
                <w:highlight w:val="none"/>
              </w:rPr>
            </w:pPr>
            <w:r>
              <w:rPr>
                <w:color w:val="auto"/>
                <w:highlight w:val="none"/>
              </w:rPr>
              <w:t>砂轮机2</w:t>
            </w:r>
          </w:p>
        </w:tc>
        <w:tc>
          <w:tcPr>
            <w:tcW w:w="234" w:type="pct"/>
            <w:shd w:val="clear" w:color="auto" w:fill="FFFFFF"/>
            <w:tcMar>
              <w:top w:w="0" w:type="dxa"/>
              <w:left w:w="0" w:type="dxa"/>
              <w:bottom w:w="0" w:type="dxa"/>
              <w:right w:w="0" w:type="dxa"/>
            </w:tcMar>
            <w:vAlign w:val="center"/>
          </w:tcPr>
          <w:p w14:paraId="79B2BF44">
            <w:pPr>
              <w:pStyle w:val="30"/>
              <w:bidi w:val="0"/>
              <w:rPr>
                <w:color w:val="auto"/>
                <w:highlight w:val="none"/>
              </w:rPr>
            </w:pPr>
            <w:r>
              <w:rPr>
                <w:color w:val="auto"/>
                <w:highlight w:val="none"/>
              </w:rPr>
              <w:t>80</w:t>
            </w:r>
          </w:p>
        </w:tc>
        <w:tc>
          <w:tcPr>
            <w:tcW w:w="198" w:type="pct"/>
            <w:vMerge w:val="continue"/>
            <w:shd w:val="clear" w:color="auto" w:fill="FFFFFF"/>
            <w:tcMar>
              <w:top w:w="0" w:type="dxa"/>
              <w:left w:w="0" w:type="dxa"/>
              <w:bottom w:w="0" w:type="dxa"/>
              <w:right w:w="0" w:type="dxa"/>
            </w:tcMar>
            <w:vAlign w:val="center"/>
          </w:tcPr>
          <w:p w14:paraId="506F203E">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631CB7B1">
            <w:pPr>
              <w:pStyle w:val="30"/>
              <w:bidi w:val="0"/>
              <w:rPr>
                <w:color w:val="auto"/>
                <w:highlight w:val="none"/>
              </w:rPr>
            </w:pPr>
            <w:r>
              <w:rPr>
                <w:color w:val="auto"/>
                <w:highlight w:val="none"/>
              </w:rPr>
              <w:t>34.8</w:t>
            </w:r>
          </w:p>
        </w:tc>
        <w:tc>
          <w:tcPr>
            <w:tcW w:w="219" w:type="pct"/>
            <w:shd w:val="clear" w:color="auto" w:fill="FFFFFF"/>
            <w:tcMar>
              <w:top w:w="0" w:type="dxa"/>
              <w:left w:w="0" w:type="dxa"/>
              <w:bottom w:w="0" w:type="dxa"/>
              <w:right w:w="0" w:type="dxa"/>
            </w:tcMar>
            <w:vAlign w:val="center"/>
          </w:tcPr>
          <w:p w14:paraId="2ECC624A">
            <w:pPr>
              <w:pStyle w:val="30"/>
              <w:bidi w:val="0"/>
              <w:rPr>
                <w:color w:val="auto"/>
                <w:highlight w:val="none"/>
              </w:rPr>
            </w:pPr>
            <w:r>
              <w:rPr>
                <w:color w:val="auto"/>
                <w:highlight w:val="none"/>
              </w:rPr>
              <w:t>-3.8</w:t>
            </w:r>
          </w:p>
        </w:tc>
        <w:tc>
          <w:tcPr>
            <w:tcW w:w="223" w:type="pct"/>
            <w:shd w:val="clear" w:color="auto" w:fill="FFFFFF"/>
            <w:tcMar>
              <w:top w:w="0" w:type="dxa"/>
              <w:left w:w="0" w:type="dxa"/>
              <w:bottom w:w="0" w:type="dxa"/>
              <w:right w:w="0" w:type="dxa"/>
            </w:tcMar>
            <w:vAlign w:val="center"/>
          </w:tcPr>
          <w:p w14:paraId="3771C887">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6DB5859C">
            <w:pPr>
              <w:pStyle w:val="30"/>
              <w:bidi w:val="0"/>
              <w:rPr>
                <w:color w:val="auto"/>
                <w:highlight w:val="none"/>
              </w:rPr>
            </w:pPr>
            <w:r>
              <w:rPr>
                <w:color w:val="auto"/>
                <w:highlight w:val="none"/>
              </w:rPr>
              <w:t>51.4</w:t>
            </w:r>
          </w:p>
        </w:tc>
        <w:tc>
          <w:tcPr>
            <w:tcW w:w="182" w:type="pct"/>
            <w:shd w:val="clear" w:color="auto" w:fill="FFFFFF"/>
            <w:tcMar>
              <w:top w:w="0" w:type="dxa"/>
              <w:left w:w="0" w:type="dxa"/>
              <w:bottom w:w="0" w:type="dxa"/>
              <w:right w:w="0" w:type="dxa"/>
            </w:tcMar>
            <w:vAlign w:val="center"/>
          </w:tcPr>
          <w:p w14:paraId="4A367CF6">
            <w:pPr>
              <w:pStyle w:val="30"/>
              <w:bidi w:val="0"/>
              <w:rPr>
                <w:color w:val="auto"/>
                <w:highlight w:val="none"/>
              </w:rPr>
            </w:pPr>
            <w:r>
              <w:rPr>
                <w:color w:val="auto"/>
                <w:highlight w:val="none"/>
              </w:rPr>
              <w:t>23.0</w:t>
            </w:r>
          </w:p>
        </w:tc>
        <w:tc>
          <w:tcPr>
            <w:tcW w:w="182" w:type="pct"/>
            <w:shd w:val="clear" w:color="auto" w:fill="FFFFFF"/>
            <w:tcMar>
              <w:top w:w="0" w:type="dxa"/>
              <w:left w:w="0" w:type="dxa"/>
              <w:bottom w:w="0" w:type="dxa"/>
              <w:right w:w="0" w:type="dxa"/>
            </w:tcMar>
            <w:vAlign w:val="center"/>
          </w:tcPr>
          <w:p w14:paraId="22CCB7C2">
            <w:pPr>
              <w:pStyle w:val="30"/>
              <w:bidi w:val="0"/>
              <w:rPr>
                <w:color w:val="auto"/>
                <w:highlight w:val="none"/>
              </w:rPr>
            </w:pPr>
            <w:r>
              <w:rPr>
                <w:color w:val="auto"/>
                <w:highlight w:val="none"/>
              </w:rPr>
              <w:t>38.1</w:t>
            </w:r>
          </w:p>
        </w:tc>
        <w:tc>
          <w:tcPr>
            <w:tcW w:w="189" w:type="pct"/>
            <w:shd w:val="clear" w:color="auto" w:fill="FFFFFF"/>
            <w:tcMar>
              <w:top w:w="0" w:type="dxa"/>
              <w:left w:w="0" w:type="dxa"/>
              <w:bottom w:w="0" w:type="dxa"/>
              <w:right w:w="0" w:type="dxa"/>
            </w:tcMar>
            <w:vAlign w:val="center"/>
          </w:tcPr>
          <w:p w14:paraId="1DEFD0DA">
            <w:pPr>
              <w:pStyle w:val="30"/>
              <w:bidi w:val="0"/>
              <w:rPr>
                <w:color w:val="auto"/>
                <w:highlight w:val="none"/>
              </w:rPr>
            </w:pPr>
            <w:r>
              <w:rPr>
                <w:color w:val="auto"/>
                <w:highlight w:val="none"/>
              </w:rPr>
              <w:t>29.3</w:t>
            </w:r>
          </w:p>
        </w:tc>
        <w:tc>
          <w:tcPr>
            <w:tcW w:w="180" w:type="pct"/>
            <w:shd w:val="clear" w:color="auto" w:fill="FFFFFF"/>
            <w:tcMar>
              <w:top w:w="0" w:type="dxa"/>
              <w:left w:w="0" w:type="dxa"/>
              <w:bottom w:w="0" w:type="dxa"/>
              <w:right w:w="0" w:type="dxa"/>
            </w:tcMar>
            <w:vAlign w:val="center"/>
          </w:tcPr>
          <w:p w14:paraId="722C8359">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621BECBA">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403C1C9F">
            <w:pPr>
              <w:pStyle w:val="30"/>
              <w:bidi w:val="0"/>
              <w:rPr>
                <w:color w:val="auto"/>
                <w:highlight w:val="none"/>
              </w:rPr>
            </w:pPr>
            <w:r>
              <w:rPr>
                <w:color w:val="auto"/>
                <w:highlight w:val="none"/>
              </w:rPr>
              <w:t>63.2</w:t>
            </w:r>
          </w:p>
        </w:tc>
        <w:tc>
          <w:tcPr>
            <w:tcW w:w="184" w:type="pct"/>
            <w:shd w:val="clear" w:color="auto" w:fill="FFFFFF"/>
            <w:tcMar>
              <w:top w:w="0" w:type="dxa"/>
              <w:left w:w="0" w:type="dxa"/>
              <w:bottom w:w="0" w:type="dxa"/>
              <w:right w:w="0" w:type="dxa"/>
            </w:tcMar>
            <w:vAlign w:val="center"/>
          </w:tcPr>
          <w:p w14:paraId="35E3B2E0">
            <w:pPr>
              <w:pStyle w:val="30"/>
              <w:bidi w:val="0"/>
              <w:rPr>
                <w:color w:val="auto"/>
                <w:highlight w:val="none"/>
              </w:rPr>
            </w:pPr>
            <w:r>
              <w:rPr>
                <w:color w:val="auto"/>
                <w:highlight w:val="none"/>
              </w:rPr>
              <w:t>63.2</w:t>
            </w:r>
          </w:p>
        </w:tc>
        <w:tc>
          <w:tcPr>
            <w:tcW w:w="156" w:type="pct"/>
            <w:shd w:val="clear" w:color="auto" w:fill="FFFFFF"/>
            <w:tcMar>
              <w:top w:w="0" w:type="dxa"/>
              <w:left w:w="0" w:type="dxa"/>
              <w:bottom w:w="0" w:type="dxa"/>
              <w:right w:w="0" w:type="dxa"/>
            </w:tcMar>
            <w:vAlign w:val="center"/>
          </w:tcPr>
          <w:p w14:paraId="6E553BC8">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70485763">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716336E6">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67FD20E">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58A2D059">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3B4E67FB">
            <w:pPr>
              <w:pStyle w:val="30"/>
              <w:bidi w:val="0"/>
              <w:rPr>
                <w:color w:val="auto"/>
                <w:highlight w:val="none"/>
              </w:rPr>
            </w:pPr>
            <w:r>
              <w:rPr>
                <w:color w:val="auto"/>
                <w:highlight w:val="none"/>
              </w:rPr>
              <w:t>37.2</w:t>
            </w:r>
          </w:p>
        </w:tc>
        <w:tc>
          <w:tcPr>
            <w:tcW w:w="185" w:type="pct"/>
            <w:shd w:val="clear" w:color="auto" w:fill="FFFFFF"/>
            <w:tcMar>
              <w:top w:w="0" w:type="dxa"/>
              <w:left w:w="0" w:type="dxa"/>
              <w:bottom w:w="0" w:type="dxa"/>
              <w:right w:w="0" w:type="dxa"/>
            </w:tcMar>
            <w:vAlign w:val="center"/>
          </w:tcPr>
          <w:p w14:paraId="6393F7E3">
            <w:pPr>
              <w:pStyle w:val="30"/>
              <w:bidi w:val="0"/>
              <w:rPr>
                <w:color w:val="auto"/>
                <w:highlight w:val="none"/>
              </w:rPr>
            </w:pPr>
            <w:r>
              <w:rPr>
                <w:color w:val="auto"/>
                <w:highlight w:val="none"/>
              </w:rPr>
              <w:t>37.2</w:t>
            </w:r>
          </w:p>
        </w:tc>
        <w:tc>
          <w:tcPr>
            <w:tcW w:w="186" w:type="pct"/>
            <w:shd w:val="clear" w:color="auto" w:fill="FFFFFF"/>
            <w:tcMar>
              <w:top w:w="0" w:type="dxa"/>
              <w:left w:w="0" w:type="dxa"/>
              <w:bottom w:w="0" w:type="dxa"/>
              <w:right w:w="0" w:type="dxa"/>
            </w:tcMar>
            <w:vAlign w:val="center"/>
          </w:tcPr>
          <w:p w14:paraId="46757067">
            <w:pPr>
              <w:pStyle w:val="30"/>
              <w:bidi w:val="0"/>
              <w:rPr>
                <w:color w:val="auto"/>
                <w:highlight w:val="none"/>
              </w:rPr>
            </w:pPr>
            <w:r>
              <w:rPr>
                <w:color w:val="auto"/>
                <w:highlight w:val="none"/>
              </w:rPr>
              <w:t>37.2</w:t>
            </w:r>
          </w:p>
        </w:tc>
        <w:tc>
          <w:tcPr>
            <w:tcW w:w="186" w:type="pct"/>
            <w:shd w:val="clear" w:color="auto" w:fill="FFFFFF"/>
            <w:tcMar>
              <w:top w:w="0" w:type="dxa"/>
              <w:left w:w="0" w:type="dxa"/>
              <w:bottom w:w="0" w:type="dxa"/>
              <w:right w:w="0" w:type="dxa"/>
            </w:tcMar>
            <w:vAlign w:val="center"/>
          </w:tcPr>
          <w:p w14:paraId="5855199F">
            <w:pPr>
              <w:pStyle w:val="30"/>
              <w:bidi w:val="0"/>
              <w:rPr>
                <w:color w:val="auto"/>
                <w:highlight w:val="none"/>
              </w:rPr>
            </w:pPr>
            <w:r>
              <w:rPr>
                <w:color w:val="auto"/>
                <w:highlight w:val="none"/>
              </w:rPr>
              <w:t>37.2</w:t>
            </w:r>
          </w:p>
        </w:tc>
        <w:tc>
          <w:tcPr>
            <w:tcW w:w="261" w:type="pct"/>
            <w:shd w:val="clear" w:color="auto" w:fill="FFFFFF"/>
            <w:tcMar>
              <w:top w:w="0" w:type="dxa"/>
              <w:left w:w="0" w:type="dxa"/>
              <w:bottom w:w="0" w:type="dxa"/>
              <w:right w:w="0" w:type="dxa"/>
            </w:tcMar>
            <w:vAlign w:val="center"/>
          </w:tcPr>
          <w:p w14:paraId="68E35E91">
            <w:pPr>
              <w:pStyle w:val="30"/>
              <w:bidi w:val="0"/>
              <w:rPr>
                <w:color w:val="auto"/>
                <w:highlight w:val="none"/>
              </w:rPr>
            </w:pPr>
            <w:r>
              <w:rPr>
                <w:color w:val="auto"/>
                <w:highlight w:val="none"/>
              </w:rPr>
              <w:t>1</w:t>
            </w:r>
          </w:p>
        </w:tc>
      </w:tr>
      <w:tr w14:paraId="178E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50491B94">
            <w:pPr>
              <w:pStyle w:val="30"/>
              <w:bidi w:val="0"/>
              <w:rPr>
                <w:color w:val="auto"/>
                <w:highlight w:val="none"/>
              </w:rPr>
            </w:pPr>
            <w:r>
              <w:rPr>
                <w:color w:val="auto"/>
                <w:highlight w:val="none"/>
              </w:rPr>
              <w:t>4</w:t>
            </w:r>
          </w:p>
        </w:tc>
        <w:tc>
          <w:tcPr>
            <w:tcW w:w="161" w:type="pct"/>
            <w:vMerge w:val="continue"/>
            <w:shd w:val="clear" w:color="auto" w:fill="FFFFFF"/>
            <w:tcMar>
              <w:top w:w="0" w:type="dxa"/>
              <w:left w:w="0" w:type="dxa"/>
              <w:bottom w:w="0" w:type="dxa"/>
              <w:right w:w="0" w:type="dxa"/>
            </w:tcMar>
            <w:vAlign w:val="center"/>
          </w:tcPr>
          <w:p w14:paraId="62EE3746">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3D96A53C">
            <w:pPr>
              <w:pStyle w:val="30"/>
              <w:bidi w:val="0"/>
              <w:rPr>
                <w:color w:val="auto"/>
                <w:highlight w:val="none"/>
              </w:rPr>
            </w:pPr>
            <w:r>
              <w:rPr>
                <w:color w:val="auto"/>
                <w:highlight w:val="none"/>
              </w:rPr>
              <w:t>砂轮机1</w:t>
            </w:r>
          </w:p>
        </w:tc>
        <w:tc>
          <w:tcPr>
            <w:tcW w:w="234" w:type="pct"/>
            <w:shd w:val="clear" w:color="auto" w:fill="FFFFFF"/>
            <w:tcMar>
              <w:top w:w="0" w:type="dxa"/>
              <w:left w:w="0" w:type="dxa"/>
              <w:bottom w:w="0" w:type="dxa"/>
              <w:right w:w="0" w:type="dxa"/>
            </w:tcMar>
            <w:vAlign w:val="center"/>
          </w:tcPr>
          <w:p w14:paraId="200C95BA">
            <w:pPr>
              <w:pStyle w:val="30"/>
              <w:bidi w:val="0"/>
              <w:rPr>
                <w:color w:val="auto"/>
                <w:highlight w:val="none"/>
              </w:rPr>
            </w:pPr>
            <w:r>
              <w:rPr>
                <w:color w:val="auto"/>
                <w:highlight w:val="none"/>
              </w:rPr>
              <w:t>80</w:t>
            </w:r>
          </w:p>
        </w:tc>
        <w:tc>
          <w:tcPr>
            <w:tcW w:w="198" w:type="pct"/>
            <w:vMerge w:val="continue"/>
            <w:shd w:val="clear" w:color="auto" w:fill="FFFFFF"/>
            <w:tcMar>
              <w:top w:w="0" w:type="dxa"/>
              <w:left w:w="0" w:type="dxa"/>
              <w:bottom w:w="0" w:type="dxa"/>
              <w:right w:w="0" w:type="dxa"/>
            </w:tcMar>
            <w:vAlign w:val="center"/>
          </w:tcPr>
          <w:p w14:paraId="012416CB">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37A290C5">
            <w:pPr>
              <w:pStyle w:val="30"/>
              <w:bidi w:val="0"/>
              <w:rPr>
                <w:color w:val="auto"/>
                <w:highlight w:val="none"/>
              </w:rPr>
            </w:pPr>
            <w:r>
              <w:rPr>
                <w:color w:val="auto"/>
                <w:highlight w:val="none"/>
              </w:rPr>
              <w:t>33.2</w:t>
            </w:r>
          </w:p>
        </w:tc>
        <w:tc>
          <w:tcPr>
            <w:tcW w:w="219" w:type="pct"/>
            <w:shd w:val="clear" w:color="auto" w:fill="FFFFFF"/>
            <w:tcMar>
              <w:top w:w="0" w:type="dxa"/>
              <w:left w:w="0" w:type="dxa"/>
              <w:bottom w:w="0" w:type="dxa"/>
              <w:right w:w="0" w:type="dxa"/>
            </w:tcMar>
            <w:vAlign w:val="center"/>
          </w:tcPr>
          <w:p w14:paraId="3B473A10">
            <w:pPr>
              <w:pStyle w:val="30"/>
              <w:bidi w:val="0"/>
              <w:rPr>
                <w:color w:val="auto"/>
                <w:highlight w:val="none"/>
              </w:rPr>
            </w:pPr>
            <w:r>
              <w:rPr>
                <w:color w:val="auto"/>
                <w:highlight w:val="none"/>
              </w:rPr>
              <w:t>-4</w:t>
            </w:r>
          </w:p>
        </w:tc>
        <w:tc>
          <w:tcPr>
            <w:tcW w:w="223" w:type="pct"/>
            <w:shd w:val="clear" w:color="auto" w:fill="FFFFFF"/>
            <w:tcMar>
              <w:top w:w="0" w:type="dxa"/>
              <w:left w:w="0" w:type="dxa"/>
              <w:bottom w:w="0" w:type="dxa"/>
              <w:right w:w="0" w:type="dxa"/>
            </w:tcMar>
            <w:vAlign w:val="center"/>
          </w:tcPr>
          <w:p w14:paraId="4FE81D4F">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4F23B65F">
            <w:pPr>
              <w:pStyle w:val="30"/>
              <w:bidi w:val="0"/>
              <w:rPr>
                <w:color w:val="auto"/>
                <w:highlight w:val="none"/>
              </w:rPr>
            </w:pPr>
            <w:r>
              <w:rPr>
                <w:color w:val="auto"/>
                <w:highlight w:val="none"/>
              </w:rPr>
              <w:t>52.8</w:t>
            </w:r>
          </w:p>
        </w:tc>
        <w:tc>
          <w:tcPr>
            <w:tcW w:w="182" w:type="pct"/>
            <w:shd w:val="clear" w:color="auto" w:fill="FFFFFF"/>
            <w:tcMar>
              <w:top w:w="0" w:type="dxa"/>
              <w:left w:w="0" w:type="dxa"/>
              <w:bottom w:w="0" w:type="dxa"/>
              <w:right w:w="0" w:type="dxa"/>
            </w:tcMar>
            <w:vAlign w:val="center"/>
          </w:tcPr>
          <w:p w14:paraId="784665C3">
            <w:pPr>
              <w:pStyle w:val="30"/>
              <w:bidi w:val="0"/>
              <w:rPr>
                <w:color w:val="auto"/>
                <w:highlight w:val="none"/>
              </w:rPr>
            </w:pPr>
            <w:r>
              <w:rPr>
                <w:color w:val="auto"/>
                <w:highlight w:val="none"/>
              </w:rPr>
              <w:t>22.4</w:t>
            </w:r>
          </w:p>
        </w:tc>
        <w:tc>
          <w:tcPr>
            <w:tcW w:w="182" w:type="pct"/>
            <w:shd w:val="clear" w:color="auto" w:fill="FFFFFF"/>
            <w:tcMar>
              <w:top w:w="0" w:type="dxa"/>
              <w:left w:w="0" w:type="dxa"/>
              <w:bottom w:w="0" w:type="dxa"/>
              <w:right w:w="0" w:type="dxa"/>
            </w:tcMar>
            <w:vAlign w:val="center"/>
          </w:tcPr>
          <w:p w14:paraId="5BC275C1">
            <w:pPr>
              <w:pStyle w:val="30"/>
              <w:bidi w:val="0"/>
              <w:rPr>
                <w:color w:val="auto"/>
                <w:highlight w:val="none"/>
              </w:rPr>
            </w:pPr>
            <w:r>
              <w:rPr>
                <w:color w:val="auto"/>
                <w:highlight w:val="none"/>
              </w:rPr>
              <w:t>36.6</w:t>
            </w:r>
          </w:p>
        </w:tc>
        <w:tc>
          <w:tcPr>
            <w:tcW w:w="189" w:type="pct"/>
            <w:shd w:val="clear" w:color="auto" w:fill="FFFFFF"/>
            <w:tcMar>
              <w:top w:w="0" w:type="dxa"/>
              <w:left w:w="0" w:type="dxa"/>
              <w:bottom w:w="0" w:type="dxa"/>
              <w:right w:w="0" w:type="dxa"/>
            </w:tcMar>
            <w:vAlign w:val="center"/>
          </w:tcPr>
          <w:p w14:paraId="6C27A038">
            <w:pPr>
              <w:pStyle w:val="30"/>
              <w:bidi w:val="0"/>
              <w:rPr>
                <w:color w:val="auto"/>
                <w:highlight w:val="none"/>
              </w:rPr>
            </w:pPr>
            <w:r>
              <w:rPr>
                <w:color w:val="auto"/>
                <w:highlight w:val="none"/>
              </w:rPr>
              <w:t>29.9</w:t>
            </w:r>
          </w:p>
        </w:tc>
        <w:tc>
          <w:tcPr>
            <w:tcW w:w="180" w:type="pct"/>
            <w:shd w:val="clear" w:color="auto" w:fill="FFFFFF"/>
            <w:tcMar>
              <w:top w:w="0" w:type="dxa"/>
              <w:left w:w="0" w:type="dxa"/>
              <w:bottom w:w="0" w:type="dxa"/>
              <w:right w:w="0" w:type="dxa"/>
            </w:tcMar>
            <w:vAlign w:val="center"/>
          </w:tcPr>
          <w:p w14:paraId="63543339">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38272A67">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1142845A">
            <w:pPr>
              <w:pStyle w:val="30"/>
              <w:bidi w:val="0"/>
              <w:rPr>
                <w:color w:val="auto"/>
                <w:highlight w:val="none"/>
              </w:rPr>
            </w:pPr>
            <w:r>
              <w:rPr>
                <w:color w:val="auto"/>
                <w:highlight w:val="none"/>
              </w:rPr>
              <w:t>63.2</w:t>
            </w:r>
          </w:p>
        </w:tc>
        <w:tc>
          <w:tcPr>
            <w:tcW w:w="184" w:type="pct"/>
            <w:shd w:val="clear" w:color="auto" w:fill="FFFFFF"/>
            <w:tcMar>
              <w:top w:w="0" w:type="dxa"/>
              <w:left w:w="0" w:type="dxa"/>
              <w:bottom w:w="0" w:type="dxa"/>
              <w:right w:w="0" w:type="dxa"/>
            </w:tcMar>
            <w:vAlign w:val="center"/>
          </w:tcPr>
          <w:p w14:paraId="7CDB1F91">
            <w:pPr>
              <w:pStyle w:val="30"/>
              <w:bidi w:val="0"/>
              <w:rPr>
                <w:color w:val="auto"/>
                <w:highlight w:val="none"/>
              </w:rPr>
            </w:pPr>
            <w:r>
              <w:rPr>
                <w:color w:val="auto"/>
                <w:highlight w:val="none"/>
              </w:rPr>
              <w:t>63.2</w:t>
            </w:r>
          </w:p>
        </w:tc>
        <w:tc>
          <w:tcPr>
            <w:tcW w:w="156" w:type="pct"/>
            <w:shd w:val="clear" w:color="auto" w:fill="FFFFFF"/>
            <w:tcMar>
              <w:top w:w="0" w:type="dxa"/>
              <w:left w:w="0" w:type="dxa"/>
              <w:bottom w:w="0" w:type="dxa"/>
              <w:right w:w="0" w:type="dxa"/>
            </w:tcMar>
            <w:vAlign w:val="center"/>
          </w:tcPr>
          <w:p w14:paraId="06E363AB">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150AAA95">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76607305">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5F54808B">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EBE287D">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76B7231F">
            <w:pPr>
              <w:pStyle w:val="30"/>
              <w:bidi w:val="0"/>
              <w:rPr>
                <w:color w:val="auto"/>
                <w:highlight w:val="none"/>
              </w:rPr>
            </w:pPr>
            <w:r>
              <w:rPr>
                <w:color w:val="auto"/>
                <w:highlight w:val="none"/>
              </w:rPr>
              <w:t>37.2</w:t>
            </w:r>
          </w:p>
        </w:tc>
        <w:tc>
          <w:tcPr>
            <w:tcW w:w="185" w:type="pct"/>
            <w:shd w:val="clear" w:color="auto" w:fill="FFFFFF"/>
            <w:tcMar>
              <w:top w:w="0" w:type="dxa"/>
              <w:left w:w="0" w:type="dxa"/>
              <w:bottom w:w="0" w:type="dxa"/>
              <w:right w:w="0" w:type="dxa"/>
            </w:tcMar>
            <w:vAlign w:val="center"/>
          </w:tcPr>
          <w:p w14:paraId="24366DD5">
            <w:pPr>
              <w:pStyle w:val="30"/>
              <w:bidi w:val="0"/>
              <w:rPr>
                <w:color w:val="auto"/>
                <w:highlight w:val="none"/>
              </w:rPr>
            </w:pPr>
            <w:r>
              <w:rPr>
                <w:color w:val="auto"/>
                <w:highlight w:val="none"/>
              </w:rPr>
              <w:t>37.2</w:t>
            </w:r>
          </w:p>
        </w:tc>
        <w:tc>
          <w:tcPr>
            <w:tcW w:w="186" w:type="pct"/>
            <w:shd w:val="clear" w:color="auto" w:fill="FFFFFF"/>
            <w:tcMar>
              <w:top w:w="0" w:type="dxa"/>
              <w:left w:w="0" w:type="dxa"/>
              <w:bottom w:w="0" w:type="dxa"/>
              <w:right w:w="0" w:type="dxa"/>
            </w:tcMar>
            <w:vAlign w:val="center"/>
          </w:tcPr>
          <w:p w14:paraId="4F5421EC">
            <w:pPr>
              <w:pStyle w:val="30"/>
              <w:bidi w:val="0"/>
              <w:rPr>
                <w:color w:val="auto"/>
                <w:highlight w:val="none"/>
              </w:rPr>
            </w:pPr>
            <w:r>
              <w:rPr>
                <w:color w:val="auto"/>
                <w:highlight w:val="none"/>
              </w:rPr>
              <w:t>37.2</w:t>
            </w:r>
          </w:p>
        </w:tc>
        <w:tc>
          <w:tcPr>
            <w:tcW w:w="186" w:type="pct"/>
            <w:shd w:val="clear" w:color="auto" w:fill="FFFFFF"/>
            <w:tcMar>
              <w:top w:w="0" w:type="dxa"/>
              <w:left w:w="0" w:type="dxa"/>
              <w:bottom w:w="0" w:type="dxa"/>
              <w:right w:w="0" w:type="dxa"/>
            </w:tcMar>
            <w:vAlign w:val="center"/>
          </w:tcPr>
          <w:p w14:paraId="601B78C5">
            <w:pPr>
              <w:pStyle w:val="30"/>
              <w:bidi w:val="0"/>
              <w:rPr>
                <w:color w:val="auto"/>
                <w:highlight w:val="none"/>
              </w:rPr>
            </w:pPr>
            <w:r>
              <w:rPr>
                <w:color w:val="auto"/>
                <w:highlight w:val="none"/>
              </w:rPr>
              <w:t>37.2</w:t>
            </w:r>
          </w:p>
        </w:tc>
        <w:tc>
          <w:tcPr>
            <w:tcW w:w="261" w:type="pct"/>
            <w:shd w:val="clear" w:color="auto" w:fill="FFFFFF"/>
            <w:tcMar>
              <w:top w:w="0" w:type="dxa"/>
              <w:left w:w="0" w:type="dxa"/>
              <w:bottom w:w="0" w:type="dxa"/>
              <w:right w:w="0" w:type="dxa"/>
            </w:tcMar>
            <w:vAlign w:val="center"/>
          </w:tcPr>
          <w:p w14:paraId="65289F1B">
            <w:pPr>
              <w:pStyle w:val="30"/>
              <w:bidi w:val="0"/>
              <w:rPr>
                <w:color w:val="auto"/>
                <w:highlight w:val="none"/>
              </w:rPr>
            </w:pPr>
            <w:r>
              <w:rPr>
                <w:color w:val="auto"/>
                <w:highlight w:val="none"/>
              </w:rPr>
              <w:t>1</w:t>
            </w:r>
          </w:p>
        </w:tc>
      </w:tr>
      <w:tr w14:paraId="1D7A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7A798733">
            <w:pPr>
              <w:pStyle w:val="30"/>
              <w:bidi w:val="0"/>
              <w:rPr>
                <w:color w:val="auto"/>
                <w:highlight w:val="none"/>
              </w:rPr>
            </w:pPr>
            <w:r>
              <w:rPr>
                <w:color w:val="auto"/>
                <w:highlight w:val="none"/>
              </w:rPr>
              <w:t>5</w:t>
            </w:r>
          </w:p>
        </w:tc>
        <w:tc>
          <w:tcPr>
            <w:tcW w:w="161" w:type="pct"/>
            <w:vMerge w:val="continue"/>
            <w:shd w:val="clear" w:color="auto" w:fill="FFFFFF"/>
            <w:tcMar>
              <w:top w:w="0" w:type="dxa"/>
              <w:left w:w="0" w:type="dxa"/>
              <w:bottom w:w="0" w:type="dxa"/>
              <w:right w:w="0" w:type="dxa"/>
            </w:tcMar>
            <w:vAlign w:val="center"/>
          </w:tcPr>
          <w:p w14:paraId="13655205">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08359AB2">
            <w:pPr>
              <w:pStyle w:val="30"/>
              <w:bidi w:val="0"/>
              <w:rPr>
                <w:color w:val="auto"/>
                <w:highlight w:val="none"/>
              </w:rPr>
            </w:pPr>
            <w:r>
              <w:rPr>
                <w:color w:val="auto"/>
                <w:highlight w:val="none"/>
              </w:rPr>
              <w:t>冲击钻</w:t>
            </w:r>
          </w:p>
        </w:tc>
        <w:tc>
          <w:tcPr>
            <w:tcW w:w="234" w:type="pct"/>
            <w:shd w:val="clear" w:color="auto" w:fill="FFFFFF"/>
            <w:tcMar>
              <w:top w:w="0" w:type="dxa"/>
              <w:left w:w="0" w:type="dxa"/>
              <w:bottom w:w="0" w:type="dxa"/>
              <w:right w:w="0" w:type="dxa"/>
            </w:tcMar>
            <w:vAlign w:val="center"/>
          </w:tcPr>
          <w:p w14:paraId="282D94DC">
            <w:pPr>
              <w:pStyle w:val="30"/>
              <w:bidi w:val="0"/>
              <w:rPr>
                <w:color w:val="auto"/>
                <w:highlight w:val="none"/>
              </w:rPr>
            </w:pPr>
            <w:r>
              <w:rPr>
                <w:color w:val="auto"/>
                <w:highlight w:val="none"/>
              </w:rPr>
              <w:t>85</w:t>
            </w:r>
          </w:p>
        </w:tc>
        <w:tc>
          <w:tcPr>
            <w:tcW w:w="198" w:type="pct"/>
            <w:vMerge w:val="continue"/>
            <w:shd w:val="clear" w:color="auto" w:fill="FFFFFF"/>
            <w:tcMar>
              <w:top w:w="0" w:type="dxa"/>
              <w:left w:w="0" w:type="dxa"/>
              <w:bottom w:w="0" w:type="dxa"/>
              <w:right w:w="0" w:type="dxa"/>
            </w:tcMar>
            <w:vAlign w:val="center"/>
          </w:tcPr>
          <w:p w14:paraId="6B8ECF8C">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2EAFB2B6">
            <w:pPr>
              <w:pStyle w:val="30"/>
              <w:bidi w:val="0"/>
              <w:rPr>
                <w:color w:val="auto"/>
                <w:highlight w:val="none"/>
              </w:rPr>
            </w:pPr>
            <w:r>
              <w:rPr>
                <w:color w:val="auto"/>
                <w:highlight w:val="none"/>
              </w:rPr>
              <w:t>63.1</w:t>
            </w:r>
          </w:p>
        </w:tc>
        <w:tc>
          <w:tcPr>
            <w:tcW w:w="219" w:type="pct"/>
            <w:shd w:val="clear" w:color="auto" w:fill="FFFFFF"/>
            <w:tcMar>
              <w:top w:w="0" w:type="dxa"/>
              <w:left w:w="0" w:type="dxa"/>
              <w:bottom w:w="0" w:type="dxa"/>
              <w:right w:w="0" w:type="dxa"/>
            </w:tcMar>
            <w:vAlign w:val="center"/>
          </w:tcPr>
          <w:p w14:paraId="1B98B134">
            <w:pPr>
              <w:pStyle w:val="30"/>
              <w:bidi w:val="0"/>
              <w:rPr>
                <w:color w:val="auto"/>
                <w:highlight w:val="none"/>
              </w:rPr>
            </w:pPr>
            <w:r>
              <w:rPr>
                <w:color w:val="auto"/>
                <w:highlight w:val="none"/>
              </w:rPr>
              <w:t>-4.4</w:t>
            </w:r>
          </w:p>
        </w:tc>
        <w:tc>
          <w:tcPr>
            <w:tcW w:w="223" w:type="pct"/>
            <w:shd w:val="clear" w:color="auto" w:fill="FFFFFF"/>
            <w:tcMar>
              <w:top w:w="0" w:type="dxa"/>
              <w:left w:w="0" w:type="dxa"/>
              <w:bottom w:w="0" w:type="dxa"/>
              <w:right w:w="0" w:type="dxa"/>
            </w:tcMar>
            <w:vAlign w:val="center"/>
          </w:tcPr>
          <w:p w14:paraId="40A38116">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20E1A3C6">
            <w:pPr>
              <w:pStyle w:val="30"/>
              <w:bidi w:val="0"/>
              <w:rPr>
                <w:color w:val="auto"/>
                <w:highlight w:val="none"/>
              </w:rPr>
            </w:pPr>
            <w:r>
              <w:rPr>
                <w:color w:val="auto"/>
                <w:highlight w:val="none"/>
              </w:rPr>
              <w:t>24.1</w:t>
            </w:r>
          </w:p>
        </w:tc>
        <w:tc>
          <w:tcPr>
            <w:tcW w:w="182" w:type="pct"/>
            <w:shd w:val="clear" w:color="auto" w:fill="FFFFFF"/>
            <w:tcMar>
              <w:top w:w="0" w:type="dxa"/>
              <w:left w:w="0" w:type="dxa"/>
              <w:bottom w:w="0" w:type="dxa"/>
              <w:right w:w="0" w:type="dxa"/>
            </w:tcMar>
            <w:vAlign w:val="center"/>
          </w:tcPr>
          <w:p w14:paraId="6062D4DB">
            <w:pPr>
              <w:pStyle w:val="30"/>
              <w:bidi w:val="0"/>
              <w:rPr>
                <w:color w:val="auto"/>
                <w:highlight w:val="none"/>
              </w:rPr>
            </w:pPr>
            <w:r>
              <w:rPr>
                <w:color w:val="auto"/>
                <w:highlight w:val="none"/>
              </w:rPr>
              <w:t>31.1</w:t>
            </w:r>
          </w:p>
        </w:tc>
        <w:tc>
          <w:tcPr>
            <w:tcW w:w="182" w:type="pct"/>
            <w:shd w:val="clear" w:color="auto" w:fill="FFFFFF"/>
            <w:tcMar>
              <w:top w:w="0" w:type="dxa"/>
              <w:left w:w="0" w:type="dxa"/>
              <w:bottom w:w="0" w:type="dxa"/>
              <w:right w:w="0" w:type="dxa"/>
            </w:tcMar>
            <w:vAlign w:val="center"/>
          </w:tcPr>
          <w:p w14:paraId="5EF8222D">
            <w:pPr>
              <w:pStyle w:val="30"/>
              <w:bidi w:val="0"/>
              <w:rPr>
                <w:color w:val="auto"/>
                <w:highlight w:val="none"/>
              </w:rPr>
            </w:pPr>
            <w:r>
              <w:rPr>
                <w:color w:val="auto"/>
                <w:highlight w:val="none"/>
              </w:rPr>
              <w:t>65.4</w:t>
            </w:r>
          </w:p>
        </w:tc>
        <w:tc>
          <w:tcPr>
            <w:tcW w:w="189" w:type="pct"/>
            <w:shd w:val="clear" w:color="auto" w:fill="FFFFFF"/>
            <w:tcMar>
              <w:top w:w="0" w:type="dxa"/>
              <w:left w:w="0" w:type="dxa"/>
              <w:bottom w:w="0" w:type="dxa"/>
              <w:right w:w="0" w:type="dxa"/>
            </w:tcMar>
            <w:vAlign w:val="center"/>
          </w:tcPr>
          <w:p w14:paraId="4D35BD2A">
            <w:pPr>
              <w:pStyle w:val="30"/>
              <w:bidi w:val="0"/>
              <w:rPr>
                <w:color w:val="auto"/>
                <w:highlight w:val="none"/>
              </w:rPr>
            </w:pPr>
            <w:r>
              <w:rPr>
                <w:color w:val="auto"/>
                <w:highlight w:val="none"/>
              </w:rPr>
              <w:t>21.6</w:t>
            </w:r>
          </w:p>
        </w:tc>
        <w:tc>
          <w:tcPr>
            <w:tcW w:w="180" w:type="pct"/>
            <w:shd w:val="clear" w:color="auto" w:fill="FFFFFF"/>
            <w:tcMar>
              <w:top w:w="0" w:type="dxa"/>
              <w:left w:w="0" w:type="dxa"/>
              <w:bottom w:w="0" w:type="dxa"/>
              <w:right w:w="0" w:type="dxa"/>
            </w:tcMar>
            <w:vAlign w:val="center"/>
          </w:tcPr>
          <w:p w14:paraId="53E02922">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7A93AC8E">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52B0ABED">
            <w:pPr>
              <w:pStyle w:val="30"/>
              <w:bidi w:val="0"/>
              <w:rPr>
                <w:color w:val="auto"/>
                <w:highlight w:val="none"/>
              </w:rPr>
            </w:pPr>
            <w:r>
              <w:rPr>
                <w:color w:val="auto"/>
                <w:highlight w:val="none"/>
              </w:rPr>
              <w:t>68.2</w:t>
            </w:r>
          </w:p>
        </w:tc>
        <w:tc>
          <w:tcPr>
            <w:tcW w:w="184" w:type="pct"/>
            <w:shd w:val="clear" w:color="auto" w:fill="FFFFFF"/>
            <w:tcMar>
              <w:top w:w="0" w:type="dxa"/>
              <w:left w:w="0" w:type="dxa"/>
              <w:bottom w:w="0" w:type="dxa"/>
              <w:right w:w="0" w:type="dxa"/>
            </w:tcMar>
            <w:vAlign w:val="center"/>
          </w:tcPr>
          <w:p w14:paraId="11C407B4">
            <w:pPr>
              <w:pStyle w:val="30"/>
              <w:bidi w:val="0"/>
              <w:rPr>
                <w:color w:val="auto"/>
                <w:highlight w:val="none"/>
              </w:rPr>
            </w:pPr>
            <w:r>
              <w:rPr>
                <w:color w:val="auto"/>
                <w:highlight w:val="none"/>
              </w:rPr>
              <w:t>68.2</w:t>
            </w:r>
          </w:p>
        </w:tc>
        <w:tc>
          <w:tcPr>
            <w:tcW w:w="156" w:type="pct"/>
            <w:shd w:val="clear" w:color="auto" w:fill="FFFFFF"/>
            <w:tcMar>
              <w:top w:w="0" w:type="dxa"/>
              <w:left w:w="0" w:type="dxa"/>
              <w:bottom w:w="0" w:type="dxa"/>
              <w:right w:w="0" w:type="dxa"/>
            </w:tcMar>
            <w:vAlign w:val="center"/>
          </w:tcPr>
          <w:p w14:paraId="12629DC6">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71D4A418">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40F05FDA">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61A8C804">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769E79F2">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41ABA7C1">
            <w:pPr>
              <w:pStyle w:val="30"/>
              <w:bidi w:val="0"/>
              <w:rPr>
                <w:color w:val="auto"/>
                <w:highlight w:val="none"/>
              </w:rPr>
            </w:pPr>
            <w:r>
              <w:rPr>
                <w:color w:val="auto"/>
                <w:highlight w:val="none"/>
              </w:rPr>
              <w:t>42.2</w:t>
            </w:r>
          </w:p>
        </w:tc>
        <w:tc>
          <w:tcPr>
            <w:tcW w:w="185" w:type="pct"/>
            <w:shd w:val="clear" w:color="auto" w:fill="FFFFFF"/>
            <w:tcMar>
              <w:top w:w="0" w:type="dxa"/>
              <w:left w:w="0" w:type="dxa"/>
              <w:bottom w:w="0" w:type="dxa"/>
              <w:right w:w="0" w:type="dxa"/>
            </w:tcMar>
            <w:vAlign w:val="center"/>
          </w:tcPr>
          <w:p w14:paraId="5778897E">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784B4D36">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6A5B6894">
            <w:pPr>
              <w:pStyle w:val="30"/>
              <w:bidi w:val="0"/>
              <w:rPr>
                <w:color w:val="auto"/>
                <w:highlight w:val="none"/>
              </w:rPr>
            </w:pPr>
            <w:r>
              <w:rPr>
                <w:color w:val="auto"/>
                <w:highlight w:val="none"/>
              </w:rPr>
              <w:t>42.2</w:t>
            </w:r>
          </w:p>
        </w:tc>
        <w:tc>
          <w:tcPr>
            <w:tcW w:w="261" w:type="pct"/>
            <w:shd w:val="clear" w:color="auto" w:fill="FFFFFF"/>
            <w:tcMar>
              <w:top w:w="0" w:type="dxa"/>
              <w:left w:w="0" w:type="dxa"/>
              <w:bottom w:w="0" w:type="dxa"/>
              <w:right w:w="0" w:type="dxa"/>
            </w:tcMar>
            <w:vAlign w:val="center"/>
          </w:tcPr>
          <w:p w14:paraId="5D6BC276">
            <w:pPr>
              <w:pStyle w:val="30"/>
              <w:bidi w:val="0"/>
              <w:rPr>
                <w:color w:val="auto"/>
                <w:highlight w:val="none"/>
              </w:rPr>
            </w:pPr>
            <w:r>
              <w:rPr>
                <w:color w:val="auto"/>
                <w:highlight w:val="none"/>
              </w:rPr>
              <w:t>1</w:t>
            </w:r>
          </w:p>
        </w:tc>
      </w:tr>
      <w:tr w14:paraId="39D0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96" w:hRule="atLeast"/>
          <w:jc w:val="center"/>
        </w:trPr>
        <w:tc>
          <w:tcPr>
            <w:tcW w:w="141" w:type="pct"/>
            <w:shd w:val="clear" w:color="auto" w:fill="FFFFFF"/>
            <w:tcMar>
              <w:top w:w="0" w:type="dxa"/>
              <w:left w:w="0" w:type="dxa"/>
              <w:bottom w:w="0" w:type="dxa"/>
              <w:right w:w="0" w:type="dxa"/>
            </w:tcMar>
            <w:vAlign w:val="center"/>
          </w:tcPr>
          <w:p w14:paraId="74949AF5">
            <w:pPr>
              <w:pStyle w:val="30"/>
              <w:bidi w:val="0"/>
              <w:rPr>
                <w:color w:val="auto"/>
                <w:highlight w:val="none"/>
              </w:rPr>
            </w:pPr>
            <w:r>
              <w:rPr>
                <w:color w:val="auto"/>
                <w:highlight w:val="none"/>
              </w:rPr>
              <w:t>6</w:t>
            </w:r>
          </w:p>
        </w:tc>
        <w:tc>
          <w:tcPr>
            <w:tcW w:w="161" w:type="pct"/>
            <w:vMerge w:val="continue"/>
            <w:shd w:val="clear" w:color="auto" w:fill="FFFFFF"/>
            <w:tcMar>
              <w:top w:w="0" w:type="dxa"/>
              <w:left w:w="0" w:type="dxa"/>
              <w:bottom w:w="0" w:type="dxa"/>
              <w:right w:w="0" w:type="dxa"/>
            </w:tcMar>
            <w:vAlign w:val="center"/>
          </w:tcPr>
          <w:p w14:paraId="77217238">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125E7A95">
            <w:pPr>
              <w:pStyle w:val="30"/>
              <w:bidi w:val="0"/>
              <w:rPr>
                <w:color w:val="auto"/>
                <w:highlight w:val="none"/>
              </w:rPr>
            </w:pPr>
            <w:r>
              <w:rPr>
                <w:color w:val="auto"/>
                <w:highlight w:val="none"/>
              </w:rPr>
              <w:t>手电钻</w:t>
            </w:r>
          </w:p>
        </w:tc>
        <w:tc>
          <w:tcPr>
            <w:tcW w:w="234" w:type="pct"/>
            <w:shd w:val="clear" w:color="auto" w:fill="FFFFFF"/>
            <w:tcMar>
              <w:top w:w="0" w:type="dxa"/>
              <w:left w:w="0" w:type="dxa"/>
              <w:bottom w:w="0" w:type="dxa"/>
              <w:right w:w="0" w:type="dxa"/>
            </w:tcMar>
            <w:vAlign w:val="center"/>
          </w:tcPr>
          <w:p w14:paraId="65DC8FE0">
            <w:pPr>
              <w:pStyle w:val="30"/>
              <w:bidi w:val="0"/>
              <w:rPr>
                <w:color w:val="auto"/>
                <w:highlight w:val="none"/>
              </w:rPr>
            </w:pPr>
            <w:r>
              <w:rPr>
                <w:color w:val="auto"/>
                <w:highlight w:val="none"/>
              </w:rPr>
              <w:t>85</w:t>
            </w:r>
          </w:p>
        </w:tc>
        <w:tc>
          <w:tcPr>
            <w:tcW w:w="198" w:type="pct"/>
            <w:vMerge w:val="continue"/>
            <w:shd w:val="clear" w:color="auto" w:fill="FFFFFF"/>
            <w:tcMar>
              <w:top w:w="0" w:type="dxa"/>
              <w:left w:w="0" w:type="dxa"/>
              <w:bottom w:w="0" w:type="dxa"/>
              <w:right w:w="0" w:type="dxa"/>
            </w:tcMar>
            <w:vAlign w:val="center"/>
          </w:tcPr>
          <w:p w14:paraId="63994002">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44DA1F5E">
            <w:pPr>
              <w:pStyle w:val="30"/>
              <w:bidi w:val="0"/>
              <w:rPr>
                <w:color w:val="auto"/>
                <w:highlight w:val="none"/>
              </w:rPr>
            </w:pPr>
            <w:r>
              <w:rPr>
                <w:color w:val="auto"/>
                <w:highlight w:val="none"/>
              </w:rPr>
              <w:t>62.1</w:t>
            </w:r>
          </w:p>
        </w:tc>
        <w:tc>
          <w:tcPr>
            <w:tcW w:w="219" w:type="pct"/>
            <w:shd w:val="clear" w:color="auto" w:fill="FFFFFF"/>
            <w:tcMar>
              <w:top w:w="0" w:type="dxa"/>
              <w:left w:w="0" w:type="dxa"/>
              <w:bottom w:w="0" w:type="dxa"/>
              <w:right w:w="0" w:type="dxa"/>
            </w:tcMar>
            <w:vAlign w:val="center"/>
          </w:tcPr>
          <w:p w14:paraId="5F75C60B">
            <w:pPr>
              <w:pStyle w:val="30"/>
              <w:bidi w:val="0"/>
              <w:rPr>
                <w:color w:val="auto"/>
                <w:highlight w:val="none"/>
              </w:rPr>
            </w:pPr>
            <w:r>
              <w:rPr>
                <w:color w:val="auto"/>
                <w:highlight w:val="none"/>
              </w:rPr>
              <w:t>-5.8</w:t>
            </w:r>
          </w:p>
        </w:tc>
        <w:tc>
          <w:tcPr>
            <w:tcW w:w="223" w:type="pct"/>
            <w:shd w:val="clear" w:color="auto" w:fill="FFFFFF"/>
            <w:tcMar>
              <w:top w:w="0" w:type="dxa"/>
              <w:left w:w="0" w:type="dxa"/>
              <w:bottom w:w="0" w:type="dxa"/>
              <w:right w:w="0" w:type="dxa"/>
            </w:tcMar>
            <w:vAlign w:val="center"/>
          </w:tcPr>
          <w:p w14:paraId="10973563">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0CBB1345">
            <w:pPr>
              <w:pStyle w:val="30"/>
              <w:bidi w:val="0"/>
              <w:rPr>
                <w:color w:val="auto"/>
                <w:highlight w:val="none"/>
              </w:rPr>
            </w:pPr>
            <w:r>
              <w:rPr>
                <w:color w:val="auto"/>
                <w:highlight w:val="none"/>
              </w:rPr>
              <w:t>24.6</w:t>
            </w:r>
          </w:p>
        </w:tc>
        <w:tc>
          <w:tcPr>
            <w:tcW w:w="182" w:type="pct"/>
            <w:shd w:val="clear" w:color="auto" w:fill="FFFFFF"/>
            <w:tcMar>
              <w:top w:w="0" w:type="dxa"/>
              <w:left w:w="0" w:type="dxa"/>
              <w:bottom w:w="0" w:type="dxa"/>
              <w:right w:w="0" w:type="dxa"/>
            </w:tcMar>
            <w:vAlign w:val="center"/>
          </w:tcPr>
          <w:p w14:paraId="59A7DE07">
            <w:pPr>
              <w:pStyle w:val="30"/>
              <w:bidi w:val="0"/>
              <w:rPr>
                <w:color w:val="auto"/>
                <w:highlight w:val="none"/>
              </w:rPr>
            </w:pPr>
            <w:r>
              <w:rPr>
                <w:color w:val="auto"/>
                <w:highlight w:val="none"/>
              </w:rPr>
              <w:t>29.5</w:t>
            </w:r>
          </w:p>
        </w:tc>
        <w:tc>
          <w:tcPr>
            <w:tcW w:w="182" w:type="pct"/>
            <w:shd w:val="clear" w:color="auto" w:fill="FFFFFF"/>
            <w:tcMar>
              <w:top w:w="0" w:type="dxa"/>
              <w:left w:w="0" w:type="dxa"/>
              <w:bottom w:w="0" w:type="dxa"/>
              <w:right w:w="0" w:type="dxa"/>
            </w:tcMar>
            <w:vAlign w:val="center"/>
          </w:tcPr>
          <w:p w14:paraId="78DDBC47">
            <w:pPr>
              <w:pStyle w:val="30"/>
              <w:bidi w:val="0"/>
              <w:rPr>
                <w:color w:val="auto"/>
                <w:highlight w:val="none"/>
              </w:rPr>
            </w:pPr>
            <w:r>
              <w:rPr>
                <w:color w:val="auto"/>
                <w:highlight w:val="none"/>
              </w:rPr>
              <w:t>64.9</w:t>
            </w:r>
          </w:p>
        </w:tc>
        <w:tc>
          <w:tcPr>
            <w:tcW w:w="189" w:type="pct"/>
            <w:shd w:val="clear" w:color="auto" w:fill="FFFFFF"/>
            <w:tcMar>
              <w:top w:w="0" w:type="dxa"/>
              <w:left w:w="0" w:type="dxa"/>
              <w:bottom w:w="0" w:type="dxa"/>
              <w:right w:w="0" w:type="dxa"/>
            </w:tcMar>
            <w:vAlign w:val="center"/>
          </w:tcPr>
          <w:p w14:paraId="14384FE4">
            <w:pPr>
              <w:pStyle w:val="30"/>
              <w:bidi w:val="0"/>
              <w:rPr>
                <w:color w:val="auto"/>
                <w:highlight w:val="none"/>
              </w:rPr>
            </w:pPr>
            <w:r>
              <w:rPr>
                <w:color w:val="auto"/>
                <w:highlight w:val="none"/>
              </w:rPr>
              <w:t>23.3</w:t>
            </w:r>
          </w:p>
        </w:tc>
        <w:tc>
          <w:tcPr>
            <w:tcW w:w="180" w:type="pct"/>
            <w:shd w:val="clear" w:color="auto" w:fill="FFFFFF"/>
            <w:tcMar>
              <w:top w:w="0" w:type="dxa"/>
              <w:left w:w="0" w:type="dxa"/>
              <w:bottom w:w="0" w:type="dxa"/>
              <w:right w:w="0" w:type="dxa"/>
            </w:tcMar>
            <w:vAlign w:val="center"/>
          </w:tcPr>
          <w:p w14:paraId="26745D12">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5A7C9A3C">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2DF83DA6">
            <w:pPr>
              <w:pStyle w:val="30"/>
              <w:bidi w:val="0"/>
              <w:rPr>
                <w:color w:val="auto"/>
                <w:highlight w:val="none"/>
              </w:rPr>
            </w:pPr>
            <w:r>
              <w:rPr>
                <w:color w:val="auto"/>
                <w:highlight w:val="none"/>
              </w:rPr>
              <w:t>68.2</w:t>
            </w:r>
          </w:p>
        </w:tc>
        <w:tc>
          <w:tcPr>
            <w:tcW w:w="184" w:type="pct"/>
            <w:shd w:val="clear" w:color="auto" w:fill="FFFFFF"/>
            <w:tcMar>
              <w:top w:w="0" w:type="dxa"/>
              <w:left w:w="0" w:type="dxa"/>
              <w:bottom w:w="0" w:type="dxa"/>
              <w:right w:w="0" w:type="dxa"/>
            </w:tcMar>
            <w:vAlign w:val="center"/>
          </w:tcPr>
          <w:p w14:paraId="041D2D8C">
            <w:pPr>
              <w:pStyle w:val="30"/>
              <w:bidi w:val="0"/>
              <w:rPr>
                <w:color w:val="auto"/>
                <w:highlight w:val="none"/>
              </w:rPr>
            </w:pPr>
            <w:r>
              <w:rPr>
                <w:color w:val="auto"/>
                <w:highlight w:val="none"/>
              </w:rPr>
              <w:t>68.2</w:t>
            </w:r>
          </w:p>
        </w:tc>
        <w:tc>
          <w:tcPr>
            <w:tcW w:w="156" w:type="pct"/>
            <w:shd w:val="clear" w:color="auto" w:fill="FFFFFF"/>
            <w:tcMar>
              <w:top w:w="0" w:type="dxa"/>
              <w:left w:w="0" w:type="dxa"/>
              <w:bottom w:w="0" w:type="dxa"/>
              <w:right w:w="0" w:type="dxa"/>
            </w:tcMar>
            <w:vAlign w:val="center"/>
          </w:tcPr>
          <w:p w14:paraId="6DE8F5D3">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16C36015">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A4A5C9C">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0EC3A54">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54C599EA">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6B8DC91C">
            <w:pPr>
              <w:pStyle w:val="30"/>
              <w:bidi w:val="0"/>
              <w:rPr>
                <w:color w:val="auto"/>
                <w:highlight w:val="none"/>
              </w:rPr>
            </w:pPr>
            <w:r>
              <w:rPr>
                <w:color w:val="auto"/>
                <w:highlight w:val="none"/>
              </w:rPr>
              <w:t>42.2</w:t>
            </w:r>
          </w:p>
        </w:tc>
        <w:tc>
          <w:tcPr>
            <w:tcW w:w="185" w:type="pct"/>
            <w:shd w:val="clear" w:color="auto" w:fill="FFFFFF"/>
            <w:tcMar>
              <w:top w:w="0" w:type="dxa"/>
              <w:left w:w="0" w:type="dxa"/>
              <w:bottom w:w="0" w:type="dxa"/>
              <w:right w:w="0" w:type="dxa"/>
            </w:tcMar>
            <w:vAlign w:val="center"/>
          </w:tcPr>
          <w:p w14:paraId="04AE5B11">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64DB8D8D">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0BA344A8">
            <w:pPr>
              <w:pStyle w:val="30"/>
              <w:bidi w:val="0"/>
              <w:rPr>
                <w:color w:val="auto"/>
                <w:highlight w:val="none"/>
              </w:rPr>
            </w:pPr>
            <w:r>
              <w:rPr>
                <w:color w:val="auto"/>
                <w:highlight w:val="none"/>
              </w:rPr>
              <w:t>42.2</w:t>
            </w:r>
          </w:p>
        </w:tc>
        <w:tc>
          <w:tcPr>
            <w:tcW w:w="261" w:type="pct"/>
            <w:shd w:val="clear" w:color="auto" w:fill="FFFFFF"/>
            <w:tcMar>
              <w:top w:w="0" w:type="dxa"/>
              <w:left w:w="0" w:type="dxa"/>
              <w:bottom w:w="0" w:type="dxa"/>
              <w:right w:w="0" w:type="dxa"/>
            </w:tcMar>
            <w:vAlign w:val="center"/>
          </w:tcPr>
          <w:p w14:paraId="70EEBEFC">
            <w:pPr>
              <w:pStyle w:val="30"/>
              <w:bidi w:val="0"/>
              <w:rPr>
                <w:color w:val="auto"/>
                <w:highlight w:val="none"/>
              </w:rPr>
            </w:pPr>
            <w:r>
              <w:rPr>
                <w:color w:val="auto"/>
                <w:highlight w:val="none"/>
              </w:rPr>
              <w:t>1</w:t>
            </w:r>
          </w:p>
        </w:tc>
      </w:tr>
      <w:tr w14:paraId="23F7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060C54B0">
            <w:pPr>
              <w:pStyle w:val="30"/>
              <w:bidi w:val="0"/>
              <w:rPr>
                <w:color w:val="auto"/>
                <w:highlight w:val="none"/>
              </w:rPr>
            </w:pPr>
            <w:r>
              <w:rPr>
                <w:color w:val="auto"/>
                <w:highlight w:val="none"/>
              </w:rPr>
              <w:t>7</w:t>
            </w:r>
          </w:p>
        </w:tc>
        <w:tc>
          <w:tcPr>
            <w:tcW w:w="161" w:type="pct"/>
            <w:vMerge w:val="continue"/>
            <w:shd w:val="clear" w:color="auto" w:fill="FFFFFF"/>
            <w:tcMar>
              <w:top w:w="0" w:type="dxa"/>
              <w:left w:w="0" w:type="dxa"/>
              <w:bottom w:w="0" w:type="dxa"/>
              <w:right w:w="0" w:type="dxa"/>
            </w:tcMar>
            <w:vAlign w:val="center"/>
          </w:tcPr>
          <w:p w14:paraId="22D32A5B">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2B5DC1EC">
            <w:pPr>
              <w:pStyle w:val="30"/>
              <w:bidi w:val="0"/>
              <w:rPr>
                <w:color w:val="auto"/>
                <w:highlight w:val="none"/>
              </w:rPr>
            </w:pPr>
            <w:r>
              <w:rPr>
                <w:color w:val="auto"/>
                <w:highlight w:val="none"/>
              </w:rPr>
              <w:t>举升机2</w:t>
            </w:r>
          </w:p>
        </w:tc>
        <w:tc>
          <w:tcPr>
            <w:tcW w:w="234" w:type="pct"/>
            <w:shd w:val="clear" w:color="auto" w:fill="FFFFFF"/>
            <w:tcMar>
              <w:top w:w="0" w:type="dxa"/>
              <w:left w:w="0" w:type="dxa"/>
              <w:bottom w:w="0" w:type="dxa"/>
              <w:right w:w="0" w:type="dxa"/>
            </w:tcMar>
            <w:vAlign w:val="center"/>
          </w:tcPr>
          <w:p w14:paraId="0DB25311">
            <w:pPr>
              <w:pStyle w:val="30"/>
              <w:bidi w:val="0"/>
              <w:rPr>
                <w:color w:val="auto"/>
                <w:highlight w:val="none"/>
              </w:rPr>
            </w:pPr>
            <w:r>
              <w:rPr>
                <w:color w:val="auto"/>
                <w:highlight w:val="none"/>
              </w:rPr>
              <w:t>70</w:t>
            </w:r>
          </w:p>
        </w:tc>
        <w:tc>
          <w:tcPr>
            <w:tcW w:w="198" w:type="pct"/>
            <w:vMerge w:val="continue"/>
            <w:shd w:val="clear" w:color="auto" w:fill="FFFFFF"/>
            <w:tcMar>
              <w:top w:w="0" w:type="dxa"/>
              <w:left w:w="0" w:type="dxa"/>
              <w:bottom w:w="0" w:type="dxa"/>
              <w:right w:w="0" w:type="dxa"/>
            </w:tcMar>
            <w:vAlign w:val="center"/>
          </w:tcPr>
          <w:p w14:paraId="5CB13795">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086D741C">
            <w:pPr>
              <w:pStyle w:val="30"/>
              <w:bidi w:val="0"/>
              <w:rPr>
                <w:color w:val="auto"/>
                <w:highlight w:val="none"/>
              </w:rPr>
            </w:pPr>
            <w:r>
              <w:rPr>
                <w:color w:val="auto"/>
                <w:highlight w:val="none"/>
              </w:rPr>
              <w:t>53.2</w:t>
            </w:r>
          </w:p>
        </w:tc>
        <w:tc>
          <w:tcPr>
            <w:tcW w:w="219" w:type="pct"/>
            <w:shd w:val="clear" w:color="auto" w:fill="FFFFFF"/>
            <w:tcMar>
              <w:top w:w="0" w:type="dxa"/>
              <w:left w:w="0" w:type="dxa"/>
              <w:bottom w:w="0" w:type="dxa"/>
              <w:right w:w="0" w:type="dxa"/>
            </w:tcMar>
            <w:vAlign w:val="center"/>
          </w:tcPr>
          <w:p w14:paraId="04F8068A">
            <w:pPr>
              <w:pStyle w:val="30"/>
              <w:bidi w:val="0"/>
              <w:rPr>
                <w:color w:val="auto"/>
                <w:highlight w:val="none"/>
              </w:rPr>
            </w:pPr>
            <w:r>
              <w:rPr>
                <w:color w:val="auto"/>
                <w:highlight w:val="none"/>
              </w:rPr>
              <w:t>-8.3</w:t>
            </w:r>
          </w:p>
        </w:tc>
        <w:tc>
          <w:tcPr>
            <w:tcW w:w="223" w:type="pct"/>
            <w:shd w:val="clear" w:color="auto" w:fill="FFFFFF"/>
            <w:tcMar>
              <w:top w:w="0" w:type="dxa"/>
              <w:left w:w="0" w:type="dxa"/>
              <w:bottom w:w="0" w:type="dxa"/>
              <w:right w:w="0" w:type="dxa"/>
            </w:tcMar>
            <w:vAlign w:val="center"/>
          </w:tcPr>
          <w:p w14:paraId="6B4DFC7F">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2E752A4E">
            <w:pPr>
              <w:pStyle w:val="30"/>
              <w:bidi w:val="0"/>
              <w:rPr>
                <w:color w:val="auto"/>
                <w:highlight w:val="none"/>
              </w:rPr>
            </w:pPr>
            <w:r>
              <w:rPr>
                <w:color w:val="auto"/>
                <w:highlight w:val="none"/>
              </w:rPr>
              <w:t>32.4</w:t>
            </w:r>
          </w:p>
        </w:tc>
        <w:tc>
          <w:tcPr>
            <w:tcW w:w="182" w:type="pct"/>
            <w:shd w:val="clear" w:color="auto" w:fill="FFFFFF"/>
            <w:tcMar>
              <w:top w:w="0" w:type="dxa"/>
              <w:left w:w="0" w:type="dxa"/>
              <w:bottom w:w="0" w:type="dxa"/>
              <w:right w:w="0" w:type="dxa"/>
            </w:tcMar>
            <w:vAlign w:val="center"/>
          </w:tcPr>
          <w:p w14:paraId="5A60B2C0">
            <w:pPr>
              <w:pStyle w:val="30"/>
              <w:bidi w:val="0"/>
              <w:rPr>
                <w:color w:val="auto"/>
                <w:highlight w:val="none"/>
              </w:rPr>
            </w:pPr>
            <w:r>
              <w:rPr>
                <w:color w:val="auto"/>
                <w:highlight w:val="none"/>
              </w:rPr>
              <w:t>24.4</w:t>
            </w:r>
          </w:p>
        </w:tc>
        <w:tc>
          <w:tcPr>
            <w:tcW w:w="182" w:type="pct"/>
            <w:shd w:val="clear" w:color="auto" w:fill="FFFFFF"/>
            <w:tcMar>
              <w:top w:w="0" w:type="dxa"/>
              <w:left w:w="0" w:type="dxa"/>
              <w:bottom w:w="0" w:type="dxa"/>
              <w:right w:w="0" w:type="dxa"/>
            </w:tcMar>
            <w:vAlign w:val="center"/>
          </w:tcPr>
          <w:p w14:paraId="17D30557">
            <w:pPr>
              <w:pStyle w:val="30"/>
              <w:bidi w:val="0"/>
              <w:rPr>
                <w:color w:val="auto"/>
                <w:highlight w:val="none"/>
              </w:rPr>
            </w:pPr>
            <w:r>
              <w:rPr>
                <w:color w:val="auto"/>
                <w:highlight w:val="none"/>
              </w:rPr>
              <w:t>57.0</w:t>
            </w:r>
          </w:p>
        </w:tc>
        <w:tc>
          <w:tcPr>
            <w:tcW w:w="189" w:type="pct"/>
            <w:shd w:val="clear" w:color="auto" w:fill="FFFFFF"/>
            <w:tcMar>
              <w:top w:w="0" w:type="dxa"/>
              <w:left w:w="0" w:type="dxa"/>
              <w:bottom w:w="0" w:type="dxa"/>
              <w:right w:w="0" w:type="dxa"/>
            </w:tcMar>
            <w:vAlign w:val="center"/>
          </w:tcPr>
          <w:p w14:paraId="61E5B6BB">
            <w:pPr>
              <w:pStyle w:val="30"/>
              <w:bidi w:val="0"/>
              <w:rPr>
                <w:color w:val="auto"/>
                <w:highlight w:val="none"/>
              </w:rPr>
            </w:pPr>
            <w:r>
              <w:rPr>
                <w:color w:val="auto"/>
                <w:highlight w:val="none"/>
              </w:rPr>
              <w:t>28.2</w:t>
            </w:r>
          </w:p>
        </w:tc>
        <w:tc>
          <w:tcPr>
            <w:tcW w:w="180" w:type="pct"/>
            <w:shd w:val="clear" w:color="auto" w:fill="FFFFFF"/>
            <w:tcMar>
              <w:top w:w="0" w:type="dxa"/>
              <w:left w:w="0" w:type="dxa"/>
              <w:bottom w:w="0" w:type="dxa"/>
              <w:right w:w="0" w:type="dxa"/>
            </w:tcMar>
            <w:vAlign w:val="center"/>
          </w:tcPr>
          <w:p w14:paraId="33D57F3F">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00994C78">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673F28FF">
            <w:pPr>
              <w:pStyle w:val="30"/>
              <w:bidi w:val="0"/>
              <w:rPr>
                <w:color w:val="auto"/>
                <w:highlight w:val="none"/>
              </w:rPr>
            </w:pPr>
            <w:r>
              <w:rPr>
                <w:color w:val="auto"/>
                <w:highlight w:val="none"/>
              </w:rPr>
              <w:t>53.2</w:t>
            </w:r>
          </w:p>
        </w:tc>
        <w:tc>
          <w:tcPr>
            <w:tcW w:w="184" w:type="pct"/>
            <w:shd w:val="clear" w:color="auto" w:fill="FFFFFF"/>
            <w:tcMar>
              <w:top w:w="0" w:type="dxa"/>
              <w:left w:w="0" w:type="dxa"/>
              <w:bottom w:w="0" w:type="dxa"/>
              <w:right w:w="0" w:type="dxa"/>
            </w:tcMar>
            <w:vAlign w:val="center"/>
          </w:tcPr>
          <w:p w14:paraId="7B050143">
            <w:pPr>
              <w:pStyle w:val="30"/>
              <w:bidi w:val="0"/>
              <w:rPr>
                <w:color w:val="auto"/>
                <w:highlight w:val="none"/>
              </w:rPr>
            </w:pPr>
            <w:r>
              <w:rPr>
                <w:color w:val="auto"/>
                <w:highlight w:val="none"/>
              </w:rPr>
              <w:t>53.2</w:t>
            </w:r>
          </w:p>
        </w:tc>
        <w:tc>
          <w:tcPr>
            <w:tcW w:w="156" w:type="pct"/>
            <w:shd w:val="clear" w:color="auto" w:fill="FFFFFF"/>
            <w:tcMar>
              <w:top w:w="0" w:type="dxa"/>
              <w:left w:w="0" w:type="dxa"/>
              <w:bottom w:w="0" w:type="dxa"/>
              <w:right w:w="0" w:type="dxa"/>
            </w:tcMar>
            <w:vAlign w:val="center"/>
          </w:tcPr>
          <w:p w14:paraId="59D72CAA">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41EAEE2E">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5668410E">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64AC0F5B">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4519055B">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5214667F">
            <w:pPr>
              <w:pStyle w:val="30"/>
              <w:bidi w:val="0"/>
              <w:rPr>
                <w:color w:val="auto"/>
                <w:highlight w:val="none"/>
              </w:rPr>
            </w:pPr>
            <w:r>
              <w:rPr>
                <w:color w:val="auto"/>
                <w:highlight w:val="none"/>
              </w:rPr>
              <w:t>27.2</w:t>
            </w:r>
          </w:p>
        </w:tc>
        <w:tc>
          <w:tcPr>
            <w:tcW w:w="185" w:type="pct"/>
            <w:shd w:val="clear" w:color="auto" w:fill="FFFFFF"/>
            <w:tcMar>
              <w:top w:w="0" w:type="dxa"/>
              <w:left w:w="0" w:type="dxa"/>
              <w:bottom w:w="0" w:type="dxa"/>
              <w:right w:w="0" w:type="dxa"/>
            </w:tcMar>
            <w:vAlign w:val="center"/>
          </w:tcPr>
          <w:p w14:paraId="5A6EF70B">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7586CEEE">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19513FBE">
            <w:pPr>
              <w:pStyle w:val="30"/>
              <w:bidi w:val="0"/>
              <w:rPr>
                <w:color w:val="auto"/>
                <w:highlight w:val="none"/>
              </w:rPr>
            </w:pPr>
            <w:r>
              <w:rPr>
                <w:color w:val="auto"/>
                <w:highlight w:val="none"/>
              </w:rPr>
              <w:t>27.2</w:t>
            </w:r>
          </w:p>
        </w:tc>
        <w:tc>
          <w:tcPr>
            <w:tcW w:w="261" w:type="pct"/>
            <w:shd w:val="clear" w:color="auto" w:fill="FFFFFF"/>
            <w:tcMar>
              <w:top w:w="0" w:type="dxa"/>
              <w:left w:w="0" w:type="dxa"/>
              <w:bottom w:w="0" w:type="dxa"/>
              <w:right w:w="0" w:type="dxa"/>
            </w:tcMar>
            <w:vAlign w:val="center"/>
          </w:tcPr>
          <w:p w14:paraId="39A96232">
            <w:pPr>
              <w:pStyle w:val="30"/>
              <w:bidi w:val="0"/>
              <w:rPr>
                <w:color w:val="auto"/>
                <w:highlight w:val="none"/>
              </w:rPr>
            </w:pPr>
            <w:r>
              <w:rPr>
                <w:color w:val="auto"/>
                <w:highlight w:val="none"/>
              </w:rPr>
              <w:t>1</w:t>
            </w:r>
          </w:p>
        </w:tc>
      </w:tr>
      <w:tr w14:paraId="2A38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40FCCDF6">
            <w:pPr>
              <w:pStyle w:val="30"/>
              <w:bidi w:val="0"/>
              <w:rPr>
                <w:color w:val="auto"/>
                <w:highlight w:val="none"/>
              </w:rPr>
            </w:pPr>
            <w:r>
              <w:rPr>
                <w:color w:val="auto"/>
                <w:highlight w:val="none"/>
              </w:rPr>
              <w:t>8</w:t>
            </w:r>
          </w:p>
        </w:tc>
        <w:tc>
          <w:tcPr>
            <w:tcW w:w="161" w:type="pct"/>
            <w:vMerge w:val="continue"/>
            <w:shd w:val="clear" w:color="auto" w:fill="FFFFFF"/>
            <w:tcMar>
              <w:top w:w="0" w:type="dxa"/>
              <w:left w:w="0" w:type="dxa"/>
              <w:bottom w:w="0" w:type="dxa"/>
              <w:right w:w="0" w:type="dxa"/>
            </w:tcMar>
            <w:vAlign w:val="center"/>
          </w:tcPr>
          <w:p w14:paraId="2E949527">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10D578FC">
            <w:pPr>
              <w:pStyle w:val="30"/>
              <w:bidi w:val="0"/>
              <w:rPr>
                <w:color w:val="auto"/>
                <w:highlight w:val="none"/>
              </w:rPr>
            </w:pPr>
            <w:r>
              <w:rPr>
                <w:color w:val="auto"/>
                <w:highlight w:val="none"/>
              </w:rPr>
              <w:t>举升机1</w:t>
            </w:r>
          </w:p>
        </w:tc>
        <w:tc>
          <w:tcPr>
            <w:tcW w:w="234" w:type="pct"/>
            <w:shd w:val="clear" w:color="auto" w:fill="FFFFFF"/>
            <w:tcMar>
              <w:top w:w="0" w:type="dxa"/>
              <w:left w:w="0" w:type="dxa"/>
              <w:bottom w:w="0" w:type="dxa"/>
              <w:right w:w="0" w:type="dxa"/>
            </w:tcMar>
            <w:vAlign w:val="center"/>
          </w:tcPr>
          <w:p w14:paraId="37E5DD64">
            <w:pPr>
              <w:pStyle w:val="30"/>
              <w:bidi w:val="0"/>
              <w:rPr>
                <w:color w:val="auto"/>
                <w:highlight w:val="none"/>
              </w:rPr>
            </w:pPr>
            <w:r>
              <w:rPr>
                <w:color w:val="auto"/>
                <w:highlight w:val="none"/>
              </w:rPr>
              <w:t>70</w:t>
            </w:r>
          </w:p>
        </w:tc>
        <w:tc>
          <w:tcPr>
            <w:tcW w:w="198" w:type="pct"/>
            <w:vMerge w:val="continue"/>
            <w:shd w:val="clear" w:color="auto" w:fill="FFFFFF"/>
            <w:tcMar>
              <w:top w:w="0" w:type="dxa"/>
              <w:left w:w="0" w:type="dxa"/>
              <w:bottom w:w="0" w:type="dxa"/>
              <w:right w:w="0" w:type="dxa"/>
            </w:tcMar>
            <w:vAlign w:val="center"/>
          </w:tcPr>
          <w:p w14:paraId="251DC34B">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6953D1C2">
            <w:pPr>
              <w:pStyle w:val="30"/>
              <w:bidi w:val="0"/>
              <w:rPr>
                <w:color w:val="auto"/>
                <w:highlight w:val="none"/>
              </w:rPr>
            </w:pPr>
            <w:r>
              <w:rPr>
                <w:color w:val="auto"/>
                <w:highlight w:val="none"/>
              </w:rPr>
              <w:t>22.2</w:t>
            </w:r>
          </w:p>
        </w:tc>
        <w:tc>
          <w:tcPr>
            <w:tcW w:w="219" w:type="pct"/>
            <w:shd w:val="clear" w:color="auto" w:fill="FFFFFF"/>
            <w:tcMar>
              <w:top w:w="0" w:type="dxa"/>
              <w:left w:w="0" w:type="dxa"/>
              <w:bottom w:w="0" w:type="dxa"/>
              <w:right w:w="0" w:type="dxa"/>
            </w:tcMar>
            <w:vAlign w:val="center"/>
          </w:tcPr>
          <w:p w14:paraId="5BA73388">
            <w:pPr>
              <w:pStyle w:val="30"/>
              <w:bidi w:val="0"/>
              <w:rPr>
                <w:color w:val="auto"/>
                <w:highlight w:val="none"/>
              </w:rPr>
            </w:pPr>
            <w:r>
              <w:rPr>
                <w:color w:val="auto"/>
                <w:highlight w:val="none"/>
              </w:rPr>
              <w:t>1.6</w:t>
            </w:r>
          </w:p>
        </w:tc>
        <w:tc>
          <w:tcPr>
            <w:tcW w:w="223" w:type="pct"/>
            <w:shd w:val="clear" w:color="auto" w:fill="FFFFFF"/>
            <w:tcMar>
              <w:top w:w="0" w:type="dxa"/>
              <w:left w:w="0" w:type="dxa"/>
              <w:bottom w:w="0" w:type="dxa"/>
              <w:right w:w="0" w:type="dxa"/>
            </w:tcMar>
            <w:vAlign w:val="center"/>
          </w:tcPr>
          <w:p w14:paraId="0DBF9D77">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3EE3CCED">
            <w:pPr>
              <w:pStyle w:val="30"/>
              <w:bidi w:val="0"/>
              <w:rPr>
                <w:color w:val="auto"/>
                <w:highlight w:val="none"/>
              </w:rPr>
            </w:pPr>
            <w:r>
              <w:rPr>
                <w:color w:val="auto"/>
                <w:highlight w:val="none"/>
              </w:rPr>
              <w:t>65.0</w:t>
            </w:r>
          </w:p>
        </w:tc>
        <w:tc>
          <w:tcPr>
            <w:tcW w:w="182" w:type="pct"/>
            <w:shd w:val="clear" w:color="auto" w:fill="FFFFFF"/>
            <w:tcMar>
              <w:top w:w="0" w:type="dxa"/>
              <w:left w:w="0" w:type="dxa"/>
              <w:bottom w:w="0" w:type="dxa"/>
              <w:right w:w="0" w:type="dxa"/>
            </w:tcMar>
            <w:vAlign w:val="center"/>
          </w:tcPr>
          <w:p w14:paraId="36CBB464">
            <w:pPr>
              <w:pStyle w:val="30"/>
              <w:bidi w:val="0"/>
              <w:rPr>
                <w:color w:val="auto"/>
                <w:highlight w:val="none"/>
              </w:rPr>
            </w:pPr>
            <w:r>
              <w:rPr>
                <w:color w:val="auto"/>
                <w:highlight w:val="none"/>
              </w:rPr>
              <w:t>24.3</w:t>
            </w:r>
          </w:p>
        </w:tc>
        <w:tc>
          <w:tcPr>
            <w:tcW w:w="182" w:type="pct"/>
            <w:shd w:val="clear" w:color="auto" w:fill="FFFFFF"/>
            <w:tcMar>
              <w:top w:w="0" w:type="dxa"/>
              <w:left w:w="0" w:type="dxa"/>
              <w:bottom w:w="0" w:type="dxa"/>
              <w:right w:w="0" w:type="dxa"/>
            </w:tcMar>
            <w:vAlign w:val="center"/>
          </w:tcPr>
          <w:p w14:paraId="08C5A9CF">
            <w:pPr>
              <w:pStyle w:val="30"/>
              <w:bidi w:val="0"/>
              <w:rPr>
                <w:color w:val="auto"/>
                <w:highlight w:val="none"/>
              </w:rPr>
            </w:pPr>
            <w:r>
              <w:rPr>
                <w:color w:val="auto"/>
                <w:highlight w:val="none"/>
              </w:rPr>
              <w:t>24.5</w:t>
            </w:r>
          </w:p>
        </w:tc>
        <w:tc>
          <w:tcPr>
            <w:tcW w:w="189" w:type="pct"/>
            <w:shd w:val="clear" w:color="auto" w:fill="FFFFFF"/>
            <w:tcMar>
              <w:top w:w="0" w:type="dxa"/>
              <w:left w:w="0" w:type="dxa"/>
              <w:bottom w:w="0" w:type="dxa"/>
              <w:right w:w="0" w:type="dxa"/>
            </w:tcMar>
            <w:vAlign w:val="center"/>
          </w:tcPr>
          <w:p w14:paraId="6EA596DA">
            <w:pPr>
              <w:pStyle w:val="30"/>
              <w:bidi w:val="0"/>
              <w:rPr>
                <w:color w:val="auto"/>
                <w:highlight w:val="none"/>
              </w:rPr>
            </w:pPr>
            <w:r>
              <w:rPr>
                <w:color w:val="auto"/>
                <w:highlight w:val="none"/>
              </w:rPr>
              <w:t>27.8</w:t>
            </w:r>
          </w:p>
        </w:tc>
        <w:tc>
          <w:tcPr>
            <w:tcW w:w="180" w:type="pct"/>
            <w:shd w:val="clear" w:color="auto" w:fill="FFFFFF"/>
            <w:tcMar>
              <w:top w:w="0" w:type="dxa"/>
              <w:left w:w="0" w:type="dxa"/>
              <w:bottom w:w="0" w:type="dxa"/>
              <w:right w:w="0" w:type="dxa"/>
            </w:tcMar>
            <w:vAlign w:val="center"/>
          </w:tcPr>
          <w:p w14:paraId="74492837">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3EC70266">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4FA789A9">
            <w:pPr>
              <w:pStyle w:val="30"/>
              <w:bidi w:val="0"/>
              <w:rPr>
                <w:color w:val="auto"/>
                <w:highlight w:val="none"/>
              </w:rPr>
            </w:pPr>
            <w:r>
              <w:rPr>
                <w:color w:val="auto"/>
                <w:highlight w:val="none"/>
              </w:rPr>
              <w:t>53.2</w:t>
            </w:r>
          </w:p>
        </w:tc>
        <w:tc>
          <w:tcPr>
            <w:tcW w:w="184" w:type="pct"/>
            <w:shd w:val="clear" w:color="auto" w:fill="FFFFFF"/>
            <w:tcMar>
              <w:top w:w="0" w:type="dxa"/>
              <w:left w:w="0" w:type="dxa"/>
              <w:bottom w:w="0" w:type="dxa"/>
              <w:right w:w="0" w:type="dxa"/>
            </w:tcMar>
            <w:vAlign w:val="center"/>
          </w:tcPr>
          <w:p w14:paraId="0523EC51">
            <w:pPr>
              <w:pStyle w:val="30"/>
              <w:bidi w:val="0"/>
              <w:rPr>
                <w:color w:val="auto"/>
                <w:highlight w:val="none"/>
              </w:rPr>
            </w:pPr>
            <w:r>
              <w:rPr>
                <w:color w:val="auto"/>
                <w:highlight w:val="none"/>
              </w:rPr>
              <w:t>53.2</w:t>
            </w:r>
          </w:p>
        </w:tc>
        <w:tc>
          <w:tcPr>
            <w:tcW w:w="156" w:type="pct"/>
            <w:shd w:val="clear" w:color="auto" w:fill="FFFFFF"/>
            <w:tcMar>
              <w:top w:w="0" w:type="dxa"/>
              <w:left w:w="0" w:type="dxa"/>
              <w:bottom w:w="0" w:type="dxa"/>
              <w:right w:w="0" w:type="dxa"/>
            </w:tcMar>
            <w:vAlign w:val="center"/>
          </w:tcPr>
          <w:p w14:paraId="6766608F">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516B182D">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21C0D752">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7E421ED0">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5593E4A4">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46F7F7D6">
            <w:pPr>
              <w:pStyle w:val="30"/>
              <w:bidi w:val="0"/>
              <w:rPr>
                <w:color w:val="auto"/>
                <w:highlight w:val="none"/>
              </w:rPr>
            </w:pPr>
            <w:r>
              <w:rPr>
                <w:color w:val="auto"/>
                <w:highlight w:val="none"/>
              </w:rPr>
              <w:t>27.2</w:t>
            </w:r>
          </w:p>
        </w:tc>
        <w:tc>
          <w:tcPr>
            <w:tcW w:w="185" w:type="pct"/>
            <w:shd w:val="clear" w:color="auto" w:fill="FFFFFF"/>
            <w:tcMar>
              <w:top w:w="0" w:type="dxa"/>
              <w:left w:w="0" w:type="dxa"/>
              <w:bottom w:w="0" w:type="dxa"/>
              <w:right w:w="0" w:type="dxa"/>
            </w:tcMar>
            <w:vAlign w:val="center"/>
          </w:tcPr>
          <w:p w14:paraId="5B23DDA7">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56FBA092">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4F493059">
            <w:pPr>
              <w:pStyle w:val="30"/>
              <w:bidi w:val="0"/>
              <w:rPr>
                <w:color w:val="auto"/>
                <w:highlight w:val="none"/>
              </w:rPr>
            </w:pPr>
            <w:r>
              <w:rPr>
                <w:color w:val="auto"/>
                <w:highlight w:val="none"/>
              </w:rPr>
              <w:t>27.2</w:t>
            </w:r>
          </w:p>
        </w:tc>
        <w:tc>
          <w:tcPr>
            <w:tcW w:w="261" w:type="pct"/>
            <w:shd w:val="clear" w:color="auto" w:fill="FFFFFF"/>
            <w:tcMar>
              <w:top w:w="0" w:type="dxa"/>
              <w:left w:w="0" w:type="dxa"/>
              <w:bottom w:w="0" w:type="dxa"/>
              <w:right w:w="0" w:type="dxa"/>
            </w:tcMar>
            <w:vAlign w:val="center"/>
          </w:tcPr>
          <w:p w14:paraId="2DA46036">
            <w:pPr>
              <w:pStyle w:val="30"/>
              <w:bidi w:val="0"/>
              <w:rPr>
                <w:color w:val="auto"/>
                <w:highlight w:val="none"/>
              </w:rPr>
            </w:pPr>
            <w:r>
              <w:rPr>
                <w:color w:val="auto"/>
                <w:highlight w:val="none"/>
              </w:rPr>
              <w:t>1</w:t>
            </w:r>
          </w:p>
        </w:tc>
      </w:tr>
      <w:tr w14:paraId="758F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076D0176">
            <w:pPr>
              <w:pStyle w:val="30"/>
              <w:bidi w:val="0"/>
              <w:rPr>
                <w:color w:val="auto"/>
                <w:highlight w:val="none"/>
              </w:rPr>
            </w:pPr>
            <w:r>
              <w:rPr>
                <w:color w:val="auto"/>
                <w:highlight w:val="none"/>
              </w:rPr>
              <w:t>9</w:t>
            </w:r>
          </w:p>
        </w:tc>
        <w:tc>
          <w:tcPr>
            <w:tcW w:w="161" w:type="pct"/>
            <w:vMerge w:val="continue"/>
            <w:shd w:val="clear" w:color="auto" w:fill="FFFFFF"/>
            <w:tcMar>
              <w:top w:w="0" w:type="dxa"/>
              <w:left w:w="0" w:type="dxa"/>
              <w:bottom w:w="0" w:type="dxa"/>
              <w:right w:w="0" w:type="dxa"/>
            </w:tcMar>
            <w:vAlign w:val="center"/>
          </w:tcPr>
          <w:p w14:paraId="5A5170D9">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501B4B93">
            <w:pPr>
              <w:pStyle w:val="30"/>
              <w:bidi w:val="0"/>
              <w:rPr>
                <w:color w:val="auto"/>
                <w:highlight w:val="none"/>
              </w:rPr>
            </w:pPr>
            <w:r>
              <w:rPr>
                <w:color w:val="auto"/>
                <w:highlight w:val="none"/>
              </w:rPr>
              <w:t>拆胎机</w:t>
            </w:r>
          </w:p>
        </w:tc>
        <w:tc>
          <w:tcPr>
            <w:tcW w:w="234" w:type="pct"/>
            <w:shd w:val="clear" w:color="auto" w:fill="FFFFFF"/>
            <w:tcMar>
              <w:top w:w="0" w:type="dxa"/>
              <w:left w:w="0" w:type="dxa"/>
              <w:bottom w:w="0" w:type="dxa"/>
              <w:right w:w="0" w:type="dxa"/>
            </w:tcMar>
            <w:vAlign w:val="center"/>
          </w:tcPr>
          <w:p w14:paraId="15801497">
            <w:pPr>
              <w:pStyle w:val="30"/>
              <w:bidi w:val="0"/>
              <w:rPr>
                <w:color w:val="auto"/>
                <w:highlight w:val="none"/>
              </w:rPr>
            </w:pPr>
            <w:r>
              <w:rPr>
                <w:color w:val="auto"/>
                <w:highlight w:val="none"/>
              </w:rPr>
              <w:t>75</w:t>
            </w:r>
          </w:p>
        </w:tc>
        <w:tc>
          <w:tcPr>
            <w:tcW w:w="198" w:type="pct"/>
            <w:vMerge w:val="continue"/>
            <w:shd w:val="clear" w:color="auto" w:fill="FFFFFF"/>
            <w:tcMar>
              <w:top w:w="0" w:type="dxa"/>
              <w:left w:w="0" w:type="dxa"/>
              <w:bottom w:w="0" w:type="dxa"/>
              <w:right w:w="0" w:type="dxa"/>
            </w:tcMar>
            <w:vAlign w:val="center"/>
          </w:tcPr>
          <w:p w14:paraId="55E163CC">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49BA6803">
            <w:pPr>
              <w:pStyle w:val="30"/>
              <w:bidi w:val="0"/>
              <w:rPr>
                <w:color w:val="auto"/>
                <w:highlight w:val="none"/>
              </w:rPr>
            </w:pPr>
            <w:r>
              <w:rPr>
                <w:color w:val="auto"/>
                <w:highlight w:val="none"/>
              </w:rPr>
              <w:t>60.8</w:t>
            </w:r>
          </w:p>
        </w:tc>
        <w:tc>
          <w:tcPr>
            <w:tcW w:w="219" w:type="pct"/>
            <w:shd w:val="clear" w:color="auto" w:fill="FFFFFF"/>
            <w:tcMar>
              <w:top w:w="0" w:type="dxa"/>
              <w:left w:w="0" w:type="dxa"/>
              <w:bottom w:w="0" w:type="dxa"/>
              <w:right w:w="0" w:type="dxa"/>
            </w:tcMar>
            <w:vAlign w:val="center"/>
          </w:tcPr>
          <w:p w14:paraId="4D19C7C6">
            <w:pPr>
              <w:pStyle w:val="30"/>
              <w:bidi w:val="0"/>
              <w:rPr>
                <w:color w:val="auto"/>
                <w:highlight w:val="none"/>
              </w:rPr>
            </w:pPr>
            <w:r>
              <w:rPr>
                <w:color w:val="auto"/>
                <w:highlight w:val="none"/>
              </w:rPr>
              <w:t>-14.1</w:t>
            </w:r>
          </w:p>
        </w:tc>
        <w:tc>
          <w:tcPr>
            <w:tcW w:w="223" w:type="pct"/>
            <w:shd w:val="clear" w:color="auto" w:fill="FFFFFF"/>
            <w:tcMar>
              <w:top w:w="0" w:type="dxa"/>
              <w:left w:w="0" w:type="dxa"/>
              <w:bottom w:w="0" w:type="dxa"/>
              <w:right w:w="0" w:type="dxa"/>
            </w:tcMar>
            <w:vAlign w:val="center"/>
          </w:tcPr>
          <w:p w14:paraId="7E81AB0F">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68806433">
            <w:pPr>
              <w:pStyle w:val="30"/>
              <w:bidi w:val="0"/>
              <w:rPr>
                <w:color w:val="auto"/>
                <w:highlight w:val="none"/>
              </w:rPr>
            </w:pPr>
            <w:r>
              <w:rPr>
                <w:color w:val="auto"/>
                <w:highlight w:val="none"/>
              </w:rPr>
              <w:t>23.5</w:t>
            </w:r>
          </w:p>
        </w:tc>
        <w:tc>
          <w:tcPr>
            <w:tcW w:w="182" w:type="pct"/>
            <w:shd w:val="clear" w:color="auto" w:fill="FFFFFF"/>
            <w:tcMar>
              <w:top w:w="0" w:type="dxa"/>
              <w:left w:w="0" w:type="dxa"/>
              <w:bottom w:w="0" w:type="dxa"/>
              <w:right w:w="0" w:type="dxa"/>
            </w:tcMar>
            <w:vAlign w:val="center"/>
          </w:tcPr>
          <w:p w14:paraId="005D3438">
            <w:pPr>
              <w:pStyle w:val="30"/>
              <w:bidi w:val="0"/>
              <w:rPr>
                <w:color w:val="auto"/>
                <w:highlight w:val="none"/>
              </w:rPr>
            </w:pPr>
            <w:r>
              <w:rPr>
                <w:color w:val="auto"/>
                <w:highlight w:val="none"/>
              </w:rPr>
              <w:t>21.2</w:t>
            </w:r>
          </w:p>
        </w:tc>
        <w:tc>
          <w:tcPr>
            <w:tcW w:w="182" w:type="pct"/>
            <w:shd w:val="clear" w:color="auto" w:fill="FFFFFF"/>
            <w:tcMar>
              <w:top w:w="0" w:type="dxa"/>
              <w:left w:w="0" w:type="dxa"/>
              <w:bottom w:w="0" w:type="dxa"/>
              <w:right w:w="0" w:type="dxa"/>
            </w:tcMar>
            <w:vAlign w:val="center"/>
          </w:tcPr>
          <w:p w14:paraId="303AFFE4">
            <w:pPr>
              <w:pStyle w:val="30"/>
              <w:bidi w:val="0"/>
              <w:rPr>
                <w:color w:val="auto"/>
                <w:highlight w:val="none"/>
              </w:rPr>
            </w:pPr>
            <w:r>
              <w:rPr>
                <w:color w:val="auto"/>
                <w:highlight w:val="none"/>
              </w:rPr>
              <w:t>66.0</w:t>
            </w:r>
          </w:p>
        </w:tc>
        <w:tc>
          <w:tcPr>
            <w:tcW w:w="189" w:type="pct"/>
            <w:shd w:val="clear" w:color="auto" w:fill="FFFFFF"/>
            <w:tcMar>
              <w:top w:w="0" w:type="dxa"/>
              <w:left w:w="0" w:type="dxa"/>
              <w:bottom w:w="0" w:type="dxa"/>
              <w:right w:w="0" w:type="dxa"/>
            </w:tcMar>
            <w:vAlign w:val="center"/>
          </w:tcPr>
          <w:p w14:paraId="553EEBDF">
            <w:pPr>
              <w:pStyle w:val="30"/>
              <w:bidi w:val="0"/>
              <w:rPr>
                <w:color w:val="auto"/>
                <w:highlight w:val="none"/>
              </w:rPr>
            </w:pPr>
            <w:r>
              <w:rPr>
                <w:color w:val="auto"/>
                <w:highlight w:val="none"/>
              </w:rPr>
              <w:t>31.6</w:t>
            </w:r>
          </w:p>
        </w:tc>
        <w:tc>
          <w:tcPr>
            <w:tcW w:w="180" w:type="pct"/>
            <w:shd w:val="clear" w:color="auto" w:fill="FFFFFF"/>
            <w:tcMar>
              <w:top w:w="0" w:type="dxa"/>
              <w:left w:w="0" w:type="dxa"/>
              <w:bottom w:w="0" w:type="dxa"/>
              <w:right w:w="0" w:type="dxa"/>
            </w:tcMar>
            <w:vAlign w:val="center"/>
          </w:tcPr>
          <w:p w14:paraId="652C2237">
            <w:pPr>
              <w:pStyle w:val="30"/>
              <w:bidi w:val="0"/>
              <w:rPr>
                <w:color w:val="auto"/>
                <w:highlight w:val="none"/>
              </w:rPr>
            </w:pPr>
            <w:r>
              <w:rPr>
                <w:color w:val="auto"/>
                <w:highlight w:val="none"/>
              </w:rPr>
              <w:t>58.2</w:t>
            </w:r>
          </w:p>
        </w:tc>
        <w:tc>
          <w:tcPr>
            <w:tcW w:w="180" w:type="pct"/>
            <w:shd w:val="clear" w:color="auto" w:fill="FFFFFF"/>
            <w:tcMar>
              <w:top w:w="0" w:type="dxa"/>
              <w:left w:w="0" w:type="dxa"/>
              <w:bottom w:w="0" w:type="dxa"/>
              <w:right w:w="0" w:type="dxa"/>
            </w:tcMar>
            <w:vAlign w:val="center"/>
          </w:tcPr>
          <w:p w14:paraId="4364CD07">
            <w:pPr>
              <w:pStyle w:val="30"/>
              <w:bidi w:val="0"/>
              <w:rPr>
                <w:color w:val="auto"/>
                <w:highlight w:val="none"/>
              </w:rPr>
            </w:pPr>
            <w:r>
              <w:rPr>
                <w:color w:val="auto"/>
                <w:highlight w:val="none"/>
              </w:rPr>
              <w:t>58.2</w:t>
            </w:r>
          </w:p>
        </w:tc>
        <w:tc>
          <w:tcPr>
            <w:tcW w:w="180" w:type="pct"/>
            <w:shd w:val="clear" w:color="auto" w:fill="FFFFFF"/>
            <w:tcMar>
              <w:top w:w="0" w:type="dxa"/>
              <w:left w:w="0" w:type="dxa"/>
              <w:bottom w:w="0" w:type="dxa"/>
              <w:right w:w="0" w:type="dxa"/>
            </w:tcMar>
            <w:vAlign w:val="center"/>
          </w:tcPr>
          <w:p w14:paraId="41015E8D">
            <w:pPr>
              <w:pStyle w:val="30"/>
              <w:bidi w:val="0"/>
              <w:rPr>
                <w:color w:val="auto"/>
                <w:highlight w:val="none"/>
              </w:rPr>
            </w:pPr>
            <w:r>
              <w:rPr>
                <w:color w:val="auto"/>
                <w:highlight w:val="none"/>
              </w:rPr>
              <w:t>58.2</w:t>
            </w:r>
          </w:p>
        </w:tc>
        <w:tc>
          <w:tcPr>
            <w:tcW w:w="184" w:type="pct"/>
            <w:shd w:val="clear" w:color="auto" w:fill="FFFFFF"/>
            <w:tcMar>
              <w:top w:w="0" w:type="dxa"/>
              <w:left w:w="0" w:type="dxa"/>
              <w:bottom w:w="0" w:type="dxa"/>
              <w:right w:w="0" w:type="dxa"/>
            </w:tcMar>
            <w:vAlign w:val="center"/>
          </w:tcPr>
          <w:p w14:paraId="447C4B25">
            <w:pPr>
              <w:pStyle w:val="30"/>
              <w:bidi w:val="0"/>
              <w:rPr>
                <w:color w:val="auto"/>
                <w:highlight w:val="none"/>
              </w:rPr>
            </w:pPr>
            <w:r>
              <w:rPr>
                <w:color w:val="auto"/>
                <w:highlight w:val="none"/>
              </w:rPr>
              <w:t>58.2</w:t>
            </w:r>
          </w:p>
        </w:tc>
        <w:tc>
          <w:tcPr>
            <w:tcW w:w="156" w:type="pct"/>
            <w:shd w:val="clear" w:color="auto" w:fill="FFFFFF"/>
            <w:tcMar>
              <w:top w:w="0" w:type="dxa"/>
              <w:left w:w="0" w:type="dxa"/>
              <w:bottom w:w="0" w:type="dxa"/>
              <w:right w:w="0" w:type="dxa"/>
            </w:tcMar>
            <w:vAlign w:val="center"/>
          </w:tcPr>
          <w:p w14:paraId="0EF2A9E8">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2E9343CA">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F576D23">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14937C50">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1B51B8B3">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5B3BB0DD">
            <w:pPr>
              <w:pStyle w:val="30"/>
              <w:bidi w:val="0"/>
              <w:rPr>
                <w:color w:val="auto"/>
                <w:highlight w:val="none"/>
              </w:rPr>
            </w:pPr>
            <w:r>
              <w:rPr>
                <w:color w:val="auto"/>
                <w:highlight w:val="none"/>
              </w:rPr>
              <w:t>32.2</w:t>
            </w:r>
          </w:p>
        </w:tc>
        <w:tc>
          <w:tcPr>
            <w:tcW w:w="185" w:type="pct"/>
            <w:shd w:val="clear" w:color="auto" w:fill="FFFFFF"/>
            <w:tcMar>
              <w:top w:w="0" w:type="dxa"/>
              <w:left w:w="0" w:type="dxa"/>
              <w:bottom w:w="0" w:type="dxa"/>
              <w:right w:w="0" w:type="dxa"/>
            </w:tcMar>
            <w:vAlign w:val="center"/>
          </w:tcPr>
          <w:p w14:paraId="62737772">
            <w:pPr>
              <w:pStyle w:val="30"/>
              <w:bidi w:val="0"/>
              <w:rPr>
                <w:color w:val="auto"/>
                <w:highlight w:val="none"/>
              </w:rPr>
            </w:pPr>
            <w:r>
              <w:rPr>
                <w:color w:val="auto"/>
                <w:highlight w:val="none"/>
              </w:rPr>
              <w:t>32.2</w:t>
            </w:r>
          </w:p>
        </w:tc>
        <w:tc>
          <w:tcPr>
            <w:tcW w:w="186" w:type="pct"/>
            <w:shd w:val="clear" w:color="auto" w:fill="FFFFFF"/>
            <w:tcMar>
              <w:top w:w="0" w:type="dxa"/>
              <w:left w:w="0" w:type="dxa"/>
              <w:bottom w:w="0" w:type="dxa"/>
              <w:right w:w="0" w:type="dxa"/>
            </w:tcMar>
            <w:vAlign w:val="center"/>
          </w:tcPr>
          <w:p w14:paraId="7A039C5A">
            <w:pPr>
              <w:pStyle w:val="30"/>
              <w:bidi w:val="0"/>
              <w:rPr>
                <w:color w:val="auto"/>
                <w:highlight w:val="none"/>
              </w:rPr>
            </w:pPr>
            <w:r>
              <w:rPr>
                <w:color w:val="auto"/>
                <w:highlight w:val="none"/>
              </w:rPr>
              <w:t>32.2</w:t>
            </w:r>
          </w:p>
        </w:tc>
        <w:tc>
          <w:tcPr>
            <w:tcW w:w="186" w:type="pct"/>
            <w:shd w:val="clear" w:color="auto" w:fill="FFFFFF"/>
            <w:tcMar>
              <w:top w:w="0" w:type="dxa"/>
              <w:left w:w="0" w:type="dxa"/>
              <w:bottom w:w="0" w:type="dxa"/>
              <w:right w:w="0" w:type="dxa"/>
            </w:tcMar>
            <w:vAlign w:val="center"/>
          </w:tcPr>
          <w:p w14:paraId="420E3D0C">
            <w:pPr>
              <w:pStyle w:val="30"/>
              <w:bidi w:val="0"/>
              <w:rPr>
                <w:color w:val="auto"/>
                <w:highlight w:val="none"/>
              </w:rPr>
            </w:pPr>
            <w:r>
              <w:rPr>
                <w:color w:val="auto"/>
                <w:highlight w:val="none"/>
              </w:rPr>
              <w:t>32.2</w:t>
            </w:r>
          </w:p>
        </w:tc>
        <w:tc>
          <w:tcPr>
            <w:tcW w:w="261" w:type="pct"/>
            <w:shd w:val="clear" w:color="auto" w:fill="FFFFFF"/>
            <w:tcMar>
              <w:top w:w="0" w:type="dxa"/>
              <w:left w:w="0" w:type="dxa"/>
              <w:bottom w:w="0" w:type="dxa"/>
              <w:right w:w="0" w:type="dxa"/>
            </w:tcMar>
            <w:vAlign w:val="center"/>
          </w:tcPr>
          <w:p w14:paraId="56F84E81">
            <w:pPr>
              <w:pStyle w:val="30"/>
              <w:bidi w:val="0"/>
              <w:rPr>
                <w:color w:val="auto"/>
                <w:highlight w:val="none"/>
              </w:rPr>
            </w:pPr>
            <w:r>
              <w:rPr>
                <w:color w:val="auto"/>
                <w:highlight w:val="none"/>
              </w:rPr>
              <w:t>1</w:t>
            </w:r>
          </w:p>
        </w:tc>
      </w:tr>
      <w:tr w14:paraId="5F46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3F55BBFC">
            <w:pPr>
              <w:pStyle w:val="30"/>
              <w:bidi w:val="0"/>
              <w:rPr>
                <w:color w:val="auto"/>
                <w:highlight w:val="none"/>
              </w:rPr>
            </w:pPr>
            <w:r>
              <w:rPr>
                <w:color w:val="auto"/>
                <w:highlight w:val="none"/>
              </w:rPr>
              <w:t>10</w:t>
            </w:r>
          </w:p>
        </w:tc>
        <w:tc>
          <w:tcPr>
            <w:tcW w:w="161" w:type="pct"/>
            <w:vMerge w:val="continue"/>
            <w:shd w:val="clear" w:color="auto" w:fill="FFFFFF"/>
            <w:tcMar>
              <w:top w:w="0" w:type="dxa"/>
              <w:left w:w="0" w:type="dxa"/>
              <w:bottom w:w="0" w:type="dxa"/>
              <w:right w:w="0" w:type="dxa"/>
            </w:tcMar>
            <w:vAlign w:val="center"/>
          </w:tcPr>
          <w:p w14:paraId="421182AF">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6CBAFD69">
            <w:pPr>
              <w:pStyle w:val="30"/>
              <w:bidi w:val="0"/>
              <w:rPr>
                <w:color w:val="auto"/>
                <w:highlight w:val="none"/>
              </w:rPr>
            </w:pPr>
            <w:r>
              <w:rPr>
                <w:color w:val="auto"/>
                <w:highlight w:val="none"/>
              </w:rPr>
              <w:t>二氧化碳保护焊机2</w:t>
            </w:r>
          </w:p>
        </w:tc>
        <w:tc>
          <w:tcPr>
            <w:tcW w:w="234" w:type="pct"/>
            <w:shd w:val="clear" w:color="auto" w:fill="FFFFFF"/>
            <w:tcMar>
              <w:top w:w="0" w:type="dxa"/>
              <w:left w:w="0" w:type="dxa"/>
              <w:bottom w:w="0" w:type="dxa"/>
              <w:right w:w="0" w:type="dxa"/>
            </w:tcMar>
            <w:vAlign w:val="center"/>
          </w:tcPr>
          <w:p w14:paraId="7F37F116">
            <w:pPr>
              <w:pStyle w:val="30"/>
              <w:bidi w:val="0"/>
              <w:rPr>
                <w:color w:val="auto"/>
                <w:highlight w:val="none"/>
              </w:rPr>
            </w:pPr>
            <w:r>
              <w:rPr>
                <w:color w:val="auto"/>
                <w:highlight w:val="none"/>
              </w:rPr>
              <w:t>80</w:t>
            </w:r>
          </w:p>
        </w:tc>
        <w:tc>
          <w:tcPr>
            <w:tcW w:w="198" w:type="pct"/>
            <w:vMerge w:val="continue"/>
            <w:shd w:val="clear" w:color="auto" w:fill="FFFFFF"/>
            <w:tcMar>
              <w:top w:w="0" w:type="dxa"/>
              <w:left w:w="0" w:type="dxa"/>
              <w:bottom w:w="0" w:type="dxa"/>
              <w:right w:w="0" w:type="dxa"/>
            </w:tcMar>
            <w:vAlign w:val="center"/>
          </w:tcPr>
          <w:p w14:paraId="44808342">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18AF52B7">
            <w:pPr>
              <w:pStyle w:val="30"/>
              <w:bidi w:val="0"/>
              <w:rPr>
                <w:color w:val="auto"/>
                <w:highlight w:val="none"/>
              </w:rPr>
            </w:pPr>
            <w:r>
              <w:rPr>
                <w:color w:val="auto"/>
                <w:highlight w:val="none"/>
              </w:rPr>
              <w:t>7.3</w:t>
            </w:r>
          </w:p>
        </w:tc>
        <w:tc>
          <w:tcPr>
            <w:tcW w:w="219" w:type="pct"/>
            <w:shd w:val="clear" w:color="auto" w:fill="FFFFFF"/>
            <w:tcMar>
              <w:top w:w="0" w:type="dxa"/>
              <w:left w:w="0" w:type="dxa"/>
              <w:bottom w:w="0" w:type="dxa"/>
              <w:right w:w="0" w:type="dxa"/>
            </w:tcMar>
            <w:vAlign w:val="center"/>
          </w:tcPr>
          <w:p w14:paraId="1BE0007E">
            <w:pPr>
              <w:pStyle w:val="30"/>
              <w:bidi w:val="0"/>
              <w:rPr>
                <w:color w:val="auto"/>
                <w:highlight w:val="none"/>
              </w:rPr>
            </w:pPr>
            <w:r>
              <w:rPr>
                <w:color w:val="auto"/>
                <w:highlight w:val="none"/>
              </w:rPr>
              <w:t>1.8</w:t>
            </w:r>
          </w:p>
        </w:tc>
        <w:tc>
          <w:tcPr>
            <w:tcW w:w="223" w:type="pct"/>
            <w:shd w:val="clear" w:color="auto" w:fill="FFFFFF"/>
            <w:tcMar>
              <w:top w:w="0" w:type="dxa"/>
              <w:left w:w="0" w:type="dxa"/>
              <w:bottom w:w="0" w:type="dxa"/>
              <w:right w:w="0" w:type="dxa"/>
            </w:tcMar>
            <w:vAlign w:val="center"/>
          </w:tcPr>
          <w:p w14:paraId="5C1A8BBE">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36134784">
            <w:pPr>
              <w:pStyle w:val="30"/>
              <w:bidi w:val="0"/>
              <w:rPr>
                <w:color w:val="auto"/>
                <w:highlight w:val="none"/>
              </w:rPr>
            </w:pPr>
            <w:r>
              <w:rPr>
                <w:color w:val="auto"/>
                <w:highlight w:val="none"/>
              </w:rPr>
              <w:t>79.3</w:t>
            </w:r>
          </w:p>
        </w:tc>
        <w:tc>
          <w:tcPr>
            <w:tcW w:w="182" w:type="pct"/>
            <w:shd w:val="clear" w:color="auto" w:fill="FFFFFF"/>
            <w:tcMar>
              <w:top w:w="0" w:type="dxa"/>
              <w:left w:w="0" w:type="dxa"/>
              <w:bottom w:w="0" w:type="dxa"/>
              <w:right w:w="0" w:type="dxa"/>
            </w:tcMar>
            <w:vAlign w:val="center"/>
          </w:tcPr>
          <w:p w14:paraId="5C907D0A">
            <w:pPr>
              <w:pStyle w:val="30"/>
              <w:bidi w:val="0"/>
              <w:rPr>
                <w:color w:val="auto"/>
                <w:highlight w:val="none"/>
              </w:rPr>
            </w:pPr>
            <w:r>
              <w:rPr>
                <w:color w:val="auto"/>
                <w:highlight w:val="none"/>
              </w:rPr>
              <w:t>20.0</w:t>
            </w:r>
          </w:p>
        </w:tc>
        <w:tc>
          <w:tcPr>
            <w:tcW w:w="182" w:type="pct"/>
            <w:shd w:val="clear" w:color="auto" w:fill="FFFFFF"/>
            <w:tcMar>
              <w:top w:w="0" w:type="dxa"/>
              <w:left w:w="0" w:type="dxa"/>
              <w:bottom w:w="0" w:type="dxa"/>
              <w:right w:w="0" w:type="dxa"/>
            </w:tcMar>
            <w:vAlign w:val="center"/>
          </w:tcPr>
          <w:p w14:paraId="193D4701">
            <w:pPr>
              <w:pStyle w:val="30"/>
              <w:bidi w:val="0"/>
              <w:rPr>
                <w:color w:val="auto"/>
                <w:highlight w:val="none"/>
              </w:rPr>
            </w:pPr>
            <w:r>
              <w:rPr>
                <w:color w:val="auto"/>
                <w:highlight w:val="none"/>
              </w:rPr>
              <w:t>10.2</w:t>
            </w:r>
          </w:p>
        </w:tc>
        <w:tc>
          <w:tcPr>
            <w:tcW w:w="189" w:type="pct"/>
            <w:shd w:val="clear" w:color="auto" w:fill="FFFFFF"/>
            <w:tcMar>
              <w:top w:w="0" w:type="dxa"/>
              <w:left w:w="0" w:type="dxa"/>
              <w:bottom w:w="0" w:type="dxa"/>
              <w:right w:w="0" w:type="dxa"/>
            </w:tcMar>
            <w:vAlign w:val="center"/>
          </w:tcPr>
          <w:p w14:paraId="19E95380">
            <w:pPr>
              <w:pStyle w:val="30"/>
              <w:bidi w:val="0"/>
              <w:rPr>
                <w:color w:val="auto"/>
                <w:highlight w:val="none"/>
              </w:rPr>
            </w:pPr>
            <w:r>
              <w:rPr>
                <w:color w:val="auto"/>
                <w:highlight w:val="none"/>
              </w:rPr>
              <w:t>31.9</w:t>
            </w:r>
          </w:p>
        </w:tc>
        <w:tc>
          <w:tcPr>
            <w:tcW w:w="180" w:type="pct"/>
            <w:shd w:val="clear" w:color="auto" w:fill="FFFFFF"/>
            <w:tcMar>
              <w:top w:w="0" w:type="dxa"/>
              <w:left w:w="0" w:type="dxa"/>
              <w:bottom w:w="0" w:type="dxa"/>
              <w:right w:w="0" w:type="dxa"/>
            </w:tcMar>
            <w:vAlign w:val="center"/>
          </w:tcPr>
          <w:p w14:paraId="204430AD">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101EF44B">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753A5785">
            <w:pPr>
              <w:pStyle w:val="30"/>
              <w:bidi w:val="0"/>
              <w:rPr>
                <w:color w:val="auto"/>
                <w:highlight w:val="none"/>
              </w:rPr>
            </w:pPr>
            <w:r>
              <w:rPr>
                <w:color w:val="auto"/>
                <w:highlight w:val="none"/>
              </w:rPr>
              <w:t>63.3</w:t>
            </w:r>
          </w:p>
        </w:tc>
        <w:tc>
          <w:tcPr>
            <w:tcW w:w="184" w:type="pct"/>
            <w:shd w:val="clear" w:color="auto" w:fill="FFFFFF"/>
            <w:tcMar>
              <w:top w:w="0" w:type="dxa"/>
              <w:left w:w="0" w:type="dxa"/>
              <w:bottom w:w="0" w:type="dxa"/>
              <w:right w:w="0" w:type="dxa"/>
            </w:tcMar>
            <w:vAlign w:val="center"/>
          </w:tcPr>
          <w:p w14:paraId="1B078FA9">
            <w:pPr>
              <w:pStyle w:val="30"/>
              <w:bidi w:val="0"/>
              <w:rPr>
                <w:color w:val="auto"/>
                <w:highlight w:val="none"/>
              </w:rPr>
            </w:pPr>
            <w:r>
              <w:rPr>
                <w:color w:val="auto"/>
                <w:highlight w:val="none"/>
              </w:rPr>
              <w:t>63.2</w:t>
            </w:r>
          </w:p>
        </w:tc>
        <w:tc>
          <w:tcPr>
            <w:tcW w:w="156" w:type="pct"/>
            <w:shd w:val="clear" w:color="auto" w:fill="FFFFFF"/>
            <w:tcMar>
              <w:top w:w="0" w:type="dxa"/>
              <w:left w:w="0" w:type="dxa"/>
              <w:bottom w:w="0" w:type="dxa"/>
              <w:right w:w="0" w:type="dxa"/>
            </w:tcMar>
            <w:vAlign w:val="center"/>
          </w:tcPr>
          <w:p w14:paraId="15629767">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6552796E">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B16AA91">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D79FBE2">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289FCA08">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4BB6007D">
            <w:pPr>
              <w:pStyle w:val="30"/>
              <w:bidi w:val="0"/>
              <w:rPr>
                <w:color w:val="auto"/>
                <w:highlight w:val="none"/>
              </w:rPr>
            </w:pPr>
            <w:r>
              <w:rPr>
                <w:color w:val="auto"/>
                <w:highlight w:val="none"/>
              </w:rPr>
              <w:t>37.2</w:t>
            </w:r>
          </w:p>
        </w:tc>
        <w:tc>
          <w:tcPr>
            <w:tcW w:w="185" w:type="pct"/>
            <w:shd w:val="clear" w:color="auto" w:fill="FFFFFF"/>
            <w:tcMar>
              <w:top w:w="0" w:type="dxa"/>
              <w:left w:w="0" w:type="dxa"/>
              <w:bottom w:w="0" w:type="dxa"/>
              <w:right w:w="0" w:type="dxa"/>
            </w:tcMar>
            <w:vAlign w:val="center"/>
          </w:tcPr>
          <w:p w14:paraId="14DC3DAC">
            <w:pPr>
              <w:pStyle w:val="30"/>
              <w:bidi w:val="0"/>
              <w:rPr>
                <w:color w:val="auto"/>
                <w:highlight w:val="none"/>
              </w:rPr>
            </w:pPr>
            <w:r>
              <w:rPr>
                <w:color w:val="auto"/>
                <w:highlight w:val="none"/>
              </w:rPr>
              <w:t>37.2</w:t>
            </w:r>
          </w:p>
        </w:tc>
        <w:tc>
          <w:tcPr>
            <w:tcW w:w="186" w:type="pct"/>
            <w:shd w:val="clear" w:color="auto" w:fill="FFFFFF"/>
            <w:tcMar>
              <w:top w:w="0" w:type="dxa"/>
              <w:left w:w="0" w:type="dxa"/>
              <w:bottom w:w="0" w:type="dxa"/>
              <w:right w:w="0" w:type="dxa"/>
            </w:tcMar>
            <w:vAlign w:val="center"/>
          </w:tcPr>
          <w:p w14:paraId="0903ECB6">
            <w:pPr>
              <w:pStyle w:val="30"/>
              <w:bidi w:val="0"/>
              <w:rPr>
                <w:color w:val="auto"/>
                <w:highlight w:val="none"/>
              </w:rPr>
            </w:pPr>
            <w:r>
              <w:rPr>
                <w:color w:val="auto"/>
                <w:highlight w:val="none"/>
              </w:rPr>
              <w:t>37.3</w:t>
            </w:r>
          </w:p>
        </w:tc>
        <w:tc>
          <w:tcPr>
            <w:tcW w:w="186" w:type="pct"/>
            <w:shd w:val="clear" w:color="auto" w:fill="FFFFFF"/>
            <w:tcMar>
              <w:top w:w="0" w:type="dxa"/>
              <w:left w:w="0" w:type="dxa"/>
              <w:bottom w:w="0" w:type="dxa"/>
              <w:right w:w="0" w:type="dxa"/>
            </w:tcMar>
            <w:vAlign w:val="center"/>
          </w:tcPr>
          <w:p w14:paraId="7F7CAB5F">
            <w:pPr>
              <w:pStyle w:val="30"/>
              <w:bidi w:val="0"/>
              <w:rPr>
                <w:color w:val="auto"/>
                <w:highlight w:val="none"/>
              </w:rPr>
            </w:pPr>
            <w:r>
              <w:rPr>
                <w:color w:val="auto"/>
                <w:highlight w:val="none"/>
              </w:rPr>
              <w:t>37.2</w:t>
            </w:r>
          </w:p>
        </w:tc>
        <w:tc>
          <w:tcPr>
            <w:tcW w:w="261" w:type="pct"/>
            <w:shd w:val="clear" w:color="auto" w:fill="FFFFFF"/>
            <w:tcMar>
              <w:top w:w="0" w:type="dxa"/>
              <w:left w:w="0" w:type="dxa"/>
              <w:bottom w:w="0" w:type="dxa"/>
              <w:right w:w="0" w:type="dxa"/>
            </w:tcMar>
            <w:vAlign w:val="center"/>
          </w:tcPr>
          <w:p w14:paraId="0F7CFA68">
            <w:pPr>
              <w:pStyle w:val="30"/>
              <w:bidi w:val="0"/>
              <w:rPr>
                <w:color w:val="auto"/>
                <w:highlight w:val="none"/>
              </w:rPr>
            </w:pPr>
            <w:r>
              <w:rPr>
                <w:color w:val="auto"/>
                <w:highlight w:val="none"/>
              </w:rPr>
              <w:t>1</w:t>
            </w:r>
          </w:p>
        </w:tc>
      </w:tr>
      <w:tr w14:paraId="6FD1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7F1C003B">
            <w:pPr>
              <w:pStyle w:val="30"/>
              <w:bidi w:val="0"/>
              <w:rPr>
                <w:color w:val="auto"/>
                <w:highlight w:val="none"/>
              </w:rPr>
            </w:pPr>
            <w:r>
              <w:rPr>
                <w:color w:val="auto"/>
                <w:highlight w:val="none"/>
              </w:rPr>
              <w:t>11</w:t>
            </w:r>
          </w:p>
        </w:tc>
        <w:tc>
          <w:tcPr>
            <w:tcW w:w="161" w:type="pct"/>
            <w:vMerge w:val="continue"/>
            <w:shd w:val="clear" w:color="auto" w:fill="FFFFFF"/>
            <w:tcMar>
              <w:top w:w="0" w:type="dxa"/>
              <w:left w:w="0" w:type="dxa"/>
              <w:bottom w:w="0" w:type="dxa"/>
              <w:right w:w="0" w:type="dxa"/>
            </w:tcMar>
            <w:vAlign w:val="center"/>
          </w:tcPr>
          <w:p w14:paraId="65A650DC">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4493732B">
            <w:pPr>
              <w:pStyle w:val="30"/>
              <w:bidi w:val="0"/>
              <w:rPr>
                <w:color w:val="auto"/>
                <w:highlight w:val="none"/>
              </w:rPr>
            </w:pPr>
            <w:r>
              <w:rPr>
                <w:color w:val="auto"/>
                <w:highlight w:val="none"/>
              </w:rPr>
              <w:t>二氧化碳保护焊机1</w:t>
            </w:r>
          </w:p>
        </w:tc>
        <w:tc>
          <w:tcPr>
            <w:tcW w:w="234" w:type="pct"/>
            <w:shd w:val="clear" w:color="auto" w:fill="FFFFFF"/>
            <w:tcMar>
              <w:top w:w="0" w:type="dxa"/>
              <w:left w:w="0" w:type="dxa"/>
              <w:bottom w:w="0" w:type="dxa"/>
              <w:right w:w="0" w:type="dxa"/>
            </w:tcMar>
            <w:vAlign w:val="center"/>
          </w:tcPr>
          <w:p w14:paraId="051338FE">
            <w:pPr>
              <w:pStyle w:val="30"/>
              <w:bidi w:val="0"/>
              <w:rPr>
                <w:color w:val="auto"/>
                <w:highlight w:val="none"/>
              </w:rPr>
            </w:pPr>
            <w:r>
              <w:rPr>
                <w:color w:val="auto"/>
                <w:highlight w:val="none"/>
              </w:rPr>
              <w:t>80</w:t>
            </w:r>
          </w:p>
        </w:tc>
        <w:tc>
          <w:tcPr>
            <w:tcW w:w="198" w:type="pct"/>
            <w:vMerge w:val="continue"/>
            <w:shd w:val="clear" w:color="auto" w:fill="FFFFFF"/>
            <w:tcMar>
              <w:top w:w="0" w:type="dxa"/>
              <w:left w:w="0" w:type="dxa"/>
              <w:bottom w:w="0" w:type="dxa"/>
              <w:right w:w="0" w:type="dxa"/>
            </w:tcMar>
            <w:vAlign w:val="center"/>
          </w:tcPr>
          <w:p w14:paraId="7AC036F2">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72EC6BDB">
            <w:pPr>
              <w:pStyle w:val="30"/>
              <w:bidi w:val="0"/>
              <w:rPr>
                <w:color w:val="auto"/>
                <w:highlight w:val="none"/>
              </w:rPr>
            </w:pPr>
            <w:r>
              <w:rPr>
                <w:color w:val="auto"/>
                <w:highlight w:val="none"/>
              </w:rPr>
              <w:t>64.6</w:t>
            </w:r>
          </w:p>
        </w:tc>
        <w:tc>
          <w:tcPr>
            <w:tcW w:w="219" w:type="pct"/>
            <w:shd w:val="clear" w:color="auto" w:fill="FFFFFF"/>
            <w:tcMar>
              <w:top w:w="0" w:type="dxa"/>
              <w:left w:w="0" w:type="dxa"/>
              <w:bottom w:w="0" w:type="dxa"/>
              <w:right w:w="0" w:type="dxa"/>
            </w:tcMar>
            <w:vAlign w:val="center"/>
          </w:tcPr>
          <w:p w14:paraId="09CC79AD">
            <w:pPr>
              <w:pStyle w:val="30"/>
              <w:bidi w:val="0"/>
              <w:rPr>
                <w:color w:val="auto"/>
                <w:highlight w:val="none"/>
              </w:rPr>
            </w:pPr>
            <w:r>
              <w:rPr>
                <w:color w:val="auto"/>
                <w:highlight w:val="none"/>
              </w:rPr>
              <w:t>-16.3</w:t>
            </w:r>
          </w:p>
        </w:tc>
        <w:tc>
          <w:tcPr>
            <w:tcW w:w="223" w:type="pct"/>
            <w:shd w:val="clear" w:color="auto" w:fill="FFFFFF"/>
            <w:tcMar>
              <w:top w:w="0" w:type="dxa"/>
              <w:left w:w="0" w:type="dxa"/>
              <w:bottom w:w="0" w:type="dxa"/>
              <w:right w:w="0" w:type="dxa"/>
            </w:tcMar>
            <w:vAlign w:val="center"/>
          </w:tcPr>
          <w:p w14:paraId="13EF7A6E">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4D54BEE9">
            <w:pPr>
              <w:pStyle w:val="30"/>
              <w:bidi w:val="0"/>
              <w:rPr>
                <w:color w:val="auto"/>
                <w:highlight w:val="none"/>
              </w:rPr>
            </w:pPr>
            <w:r>
              <w:rPr>
                <w:color w:val="auto"/>
                <w:highlight w:val="none"/>
              </w:rPr>
              <w:t>19.2</w:t>
            </w:r>
          </w:p>
        </w:tc>
        <w:tc>
          <w:tcPr>
            <w:tcW w:w="182" w:type="pct"/>
            <w:shd w:val="clear" w:color="auto" w:fill="FFFFFF"/>
            <w:tcMar>
              <w:top w:w="0" w:type="dxa"/>
              <w:left w:w="0" w:type="dxa"/>
              <w:bottom w:w="0" w:type="dxa"/>
              <w:right w:w="0" w:type="dxa"/>
            </w:tcMar>
            <w:vAlign w:val="center"/>
          </w:tcPr>
          <w:p w14:paraId="62D291EC">
            <w:pPr>
              <w:pStyle w:val="30"/>
              <w:bidi w:val="0"/>
              <w:rPr>
                <w:color w:val="auto"/>
                <w:highlight w:val="none"/>
              </w:rPr>
            </w:pPr>
            <w:r>
              <w:rPr>
                <w:color w:val="auto"/>
                <w:highlight w:val="none"/>
              </w:rPr>
              <w:t>20.2</w:t>
            </w:r>
          </w:p>
        </w:tc>
        <w:tc>
          <w:tcPr>
            <w:tcW w:w="182" w:type="pct"/>
            <w:shd w:val="clear" w:color="auto" w:fill="FFFFFF"/>
            <w:tcMar>
              <w:top w:w="0" w:type="dxa"/>
              <w:left w:w="0" w:type="dxa"/>
              <w:bottom w:w="0" w:type="dxa"/>
              <w:right w:w="0" w:type="dxa"/>
            </w:tcMar>
            <w:vAlign w:val="center"/>
          </w:tcPr>
          <w:p w14:paraId="61DBDFF8">
            <w:pPr>
              <w:pStyle w:val="30"/>
              <w:bidi w:val="0"/>
              <w:rPr>
                <w:color w:val="auto"/>
                <w:highlight w:val="none"/>
              </w:rPr>
            </w:pPr>
            <w:r>
              <w:rPr>
                <w:color w:val="auto"/>
                <w:highlight w:val="none"/>
              </w:rPr>
              <w:t>70.2</w:t>
            </w:r>
          </w:p>
        </w:tc>
        <w:tc>
          <w:tcPr>
            <w:tcW w:w="189" w:type="pct"/>
            <w:shd w:val="clear" w:color="auto" w:fill="FFFFFF"/>
            <w:tcMar>
              <w:top w:w="0" w:type="dxa"/>
              <w:left w:w="0" w:type="dxa"/>
              <w:bottom w:w="0" w:type="dxa"/>
              <w:right w:w="0" w:type="dxa"/>
            </w:tcMar>
            <w:vAlign w:val="center"/>
          </w:tcPr>
          <w:p w14:paraId="396BCC72">
            <w:pPr>
              <w:pStyle w:val="30"/>
              <w:bidi w:val="0"/>
              <w:rPr>
                <w:color w:val="auto"/>
                <w:highlight w:val="none"/>
              </w:rPr>
            </w:pPr>
            <w:r>
              <w:rPr>
                <w:color w:val="auto"/>
                <w:highlight w:val="none"/>
              </w:rPr>
              <w:t>32.6</w:t>
            </w:r>
          </w:p>
        </w:tc>
        <w:tc>
          <w:tcPr>
            <w:tcW w:w="180" w:type="pct"/>
            <w:shd w:val="clear" w:color="auto" w:fill="FFFFFF"/>
            <w:tcMar>
              <w:top w:w="0" w:type="dxa"/>
              <w:left w:w="0" w:type="dxa"/>
              <w:bottom w:w="0" w:type="dxa"/>
              <w:right w:w="0" w:type="dxa"/>
            </w:tcMar>
            <w:vAlign w:val="center"/>
          </w:tcPr>
          <w:p w14:paraId="0D614C5B">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746989C3">
            <w:pPr>
              <w:pStyle w:val="30"/>
              <w:bidi w:val="0"/>
              <w:rPr>
                <w:color w:val="auto"/>
                <w:highlight w:val="none"/>
              </w:rPr>
            </w:pPr>
            <w:r>
              <w:rPr>
                <w:color w:val="auto"/>
                <w:highlight w:val="none"/>
              </w:rPr>
              <w:t>63.2</w:t>
            </w:r>
          </w:p>
        </w:tc>
        <w:tc>
          <w:tcPr>
            <w:tcW w:w="180" w:type="pct"/>
            <w:shd w:val="clear" w:color="auto" w:fill="FFFFFF"/>
            <w:tcMar>
              <w:top w:w="0" w:type="dxa"/>
              <w:left w:w="0" w:type="dxa"/>
              <w:bottom w:w="0" w:type="dxa"/>
              <w:right w:w="0" w:type="dxa"/>
            </w:tcMar>
            <w:vAlign w:val="center"/>
          </w:tcPr>
          <w:p w14:paraId="4546FFBC">
            <w:pPr>
              <w:pStyle w:val="30"/>
              <w:bidi w:val="0"/>
              <w:rPr>
                <w:color w:val="auto"/>
                <w:highlight w:val="none"/>
              </w:rPr>
            </w:pPr>
            <w:r>
              <w:rPr>
                <w:color w:val="auto"/>
                <w:highlight w:val="none"/>
              </w:rPr>
              <w:t>63.2</w:t>
            </w:r>
          </w:p>
        </w:tc>
        <w:tc>
          <w:tcPr>
            <w:tcW w:w="184" w:type="pct"/>
            <w:shd w:val="clear" w:color="auto" w:fill="FFFFFF"/>
            <w:tcMar>
              <w:top w:w="0" w:type="dxa"/>
              <w:left w:w="0" w:type="dxa"/>
              <w:bottom w:w="0" w:type="dxa"/>
              <w:right w:w="0" w:type="dxa"/>
            </w:tcMar>
            <w:vAlign w:val="center"/>
          </w:tcPr>
          <w:p w14:paraId="7460F126">
            <w:pPr>
              <w:pStyle w:val="30"/>
              <w:bidi w:val="0"/>
              <w:rPr>
                <w:color w:val="auto"/>
                <w:highlight w:val="none"/>
              </w:rPr>
            </w:pPr>
            <w:r>
              <w:rPr>
                <w:color w:val="auto"/>
                <w:highlight w:val="none"/>
              </w:rPr>
              <w:t>63.2</w:t>
            </w:r>
          </w:p>
        </w:tc>
        <w:tc>
          <w:tcPr>
            <w:tcW w:w="156" w:type="pct"/>
            <w:shd w:val="clear" w:color="auto" w:fill="FFFFFF"/>
            <w:tcMar>
              <w:top w:w="0" w:type="dxa"/>
              <w:left w:w="0" w:type="dxa"/>
              <w:bottom w:w="0" w:type="dxa"/>
              <w:right w:w="0" w:type="dxa"/>
            </w:tcMar>
            <w:vAlign w:val="center"/>
          </w:tcPr>
          <w:p w14:paraId="2F9730F3">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414A4DE7">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50D81C10">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4655DCBE">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AC6516A">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42EF4506">
            <w:pPr>
              <w:pStyle w:val="30"/>
              <w:bidi w:val="0"/>
              <w:rPr>
                <w:color w:val="auto"/>
                <w:highlight w:val="none"/>
              </w:rPr>
            </w:pPr>
            <w:r>
              <w:rPr>
                <w:color w:val="auto"/>
                <w:highlight w:val="none"/>
              </w:rPr>
              <w:t>37.2</w:t>
            </w:r>
          </w:p>
        </w:tc>
        <w:tc>
          <w:tcPr>
            <w:tcW w:w="185" w:type="pct"/>
            <w:shd w:val="clear" w:color="auto" w:fill="FFFFFF"/>
            <w:tcMar>
              <w:top w:w="0" w:type="dxa"/>
              <w:left w:w="0" w:type="dxa"/>
              <w:bottom w:w="0" w:type="dxa"/>
              <w:right w:w="0" w:type="dxa"/>
            </w:tcMar>
            <w:vAlign w:val="center"/>
          </w:tcPr>
          <w:p w14:paraId="62EF5B51">
            <w:pPr>
              <w:pStyle w:val="30"/>
              <w:bidi w:val="0"/>
              <w:rPr>
                <w:color w:val="auto"/>
                <w:highlight w:val="none"/>
              </w:rPr>
            </w:pPr>
            <w:r>
              <w:rPr>
                <w:color w:val="auto"/>
                <w:highlight w:val="none"/>
              </w:rPr>
              <w:t>37.2</w:t>
            </w:r>
          </w:p>
        </w:tc>
        <w:tc>
          <w:tcPr>
            <w:tcW w:w="186" w:type="pct"/>
            <w:shd w:val="clear" w:color="auto" w:fill="FFFFFF"/>
            <w:tcMar>
              <w:top w:w="0" w:type="dxa"/>
              <w:left w:w="0" w:type="dxa"/>
              <w:bottom w:w="0" w:type="dxa"/>
              <w:right w:w="0" w:type="dxa"/>
            </w:tcMar>
            <w:vAlign w:val="center"/>
          </w:tcPr>
          <w:p w14:paraId="37C93A2F">
            <w:pPr>
              <w:pStyle w:val="30"/>
              <w:bidi w:val="0"/>
              <w:rPr>
                <w:color w:val="auto"/>
                <w:highlight w:val="none"/>
              </w:rPr>
            </w:pPr>
            <w:r>
              <w:rPr>
                <w:color w:val="auto"/>
                <w:highlight w:val="none"/>
              </w:rPr>
              <w:t>37.2</w:t>
            </w:r>
          </w:p>
        </w:tc>
        <w:tc>
          <w:tcPr>
            <w:tcW w:w="186" w:type="pct"/>
            <w:shd w:val="clear" w:color="auto" w:fill="FFFFFF"/>
            <w:tcMar>
              <w:top w:w="0" w:type="dxa"/>
              <w:left w:w="0" w:type="dxa"/>
              <w:bottom w:w="0" w:type="dxa"/>
              <w:right w:w="0" w:type="dxa"/>
            </w:tcMar>
            <w:vAlign w:val="center"/>
          </w:tcPr>
          <w:p w14:paraId="42ABF18D">
            <w:pPr>
              <w:pStyle w:val="30"/>
              <w:bidi w:val="0"/>
              <w:rPr>
                <w:color w:val="auto"/>
                <w:highlight w:val="none"/>
              </w:rPr>
            </w:pPr>
            <w:r>
              <w:rPr>
                <w:color w:val="auto"/>
                <w:highlight w:val="none"/>
              </w:rPr>
              <w:t>37.2</w:t>
            </w:r>
          </w:p>
        </w:tc>
        <w:tc>
          <w:tcPr>
            <w:tcW w:w="261" w:type="pct"/>
            <w:shd w:val="clear" w:color="auto" w:fill="FFFFFF"/>
            <w:tcMar>
              <w:top w:w="0" w:type="dxa"/>
              <w:left w:w="0" w:type="dxa"/>
              <w:bottom w:w="0" w:type="dxa"/>
              <w:right w:w="0" w:type="dxa"/>
            </w:tcMar>
            <w:vAlign w:val="center"/>
          </w:tcPr>
          <w:p w14:paraId="11086121">
            <w:pPr>
              <w:pStyle w:val="30"/>
              <w:bidi w:val="0"/>
              <w:rPr>
                <w:color w:val="auto"/>
                <w:highlight w:val="none"/>
              </w:rPr>
            </w:pPr>
            <w:r>
              <w:rPr>
                <w:color w:val="auto"/>
                <w:highlight w:val="none"/>
              </w:rPr>
              <w:t>1</w:t>
            </w:r>
          </w:p>
        </w:tc>
      </w:tr>
      <w:tr w14:paraId="06F1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380098AA">
            <w:pPr>
              <w:pStyle w:val="30"/>
              <w:bidi w:val="0"/>
              <w:rPr>
                <w:color w:val="auto"/>
                <w:highlight w:val="none"/>
              </w:rPr>
            </w:pPr>
            <w:r>
              <w:rPr>
                <w:color w:val="auto"/>
                <w:highlight w:val="none"/>
              </w:rPr>
              <w:t>12</w:t>
            </w:r>
          </w:p>
        </w:tc>
        <w:tc>
          <w:tcPr>
            <w:tcW w:w="161" w:type="pct"/>
            <w:vMerge w:val="continue"/>
            <w:shd w:val="clear" w:color="auto" w:fill="FFFFFF"/>
            <w:tcMar>
              <w:top w:w="0" w:type="dxa"/>
              <w:left w:w="0" w:type="dxa"/>
              <w:bottom w:w="0" w:type="dxa"/>
              <w:right w:w="0" w:type="dxa"/>
            </w:tcMar>
            <w:vAlign w:val="center"/>
          </w:tcPr>
          <w:p w14:paraId="09A88905">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5A31FD54">
            <w:pPr>
              <w:pStyle w:val="30"/>
              <w:bidi w:val="0"/>
              <w:rPr>
                <w:color w:val="auto"/>
                <w:highlight w:val="none"/>
              </w:rPr>
            </w:pPr>
            <w:r>
              <w:rPr>
                <w:color w:val="auto"/>
                <w:highlight w:val="none"/>
              </w:rPr>
              <w:t>车轮动平衡机2</w:t>
            </w:r>
          </w:p>
        </w:tc>
        <w:tc>
          <w:tcPr>
            <w:tcW w:w="234" w:type="pct"/>
            <w:shd w:val="clear" w:color="auto" w:fill="FFFFFF"/>
            <w:tcMar>
              <w:top w:w="0" w:type="dxa"/>
              <w:left w:w="0" w:type="dxa"/>
              <w:bottom w:w="0" w:type="dxa"/>
              <w:right w:w="0" w:type="dxa"/>
            </w:tcMar>
            <w:vAlign w:val="center"/>
          </w:tcPr>
          <w:p w14:paraId="4C259BBE">
            <w:pPr>
              <w:pStyle w:val="30"/>
              <w:bidi w:val="0"/>
              <w:rPr>
                <w:color w:val="auto"/>
                <w:highlight w:val="none"/>
              </w:rPr>
            </w:pPr>
            <w:r>
              <w:rPr>
                <w:color w:val="auto"/>
                <w:highlight w:val="none"/>
              </w:rPr>
              <w:t>70</w:t>
            </w:r>
          </w:p>
        </w:tc>
        <w:tc>
          <w:tcPr>
            <w:tcW w:w="198" w:type="pct"/>
            <w:vMerge w:val="continue"/>
            <w:shd w:val="clear" w:color="auto" w:fill="FFFFFF"/>
            <w:tcMar>
              <w:top w:w="0" w:type="dxa"/>
              <w:left w:w="0" w:type="dxa"/>
              <w:bottom w:w="0" w:type="dxa"/>
              <w:right w:w="0" w:type="dxa"/>
            </w:tcMar>
            <w:vAlign w:val="center"/>
          </w:tcPr>
          <w:p w14:paraId="46D6FB29">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04696444">
            <w:pPr>
              <w:pStyle w:val="30"/>
              <w:bidi w:val="0"/>
              <w:rPr>
                <w:color w:val="auto"/>
                <w:highlight w:val="none"/>
              </w:rPr>
            </w:pPr>
            <w:r>
              <w:rPr>
                <w:color w:val="auto"/>
                <w:highlight w:val="none"/>
              </w:rPr>
              <w:t>61.1</w:t>
            </w:r>
          </w:p>
        </w:tc>
        <w:tc>
          <w:tcPr>
            <w:tcW w:w="219" w:type="pct"/>
            <w:shd w:val="clear" w:color="auto" w:fill="FFFFFF"/>
            <w:tcMar>
              <w:top w:w="0" w:type="dxa"/>
              <w:left w:w="0" w:type="dxa"/>
              <w:bottom w:w="0" w:type="dxa"/>
              <w:right w:w="0" w:type="dxa"/>
            </w:tcMar>
            <w:vAlign w:val="center"/>
          </w:tcPr>
          <w:p w14:paraId="44691D86">
            <w:pPr>
              <w:pStyle w:val="30"/>
              <w:bidi w:val="0"/>
              <w:rPr>
                <w:color w:val="auto"/>
                <w:highlight w:val="none"/>
              </w:rPr>
            </w:pPr>
            <w:r>
              <w:rPr>
                <w:color w:val="auto"/>
                <w:highlight w:val="none"/>
              </w:rPr>
              <w:t>-6.7</w:t>
            </w:r>
          </w:p>
        </w:tc>
        <w:tc>
          <w:tcPr>
            <w:tcW w:w="223" w:type="pct"/>
            <w:shd w:val="clear" w:color="auto" w:fill="FFFFFF"/>
            <w:tcMar>
              <w:top w:w="0" w:type="dxa"/>
              <w:left w:w="0" w:type="dxa"/>
              <w:bottom w:w="0" w:type="dxa"/>
              <w:right w:w="0" w:type="dxa"/>
            </w:tcMar>
            <w:vAlign w:val="center"/>
          </w:tcPr>
          <w:p w14:paraId="4ADFC707">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7D83FDEA">
            <w:pPr>
              <w:pStyle w:val="30"/>
              <w:bidi w:val="0"/>
              <w:rPr>
                <w:color w:val="auto"/>
                <w:highlight w:val="none"/>
              </w:rPr>
            </w:pPr>
            <w:r>
              <w:rPr>
                <w:color w:val="auto"/>
                <w:highlight w:val="none"/>
              </w:rPr>
              <w:t>25.3</w:t>
            </w:r>
          </w:p>
        </w:tc>
        <w:tc>
          <w:tcPr>
            <w:tcW w:w="182" w:type="pct"/>
            <w:shd w:val="clear" w:color="auto" w:fill="FFFFFF"/>
            <w:tcMar>
              <w:top w:w="0" w:type="dxa"/>
              <w:left w:w="0" w:type="dxa"/>
              <w:bottom w:w="0" w:type="dxa"/>
              <w:right w:w="0" w:type="dxa"/>
            </w:tcMar>
            <w:vAlign w:val="center"/>
          </w:tcPr>
          <w:p w14:paraId="3AC29B80">
            <w:pPr>
              <w:pStyle w:val="30"/>
              <w:bidi w:val="0"/>
              <w:rPr>
                <w:color w:val="auto"/>
                <w:highlight w:val="none"/>
              </w:rPr>
            </w:pPr>
            <w:r>
              <w:rPr>
                <w:color w:val="auto"/>
                <w:highlight w:val="none"/>
              </w:rPr>
              <w:t>28.3</w:t>
            </w:r>
          </w:p>
        </w:tc>
        <w:tc>
          <w:tcPr>
            <w:tcW w:w="182" w:type="pct"/>
            <w:shd w:val="clear" w:color="auto" w:fill="FFFFFF"/>
            <w:tcMar>
              <w:top w:w="0" w:type="dxa"/>
              <w:left w:w="0" w:type="dxa"/>
              <w:bottom w:w="0" w:type="dxa"/>
              <w:right w:w="0" w:type="dxa"/>
            </w:tcMar>
            <w:vAlign w:val="center"/>
          </w:tcPr>
          <w:p w14:paraId="276134A3">
            <w:pPr>
              <w:pStyle w:val="30"/>
              <w:bidi w:val="0"/>
              <w:rPr>
                <w:color w:val="auto"/>
                <w:highlight w:val="none"/>
              </w:rPr>
            </w:pPr>
            <w:r>
              <w:rPr>
                <w:color w:val="auto"/>
                <w:highlight w:val="none"/>
              </w:rPr>
              <w:t>64.2</w:t>
            </w:r>
          </w:p>
        </w:tc>
        <w:tc>
          <w:tcPr>
            <w:tcW w:w="189" w:type="pct"/>
            <w:shd w:val="clear" w:color="auto" w:fill="FFFFFF"/>
            <w:tcMar>
              <w:top w:w="0" w:type="dxa"/>
              <w:left w:w="0" w:type="dxa"/>
              <w:bottom w:w="0" w:type="dxa"/>
              <w:right w:w="0" w:type="dxa"/>
            </w:tcMar>
            <w:vAlign w:val="center"/>
          </w:tcPr>
          <w:p w14:paraId="6A45A954">
            <w:pPr>
              <w:pStyle w:val="30"/>
              <w:bidi w:val="0"/>
              <w:rPr>
                <w:color w:val="auto"/>
                <w:highlight w:val="none"/>
              </w:rPr>
            </w:pPr>
            <w:r>
              <w:rPr>
                <w:color w:val="auto"/>
                <w:highlight w:val="none"/>
              </w:rPr>
              <w:t>24.4</w:t>
            </w:r>
          </w:p>
        </w:tc>
        <w:tc>
          <w:tcPr>
            <w:tcW w:w="180" w:type="pct"/>
            <w:shd w:val="clear" w:color="auto" w:fill="FFFFFF"/>
            <w:tcMar>
              <w:top w:w="0" w:type="dxa"/>
              <w:left w:w="0" w:type="dxa"/>
              <w:bottom w:w="0" w:type="dxa"/>
              <w:right w:w="0" w:type="dxa"/>
            </w:tcMar>
            <w:vAlign w:val="center"/>
          </w:tcPr>
          <w:p w14:paraId="40192FDA">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75FFABE5">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191C628A">
            <w:pPr>
              <w:pStyle w:val="30"/>
              <w:bidi w:val="0"/>
              <w:rPr>
                <w:color w:val="auto"/>
                <w:highlight w:val="none"/>
              </w:rPr>
            </w:pPr>
            <w:r>
              <w:rPr>
                <w:color w:val="auto"/>
                <w:highlight w:val="none"/>
              </w:rPr>
              <w:t>53.2</w:t>
            </w:r>
          </w:p>
        </w:tc>
        <w:tc>
          <w:tcPr>
            <w:tcW w:w="184" w:type="pct"/>
            <w:shd w:val="clear" w:color="auto" w:fill="FFFFFF"/>
            <w:tcMar>
              <w:top w:w="0" w:type="dxa"/>
              <w:left w:w="0" w:type="dxa"/>
              <w:bottom w:w="0" w:type="dxa"/>
              <w:right w:w="0" w:type="dxa"/>
            </w:tcMar>
            <w:vAlign w:val="center"/>
          </w:tcPr>
          <w:p w14:paraId="05ED27D8">
            <w:pPr>
              <w:pStyle w:val="30"/>
              <w:bidi w:val="0"/>
              <w:rPr>
                <w:color w:val="auto"/>
                <w:highlight w:val="none"/>
              </w:rPr>
            </w:pPr>
            <w:r>
              <w:rPr>
                <w:color w:val="auto"/>
                <w:highlight w:val="none"/>
              </w:rPr>
              <w:t>53.2</w:t>
            </w:r>
          </w:p>
        </w:tc>
        <w:tc>
          <w:tcPr>
            <w:tcW w:w="156" w:type="pct"/>
            <w:shd w:val="clear" w:color="auto" w:fill="FFFFFF"/>
            <w:tcMar>
              <w:top w:w="0" w:type="dxa"/>
              <w:left w:w="0" w:type="dxa"/>
              <w:bottom w:w="0" w:type="dxa"/>
              <w:right w:w="0" w:type="dxa"/>
            </w:tcMar>
            <w:vAlign w:val="center"/>
          </w:tcPr>
          <w:p w14:paraId="7F09F905">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5F2A44E4">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994F36C">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FA7007C">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4850C76F">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0FDBAB34">
            <w:pPr>
              <w:pStyle w:val="30"/>
              <w:bidi w:val="0"/>
              <w:rPr>
                <w:color w:val="auto"/>
                <w:highlight w:val="none"/>
              </w:rPr>
            </w:pPr>
            <w:r>
              <w:rPr>
                <w:color w:val="auto"/>
                <w:highlight w:val="none"/>
              </w:rPr>
              <w:t>27.2</w:t>
            </w:r>
          </w:p>
        </w:tc>
        <w:tc>
          <w:tcPr>
            <w:tcW w:w="185" w:type="pct"/>
            <w:shd w:val="clear" w:color="auto" w:fill="FFFFFF"/>
            <w:tcMar>
              <w:top w:w="0" w:type="dxa"/>
              <w:left w:w="0" w:type="dxa"/>
              <w:bottom w:w="0" w:type="dxa"/>
              <w:right w:w="0" w:type="dxa"/>
            </w:tcMar>
            <w:vAlign w:val="center"/>
          </w:tcPr>
          <w:p w14:paraId="16ACDABD">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656A07C3">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4386ED62">
            <w:pPr>
              <w:pStyle w:val="30"/>
              <w:bidi w:val="0"/>
              <w:rPr>
                <w:color w:val="auto"/>
                <w:highlight w:val="none"/>
              </w:rPr>
            </w:pPr>
            <w:r>
              <w:rPr>
                <w:color w:val="auto"/>
                <w:highlight w:val="none"/>
              </w:rPr>
              <w:t>27.2</w:t>
            </w:r>
          </w:p>
        </w:tc>
        <w:tc>
          <w:tcPr>
            <w:tcW w:w="261" w:type="pct"/>
            <w:shd w:val="clear" w:color="auto" w:fill="FFFFFF"/>
            <w:tcMar>
              <w:top w:w="0" w:type="dxa"/>
              <w:left w:w="0" w:type="dxa"/>
              <w:bottom w:w="0" w:type="dxa"/>
              <w:right w:w="0" w:type="dxa"/>
            </w:tcMar>
            <w:vAlign w:val="center"/>
          </w:tcPr>
          <w:p w14:paraId="458F4C5A">
            <w:pPr>
              <w:pStyle w:val="30"/>
              <w:bidi w:val="0"/>
              <w:rPr>
                <w:color w:val="auto"/>
                <w:highlight w:val="none"/>
              </w:rPr>
            </w:pPr>
            <w:r>
              <w:rPr>
                <w:color w:val="auto"/>
                <w:highlight w:val="none"/>
              </w:rPr>
              <w:t>1</w:t>
            </w:r>
          </w:p>
        </w:tc>
      </w:tr>
      <w:tr w14:paraId="51E8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77BCF1A6">
            <w:pPr>
              <w:pStyle w:val="30"/>
              <w:bidi w:val="0"/>
              <w:rPr>
                <w:color w:val="auto"/>
                <w:highlight w:val="none"/>
              </w:rPr>
            </w:pPr>
            <w:r>
              <w:rPr>
                <w:color w:val="auto"/>
                <w:highlight w:val="none"/>
              </w:rPr>
              <w:t>13</w:t>
            </w:r>
          </w:p>
        </w:tc>
        <w:tc>
          <w:tcPr>
            <w:tcW w:w="161" w:type="pct"/>
            <w:vMerge w:val="continue"/>
            <w:shd w:val="clear" w:color="auto" w:fill="FFFFFF"/>
            <w:tcMar>
              <w:top w:w="0" w:type="dxa"/>
              <w:left w:w="0" w:type="dxa"/>
              <w:bottom w:w="0" w:type="dxa"/>
              <w:right w:w="0" w:type="dxa"/>
            </w:tcMar>
            <w:vAlign w:val="center"/>
          </w:tcPr>
          <w:p w14:paraId="0ECB3AC8">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17EE48EA">
            <w:pPr>
              <w:pStyle w:val="30"/>
              <w:bidi w:val="0"/>
              <w:rPr>
                <w:color w:val="auto"/>
                <w:highlight w:val="none"/>
              </w:rPr>
            </w:pPr>
            <w:r>
              <w:rPr>
                <w:color w:val="auto"/>
                <w:highlight w:val="none"/>
              </w:rPr>
              <w:t>车轮动平衡机1</w:t>
            </w:r>
          </w:p>
        </w:tc>
        <w:tc>
          <w:tcPr>
            <w:tcW w:w="234" w:type="pct"/>
            <w:shd w:val="clear" w:color="auto" w:fill="FFFFFF"/>
            <w:tcMar>
              <w:top w:w="0" w:type="dxa"/>
              <w:left w:w="0" w:type="dxa"/>
              <w:bottom w:w="0" w:type="dxa"/>
              <w:right w:w="0" w:type="dxa"/>
            </w:tcMar>
            <w:vAlign w:val="center"/>
          </w:tcPr>
          <w:p w14:paraId="5803096A">
            <w:pPr>
              <w:pStyle w:val="30"/>
              <w:bidi w:val="0"/>
              <w:rPr>
                <w:color w:val="auto"/>
                <w:highlight w:val="none"/>
              </w:rPr>
            </w:pPr>
            <w:r>
              <w:rPr>
                <w:color w:val="auto"/>
                <w:highlight w:val="none"/>
              </w:rPr>
              <w:t>70</w:t>
            </w:r>
          </w:p>
        </w:tc>
        <w:tc>
          <w:tcPr>
            <w:tcW w:w="198" w:type="pct"/>
            <w:vMerge w:val="continue"/>
            <w:shd w:val="clear" w:color="auto" w:fill="FFFFFF"/>
            <w:tcMar>
              <w:top w:w="0" w:type="dxa"/>
              <w:left w:w="0" w:type="dxa"/>
              <w:bottom w:w="0" w:type="dxa"/>
              <w:right w:w="0" w:type="dxa"/>
            </w:tcMar>
            <w:vAlign w:val="center"/>
          </w:tcPr>
          <w:p w14:paraId="261EE730">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6E334690">
            <w:pPr>
              <w:pStyle w:val="30"/>
              <w:bidi w:val="0"/>
              <w:rPr>
                <w:color w:val="auto"/>
                <w:highlight w:val="none"/>
              </w:rPr>
            </w:pPr>
            <w:r>
              <w:rPr>
                <w:color w:val="auto"/>
                <w:highlight w:val="none"/>
              </w:rPr>
              <w:t>15.8</w:t>
            </w:r>
          </w:p>
        </w:tc>
        <w:tc>
          <w:tcPr>
            <w:tcW w:w="219" w:type="pct"/>
            <w:shd w:val="clear" w:color="auto" w:fill="FFFFFF"/>
            <w:tcMar>
              <w:top w:w="0" w:type="dxa"/>
              <w:left w:w="0" w:type="dxa"/>
              <w:bottom w:w="0" w:type="dxa"/>
              <w:right w:w="0" w:type="dxa"/>
            </w:tcMar>
            <w:vAlign w:val="center"/>
          </w:tcPr>
          <w:p w14:paraId="46E8B662">
            <w:pPr>
              <w:pStyle w:val="30"/>
              <w:bidi w:val="0"/>
              <w:rPr>
                <w:color w:val="auto"/>
                <w:highlight w:val="none"/>
              </w:rPr>
            </w:pPr>
            <w:r>
              <w:rPr>
                <w:color w:val="auto"/>
                <w:highlight w:val="none"/>
              </w:rPr>
              <w:t>6.5</w:t>
            </w:r>
          </w:p>
        </w:tc>
        <w:tc>
          <w:tcPr>
            <w:tcW w:w="223" w:type="pct"/>
            <w:shd w:val="clear" w:color="auto" w:fill="FFFFFF"/>
            <w:tcMar>
              <w:top w:w="0" w:type="dxa"/>
              <w:left w:w="0" w:type="dxa"/>
              <w:bottom w:w="0" w:type="dxa"/>
              <w:right w:w="0" w:type="dxa"/>
            </w:tcMar>
            <w:vAlign w:val="center"/>
          </w:tcPr>
          <w:p w14:paraId="69CE531A">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75EE8D19">
            <w:pPr>
              <w:pStyle w:val="30"/>
              <w:bidi w:val="0"/>
              <w:rPr>
                <w:color w:val="auto"/>
                <w:highlight w:val="none"/>
              </w:rPr>
            </w:pPr>
            <w:r>
              <w:rPr>
                <w:color w:val="auto"/>
                <w:highlight w:val="none"/>
              </w:rPr>
              <w:t>72.6</w:t>
            </w:r>
          </w:p>
        </w:tc>
        <w:tc>
          <w:tcPr>
            <w:tcW w:w="182" w:type="pct"/>
            <w:shd w:val="clear" w:color="auto" w:fill="FFFFFF"/>
            <w:tcMar>
              <w:top w:w="0" w:type="dxa"/>
              <w:left w:w="0" w:type="dxa"/>
              <w:bottom w:w="0" w:type="dxa"/>
              <w:right w:w="0" w:type="dxa"/>
            </w:tcMar>
            <w:vAlign w:val="center"/>
          </w:tcPr>
          <w:p w14:paraId="0EB41EDA">
            <w:pPr>
              <w:pStyle w:val="30"/>
              <w:bidi w:val="0"/>
              <w:rPr>
                <w:color w:val="auto"/>
                <w:highlight w:val="none"/>
              </w:rPr>
            </w:pPr>
            <w:r>
              <w:rPr>
                <w:color w:val="auto"/>
                <w:highlight w:val="none"/>
              </w:rPr>
              <w:t>27.1</w:t>
            </w:r>
          </w:p>
        </w:tc>
        <w:tc>
          <w:tcPr>
            <w:tcW w:w="182" w:type="pct"/>
            <w:shd w:val="clear" w:color="auto" w:fill="FFFFFF"/>
            <w:tcMar>
              <w:top w:w="0" w:type="dxa"/>
              <w:left w:w="0" w:type="dxa"/>
              <w:bottom w:w="0" w:type="dxa"/>
              <w:right w:w="0" w:type="dxa"/>
            </w:tcMar>
            <w:vAlign w:val="center"/>
          </w:tcPr>
          <w:p w14:paraId="6082D34B">
            <w:pPr>
              <w:pStyle w:val="30"/>
              <w:bidi w:val="0"/>
              <w:rPr>
                <w:color w:val="auto"/>
                <w:highlight w:val="none"/>
              </w:rPr>
            </w:pPr>
            <w:r>
              <w:rPr>
                <w:color w:val="auto"/>
                <w:highlight w:val="none"/>
              </w:rPr>
              <w:t>17.0</w:t>
            </w:r>
          </w:p>
        </w:tc>
        <w:tc>
          <w:tcPr>
            <w:tcW w:w="189" w:type="pct"/>
            <w:shd w:val="clear" w:color="auto" w:fill="FFFFFF"/>
            <w:tcMar>
              <w:top w:w="0" w:type="dxa"/>
              <w:left w:w="0" w:type="dxa"/>
              <w:bottom w:w="0" w:type="dxa"/>
              <w:right w:w="0" w:type="dxa"/>
            </w:tcMar>
            <w:vAlign w:val="center"/>
          </w:tcPr>
          <w:p w14:paraId="0682B8FD">
            <w:pPr>
              <w:pStyle w:val="30"/>
              <w:bidi w:val="0"/>
              <w:rPr>
                <w:color w:val="auto"/>
                <w:highlight w:val="none"/>
              </w:rPr>
            </w:pPr>
            <w:r>
              <w:rPr>
                <w:color w:val="auto"/>
                <w:highlight w:val="none"/>
              </w:rPr>
              <w:t>24.9</w:t>
            </w:r>
          </w:p>
        </w:tc>
        <w:tc>
          <w:tcPr>
            <w:tcW w:w="180" w:type="pct"/>
            <w:shd w:val="clear" w:color="auto" w:fill="FFFFFF"/>
            <w:tcMar>
              <w:top w:w="0" w:type="dxa"/>
              <w:left w:w="0" w:type="dxa"/>
              <w:bottom w:w="0" w:type="dxa"/>
              <w:right w:w="0" w:type="dxa"/>
            </w:tcMar>
            <w:vAlign w:val="center"/>
          </w:tcPr>
          <w:p w14:paraId="67B0727F">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4BE9FA75">
            <w:pPr>
              <w:pStyle w:val="30"/>
              <w:bidi w:val="0"/>
              <w:rPr>
                <w:color w:val="auto"/>
                <w:highlight w:val="none"/>
              </w:rPr>
            </w:pPr>
            <w:r>
              <w:rPr>
                <w:color w:val="auto"/>
                <w:highlight w:val="none"/>
              </w:rPr>
              <w:t>53.2</w:t>
            </w:r>
          </w:p>
        </w:tc>
        <w:tc>
          <w:tcPr>
            <w:tcW w:w="180" w:type="pct"/>
            <w:shd w:val="clear" w:color="auto" w:fill="FFFFFF"/>
            <w:tcMar>
              <w:top w:w="0" w:type="dxa"/>
              <w:left w:w="0" w:type="dxa"/>
              <w:bottom w:w="0" w:type="dxa"/>
              <w:right w:w="0" w:type="dxa"/>
            </w:tcMar>
            <w:vAlign w:val="center"/>
          </w:tcPr>
          <w:p w14:paraId="2D2B30F8">
            <w:pPr>
              <w:pStyle w:val="30"/>
              <w:bidi w:val="0"/>
              <w:rPr>
                <w:color w:val="auto"/>
                <w:highlight w:val="none"/>
              </w:rPr>
            </w:pPr>
            <w:r>
              <w:rPr>
                <w:color w:val="auto"/>
                <w:highlight w:val="none"/>
              </w:rPr>
              <w:t>53.2</w:t>
            </w:r>
          </w:p>
        </w:tc>
        <w:tc>
          <w:tcPr>
            <w:tcW w:w="184" w:type="pct"/>
            <w:shd w:val="clear" w:color="auto" w:fill="FFFFFF"/>
            <w:tcMar>
              <w:top w:w="0" w:type="dxa"/>
              <w:left w:w="0" w:type="dxa"/>
              <w:bottom w:w="0" w:type="dxa"/>
              <w:right w:w="0" w:type="dxa"/>
            </w:tcMar>
            <w:vAlign w:val="center"/>
          </w:tcPr>
          <w:p w14:paraId="7BBDDC13">
            <w:pPr>
              <w:pStyle w:val="30"/>
              <w:bidi w:val="0"/>
              <w:rPr>
                <w:color w:val="auto"/>
                <w:highlight w:val="none"/>
              </w:rPr>
            </w:pPr>
            <w:r>
              <w:rPr>
                <w:color w:val="auto"/>
                <w:highlight w:val="none"/>
              </w:rPr>
              <w:t>53.2</w:t>
            </w:r>
          </w:p>
        </w:tc>
        <w:tc>
          <w:tcPr>
            <w:tcW w:w="156" w:type="pct"/>
            <w:shd w:val="clear" w:color="auto" w:fill="FFFFFF"/>
            <w:tcMar>
              <w:top w:w="0" w:type="dxa"/>
              <w:left w:w="0" w:type="dxa"/>
              <w:bottom w:w="0" w:type="dxa"/>
              <w:right w:w="0" w:type="dxa"/>
            </w:tcMar>
            <w:vAlign w:val="center"/>
          </w:tcPr>
          <w:p w14:paraId="4D42558B">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1D97C794">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78086B68">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6E58A736">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8C42688">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15AFFB80">
            <w:pPr>
              <w:pStyle w:val="30"/>
              <w:bidi w:val="0"/>
              <w:rPr>
                <w:color w:val="auto"/>
                <w:highlight w:val="none"/>
              </w:rPr>
            </w:pPr>
            <w:r>
              <w:rPr>
                <w:color w:val="auto"/>
                <w:highlight w:val="none"/>
              </w:rPr>
              <w:t>27.2</w:t>
            </w:r>
          </w:p>
        </w:tc>
        <w:tc>
          <w:tcPr>
            <w:tcW w:w="185" w:type="pct"/>
            <w:shd w:val="clear" w:color="auto" w:fill="FFFFFF"/>
            <w:tcMar>
              <w:top w:w="0" w:type="dxa"/>
              <w:left w:w="0" w:type="dxa"/>
              <w:bottom w:w="0" w:type="dxa"/>
              <w:right w:w="0" w:type="dxa"/>
            </w:tcMar>
            <w:vAlign w:val="center"/>
          </w:tcPr>
          <w:p w14:paraId="1068F75B">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12A4635C">
            <w:pPr>
              <w:pStyle w:val="30"/>
              <w:bidi w:val="0"/>
              <w:rPr>
                <w:color w:val="auto"/>
                <w:highlight w:val="none"/>
              </w:rPr>
            </w:pPr>
            <w:r>
              <w:rPr>
                <w:color w:val="auto"/>
                <w:highlight w:val="none"/>
              </w:rPr>
              <w:t>27.2</w:t>
            </w:r>
          </w:p>
        </w:tc>
        <w:tc>
          <w:tcPr>
            <w:tcW w:w="186" w:type="pct"/>
            <w:shd w:val="clear" w:color="auto" w:fill="FFFFFF"/>
            <w:tcMar>
              <w:top w:w="0" w:type="dxa"/>
              <w:left w:w="0" w:type="dxa"/>
              <w:bottom w:w="0" w:type="dxa"/>
              <w:right w:w="0" w:type="dxa"/>
            </w:tcMar>
            <w:vAlign w:val="center"/>
          </w:tcPr>
          <w:p w14:paraId="1FB36BE4">
            <w:pPr>
              <w:pStyle w:val="30"/>
              <w:bidi w:val="0"/>
              <w:rPr>
                <w:color w:val="auto"/>
                <w:highlight w:val="none"/>
              </w:rPr>
            </w:pPr>
            <w:r>
              <w:rPr>
                <w:color w:val="auto"/>
                <w:highlight w:val="none"/>
              </w:rPr>
              <w:t>27.2</w:t>
            </w:r>
          </w:p>
        </w:tc>
        <w:tc>
          <w:tcPr>
            <w:tcW w:w="261" w:type="pct"/>
            <w:shd w:val="clear" w:color="auto" w:fill="FFFFFF"/>
            <w:tcMar>
              <w:top w:w="0" w:type="dxa"/>
              <w:left w:w="0" w:type="dxa"/>
              <w:bottom w:w="0" w:type="dxa"/>
              <w:right w:w="0" w:type="dxa"/>
            </w:tcMar>
            <w:vAlign w:val="center"/>
          </w:tcPr>
          <w:p w14:paraId="25C8C557">
            <w:pPr>
              <w:pStyle w:val="30"/>
              <w:bidi w:val="0"/>
              <w:rPr>
                <w:color w:val="auto"/>
                <w:highlight w:val="none"/>
              </w:rPr>
            </w:pPr>
            <w:r>
              <w:rPr>
                <w:color w:val="auto"/>
                <w:highlight w:val="none"/>
              </w:rPr>
              <w:t>1</w:t>
            </w:r>
          </w:p>
        </w:tc>
      </w:tr>
      <w:tr w14:paraId="5FA7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78D40592">
            <w:pPr>
              <w:pStyle w:val="30"/>
              <w:bidi w:val="0"/>
              <w:rPr>
                <w:color w:val="auto"/>
                <w:highlight w:val="none"/>
              </w:rPr>
            </w:pPr>
            <w:r>
              <w:rPr>
                <w:color w:val="auto"/>
                <w:highlight w:val="none"/>
              </w:rPr>
              <w:t>14</w:t>
            </w:r>
          </w:p>
        </w:tc>
        <w:tc>
          <w:tcPr>
            <w:tcW w:w="161" w:type="pct"/>
            <w:vMerge w:val="continue"/>
            <w:shd w:val="clear" w:color="auto" w:fill="FFFFFF"/>
            <w:tcMar>
              <w:top w:w="0" w:type="dxa"/>
              <w:left w:w="0" w:type="dxa"/>
              <w:bottom w:w="0" w:type="dxa"/>
              <w:right w:w="0" w:type="dxa"/>
            </w:tcMar>
            <w:vAlign w:val="center"/>
          </w:tcPr>
          <w:p w14:paraId="6E9EE0EA">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1E00E264">
            <w:pPr>
              <w:pStyle w:val="30"/>
              <w:bidi w:val="0"/>
              <w:rPr>
                <w:color w:val="auto"/>
                <w:highlight w:val="none"/>
              </w:rPr>
            </w:pPr>
            <w:r>
              <w:rPr>
                <w:color w:val="auto"/>
                <w:highlight w:val="none"/>
              </w:rPr>
              <w:t>空压机</w:t>
            </w:r>
          </w:p>
        </w:tc>
        <w:tc>
          <w:tcPr>
            <w:tcW w:w="234" w:type="pct"/>
            <w:shd w:val="clear" w:color="auto" w:fill="FFFFFF"/>
            <w:tcMar>
              <w:top w:w="0" w:type="dxa"/>
              <w:left w:w="0" w:type="dxa"/>
              <w:bottom w:w="0" w:type="dxa"/>
              <w:right w:w="0" w:type="dxa"/>
            </w:tcMar>
            <w:vAlign w:val="center"/>
          </w:tcPr>
          <w:p w14:paraId="2B12C218">
            <w:pPr>
              <w:pStyle w:val="30"/>
              <w:bidi w:val="0"/>
              <w:rPr>
                <w:color w:val="auto"/>
                <w:highlight w:val="none"/>
              </w:rPr>
            </w:pPr>
            <w:r>
              <w:rPr>
                <w:color w:val="auto"/>
                <w:highlight w:val="none"/>
              </w:rPr>
              <w:t>85</w:t>
            </w:r>
          </w:p>
        </w:tc>
        <w:tc>
          <w:tcPr>
            <w:tcW w:w="198" w:type="pct"/>
            <w:vMerge w:val="continue"/>
            <w:shd w:val="clear" w:color="auto" w:fill="FFFFFF"/>
            <w:tcMar>
              <w:top w:w="0" w:type="dxa"/>
              <w:left w:w="0" w:type="dxa"/>
              <w:bottom w:w="0" w:type="dxa"/>
              <w:right w:w="0" w:type="dxa"/>
            </w:tcMar>
            <w:vAlign w:val="center"/>
          </w:tcPr>
          <w:p w14:paraId="49D96270">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45BCE3D8">
            <w:pPr>
              <w:pStyle w:val="30"/>
              <w:bidi w:val="0"/>
              <w:rPr>
                <w:color w:val="auto"/>
                <w:highlight w:val="none"/>
              </w:rPr>
            </w:pPr>
            <w:r>
              <w:rPr>
                <w:color w:val="auto"/>
                <w:highlight w:val="none"/>
              </w:rPr>
              <w:t>39.7</w:t>
            </w:r>
          </w:p>
        </w:tc>
        <w:tc>
          <w:tcPr>
            <w:tcW w:w="219" w:type="pct"/>
            <w:shd w:val="clear" w:color="auto" w:fill="FFFFFF"/>
            <w:tcMar>
              <w:top w:w="0" w:type="dxa"/>
              <w:left w:w="0" w:type="dxa"/>
              <w:bottom w:w="0" w:type="dxa"/>
              <w:right w:w="0" w:type="dxa"/>
            </w:tcMar>
            <w:vAlign w:val="center"/>
          </w:tcPr>
          <w:p w14:paraId="2CB378B7">
            <w:pPr>
              <w:pStyle w:val="30"/>
              <w:bidi w:val="0"/>
              <w:rPr>
                <w:color w:val="auto"/>
                <w:highlight w:val="none"/>
              </w:rPr>
            </w:pPr>
            <w:r>
              <w:rPr>
                <w:color w:val="auto"/>
                <w:highlight w:val="none"/>
              </w:rPr>
              <w:t>0.8</w:t>
            </w:r>
          </w:p>
        </w:tc>
        <w:tc>
          <w:tcPr>
            <w:tcW w:w="223" w:type="pct"/>
            <w:shd w:val="clear" w:color="auto" w:fill="FFFFFF"/>
            <w:tcMar>
              <w:top w:w="0" w:type="dxa"/>
              <w:left w:w="0" w:type="dxa"/>
              <w:bottom w:w="0" w:type="dxa"/>
              <w:right w:w="0" w:type="dxa"/>
            </w:tcMar>
            <w:vAlign w:val="center"/>
          </w:tcPr>
          <w:p w14:paraId="2DDE8A0D">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464D8580">
            <w:pPr>
              <w:pStyle w:val="30"/>
              <w:bidi w:val="0"/>
              <w:rPr>
                <w:color w:val="auto"/>
                <w:highlight w:val="none"/>
              </w:rPr>
            </w:pPr>
            <w:r>
              <w:rPr>
                <w:color w:val="auto"/>
                <w:highlight w:val="none"/>
              </w:rPr>
              <w:t>48.0</w:t>
            </w:r>
          </w:p>
        </w:tc>
        <w:tc>
          <w:tcPr>
            <w:tcW w:w="182" w:type="pct"/>
            <w:shd w:val="clear" w:color="auto" w:fill="FFFFFF"/>
            <w:tcMar>
              <w:top w:w="0" w:type="dxa"/>
              <w:left w:w="0" w:type="dxa"/>
              <w:bottom w:w="0" w:type="dxa"/>
              <w:right w:w="0" w:type="dxa"/>
            </w:tcMar>
            <w:vAlign w:val="center"/>
          </w:tcPr>
          <w:p w14:paraId="19DA6FDF">
            <w:pPr>
              <w:pStyle w:val="30"/>
              <w:bidi w:val="0"/>
              <w:rPr>
                <w:color w:val="auto"/>
                <w:highlight w:val="none"/>
              </w:rPr>
            </w:pPr>
            <w:r>
              <w:rPr>
                <w:color w:val="auto"/>
                <w:highlight w:val="none"/>
              </w:rPr>
              <w:t>28.9</w:t>
            </w:r>
          </w:p>
        </w:tc>
        <w:tc>
          <w:tcPr>
            <w:tcW w:w="182" w:type="pct"/>
            <w:shd w:val="clear" w:color="auto" w:fill="FFFFFF"/>
            <w:tcMar>
              <w:top w:w="0" w:type="dxa"/>
              <w:left w:w="0" w:type="dxa"/>
              <w:bottom w:w="0" w:type="dxa"/>
              <w:right w:w="0" w:type="dxa"/>
            </w:tcMar>
            <w:vAlign w:val="center"/>
          </w:tcPr>
          <w:p w14:paraId="05324F0E">
            <w:pPr>
              <w:pStyle w:val="30"/>
              <w:bidi w:val="0"/>
              <w:rPr>
                <w:color w:val="auto"/>
                <w:highlight w:val="none"/>
              </w:rPr>
            </w:pPr>
            <w:r>
              <w:rPr>
                <w:color w:val="auto"/>
                <w:highlight w:val="none"/>
              </w:rPr>
              <w:t>41.5</w:t>
            </w:r>
          </w:p>
        </w:tc>
        <w:tc>
          <w:tcPr>
            <w:tcW w:w="189" w:type="pct"/>
            <w:shd w:val="clear" w:color="auto" w:fill="FFFFFF"/>
            <w:tcMar>
              <w:top w:w="0" w:type="dxa"/>
              <w:left w:w="0" w:type="dxa"/>
              <w:bottom w:w="0" w:type="dxa"/>
              <w:right w:w="0" w:type="dxa"/>
            </w:tcMar>
            <w:vAlign w:val="center"/>
          </w:tcPr>
          <w:p w14:paraId="5FE42D2A">
            <w:pPr>
              <w:pStyle w:val="30"/>
              <w:bidi w:val="0"/>
              <w:rPr>
                <w:color w:val="auto"/>
                <w:highlight w:val="none"/>
              </w:rPr>
            </w:pPr>
            <w:r>
              <w:rPr>
                <w:color w:val="auto"/>
                <w:highlight w:val="none"/>
              </w:rPr>
              <w:t>23.5</w:t>
            </w:r>
          </w:p>
        </w:tc>
        <w:tc>
          <w:tcPr>
            <w:tcW w:w="180" w:type="pct"/>
            <w:shd w:val="clear" w:color="auto" w:fill="FFFFFF"/>
            <w:tcMar>
              <w:top w:w="0" w:type="dxa"/>
              <w:left w:w="0" w:type="dxa"/>
              <w:bottom w:w="0" w:type="dxa"/>
              <w:right w:w="0" w:type="dxa"/>
            </w:tcMar>
            <w:vAlign w:val="center"/>
          </w:tcPr>
          <w:p w14:paraId="52F48C64">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5451E9A3">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60669430">
            <w:pPr>
              <w:pStyle w:val="30"/>
              <w:bidi w:val="0"/>
              <w:rPr>
                <w:color w:val="auto"/>
                <w:highlight w:val="none"/>
              </w:rPr>
            </w:pPr>
            <w:r>
              <w:rPr>
                <w:color w:val="auto"/>
                <w:highlight w:val="none"/>
              </w:rPr>
              <w:t>68.2</w:t>
            </w:r>
          </w:p>
        </w:tc>
        <w:tc>
          <w:tcPr>
            <w:tcW w:w="184" w:type="pct"/>
            <w:shd w:val="clear" w:color="auto" w:fill="FFFFFF"/>
            <w:tcMar>
              <w:top w:w="0" w:type="dxa"/>
              <w:left w:w="0" w:type="dxa"/>
              <w:bottom w:w="0" w:type="dxa"/>
              <w:right w:w="0" w:type="dxa"/>
            </w:tcMar>
            <w:vAlign w:val="center"/>
          </w:tcPr>
          <w:p w14:paraId="299F7564">
            <w:pPr>
              <w:pStyle w:val="30"/>
              <w:bidi w:val="0"/>
              <w:rPr>
                <w:color w:val="auto"/>
                <w:highlight w:val="none"/>
              </w:rPr>
            </w:pPr>
            <w:r>
              <w:rPr>
                <w:color w:val="auto"/>
                <w:highlight w:val="none"/>
              </w:rPr>
              <w:t>68.2</w:t>
            </w:r>
          </w:p>
        </w:tc>
        <w:tc>
          <w:tcPr>
            <w:tcW w:w="156" w:type="pct"/>
            <w:shd w:val="clear" w:color="auto" w:fill="FFFFFF"/>
            <w:tcMar>
              <w:top w:w="0" w:type="dxa"/>
              <w:left w:w="0" w:type="dxa"/>
              <w:bottom w:w="0" w:type="dxa"/>
              <w:right w:w="0" w:type="dxa"/>
            </w:tcMar>
            <w:vAlign w:val="center"/>
          </w:tcPr>
          <w:p w14:paraId="0777FFB5">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02D2CC54">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6C1986DD">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5901868">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15338393">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4343BF0C">
            <w:pPr>
              <w:pStyle w:val="30"/>
              <w:bidi w:val="0"/>
              <w:rPr>
                <w:color w:val="auto"/>
                <w:highlight w:val="none"/>
              </w:rPr>
            </w:pPr>
            <w:r>
              <w:rPr>
                <w:color w:val="auto"/>
                <w:highlight w:val="none"/>
              </w:rPr>
              <w:t>42.2</w:t>
            </w:r>
          </w:p>
        </w:tc>
        <w:tc>
          <w:tcPr>
            <w:tcW w:w="185" w:type="pct"/>
            <w:shd w:val="clear" w:color="auto" w:fill="FFFFFF"/>
            <w:tcMar>
              <w:top w:w="0" w:type="dxa"/>
              <w:left w:w="0" w:type="dxa"/>
              <w:bottom w:w="0" w:type="dxa"/>
              <w:right w:w="0" w:type="dxa"/>
            </w:tcMar>
            <w:vAlign w:val="center"/>
          </w:tcPr>
          <w:p w14:paraId="6DF9D419">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3D6EB500">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7D212D87">
            <w:pPr>
              <w:pStyle w:val="30"/>
              <w:bidi w:val="0"/>
              <w:rPr>
                <w:color w:val="auto"/>
                <w:highlight w:val="none"/>
              </w:rPr>
            </w:pPr>
            <w:r>
              <w:rPr>
                <w:color w:val="auto"/>
                <w:highlight w:val="none"/>
              </w:rPr>
              <w:t>42.2</w:t>
            </w:r>
          </w:p>
        </w:tc>
        <w:tc>
          <w:tcPr>
            <w:tcW w:w="261" w:type="pct"/>
            <w:shd w:val="clear" w:color="auto" w:fill="FFFFFF"/>
            <w:tcMar>
              <w:top w:w="0" w:type="dxa"/>
              <w:left w:w="0" w:type="dxa"/>
              <w:bottom w:w="0" w:type="dxa"/>
              <w:right w:w="0" w:type="dxa"/>
            </w:tcMar>
            <w:vAlign w:val="center"/>
          </w:tcPr>
          <w:p w14:paraId="5A9DBC80">
            <w:pPr>
              <w:pStyle w:val="30"/>
              <w:bidi w:val="0"/>
              <w:rPr>
                <w:color w:val="auto"/>
                <w:highlight w:val="none"/>
              </w:rPr>
            </w:pPr>
            <w:r>
              <w:rPr>
                <w:color w:val="auto"/>
                <w:highlight w:val="none"/>
              </w:rPr>
              <w:t>1</w:t>
            </w:r>
          </w:p>
        </w:tc>
      </w:tr>
      <w:tr w14:paraId="39E2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7A78810C">
            <w:pPr>
              <w:pStyle w:val="30"/>
              <w:bidi w:val="0"/>
              <w:rPr>
                <w:color w:val="auto"/>
                <w:highlight w:val="none"/>
              </w:rPr>
            </w:pPr>
            <w:r>
              <w:rPr>
                <w:color w:val="auto"/>
                <w:highlight w:val="none"/>
              </w:rPr>
              <w:t>15</w:t>
            </w:r>
          </w:p>
        </w:tc>
        <w:tc>
          <w:tcPr>
            <w:tcW w:w="161" w:type="pct"/>
            <w:vMerge w:val="continue"/>
            <w:shd w:val="clear" w:color="auto" w:fill="FFFFFF"/>
            <w:tcMar>
              <w:top w:w="0" w:type="dxa"/>
              <w:left w:w="0" w:type="dxa"/>
              <w:bottom w:w="0" w:type="dxa"/>
              <w:right w:w="0" w:type="dxa"/>
            </w:tcMar>
            <w:vAlign w:val="center"/>
          </w:tcPr>
          <w:p w14:paraId="7871B443">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29745D0F">
            <w:pPr>
              <w:pStyle w:val="30"/>
              <w:bidi w:val="0"/>
              <w:rPr>
                <w:color w:val="auto"/>
                <w:highlight w:val="none"/>
              </w:rPr>
            </w:pPr>
            <w:r>
              <w:rPr>
                <w:color w:val="auto"/>
                <w:highlight w:val="none"/>
              </w:rPr>
              <w:t>航吊2</w:t>
            </w:r>
          </w:p>
        </w:tc>
        <w:tc>
          <w:tcPr>
            <w:tcW w:w="234" w:type="pct"/>
            <w:shd w:val="clear" w:color="auto" w:fill="FFFFFF"/>
            <w:tcMar>
              <w:top w:w="0" w:type="dxa"/>
              <w:left w:w="0" w:type="dxa"/>
              <w:bottom w:w="0" w:type="dxa"/>
              <w:right w:w="0" w:type="dxa"/>
            </w:tcMar>
            <w:vAlign w:val="center"/>
          </w:tcPr>
          <w:p w14:paraId="5D7D7413">
            <w:pPr>
              <w:pStyle w:val="30"/>
              <w:bidi w:val="0"/>
              <w:rPr>
                <w:color w:val="auto"/>
                <w:highlight w:val="none"/>
              </w:rPr>
            </w:pPr>
            <w:r>
              <w:rPr>
                <w:color w:val="auto"/>
                <w:highlight w:val="none"/>
              </w:rPr>
              <w:t>65</w:t>
            </w:r>
          </w:p>
        </w:tc>
        <w:tc>
          <w:tcPr>
            <w:tcW w:w="198" w:type="pct"/>
            <w:vMerge w:val="continue"/>
            <w:shd w:val="clear" w:color="auto" w:fill="FFFFFF"/>
            <w:tcMar>
              <w:top w:w="0" w:type="dxa"/>
              <w:left w:w="0" w:type="dxa"/>
              <w:bottom w:w="0" w:type="dxa"/>
              <w:right w:w="0" w:type="dxa"/>
            </w:tcMar>
            <w:vAlign w:val="center"/>
          </w:tcPr>
          <w:p w14:paraId="033E7E4F">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4ECD8490">
            <w:pPr>
              <w:pStyle w:val="30"/>
              <w:bidi w:val="0"/>
              <w:rPr>
                <w:color w:val="auto"/>
                <w:highlight w:val="none"/>
              </w:rPr>
            </w:pPr>
            <w:r>
              <w:rPr>
                <w:color w:val="auto"/>
                <w:highlight w:val="none"/>
              </w:rPr>
              <w:t>20.6</w:t>
            </w:r>
          </w:p>
        </w:tc>
        <w:tc>
          <w:tcPr>
            <w:tcW w:w="219" w:type="pct"/>
            <w:shd w:val="clear" w:color="auto" w:fill="FFFFFF"/>
            <w:tcMar>
              <w:top w:w="0" w:type="dxa"/>
              <w:left w:w="0" w:type="dxa"/>
              <w:bottom w:w="0" w:type="dxa"/>
              <w:right w:w="0" w:type="dxa"/>
            </w:tcMar>
            <w:vAlign w:val="center"/>
          </w:tcPr>
          <w:p w14:paraId="6580C3BE">
            <w:pPr>
              <w:pStyle w:val="30"/>
              <w:bidi w:val="0"/>
              <w:rPr>
                <w:color w:val="auto"/>
                <w:highlight w:val="none"/>
              </w:rPr>
            </w:pPr>
            <w:r>
              <w:rPr>
                <w:color w:val="auto"/>
                <w:highlight w:val="none"/>
              </w:rPr>
              <w:t>5.2</w:t>
            </w:r>
          </w:p>
        </w:tc>
        <w:tc>
          <w:tcPr>
            <w:tcW w:w="223" w:type="pct"/>
            <w:shd w:val="clear" w:color="auto" w:fill="FFFFFF"/>
            <w:tcMar>
              <w:top w:w="0" w:type="dxa"/>
              <w:left w:w="0" w:type="dxa"/>
              <w:bottom w:w="0" w:type="dxa"/>
              <w:right w:w="0" w:type="dxa"/>
            </w:tcMar>
            <w:vAlign w:val="center"/>
          </w:tcPr>
          <w:p w14:paraId="3CB46A8E">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219DB9EE">
            <w:pPr>
              <w:pStyle w:val="30"/>
              <w:bidi w:val="0"/>
              <w:rPr>
                <w:color w:val="auto"/>
                <w:highlight w:val="none"/>
              </w:rPr>
            </w:pPr>
            <w:r>
              <w:rPr>
                <w:color w:val="auto"/>
                <w:highlight w:val="none"/>
              </w:rPr>
              <w:t>67.6</w:t>
            </w:r>
          </w:p>
        </w:tc>
        <w:tc>
          <w:tcPr>
            <w:tcW w:w="182" w:type="pct"/>
            <w:shd w:val="clear" w:color="auto" w:fill="FFFFFF"/>
            <w:tcMar>
              <w:top w:w="0" w:type="dxa"/>
              <w:left w:w="0" w:type="dxa"/>
              <w:bottom w:w="0" w:type="dxa"/>
              <w:right w:w="0" w:type="dxa"/>
            </w:tcMar>
            <w:vAlign w:val="center"/>
          </w:tcPr>
          <w:p w14:paraId="3770BC25">
            <w:pPr>
              <w:pStyle w:val="30"/>
              <w:bidi w:val="0"/>
              <w:rPr>
                <w:color w:val="auto"/>
                <w:highlight w:val="none"/>
              </w:rPr>
            </w:pPr>
            <w:r>
              <w:rPr>
                <w:color w:val="auto"/>
                <w:highlight w:val="none"/>
              </w:rPr>
              <w:t>27.3</w:t>
            </w:r>
          </w:p>
        </w:tc>
        <w:tc>
          <w:tcPr>
            <w:tcW w:w="182" w:type="pct"/>
            <w:shd w:val="clear" w:color="auto" w:fill="FFFFFF"/>
            <w:tcMar>
              <w:top w:w="0" w:type="dxa"/>
              <w:left w:w="0" w:type="dxa"/>
              <w:bottom w:w="0" w:type="dxa"/>
              <w:right w:w="0" w:type="dxa"/>
            </w:tcMar>
            <w:vAlign w:val="center"/>
          </w:tcPr>
          <w:p w14:paraId="4FC8B244">
            <w:pPr>
              <w:pStyle w:val="30"/>
              <w:bidi w:val="0"/>
              <w:rPr>
                <w:color w:val="auto"/>
                <w:highlight w:val="none"/>
              </w:rPr>
            </w:pPr>
            <w:r>
              <w:rPr>
                <w:color w:val="auto"/>
                <w:highlight w:val="none"/>
              </w:rPr>
              <w:t>22.0</w:t>
            </w:r>
          </w:p>
        </w:tc>
        <w:tc>
          <w:tcPr>
            <w:tcW w:w="189" w:type="pct"/>
            <w:shd w:val="clear" w:color="auto" w:fill="FFFFFF"/>
            <w:tcMar>
              <w:top w:w="0" w:type="dxa"/>
              <w:left w:w="0" w:type="dxa"/>
              <w:bottom w:w="0" w:type="dxa"/>
              <w:right w:w="0" w:type="dxa"/>
            </w:tcMar>
            <w:vAlign w:val="center"/>
          </w:tcPr>
          <w:p w14:paraId="4E4EABEA">
            <w:pPr>
              <w:pStyle w:val="30"/>
              <w:bidi w:val="0"/>
              <w:rPr>
                <w:color w:val="auto"/>
                <w:highlight w:val="none"/>
              </w:rPr>
            </w:pPr>
            <w:r>
              <w:rPr>
                <w:color w:val="auto"/>
                <w:highlight w:val="none"/>
              </w:rPr>
              <w:t>24.8</w:t>
            </w:r>
          </w:p>
        </w:tc>
        <w:tc>
          <w:tcPr>
            <w:tcW w:w="180" w:type="pct"/>
            <w:shd w:val="clear" w:color="auto" w:fill="FFFFFF"/>
            <w:tcMar>
              <w:top w:w="0" w:type="dxa"/>
              <w:left w:w="0" w:type="dxa"/>
              <w:bottom w:w="0" w:type="dxa"/>
              <w:right w:w="0" w:type="dxa"/>
            </w:tcMar>
            <w:vAlign w:val="center"/>
          </w:tcPr>
          <w:p w14:paraId="0A37AA87">
            <w:pPr>
              <w:pStyle w:val="30"/>
              <w:bidi w:val="0"/>
              <w:rPr>
                <w:color w:val="auto"/>
                <w:highlight w:val="none"/>
              </w:rPr>
            </w:pPr>
            <w:r>
              <w:rPr>
                <w:color w:val="auto"/>
                <w:highlight w:val="none"/>
              </w:rPr>
              <w:t>48.2</w:t>
            </w:r>
          </w:p>
        </w:tc>
        <w:tc>
          <w:tcPr>
            <w:tcW w:w="180" w:type="pct"/>
            <w:shd w:val="clear" w:color="auto" w:fill="FFFFFF"/>
            <w:tcMar>
              <w:top w:w="0" w:type="dxa"/>
              <w:left w:w="0" w:type="dxa"/>
              <w:bottom w:w="0" w:type="dxa"/>
              <w:right w:w="0" w:type="dxa"/>
            </w:tcMar>
            <w:vAlign w:val="center"/>
          </w:tcPr>
          <w:p w14:paraId="5FFED1BA">
            <w:pPr>
              <w:pStyle w:val="30"/>
              <w:bidi w:val="0"/>
              <w:rPr>
                <w:color w:val="auto"/>
                <w:highlight w:val="none"/>
              </w:rPr>
            </w:pPr>
            <w:r>
              <w:rPr>
                <w:color w:val="auto"/>
                <w:highlight w:val="none"/>
              </w:rPr>
              <w:t>48.2</w:t>
            </w:r>
          </w:p>
        </w:tc>
        <w:tc>
          <w:tcPr>
            <w:tcW w:w="180" w:type="pct"/>
            <w:shd w:val="clear" w:color="auto" w:fill="FFFFFF"/>
            <w:tcMar>
              <w:top w:w="0" w:type="dxa"/>
              <w:left w:w="0" w:type="dxa"/>
              <w:bottom w:w="0" w:type="dxa"/>
              <w:right w:w="0" w:type="dxa"/>
            </w:tcMar>
            <w:vAlign w:val="center"/>
          </w:tcPr>
          <w:p w14:paraId="168400CE">
            <w:pPr>
              <w:pStyle w:val="30"/>
              <w:bidi w:val="0"/>
              <w:rPr>
                <w:color w:val="auto"/>
                <w:highlight w:val="none"/>
              </w:rPr>
            </w:pPr>
            <w:r>
              <w:rPr>
                <w:color w:val="auto"/>
                <w:highlight w:val="none"/>
              </w:rPr>
              <w:t>48.2</w:t>
            </w:r>
          </w:p>
        </w:tc>
        <w:tc>
          <w:tcPr>
            <w:tcW w:w="184" w:type="pct"/>
            <w:shd w:val="clear" w:color="auto" w:fill="FFFFFF"/>
            <w:tcMar>
              <w:top w:w="0" w:type="dxa"/>
              <w:left w:w="0" w:type="dxa"/>
              <w:bottom w:w="0" w:type="dxa"/>
              <w:right w:w="0" w:type="dxa"/>
            </w:tcMar>
            <w:vAlign w:val="center"/>
          </w:tcPr>
          <w:p w14:paraId="6C88D2A4">
            <w:pPr>
              <w:pStyle w:val="30"/>
              <w:bidi w:val="0"/>
              <w:rPr>
                <w:color w:val="auto"/>
                <w:highlight w:val="none"/>
              </w:rPr>
            </w:pPr>
            <w:r>
              <w:rPr>
                <w:color w:val="auto"/>
                <w:highlight w:val="none"/>
              </w:rPr>
              <w:t>48.2</w:t>
            </w:r>
          </w:p>
        </w:tc>
        <w:tc>
          <w:tcPr>
            <w:tcW w:w="156" w:type="pct"/>
            <w:shd w:val="clear" w:color="auto" w:fill="FFFFFF"/>
            <w:tcMar>
              <w:top w:w="0" w:type="dxa"/>
              <w:left w:w="0" w:type="dxa"/>
              <w:bottom w:w="0" w:type="dxa"/>
              <w:right w:w="0" w:type="dxa"/>
            </w:tcMar>
            <w:vAlign w:val="center"/>
          </w:tcPr>
          <w:p w14:paraId="0342397F">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61F618A8">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12AAC33D">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787B4026">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97730D0">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729423FC">
            <w:pPr>
              <w:pStyle w:val="30"/>
              <w:bidi w:val="0"/>
              <w:rPr>
                <w:color w:val="auto"/>
                <w:highlight w:val="none"/>
              </w:rPr>
            </w:pPr>
            <w:r>
              <w:rPr>
                <w:color w:val="auto"/>
                <w:highlight w:val="none"/>
              </w:rPr>
              <w:t>22.2</w:t>
            </w:r>
          </w:p>
        </w:tc>
        <w:tc>
          <w:tcPr>
            <w:tcW w:w="185" w:type="pct"/>
            <w:shd w:val="clear" w:color="auto" w:fill="FFFFFF"/>
            <w:tcMar>
              <w:top w:w="0" w:type="dxa"/>
              <w:left w:w="0" w:type="dxa"/>
              <w:bottom w:w="0" w:type="dxa"/>
              <w:right w:w="0" w:type="dxa"/>
            </w:tcMar>
            <w:vAlign w:val="center"/>
          </w:tcPr>
          <w:p w14:paraId="15B33A38">
            <w:pPr>
              <w:pStyle w:val="30"/>
              <w:bidi w:val="0"/>
              <w:rPr>
                <w:color w:val="auto"/>
                <w:highlight w:val="none"/>
              </w:rPr>
            </w:pPr>
            <w:r>
              <w:rPr>
                <w:color w:val="auto"/>
                <w:highlight w:val="none"/>
              </w:rPr>
              <w:t>22.2</w:t>
            </w:r>
          </w:p>
        </w:tc>
        <w:tc>
          <w:tcPr>
            <w:tcW w:w="186" w:type="pct"/>
            <w:shd w:val="clear" w:color="auto" w:fill="FFFFFF"/>
            <w:tcMar>
              <w:top w:w="0" w:type="dxa"/>
              <w:left w:w="0" w:type="dxa"/>
              <w:bottom w:w="0" w:type="dxa"/>
              <w:right w:w="0" w:type="dxa"/>
            </w:tcMar>
            <w:vAlign w:val="center"/>
          </w:tcPr>
          <w:p w14:paraId="2627EE54">
            <w:pPr>
              <w:pStyle w:val="30"/>
              <w:bidi w:val="0"/>
              <w:rPr>
                <w:color w:val="auto"/>
                <w:highlight w:val="none"/>
              </w:rPr>
            </w:pPr>
            <w:r>
              <w:rPr>
                <w:color w:val="auto"/>
                <w:highlight w:val="none"/>
              </w:rPr>
              <w:t>22.2</w:t>
            </w:r>
          </w:p>
        </w:tc>
        <w:tc>
          <w:tcPr>
            <w:tcW w:w="186" w:type="pct"/>
            <w:shd w:val="clear" w:color="auto" w:fill="FFFFFF"/>
            <w:tcMar>
              <w:top w:w="0" w:type="dxa"/>
              <w:left w:w="0" w:type="dxa"/>
              <w:bottom w:w="0" w:type="dxa"/>
              <w:right w:w="0" w:type="dxa"/>
            </w:tcMar>
            <w:vAlign w:val="center"/>
          </w:tcPr>
          <w:p w14:paraId="144EF5D3">
            <w:pPr>
              <w:pStyle w:val="30"/>
              <w:bidi w:val="0"/>
              <w:rPr>
                <w:color w:val="auto"/>
                <w:highlight w:val="none"/>
              </w:rPr>
            </w:pPr>
            <w:r>
              <w:rPr>
                <w:color w:val="auto"/>
                <w:highlight w:val="none"/>
              </w:rPr>
              <w:t>22.2</w:t>
            </w:r>
          </w:p>
        </w:tc>
        <w:tc>
          <w:tcPr>
            <w:tcW w:w="261" w:type="pct"/>
            <w:shd w:val="clear" w:color="auto" w:fill="FFFFFF"/>
            <w:tcMar>
              <w:top w:w="0" w:type="dxa"/>
              <w:left w:w="0" w:type="dxa"/>
              <w:bottom w:w="0" w:type="dxa"/>
              <w:right w:w="0" w:type="dxa"/>
            </w:tcMar>
            <w:vAlign w:val="center"/>
          </w:tcPr>
          <w:p w14:paraId="3FA1812E">
            <w:pPr>
              <w:pStyle w:val="30"/>
              <w:bidi w:val="0"/>
              <w:rPr>
                <w:color w:val="auto"/>
                <w:highlight w:val="none"/>
              </w:rPr>
            </w:pPr>
            <w:r>
              <w:rPr>
                <w:color w:val="auto"/>
                <w:highlight w:val="none"/>
              </w:rPr>
              <w:t>1</w:t>
            </w:r>
          </w:p>
        </w:tc>
      </w:tr>
      <w:tr w14:paraId="0C63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53D96E2D">
            <w:pPr>
              <w:pStyle w:val="30"/>
              <w:bidi w:val="0"/>
              <w:rPr>
                <w:color w:val="auto"/>
                <w:highlight w:val="none"/>
              </w:rPr>
            </w:pPr>
            <w:r>
              <w:rPr>
                <w:color w:val="auto"/>
                <w:highlight w:val="none"/>
              </w:rPr>
              <w:t>16</w:t>
            </w:r>
          </w:p>
        </w:tc>
        <w:tc>
          <w:tcPr>
            <w:tcW w:w="161" w:type="pct"/>
            <w:vMerge w:val="continue"/>
            <w:shd w:val="clear" w:color="auto" w:fill="FFFFFF"/>
            <w:tcMar>
              <w:top w:w="0" w:type="dxa"/>
              <w:left w:w="0" w:type="dxa"/>
              <w:bottom w:w="0" w:type="dxa"/>
              <w:right w:w="0" w:type="dxa"/>
            </w:tcMar>
            <w:vAlign w:val="center"/>
          </w:tcPr>
          <w:p w14:paraId="553300FD">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11CF6B9A">
            <w:pPr>
              <w:pStyle w:val="30"/>
              <w:bidi w:val="0"/>
              <w:rPr>
                <w:color w:val="auto"/>
                <w:highlight w:val="none"/>
              </w:rPr>
            </w:pPr>
            <w:r>
              <w:rPr>
                <w:color w:val="auto"/>
                <w:highlight w:val="none"/>
              </w:rPr>
              <w:t>航吊1</w:t>
            </w:r>
          </w:p>
        </w:tc>
        <w:tc>
          <w:tcPr>
            <w:tcW w:w="234" w:type="pct"/>
            <w:shd w:val="clear" w:color="auto" w:fill="FFFFFF"/>
            <w:tcMar>
              <w:top w:w="0" w:type="dxa"/>
              <w:left w:w="0" w:type="dxa"/>
              <w:bottom w:w="0" w:type="dxa"/>
              <w:right w:w="0" w:type="dxa"/>
            </w:tcMar>
            <w:vAlign w:val="center"/>
          </w:tcPr>
          <w:p w14:paraId="4D0D788D">
            <w:pPr>
              <w:pStyle w:val="30"/>
              <w:bidi w:val="0"/>
              <w:rPr>
                <w:color w:val="auto"/>
                <w:highlight w:val="none"/>
              </w:rPr>
            </w:pPr>
            <w:r>
              <w:rPr>
                <w:color w:val="auto"/>
                <w:highlight w:val="none"/>
              </w:rPr>
              <w:t>65</w:t>
            </w:r>
          </w:p>
        </w:tc>
        <w:tc>
          <w:tcPr>
            <w:tcW w:w="198" w:type="pct"/>
            <w:vMerge w:val="continue"/>
            <w:shd w:val="clear" w:color="auto" w:fill="FFFFFF"/>
            <w:tcMar>
              <w:top w:w="0" w:type="dxa"/>
              <w:left w:w="0" w:type="dxa"/>
              <w:bottom w:w="0" w:type="dxa"/>
              <w:right w:w="0" w:type="dxa"/>
            </w:tcMar>
            <w:vAlign w:val="center"/>
          </w:tcPr>
          <w:p w14:paraId="4206DEE9">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0D27066E">
            <w:pPr>
              <w:pStyle w:val="30"/>
              <w:bidi w:val="0"/>
              <w:rPr>
                <w:color w:val="auto"/>
                <w:highlight w:val="none"/>
              </w:rPr>
            </w:pPr>
            <w:r>
              <w:rPr>
                <w:color w:val="auto"/>
                <w:highlight w:val="none"/>
              </w:rPr>
              <w:t>58.8</w:t>
            </w:r>
          </w:p>
        </w:tc>
        <w:tc>
          <w:tcPr>
            <w:tcW w:w="219" w:type="pct"/>
            <w:shd w:val="clear" w:color="auto" w:fill="FFFFFF"/>
            <w:tcMar>
              <w:top w:w="0" w:type="dxa"/>
              <w:left w:w="0" w:type="dxa"/>
              <w:bottom w:w="0" w:type="dxa"/>
              <w:right w:w="0" w:type="dxa"/>
            </w:tcMar>
            <w:vAlign w:val="center"/>
          </w:tcPr>
          <w:p w14:paraId="3F56CBF9">
            <w:pPr>
              <w:pStyle w:val="30"/>
              <w:bidi w:val="0"/>
              <w:rPr>
                <w:color w:val="auto"/>
                <w:highlight w:val="none"/>
              </w:rPr>
            </w:pPr>
            <w:r>
              <w:rPr>
                <w:color w:val="auto"/>
                <w:highlight w:val="none"/>
              </w:rPr>
              <w:t>-5.3</w:t>
            </w:r>
          </w:p>
        </w:tc>
        <w:tc>
          <w:tcPr>
            <w:tcW w:w="223" w:type="pct"/>
            <w:shd w:val="clear" w:color="auto" w:fill="FFFFFF"/>
            <w:tcMar>
              <w:top w:w="0" w:type="dxa"/>
              <w:left w:w="0" w:type="dxa"/>
              <w:bottom w:w="0" w:type="dxa"/>
              <w:right w:w="0" w:type="dxa"/>
            </w:tcMar>
            <w:vAlign w:val="center"/>
          </w:tcPr>
          <w:p w14:paraId="0EB76402">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5C890FD1">
            <w:pPr>
              <w:pStyle w:val="30"/>
              <w:bidi w:val="0"/>
              <w:rPr>
                <w:color w:val="auto"/>
                <w:highlight w:val="none"/>
              </w:rPr>
            </w:pPr>
            <w:r>
              <w:rPr>
                <w:color w:val="auto"/>
                <w:highlight w:val="none"/>
              </w:rPr>
              <w:t>28.0</w:t>
            </w:r>
          </w:p>
        </w:tc>
        <w:tc>
          <w:tcPr>
            <w:tcW w:w="182" w:type="pct"/>
            <w:shd w:val="clear" w:color="auto" w:fill="FFFFFF"/>
            <w:tcMar>
              <w:top w:w="0" w:type="dxa"/>
              <w:left w:w="0" w:type="dxa"/>
              <w:bottom w:w="0" w:type="dxa"/>
              <w:right w:w="0" w:type="dxa"/>
            </w:tcMar>
            <w:vAlign w:val="center"/>
          </w:tcPr>
          <w:p w14:paraId="2B96E97C">
            <w:pPr>
              <w:pStyle w:val="30"/>
              <w:bidi w:val="0"/>
              <w:rPr>
                <w:color w:val="auto"/>
                <w:highlight w:val="none"/>
              </w:rPr>
            </w:pPr>
            <w:r>
              <w:rPr>
                <w:color w:val="auto"/>
                <w:highlight w:val="none"/>
              </w:rPr>
              <w:t>28.9</w:t>
            </w:r>
          </w:p>
        </w:tc>
        <w:tc>
          <w:tcPr>
            <w:tcW w:w="182" w:type="pct"/>
            <w:shd w:val="clear" w:color="auto" w:fill="FFFFFF"/>
            <w:tcMar>
              <w:top w:w="0" w:type="dxa"/>
              <w:left w:w="0" w:type="dxa"/>
              <w:bottom w:w="0" w:type="dxa"/>
              <w:right w:w="0" w:type="dxa"/>
            </w:tcMar>
            <w:vAlign w:val="center"/>
          </w:tcPr>
          <w:p w14:paraId="0D096214">
            <w:pPr>
              <w:pStyle w:val="30"/>
              <w:bidi w:val="0"/>
              <w:rPr>
                <w:color w:val="auto"/>
                <w:highlight w:val="none"/>
              </w:rPr>
            </w:pPr>
            <w:r>
              <w:rPr>
                <w:color w:val="auto"/>
                <w:highlight w:val="none"/>
              </w:rPr>
              <w:t>61.6</w:t>
            </w:r>
          </w:p>
        </w:tc>
        <w:tc>
          <w:tcPr>
            <w:tcW w:w="189" w:type="pct"/>
            <w:shd w:val="clear" w:color="auto" w:fill="FFFFFF"/>
            <w:tcMar>
              <w:top w:w="0" w:type="dxa"/>
              <w:left w:w="0" w:type="dxa"/>
              <w:bottom w:w="0" w:type="dxa"/>
              <w:right w:w="0" w:type="dxa"/>
            </w:tcMar>
            <w:vAlign w:val="center"/>
          </w:tcPr>
          <w:p w14:paraId="21B4FA88">
            <w:pPr>
              <w:pStyle w:val="30"/>
              <w:bidi w:val="0"/>
              <w:rPr>
                <w:color w:val="auto"/>
                <w:highlight w:val="none"/>
              </w:rPr>
            </w:pPr>
            <w:r>
              <w:rPr>
                <w:color w:val="auto"/>
                <w:highlight w:val="none"/>
              </w:rPr>
              <w:t>23.8</w:t>
            </w:r>
          </w:p>
        </w:tc>
        <w:tc>
          <w:tcPr>
            <w:tcW w:w="180" w:type="pct"/>
            <w:shd w:val="clear" w:color="auto" w:fill="FFFFFF"/>
            <w:tcMar>
              <w:top w:w="0" w:type="dxa"/>
              <w:left w:w="0" w:type="dxa"/>
              <w:bottom w:w="0" w:type="dxa"/>
              <w:right w:w="0" w:type="dxa"/>
            </w:tcMar>
            <w:vAlign w:val="center"/>
          </w:tcPr>
          <w:p w14:paraId="34F2B22F">
            <w:pPr>
              <w:pStyle w:val="30"/>
              <w:bidi w:val="0"/>
              <w:rPr>
                <w:color w:val="auto"/>
                <w:highlight w:val="none"/>
              </w:rPr>
            </w:pPr>
            <w:r>
              <w:rPr>
                <w:color w:val="auto"/>
                <w:highlight w:val="none"/>
              </w:rPr>
              <w:t>48.2</w:t>
            </w:r>
          </w:p>
        </w:tc>
        <w:tc>
          <w:tcPr>
            <w:tcW w:w="180" w:type="pct"/>
            <w:shd w:val="clear" w:color="auto" w:fill="FFFFFF"/>
            <w:tcMar>
              <w:top w:w="0" w:type="dxa"/>
              <w:left w:w="0" w:type="dxa"/>
              <w:bottom w:w="0" w:type="dxa"/>
              <w:right w:w="0" w:type="dxa"/>
            </w:tcMar>
            <w:vAlign w:val="center"/>
          </w:tcPr>
          <w:p w14:paraId="307B61A7">
            <w:pPr>
              <w:pStyle w:val="30"/>
              <w:bidi w:val="0"/>
              <w:rPr>
                <w:color w:val="auto"/>
                <w:highlight w:val="none"/>
              </w:rPr>
            </w:pPr>
            <w:r>
              <w:rPr>
                <w:color w:val="auto"/>
                <w:highlight w:val="none"/>
              </w:rPr>
              <w:t>48.2</w:t>
            </w:r>
          </w:p>
        </w:tc>
        <w:tc>
          <w:tcPr>
            <w:tcW w:w="180" w:type="pct"/>
            <w:shd w:val="clear" w:color="auto" w:fill="FFFFFF"/>
            <w:tcMar>
              <w:top w:w="0" w:type="dxa"/>
              <w:left w:w="0" w:type="dxa"/>
              <w:bottom w:w="0" w:type="dxa"/>
              <w:right w:w="0" w:type="dxa"/>
            </w:tcMar>
            <w:vAlign w:val="center"/>
          </w:tcPr>
          <w:p w14:paraId="2483C18F">
            <w:pPr>
              <w:pStyle w:val="30"/>
              <w:bidi w:val="0"/>
              <w:rPr>
                <w:color w:val="auto"/>
                <w:highlight w:val="none"/>
              </w:rPr>
            </w:pPr>
            <w:r>
              <w:rPr>
                <w:color w:val="auto"/>
                <w:highlight w:val="none"/>
              </w:rPr>
              <w:t>48.2</w:t>
            </w:r>
          </w:p>
        </w:tc>
        <w:tc>
          <w:tcPr>
            <w:tcW w:w="184" w:type="pct"/>
            <w:shd w:val="clear" w:color="auto" w:fill="FFFFFF"/>
            <w:tcMar>
              <w:top w:w="0" w:type="dxa"/>
              <w:left w:w="0" w:type="dxa"/>
              <w:bottom w:w="0" w:type="dxa"/>
              <w:right w:w="0" w:type="dxa"/>
            </w:tcMar>
            <w:vAlign w:val="center"/>
          </w:tcPr>
          <w:p w14:paraId="3879E69C">
            <w:pPr>
              <w:pStyle w:val="30"/>
              <w:bidi w:val="0"/>
              <w:rPr>
                <w:color w:val="auto"/>
                <w:highlight w:val="none"/>
              </w:rPr>
            </w:pPr>
            <w:r>
              <w:rPr>
                <w:color w:val="auto"/>
                <w:highlight w:val="none"/>
              </w:rPr>
              <w:t>48.2</w:t>
            </w:r>
          </w:p>
        </w:tc>
        <w:tc>
          <w:tcPr>
            <w:tcW w:w="156" w:type="pct"/>
            <w:shd w:val="clear" w:color="auto" w:fill="FFFFFF"/>
            <w:tcMar>
              <w:top w:w="0" w:type="dxa"/>
              <w:left w:w="0" w:type="dxa"/>
              <w:bottom w:w="0" w:type="dxa"/>
              <w:right w:w="0" w:type="dxa"/>
            </w:tcMar>
            <w:vAlign w:val="center"/>
          </w:tcPr>
          <w:p w14:paraId="3F80A767">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1B44DBEA">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45A0EDA0">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284574D4">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14BAA50C">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4716123E">
            <w:pPr>
              <w:pStyle w:val="30"/>
              <w:bidi w:val="0"/>
              <w:rPr>
                <w:color w:val="auto"/>
                <w:highlight w:val="none"/>
              </w:rPr>
            </w:pPr>
            <w:r>
              <w:rPr>
                <w:color w:val="auto"/>
                <w:highlight w:val="none"/>
              </w:rPr>
              <w:t>22.2</w:t>
            </w:r>
          </w:p>
        </w:tc>
        <w:tc>
          <w:tcPr>
            <w:tcW w:w="185" w:type="pct"/>
            <w:shd w:val="clear" w:color="auto" w:fill="FFFFFF"/>
            <w:tcMar>
              <w:top w:w="0" w:type="dxa"/>
              <w:left w:w="0" w:type="dxa"/>
              <w:bottom w:w="0" w:type="dxa"/>
              <w:right w:w="0" w:type="dxa"/>
            </w:tcMar>
            <w:vAlign w:val="center"/>
          </w:tcPr>
          <w:p w14:paraId="3A690371">
            <w:pPr>
              <w:pStyle w:val="30"/>
              <w:bidi w:val="0"/>
              <w:rPr>
                <w:color w:val="auto"/>
                <w:highlight w:val="none"/>
              </w:rPr>
            </w:pPr>
            <w:r>
              <w:rPr>
                <w:color w:val="auto"/>
                <w:highlight w:val="none"/>
              </w:rPr>
              <w:t>22.2</w:t>
            </w:r>
          </w:p>
        </w:tc>
        <w:tc>
          <w:tcPr>
            <w:tcW w:w="186" w:type="pct"/>
            <w:shd w:val="clear" w:color="auto" w:fill="FFFFFF"/>
            <w:tcMar>
              <w:top w:w="0" w:type="dxa"/>
              <w:left w:w="0" w:type="dxa"/>
              <w:bottom w:w="0" w:type="dxa"/>
              <w:right w:w="0" w:type="dxa"/>
            </w:tcMar>
            <w:vAlign w:val="center"/>
          </w:tcPr>
          <w:p w14:paraId="3F74EEB7">
            <w:pPr>
              <w:pStyle w:val="30"/>
              <w:bidi w:val="0"/>
              <w:rPr>
                <w:color w:val="auto"/>
                <w:highlight w:val="none"/>
              </w:rPr>
            </w:pPr>
            <w:r>
              <w:rPr>
                <w:color w:val="auto"/>
                <w:highlight w:val="none"/>
              </w:rPr>
              <w:t>22.2</w:t>
            </w:r>
          </w:p>
        </w:tc>
        <w:tc>
          <w:tcPr>
            <w:tcW w:w="186" w:type="pct"/>
            <w:shd w:val="clear" w:color="auto" w:fill="FFFFFF"/>
            <w:tcMar>
              <w:top w:w="0" w:type="dxa"/>
              <w:left w:w="0" w:type="dxa"/>
              <w:bottom w:w="0" w:type="dxa"/>
              <w:right w:w="0" w:type="dxa"/>
            </w:tcMar>
            <w:vAlign w:val="center"/>
          </w:tcPr>
          <w:p w14:paraId="65775840">
            <w:pPr>
              <w:pStyle w:val="30"/>
              <w:bidi w:val="0"/>
              <w:rPr>
                <w:color w:val="auto"/>
                <w:highlight w:val="none"/>
              </w:rPr>
            </w:pPr>
            <w:r>
              <w:rPr>
                <w:color w:val="auto"/>
                <w:highlight w:val="none"/>
              </w:rPr>
              <w:t>22.2</w:t>
            </w:r>
          </w:p>
        </w:tc>
        <w:tc>
          <w:tcPr>
            <w:tcW w:w="261" w:type="pct"/>
            <w:shd w:val="clear" w:color="auto" w:fill="FFFFFF"/>
            <w:tcMar>
              <w:top w:w="0" w:type="dxa"/>
              <w:left w:w="0" w:type="dxa"/>
              <w:bottom w:w="0" w:type="dxa"/>
              <w:right w:w="0" w:type="dxa"/>
            </w:tcMar>
            <w:vAlign w:val="center"/>
          </w:tcPr>
          <w:p w14:paraId="379A178A">
            <w:pPr>
              <w:pStyle w:val="30"/>
              <w:bidi w:val="0"/>
              <w:rPr>
                <w:color w:val="auto"/>
                <w:highlight w:val="none"/>
              </w:rPr>
            </w:pPr>
            <w:r>
              <w:rPr>
                <w:color w:val="auto"/>
                <w:highlight w:val="none"/>
              </w:rPr>
              <w:t>1</w:t>
            </w:r>
          </w:p>
        </w:tc>
      </w:tr>
      <w:tr w14:paraId="7268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1" w:type="pct"/>
            <w:shd w:val="clear" w:color="auto" w:fill="FFFFFF"/>
            <w:tcMar>
              <w:top w:w="0" w:type="dxa"/>
              <w:left w:w="0" w:type="dxa"/>
              <w:bottom w:w="0" w:type="dxa"/>
              <w:right w:w="0" w:type="dxa"/>
            </w:tcMar>
            <w:vAlign w:val="center"/>
          </w:tcPr>
          <w:p w14:paraId="65A50BB2">
            <w:pPr>
              <w:pStyle w:val="30"/>
              <w:bidi w:val="0"/>
              <w:rPr>
                <w:color w:val="auto"/>
                <w:highlight w:val="none"/>
              </w:rPr>
            </w:pPr>
            <w:r>
              <w:rPr>
                <w:color w:val="auto"/>
                <w:highlight w:val="none"/>
              </w:rPr>
              <w:t>17</w:t>
            </w:r>
          </w:p>
        </w:tc>
        <w:tc>
          <w:tcPr>
            <w:tcW w:w="161" w:type="pct"/>
            <w:vMerge w:val="continue"/>
            <w:shd w:val="clear" w:color="auto" w:fill="FFFFFF"/>
            <w:tcMar>
              <w:top w:w="0" w:type="dxa"/>
              <w:left w:w="0" w:type="dxa"/>
              <w:bottom w:w="0" w:type="dxa"/>
              <w:right w:w="0" w:type="dxa"/>
            </w:tcMar>
            <w:vAlign w:val="center"/>
          </w:tcPr>
          <w:p w14:paraId="07E42576">
            <w:pPr>
              <w:pStyle w:val="30"/>
              <w:bidi w:val="0"/>
              <w:rPr>
                <w:rFonts w:hint="eastAsia"/>
                <w:color w:val="auto"/>
                <w:highlight w:val="none"/>
                <w:lang w:eastAsia="zh-CN"/>
              </w:rPr>
            </w:pPr>
          </w:p>
        </w:tc>
        <w:tc>
          <w:tcPr>
            <w:tcW w:w="275" w:type="pct"/>
            <w:shd w:val="clear" w:color="auto" w:fill="FFFFFF"/>
            <w:tcMar>
              <w:top w:w="0" w:type="dxa"/>
              <w:left w:w="0" w:type="dxa"/>
              <w:bottom w:w="0" w:type="dxa"/>
              <w:right w:w="0" w:type="dxa"/>
            </w:tcMar>
            <w:vAlign w:val="center"/>
          </w:tcPr>
          <w:p w14:paraId="0A8E836E">
            <w:pPr>
              <w:pStyle w:val="30"/>
              <w:bidi w:val="0"/>
              <w:rPr>
                <w:color w:val="auto"/>
                <w:highlight w:val="none"/>
              </w:rPr>
            </w:pPr>
            <w:r>
              <w:rPr>
                <w:color w:val="auto"/>
                <w:highlight w:val="none"/>
              </w:rPr>
              <w:t>发动机试车</w:t>
            </w:r>
          </w:p>
        </w:tc>
        <w:tc>
          <w:tcPr>
            <w:tcW w:w="234" w:type="pct"/>
            <w:shd w:val="clear" w:color="auto" w:fill="FFFFFF"/>
            <w:tcMar>
              <w:top w:w="0" w:type="dxa"/>
              <w:left w:w="0" w:type="dxa"/>
              <w:bottom w:w="0" w:type="dxa"/>
              <w:right w:w="0" w:type="dxa"/>
            </w:tcMar>
            <w:vAlign w:val="center"/>
          </w:tcPr>
          <w:p w14:paraId="3255921D">
            <w:pPr>
              <w:pStyle w:val="30"/>
              <w:bidi w:val="0"/>
              <w:rPr>
                <w:color w:val="auto"/>
                <w:highlight w:val="none"/>
              </w:rPr>
            </w:pPr>
            <w:r>
              <w:rPr>
                <w:color w:val="auto"/>
                <w:highlight w:val="none"/>
              </w:rPr>
              <w:t>85</w:t>
            </w:r>
          </w:p>
        </w:tc>
        <w:tc>
          <w:tcPr>
            <w:tcW w:w="198" w:type="pct"/>
            <w:vMerge w:val="continue"/>
            <w:shd w:val="clear" w:color="auto" w:fill="FFFFFF"/>
            <w:tcMar>
              <w:top w:w="0" w:type="dxa"/>
              <w:left w:w="0" w:type="dxa"/>
              <w:bottom w:w="0" w:type="dxa"/>
              <w:right w:w="0" w:type="dxa"/>
            </w:tcMar>
            <w:vAlign w:val="center"/>
          </w:tcPr>
          <w:p w14:paraId="2C7219C6">
            <w:pPr>
              <w:pStyle w:val="30"/>
              <w:bidi w:val="0"/>
              <w:rPr>
                <w:color w:val="auto"/>
                <w:highlight w:val="none"/>
              </w:rPr>
            </w:pPr>
          </w:p>
        </w:tc>
        <w:tc>
          <w:tcPr>
            <w:tcW w:w="219" w:type="pct"/>
            <w:shd w:val="clear" w:color="auto" w:fill="FFFFFF"/>
            <w:tcMar>
              <w:top w:w="0" w:type="dxa"/>
              <w:left w:w="0" w:type="dxa"/>
              <w:bottom w:w="0" w:type="dxa"/>
              <w:right w:w="0" w:type="dxa"/>
            </w:tcMar>
            <w:vAlign w:val="center"/>
          </w:tcPr>
          <w:p w14:paraId="0A587143">
            <w:pPr>
              <w:pStyle w:val="30"/>
              <w:bidi w:val="0"/>
              <w:rPr>
                <w:color w:val="auto"/>
                <w:highlight w:val="none"/>
              </w:rPr>
            </w:pPr>
            <w:r>
              <w:rPr>
                <w:color w:val="auto"/>
                <w:highlight w:val="none"/>
              </w:rPr>
              <w:t>47.7</w:t>
            </w:r>
          </w:p>
        </w:tc>
        <w:tc>
          <w:tcPr>
            <w:tcW w:w="219" w:type="pct"/>
            <w:shd w:val="clear" w:color="auto" w:fill="FFFFFF"/>
            <w:tcMar>
              <w:top w:w="0" w:type="dxa"/>
              <w:left w:w="0" w:type="dxa"/>
              <w:bottom w:w="0" w:type="dxa"/>
              <w:right w:w="0" w:type="dxa"/>
            </w:tcMar>
            <w:vAlign w:val="center"/>
          </w:tcPr>
          <w:p w14:paraId="17D86675">
            <w:pPr>
              <w:pStyle w:val="30"/>
              <w:bidi w:val="0"/>
              <w:rPr>
                <w:color w:val="auto"/>
                <w:highlight w:val="none"/>
              </w:rPr>
            </w:pPr>
            <w:r>
              <w:rPr>
                <w:color w:val="auto"/>
                <w:highlight w:val="none"/>
              </w:rPr>
              <w:t>-19.2</w:t>
            </w:r>
          </w:p>
        </w:tc>
        <w:tc>
          <w:tcPr>
            <w:tcW w:w="223" w:type="pct"/>
            <w:shd w:val="clear" w:color="auto" w:fill="FFFFFF"/>
            <w:tcMar>
              <w:top w:w="0" w:type="dxa"/>
              <w:left w:w="0" w:type="dxa"/>
              <w:bottom w:w="0" w:type="dxa"/>
              <w:right w:w="0" w:type="dxa"/>
            </w:tcMar>
            <w:vAlign w:val="center"/>
          </w:tcPr>
          <w:p w14:paraId="5AF7CCA9">
            <w:pPr>
              <w:pStyle w:val="30"/>
              <w:bidi w:val="0"/>
              <w:rPr>
                <w:color w:val="auto"/>
                <w:highlight w:val="none"/>
              </w:rPr>
            </w:pPr>
            <w:r>
              <w:rPr>
                <w:color w:val="auto"/>
                <w:highlight w:val="none"/>
              </w:rPr>
              <w:t>1.2</w:t>
            </w:r>
          </w:p>
        </w:tc>
        <w:tc>
          <w:tcPr>
            <w:tcW w:w="182" w:type="pct"/>
            <w:shd w:val="clear" w:color="auto" w:fill="FFFFFF"/>
            <w:tcMar>
              <w:top w:w="0" w:type="dxa"/>
              <w:left w:w="0" w:type="dxa"/>
              <w:bottom w:w="0" w:type="dxa"/>
              <w:right w:w="0" w:type="dxa"/>
            </w:tcMar>
            <w:vAlign w:val="center"/>
          </w:tcPr>
          <w:p w14:paraId="6128F89F">
            <w:pPr>
              <w:pStyle w:val="30"/>
              <w:bidi w:val="0"/>
              <w:rPr>
                <w:color w:val="auto"/>
                <w:highlight w:val="none"/>
              </w:rPr>
            </w:pPr>
            <w:r>
              <w:rPr>
                <w:color w:val="auto"/>
                <w:highlight w:val="none"/>
              </w:rPr>
              <w:t>34.5</w:t>
            </w:r>
          </w:p>
        </w:tc>
        <w:tc>
          <w:tcPr>
            <w:tcW w:w="182" w:type="pct"/>
            <w:shd w:val="clear" w:color="auto" w:fill="FFFFFF"/>
            <w:tcMar>
              <w:top w:w="0" w:type="dxa"/>
              <w:left w:w="0" w:type="dxa"/>
              <w:bottom w:w="0" w:type="dxa"/>
              <w:right w:w="0" w:type="dxa"/>
            </w:tcMar>
            <w:vAlign w:val="center"/>
          </w:tcPr>
          <w:p w14:paraId="19352DCE">
            <w:pPr>
              <w:pStyle w:val="30"/>
              <w:bidi w:val="0"/>
              <w:rPr>
                <w:color w:val="auto"/>
                <w:highlight w:val="none"/>
              </w:rPr>
            </w:pPr>
            <w:r>
              <w:rPr>
                <w:color w:val="auto"/>
                <w:highlight w:val="none"/>
              </w:rPr>
              <w:t>12.3</w:t>
            </w:r>
          </w:p>
        </w:tc>
        <w:tc>
          <w:tcPr>
            <w:tcW w:w="182" w:type="pct"/>
            <w:shd w:val="clear" w:color="auto" w:fill="FFFFFF"/>
            <w:tcMar>
              <w:top w:w="0" w:type="dxa"/>
              <w:left w:w="0" w:type="dxa"/>
              <w:bottom w:w="0" w:type="dxa"/>
              <w:right w:w="0" w:type="dxa"/>
            </w:tcMar>
            <w:vAlign w:val="center"/>
          </w:tcPr>
          <w:p w14:paraId="4B923FC5">
            <w:pPr>
              <w:pStyle w:val="30"/>
              <w:bidi w:val="0"/>
              <w:rPr>
                <w:color w:val="auto"/>
                <w:highlight w:val="none"/>
              </w:rPr>
            </w:pPr>
            <w:r>
              <w:rPr>
                <w:color w:val="auto"/>
                <w:highlight w:val="none"/>
              </w:rPr>
              <w:t>54.8</w:t>
            </w:r>
          </w:p>
        </w:tc>
        <w:tc>
          <w:tcPr>
            <w:tcW w:w="189" w:type="pct"/>
            <w:shd w:val="clear" w:color="auto" w:fill="FFFFFF"/>
            <w:tcMar>
              <w:top w:w="0" w:type="dxa"/>
              <w:left w:w="0" w:type="dxa"/>
              <w:bottom w:w="0" w:type="dxa"/>
              <w:right w:w="0" w:type="dxa"/>
            </w:tcMar>
            <w:vAlign w:val="center"/>
          </w:tcPr>
          <w:p w14:paraId="19AEC13A">
            <w:pPr>
              <w:pStyle w:val="30"/>
              <w:bidi w:val="0"/>
              <w:rPr>
                <w:color w:val="auto"/>
                <w:highlight w:val="none"/>
              </w:rPr>
            </w:pPr>
            <w:r>
              <w:rPr>
                <w:color w:val="auto"/>
                <w:highlight w:val="none"/>
              </w:rPr>
              <w:t>40.3</w:t>
            </w:r>
          </w:p>
        </w:tc>
        <w:tc>
          <w:tcPr>
            <w:tcW w:w="180" w:type="pct"/>
            <w:shd w:val="clear" w:color="auto" w:fill="FFFFFF"/>
            <w:tcMar>
              <w:top w:w="0" w:type="dxa"/>
              <w:left w:w="0" w:type="dxa"/>
              <w:bottom w:w="0" w:type="dxa"/>
              <w:right w:w="0" w:type="dxa"/>
            </w:tcMar>
            <w:vAlign w:val="center"/>
          </w:tcPr>
          <w:p w14:paraId="278A4942">
            <w:pPr>
              <w:pStyle w:val="30"/>
              <w:bidi w:val="0"/>
              <w:rPr>
                <w:color w:val="auto"/>
                <w:highlight w:val="none"/>
              </w:rPr>
            </w:pPr>
            <w:r>
              <w:rPr>
                <w:color w:val="auto"/>
                <w:highlight w:val="none"/>
              </w:rPr>
              <w:t>68.2</w:t>
            </w:r>
          </w:p>
        </w:tc>
        <w:tc>
          <w:tcPr>
            <w:tcW w:w="180" w:type="pct"/>
            <w:shd w:val="clear" w:color="auto" w:fill="FFFFFF"/>
            <w:tcMar>
              <w:top w:w="0" w:type="dxa"/>
              <w:left w:w="0" w:type="dxa"/>
              <w:bottom w:w="0" w:type="dxa"/>
              <w:right w:w="0" w:type="dxa"/>
            </w:tcMar>
            <w:vAlign w:val="center"/>
          </w:tcPr>
          <w:p w14:paraId="1476D3D6">
            <w:pPr>
              <w:pStyle w:val="30"/>
              <w:bidi w:val="0"/>
              <w:rPr>
                <w:color w:val="auto"/>
                <w:highlight w:val="none"/>
              </w:rPr>
            </w:pPr>
            <w:r>
              <w:rPr>
                <w:color w:val="auto"/>
                <w:highlight w:val="none"/>
              </w:rPr>
              <w:t>68.3</w:t>
            </w:r>
          </w:p>
        </w:tc>
        <w:tc>
          <w:tcPr>
            <w:tcW w:w="180" w:type="pct"/>
            <w:shd w:val="clear" w:color="auto" w:fill="FFFFFF"/>
            <w:tcMar>
              <w:top w:w="0" w:type="dxa"/>
              <w:left w:w="0" w:type="dxa"/>
              <w:bottom w:w="0" w:type="dxa"/>
              <w:right w:w="0" w:type="dxa"/>
            </w:tcMar>
            <w:vAlign w:val="center"/>
          </w:tcPr>
          <w:p w14:paraId="51916DF5">
            <w:pPr>
              <w:pStyle w:val="30"/>
              <w:bidi w:val="0"/>
              <w:rPr>
                <w:color w:val="auto"/>
                <w:highlight w:val="none"/>
              </w:rPr>
            </w:pPr>
            <w:r>
              <w:rPr>
                <w:color w:val="auto"/>
                <w:highlight w:val="none"/>
              </w:rPr>
              <w:t>68.2</w:t>
            </w:r>
          </w:p>
        </w:tc>
        <w:tc>
          <w:tcPr>
            <w:tcW w:w="184" w:type="pct"/>
            <w:shd w:val="clear" w:color="auto" w:fill="FFFFFF"/>
            <w:tcMar>
              <w:top w:w="0" w:type="dxa"/>
              <w:left w:w="0" w:type="dxa"/>
              <w:bottom w:w="0" w:type="dxa"/>
              <w:right w:w="0" w:type="dxa"/>
            </w:tcMar>
            <w:vAlign w:val="center"/>
          </w:tcPr>
          <w:p w14:paraId="54B232B7">
            <w:pPr>
              <w:pStyle w:val="30"/>
              <w:bidi w:val="0"/>
              <w:rPr>
                <w:color w:val="auto"/>
                <w:highlight w:val="none"/>
              </w:rPr>
            </w:pPr>
            <w:r>
              <w:rPr>
                <w:color w:val="auto"/>
                <w:highlight w:val="none"/>
              </w:rPr>
              <w:t>68.2</w:t>
            </w:r>
          </w:p>
        </w:tc>
        <w:tc>
          <w:tcPr>
            <w:tcW w:w="156" w:type="pct"/>
            <w:shd w:val="clear" w:color="auto" w:fill="FFFFFF"/>
            <w:tcMar>
              <w:top w:w="0" w:type="dxa"/>
              <w:left w:w="0" w:type="dxa"/>
              <w:bottom w:w="0" w:type="dxa"/>
              <w:right w:w="0" w:type="dxa"/>
            </w:tcMar>
            <w:vAlign w:val="center"/>
          </w:tcPr>
          <w:p w14:paraId="1310FB76">
            <w:pPr>
              <w:pStyle w:val="30"/>
              <w:bidi w:val="0"/>
              <w:rPr>
                <w:color w:val="auto"/>
                <w:highlight w:val="none"/>
              </w:rPr>
            </w:pPr>
            <w:r>
              <w:rPr>
                <w:color w:val="auto"/>
                <w:highlight w:val="none"/>
              </w:rPr>
              <w:t>24</w:t>
            </w:r>
          </w:p>
        </w:tc>
        <w:tc>
          <w:tcPr>
            <w:tcW w:w="174" w:type="pct"/>
            <w:shd w:val="clear" w:color="auto" w:fill="FFFFFF"/>
            <w:tcMar>
              <w:top w:w="0" w:type="dxa"/>
              <w:left w:w="0" w:type="dxa"/>
              <w:bottom w:w="0" w:type="dxa"/>
              <w:right w:w="0" w:type="dxa"/>
            </w:tcMar>
            <w:vAlign w:val="center"/>
          </w:tcPr>
          <w:p w14:paraId="1FB3A43E">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335F433D">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05352D60">
            <w:pPr>
              <w:pStyle w:val="30"/>
              <w:bidi w:val="0"/>
              <w:rPr>
                <w:color w:val="auto"/>
                <w:highlight w:val="none"/>
              </w:rPr>
            </w:pPr>
            <w:r>
              <w:rPr>
                <w:color w:val="auto"/>
                <w:highlight w:val="none"/>
              </w:rPr>
              <w:t>26.0</w:t>
            </w:r>
          </w:p>
        </w:tc>
        <w:tc>
          <w:tcPr>
            <w:tcW w:w="174" w:type="pct"/>
            <w:shd w:val="clear" w:color="auto" w:fill="FFFFFF"/>
            <w:tcMar>
              <w:top w:w="0" w:type="dxa"/>
              <w:left w:w="0" w:type="dxa"/>
              <w:bottom w:w="0" w:type="dxa"/>
              <w:right w:w="0" w:type="dxa"/>
            </w:tcMar>
            <w:vAlign w:val="center"/>
          </w:tcPr>
          <w:p w14:paraId="63796400">
            <w:pPr>
              <w:pStyle w:val="30"/>
              <w:bidi w:val="0"/>
              <w:rPr>
                <w:color w:val="auto"/>
                <w:highlight w:val="none"/>
              </w:rPr>
            </w:pPr>
            <w:r>
              <w:rPr>
                <w:color w:val="auto"/>
                <w:highlight w:val="none"/>
              </w:rPr>
              <w:t>26.0</w:t>
            </w:r>
          </w:p>
        </w:tc>
        <w:tc>
          <w:tcPr>
            <w:tcW w:w="185" w:type="pct"/>
            <w:shd w:val="clear" w:color="auto" w:fill="FFFFFF"/>
            <w:tcMar>
              <w:top w:w="0" w:type="dxa"/>
              <w:left w:w="0" w:type="dxa"/>
              <w:bottom w:w="0" w:type="dxa"/>
              <w:right w:w="0" w:type="dxa"/>
            </w:tcMar>
            <w:vAlign w:val="center"/>
          </w:tcPr>
          <w:p w14:paraId="551F11B4">
            <w:pPr>
              <w:pStyle w:val="30"/>
              <w:bidi w:val="0"/>
              <w:rPr>
                <w:color w:val="auto"/>
                <w:highlight w:val="none"/>
              </w:rPr>
            </w:pPr>
            <w:r>
              <w:rPr>
                <w:color w:val="auto"/>
                <w:highlight w:val="none"/>
              </w:rPr>
              <w:t>42.2</w:t>
            </w:r>
          </w:p>
        </w:tc>
        <w:tc>
          <w:tcPr>
            <w:tcW w:w="185" w:type="pct"/>
            <w:shd w:val="clear" w:color="auto" w:fill="FFFFFF"/>
            <w:tcMar>
              <w:top w:w="0" w:type="dxa"/>
              <w:left w:w="0" w:type="dxa"/>
              <w:bottom w:w="0" w:type="dxa"/>
              <w:right w:w="0" w:type="dxa"/>
            </w:tcMar>
            <w:vAlign w:val="center"/>
          </w:tcPr>
          <w:p w14:paraId="2050064D">
            <w:pPr>
              <w:pStyle w:val="30"/>
              <w:bidi w:val="0"/>
              <w:rPr>
                <w:color w:val="auto"/>
                <w:highlight w:val="none"/>
              </w:rPr>
            </w:pPr>
            <w:r>
              <w:rPr>
                <w:color w:val="auto"/>
                <w:highlight w:val="none"/>
              </w:rPr>
              <w:t>42.3</w:t>
            </w:r>
          </w:p>
        </w:tc>
        <w:tc>
          <w:tcPr>
            <w:tcW w:w="186" w:type="pct"/>
            <w:shd w:val="clear" w:color="auto" w:fill="FFFFFF"/>
            <w:tcMar>
              <w:top w:w="0" w:type="dxa"/>
              <w:left w:w="0" w:type="dxa"/>
              <w:bottom w:w="0" w:type="dxa"/>
              <w:right w:w="0" w:type="dxa"/>
            </w:tcMar>
            <w:vAlign w:val="center"/>
          </w:tcPr>
          <w:p w14:paraId="7DEBD4E4">
            <w:pPr>
              <w:pStyle w:val="30"/>
              <w:bidi w:val="0"/>
              <w:rPr>
                <w:color w:val="auto"/>
                <w:highlight w:val="none"/>
              </w:rPr>
            </w:pPr>
            <w:r>
              <w:rPr>
                <w:color w:val="auto"/>
                <w:highlight w:val="none"/>
              </w:rPr>
              <w:t>42.2</w:t>
            </w:r>
          </w:p>
        </w:tc>
        <w:tc>
          <w:tcPr>
            <w:tcW w:w="186" w:type="pct"/>
            <w:shd w:val="clear" w:color="auto" w:fill="FFFFFF"/>
            <w:tcMar>
              <w:top w:w="0" w:type="dxa"/>
              <w:left w:w="0" w:type="dxa"/>
              <w:bottom w:w="0" w:type="dxa"/>
              <w:right w:w="0" w:type="dxa"/>
            </w:tcMar>
            <w:vAlign w:val="center"/>
          </w:tcPr>
          <w:p w14:paraId="0C975383">
            <w:pPr>
              <w:pStyle w:val="30"/>
              <w:bidi w:val="0"/>
              <w:rPr>
                <w:color w:val="auto"/>
                <w:highlight w:val="none"/>
              </w:rPr>
            </w:pPr>
            <w:r>
              <w:rPr>
                <w:color w:val="auto"/>
                <w:highlight w:val="none"/>
              </w:rPr>
              <w:t>42.2</w:t>
            </w:r>
          </w:p>
        </w:tc>
        <w:tc>
          <w:tcPr>
            <w:tcW w:w="261" w:type="pct"/>
            <w:shd w:val="clear" w:color="auto" w:fill="FFFFFF"/>
            <w:tcMar>
              <w:top w:w="0" w:type="dxa"/>
              <w:left w:w="0" w:type="dxa"/>
              <w:bottom w:w="0" w:type="dxa"/>
              <w:right w:w="0" w:type="dxa"/>
            </w:tcMar>
            <w:vAlign w:val="center"/>
          </w:tcPr>
          <w:p w14:paraId="55044149">
            <w:pPr>
              <w:pStyle w:val="30"/>
              <w:bidi w:val="0"/>
              <w:rPr>
                <w:color w:val="auto"/>
                <w:highlight w:val="none"/>
              </w:rPr>
            </w:pPr>
            <w:r>
              <w:rPr>
                <w:color w:val="auto"/>
                <w:highlight w:val="none"/>
              </w:rPr>
              <w:t>1</w:t>
            </w:r>
          </w:p>
        </w:tc>
      </w:tr>
      <w:tr w14:paraId="0B72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5000" w:type="pct"/>
            <w:gridSpan w:val="26"/>
            <w:shd w:val="clear" w:color="auto" w:fill="FFFFFF"/>
            <w:tcMar>
              <w:top w:w="0" w:type="dxa"/>
              <w:left w:w="0" w:type="dxa"/>
              <w:bottom w:w="0" w:type="dxa"/>
              <w:right w:w="0" w:type="dxa"/>
            </w:tcMar>
            <w:vAlign w:val="center"/>
          </w:tcPr>
          <w:p w14:paraId="7FB67ED1">
            <w:pPr>
              <w:pStyle w:val="30"/>
              <w:bidi w:val="0"/>
              <w:jc w:val="both"/>
              <w:rPr>
                <w:color w:val="auto"/>
                <w:highlight w:val="none"/>
              </w:rPr>
            </w:pPr>
            <w:r>
              <w:rPr>
                <w:color w:val="auto"/>
                <w:highlight w:val="none"/>
              </w:rPr>
              <w:t>注：坐标原点为</w:t>
            </w:r>
            <w:r>
              <w:rPr>
                <w:rFonts w:hint="eastAsia"/>
                <w:color w:val="auto"/>
                <w:highlight w:val="none"/>
                <w:lang w:eastAsia="zh-CN"/>
              </w:rPr>
              <w:t>西侧地块</w:t>
            </w:r>
            <w:r>
              <w:rPr>
                <w:color w:val="auto"/>
                <w:highlight w:val="none"/>
              </w:rPr>
              <w:t>中心点，</w:t>
            </w:r>
            <w:r>
              <w:rPr>
                <w:rFonts w:hint="eastAsia"/>
                <w:color w:val="auto"/>
                <w:highlight w:val="none"/>
                <w:lang w:eastAsia="zh-CN"/>
              </w:rPr>
              <w:t>正东方向为</w:t>
            </w:r>
            <w:r>
              <w:rPr>
                <w:rFonts w:hint="eastAsia"/>
                <w:color w:val="auto"/>
                <w:highlight w:val="none"/>
                <w:lang w:val="en-US" w:eastAsia="zh-CN"/>
              </w:rPr>
              <w:t>X轴，正北方向为Y轴。</w:t>
            </w:r>
          </w:p>
        </w:tc>
      </w:tr>
      <w:bookmarkEnd w:id="32"/>
    </w:tbl>
    <w:p w14:paraId="3ECDAA05">
      <w:pPr>
        <w:jc w:val="center"/>
        <w:rPr>
          <w:rFonts w:hint="eastAsia"/>
          <w:color w:val="auto"/>
          <w:highlight w:val="none"/>
        </w:rPr>
      </w:pPr>
    </w:p>
    <w:p w14:paraId="36510745">
      <w:pPr>
        <w:jc w:val="center"/>
        <w:rPr>
          <w:rFonts w:hint="eastAsia"/>
          <w:color w:val="auto"/>
          <w:highlight w:val="none"/>
        </w:rPr>
        <w:sectPr>
          <w:pgSz w:w="16838" w:h="11906" w:orient="landscape"/>
          <w:pgMar w:top="1800" w:right="1440" w:bottom="1800" w:left="1440" w:header="851" w:footer="992" w:gutter="0"/>
          <w:cols w:space="425" w:num="1"/>
          <w:docGrid w:type="lines" w:linePitch="312" w:charSpace="0"/>
        </w:sectPr>
      </w:pPr>
    </w:p>
    <w:tbl>
      <w:tblPr>
        <w:tblStyle w:val="25"/>
        <w:tblW w:w="8558"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7830"/>
        <w:gridCol w:w="240"/>
      </w:tblGrid>
      <w:tr w14:paraId="07A0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9" w:hRule="atLeast"/>
        </w:trPr>
        <w:tc>
          <w:tcPr>
            <w:tcW w:w="488" w:type="dxa"/>
            <w:vAlign w:val="center"/>
          </w:tcPr>
          <w:p w14:paraId="01B92A9B">
            <w:pPr>
              <w:adjustRightInd w:val="0"/>
              <w:snapToGrid w:val="0"/>
              <w:spacing w:after="0"/>
              <w:jc w:val="center"/>
              <w:rPr>
                <w:rFonts w:ascii="Calibri" w:hAnsi="Calibri"/>
                <w:color w:val="auto"/>
                <w:kern w:val="2"/>
                <w:sz w:val="21"/>
                <w:szCs w:val="21"/>
                <w:highlight w:val="none"/>
              </w:rPr>
            </w:pPr>
            <w:r>
              <w:rPr>
                <w:rFonts w:ascii="Calibri" w:hAnsi="Calibri"/>
                <w:color w:val="auto"/>
                <w:kern w:val="2"/>
                <w:sz w:val="21"/>
                <w:szCs w:val="21"/>
                <w:highlight w:val="none"/>
              </w:rPr>
              <w:t>运营</w:t>
            </w:r>
          </w:p>
          <w:p w14:paraId="56789C5A">
            <w:pPr>
              <w:adjustRightInd w:val="0"/>
              <w:snapToGrid w:val="0"/>
              <w:spacing w:after="0"/>
              <w:jc w:val="center"/>
              <w:rPr>
                <w:rFonts w:ascii="Calibri" w:hAnsi="Calibri"/>
                <w:color w:val="auto"/>
                <w:kern w:val="2"/>
                <w:sz w:val="21"/>
                <w:szCs w:val="21"/>
                <w:highlight w:val="none"/>
              </w:rPr>
            </w:pPr>
            <w:r>
              <w:rPr>
                <w:rFonts w:ascii="Calibri" w:hAnsi="Calibri"/>
                <w:color w:val="auto"/>
                <w:kern w:val="2"/>
                <w:sz w:val="21"/>
                <w:szCs w:val="21"/>
                <w:highlight w:val="none"/>
              </w:rPr>
              <w:t>期环</w:t>
            </w:r>
          </w:p>
          <w:p w14:paraId="4D995114">
            <w:pPr>
              <w:adjustRightInd w:val="0"/>
              <w:snapToGrid w:val="0"/>
              <w:spacing w:after="0"/>
              <w:jc w:val="center"/>
              <w:rPr>
                <w:rFonts w:ascii="Calibri" w:hAnsi="Calibri"/>
                <w:color w:val="auto"/>
                <w:kern w:val="2"/>
                <w:sz w:val="21"/>
                <w:szCs w:val="21"/>
                <w:highlight w:val="none"/>
              </w:rPr>
            </w:pPr>
            <w:r>
              <w:rPr>
                <w:rFonts w:ascii="Calibri" w:hAnsi="Calibri"/>
                <w:color w:val="auto"/>
                <w:kern w:val="2"/>
                <w:sz w:val="21"/>
                <w:szCs w:val="21"/>
                <w:highlight w:val="none"/>
              </w:rPr>
              <w:t>境影</w:t>
            </w:r>
          </w:p>
          <w:p w14:paraId="67C94043">
            <w:pPr>
              <w:adjustRightInd w:val="0"/>
              <w:snapToGrid w:val="0"/>
              <w:spacing w:after="0"/>
              <w:jc w:val="center"/>
              <w:rPr>
                <w:rFonts w:ascii="Calibri" w:hAnsi="Calibri"/>
                <w:color w:val="auto"/>
                <w:kern w:val="2"/>
                <w:sz w:val="21"/>
                <w:szCs w:val="21"/>
                <w:highlight w:val="none"/>
              </w:rPr>
            </w:pPr>
            <w:r>
              <w:rPr>
                <w:rFonts w:ascii="Calibri" w:hAnsi="Calibri"/>
                <w:color w:val="auto"/>
                <w:kern w:val="2"/>
                <w:sz w:val="21"/>
                <w:szCs w:val="21"/>
                <w:highlight w:val="none"/>
              </w:rPr>
              <w:t>响和</w:t>
            </w:r>
          </w:p>
          <w:p w14:paraId="414513EB">
            <w:pPr>
              <w:adjustRightInd w:val="0"/>
              <w:snapToGrid w:val="0"/>
              <w:spacing w:after="0"/>
              <w:jc w:val="center"/>
              <w:rPr>
                <w:rFonts w:ascii="Calibri" w:hAnsi="Calibri"/>
                <w:color w:val="auto"/>
                <w:kern w:val="2"/>
                <w:sz w:val="21"/>
                <w:szCs w:val="21"/>
                <w:highlight w:val="none"/>
              </w:rPr>
            </w:pPr>
            <w:r>
              <w:rPr>
                <w:rFonts w:ascii="Calibri" w:hAnsi="Calibri"/>
                <w:color w:val="auto"/>
                <w:kern w:val="2"/>
                <w:sz w:val="21"/>
                <w:szCs w:val="21"/>
                <w:highlight w:val="none"/>
              </w:rPr>
              <w:t>保护</w:t>
            </w:r>
          </w:p>
          <w:p w14:paraId="35DEB948">
            <w:pPr>
              <w:jc w:val="center"/>
              <w:rPr>
                <w:color w:val="auto"/>
                <w:highlight w:val="none"/>
              </w:rPr>
            </w:pPr>
            <w:r>
              <w:rPr>
                <w:rFonts w:ascii="Calibri" w:hAnsi="Calibri"/>
                <w:color w:val="auto"/>
                <w:kern w:val="2"/>
                <w:sz w:val="21"/>
                <w:szCs w:val="21"/>
                <w:highlight w:val="none"/>
              </w:rPr>
              <w:t>措施</w:t>
            </w:r>
          </w:p>
        </w:tc>
        <w:tc>
          <w:tcPr>
            <w:tcW w:w="7830" w:type="dxa"/>
          </w:tcPr>
          <w:p w14:paraId="43B6FC10">
            <w:pPr>
              <w:pStyle w:val="6"/>
              <w:rPr>
                <w:color w:val="auto"/>
                <w:highlight w:val="none"/>
              </w:rPr>
            </w:pPr>
            <w:bookmarkStart w:id="34" w:name="OLE_LINK34"/>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rPr>
              <w:t xml:space="preserve"> </w:t>
            </w:r>
            <w:r>
              <w:rPr>
                <w:rFonts w:hint="eastAsia"/>
                <w:color w:val="auto"/>
                <w:highlight w:val="none"/>
                <w:lang w:eastAsia="zh-CN"/>
              </w:rPr>
              <w:t>本项目东侧地块</w:t>
            </w:r>
            <w:r>
              <w:rPr>
                <w:bCs/>
                <w:color w:val="auto"/>
                <w:szCs w:val="21"/>
                <w:highlight w:val="none"/>
              </w:rPr>
              <w:t>工业企业噪声源强调查清单</w:t>
            </w:r>
            <w:r>
              <w:rPr>
                <w:rFonts w:hint="eastAsia"/>
                <w:color w:val="auto"/>
                <w:highlight w:val="none"/>
              </w:rPr>
              <w:t>（室外声源）</w:t>
            </w:r>
          </w:p>
          <w:bookmarkEnd w:id="34"/>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29"/>
              <w:gridCol w:w="1417"/>
              <w:gridCol w:w="864"/>
              <w:gridCol w:w="656"/>
              <w:gridCol w:w="645"/>
              <w:gridCol w:w="1338"/>
              <w:gridCol w:w="1092"/>
              <w:gridCol w:w="751"/>
            </w:tblGrid>
            <w:tr w14:paraId="5C83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6" w:type="dxa"/>
                  <w:vMerge w:val="restart"/>
                  <w:vAlign w:val="center"/>
                </w:tcPr>
                <w:p w14:paraId="2C2A853C">
                  <w:pPr>
                    <w:pStyle w:val="30"/>
                    <w:rPr>
                      <w:color w:val="auto"/>
                      <w:highlight w:val="none"/>
                    </w:rPr>
                  </w:pPr>
                  <w:r>
                    <w:rPr>
                      <w:color w:val="auto"/>
                      <w:highlight w:val="none"/>
                    </w:rPr>
                    <w:t>序号</w:t>
                  </w:r>
                </w:p>
              </w:tc>
              <w:tc>
                <w:tcPr>
                  <w:tcW w:w="1846" w:type="dxa"/>
                  <w:gridSpan w:val="2"/>
                  <w:vMerge w:val="restart"/>
                  <w:vAlign w:val="center"/>
                </w:tcPr>
                <w:p w14:paraId="10C2286C">
                  <w:pPr>
                    <w:pStyle w:val="30"/>
                    <w:rPr>
                      <w:color w:val="auto"/>
                      <w:highlight w:val="none"/>
                    </w:rPr>
                  </w:pPr>
                  <w:r>
                    <w:rPr>
                      <w:color w:val="auto"/>
                      <w:highlight w:val="none"/>
                    </w:rPr>
                    <w:t>声源名称</w:t>
                  </w:r>
                </w:p>
              </w:tc>
              <w:tc>
                <w:tcPr>
                  <w:tcW w:w="2165" w:type="dxa"/>
                  <w:gridSpan w:val="3"/>
                  <w:vAlign w:val="center"/>
                </w:tcPr>
                <w:p w14:paraId="45BCD25F">
                  <w:pPr>
                    <w:pStyle w:val="30"/>
                    <w:rPr>
                      <w:color w:val="auto"/>
                      <w:highlight w:val="none"/>
                    </w:rPr>
                  </w:pPr>
                  <w:r>
                    <w:rPr>
                      <w:color w:val="auto"/>
                      <w:highlight w:val="none"/>
                    </w:rPr>
                    <w:t>空间相对位置</w:t>
                  </w:r>
                </w:p>
              </w:tc>
              <w:tc>
                <w:tcPr>
                  <w:tcW w:w="1338" w:type="dxa"/>
                  <w:vMerge w:val="restart"/>
                  <w:vAlign w:val="center"/>
                </w:tcPr>
                <w:p w14:paraId="2C77441C">
                  <w:pPr>
                    <w:pStyle w:val="30"/>
                    <w:rPr>
                      <w:color w:val="auto"/>
                      <w:highlight w:val="none"/>
                    </w:rPr>
                  </w:pPr>
                  <w:r>
                    <w:rPr>
                      <w:color w:val="auto"/>
                      <w:highlight w:val="none"/>
                    </w:rPr>
                    <w:t>声功率级/dB（A）</w:t>
                  </w:r>
                </w:p>
              </w:tc>
              <w:tc>
                <w:tcPr>
                  <w:tcW w:w="1092" w:type="dxa"/>
                  <w:vMerge w:val="restart"/>
                  <w:vAlign w:val="center"/>
                </w:tcPr>
                <w:p w14:paraId="2DB70034">
                  <w:pPr>
                    <w:pStyle w:val="30"/>
                    <w:rPr>
                      <w:color w:val="auto"/>
                      <w:highlight w:val="none"/>
                    </w:rPr>
                  </w:pPr>
                  <w:r>
                    <w:rPr>
                      <w:color w:val="auto"/>
                      <w:highlight w:val="none"/>
                    </w:rPr>
                    <w:t>声源控制措施</w:t>
                  </w:r>
                </w:p>
              </w:tc>
              <w:tc>
                <w:tcPr>
                  <w:tcW w:w="751" w:type="dxa"/>
                  <w:vMerge w:val="restart"/>
                  <w:vAlign w:val="center"/>
                </w:tcPr>
                <w:p w14:paraId="4C51121F">
                  <w:pPr>
                    <w:pStyle w:val="30"/>
                    <w:rPr>
                      <w:color w:val="auto"/>
                      <w:highlight w:val="none"/>
                    </w:rPr>
                  </w:pPr>
                  <w:r>
                    <w:rPr>
                      <w:color w:val="auto"/>
                      <w:highlight w:val="none"/>
                    </w:rPr>
                    <w:t>运行时段</w:t>
                  </w:r>
                </w:p>
              </w:tc>
            </w:tr>
            <w:tr w14:paraId="6F58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6" w:type="dxa"/>
                  <w:vMerge w:val="continue"/>
                  <w:vAlign w:val="center"/>
                </w:tcPr>
                <w:p w14:paraId="47F7B3AF">
                  <w:pPr>
                    <w:pStyle w:val="30"/>
                    <w:rPr>
                      <w:color w:val="auto"/>
                      <w:highlight w:val="none"/>
                    </w:rPr>
                  </w:pPr>
                </w:p>
              </w:tc>
              <w:tc>
                <w:tcPr>
                  <w:tcW w:w="1846" w:type="dxa"/>
                  <w:gridSpan w:val="2"/>
                  <w:vMerge w:val="continue"/>
                  <w:vAlign w:val="center"/>
                </w:tcPr>
                <w:p w14:paraId="2EFD660B">
                  <w:pPr>
                    <w:pStyle w:val="30"/>
                    <w:rPr>
                      <w:color w:val="auto"/>
                      <w:highlight w:val="none"/>
                    </w:rPr>
                  </w:pPr>
                </w:p>
              </w:tc>
              <w:tc>
                <w:tcPr>
                  <w:tcW w:w="864" w:type="dxa"/>
                  <w:vAlign w:val="center"/>
                </w:tcPr>
                <w:p w14:paraId="2ED19705">
                  <w:pPr>
                    <w:pStyle w:val="30"/>
                    <w:rPr>
                      <w:color w:val="auto"/>
                      <w:highlight w:val="none"/>
                    </w:rPr>
                  </w:pPr>
                  <w:r>
                    <w:rPr>
                      <w:color w:val="auto"/>
                      <w:highlight w:val="none"/>
                    </w:rPr>
                    <w:t>X</w:t>
                  </w:r>
                </w:p>
              </w:tc>
              <w:tc>
                <w:tcPr>
                  <w:tcW w:w="656" w:type="dxa"/>
                  <w:vAlign w:val="center"/>
                </w:tcPr>
                <w:p w14:paraId="390FA6B1">
                  <w:pPr>
                    <w:pStyle w:val="30"/>
                    <w:rPr>
                      <w:color w:val="auto"/>
                      <w:highlight w:val="none"/>
                    </w:rPr>
                  </w:pPr>
                  <w:r>
                    <w:rPr>
                      <w:color w:val="auto"/>
                      <w:highlight w:val="none"/>
                    </w:rPr>
                    <w:t>Y</w:t>
                  </w:r>
                </w:p>
              </w:tc>
              <w:tc>
                <w:tcPr>
                  <w:tcW w:w="645" w:type="dxa"/>
                  <w:vAlign w:val="center"/>
                </w:tcPr>
                <w:p w14:paraId="1CC2D1DD">
                  <w:pPr>
                    <w:pStyle w:val="30"/>
                    <w:rPr>
                      <w:color w:val="auto"/>
                      <w:highlight w:val="none"/>
                    </w:rPr>
                  </w:pPr>
                  <w:r>
                    <w:rPr>
                      <w:color w:val="auto"/>
                      <w:highlight w:val="none"/>
                    </w:rPr>
                    <w:t>Z</w:t>
                  </w:r>
                </w:p>
              </w:tc>
              <w:tc>
                <w:tcPr>
                  <w:tcW w:w="1338" w:type="dxa"/>
                  <w:vMerge w:val="continue"/>
                  <w:vAlign w:val="center"/>
                </w:tcPr>
                <w:p w14:paraId="79BD300B">
                  <w:pPr>
                    <w:pStyle w:val="30"/>
                    <w:rPr>
                      <w:color w:val="auto"/>
                      <w:highlight w:val="none"/>
                    </w:rPr>
                  </w:pPr>
                </w:p>
              </w:tc>
              <w:tc>
                <w:tcPr>
                  <w:tcW w:w="1092" w:type="dxa"/>
                  <w:vMerge w:val="continue"/>
                  <w:vAlign w:val="center"/>
                </w:tcPr>
                <w:p w14:paraId="1C5F6B4A">
                  <w:pPr>
                    <w:pStyle w:val="30"/>
                    <w:rPr>
                      <w:color w:val="auto"/>
                      <w:highlight w:val="none"/>
                    </w:rPr>
                  </w:pPr>
                </w:p>
              </w:tc>
              <w:tc>
                <w:tcPr>
                  <w:tcW w:w="751" w:type="dxa"/>
                  <w:vMerge w:val="continue"/>
                  <w:vAlign w:val="center"/>
                </w:tcPr>
                <w:p w14:paraId="57B4799C">
                  <w:pPr>
                    <w:pStyle w:val="30"/>
                    <w:rPr>
                      <w:color w:val="auto"/>
                      <w:highlight w:val="none"/>
                    </w:rPr>
                  </w:pPr>
                </w:p>
              </w:tc>
            </w:tr>
            <w:tr w14:paraId="4159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dxa"/>
                  <w:shd w:val="clear" w:color="auto" w:fill="auto"/>
                  <w:vAlign w:val="center"/>
                </w:tcPr>
                <w:p w14:paraId="102F098D">
                  <w:pPr>
                    <w:pStyle w:val="30"/>
                    <w:rPr>
                      <w:color w:val="auto"/>
                      <w:highlight w:val="none"/>
                    </w:rPr>
                  </w:pPr>
                  <w:r>
                    <w:rPr>
                      <w:color w:val="auto"/>
                      <w:highlight w:val="none"/>
                    </w:rPr>
                    <w:t>1</w:t>
                  </w:r>
                </w:p>
              </w:tc>
              <w:tc>
                <w:tcPr>
                  <w:tcW w:w="1846" w:type="dxa"/>
                  <w:gridSpan w:val="2"/>
                  <w:vAlign w:val="center"/>
                </w:tcPr>
                <w:p w14:paraId="0DCE7F95">
                  <w:pPr>
                    <w:pStyle w:val="30"/>
                    <w:rPr>
                      <w:color w:val="auto"/>
                      <w:highlight w:val="none"/>
                    </w:rPr>
                  </w:pPr>
                  <w:r>
                    <w:rPr>
                      <w:rFonts w:hint="eastAsia"/>
                      <w:color w:val="auto"/>
                      <w:highlight w:val="none"/>
                    </w:rPr>
                    <w:t>进出车辆</w:t>
                  </w:r>
                </w:p>
              </w:tc>
              <w:tc>
                <w:tcPr>
                  <w:tcW w:w="2165" w:type="dxa"/>
                  <w:gridSpan w:val="3"/>
                  <w:vAlign w:val="center"/>
                </w:tcPr>
                <w:p w14:paraId="503B1BAC">
                  <w:pPr>
                    <w:pStyle w:val="30"/>
                    <w:rPr>
                      <w:color w:val="auto"/>
                      <w:highlight w:val="none"/>
                    </w:rPr>
                  </w:pPr>
                  <w:r>
                    <w:rPr>
                      <w:rFonts w:hint="eastAsia"/>
                      <w:color w:val="auto"/>
                      <w:highlight w:val="none"/>
                    </w:rPr>
                    <w:t>/</w:t>
                  </w:r>
                </w:p>
              </w:tc>
              <w:tc>
                <w:tcPr>
                  <w:tcW w:w="1338" w:type="dxa"/>
                  <w:vAlign w:val="center"/>
                </w:tcPr>
                <w:p w14:paraId="17B9A2FB">
                  <w:pPr>
                    <w:pStyle w:val="30"/>
                    <w:rPr>
                      <w:rFonts w:hint="default"/>
                      <w:color w:val="auto"/>
                      <w:highlight w:val="none"/>
                      <w:lang w:val="en-US"/>
                    </w:rPr>
                  </w:pPr>
                  <w:r>
                    <w:rPr>
                      <w:rFonts w:hint="eastAsia"/>
                      <w:color w:val="auto"/>
                      <w:highlight w:val="none"/>
                      <w:lang w:val="en-US" w:eastAsia="zh-CN"/>
                    </w:rPr>
                    <w:t>80</w:t>
                  </w:r>
                </w:p>
              </w:tc>
              <w:tc>
                <w:tcPr>
                  <w:tcW w:w="1092" w:type="dxa"/>
                  <w:vMerge w:val="restart"/>
                  <w:vAlign w:val="center"/>
                </w:tcPr>
                <w:p w14:paraId="4CBD523A">
                  <w:pPr>
                    <w:pStyle w:val="30"/>
                    <w:rPr>
                      <w:color w:val="auto"/>
                      <w:highlight w:val="none"/>
                    </w:rPr>
                  </w:pPr>
                  <w:r>
                    <w:rPr>
                      <w:color w:val="auto"/>
                      <w:highlight w:val="none"/>
                    </w:rPr>
                    <w:t>基础减震，优化平面布局</w:t>
                  </w:r>
                </w:p>
              </w:tc>
              <w:tc>
                <w:tcPr>
                  <w:tcW w:w="751" w:type="dxa"/>
                  <w:vAlign w:val="center"/>
                </w:tcPr>
                <w:p w14:paraId="2C93FEA9">
                  <w:pPr>
                    <w:pStyle w:val="30"/>
                    <w:rPr>
                      <w:color w:val="auto"/>
                      <w:highlight w:val="none"/>
                    </w:rPr>
                  </w:pPr>
                  <w:r>
                    <w:rPr>
                      <w:rFonts w:hint="eastAsia"/>
                      <w:color w:val="auto"/>
                      <w:highlight w:val="none"/>
                    </w:rPr>
                    <w:t>连续</w:t>
                  </w:r>
                </w:p>
              </w:tc>
            </w:tr>
            <w:tr w14:paraId="6888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dxa"/>
                  <w:shd w:val="clear" w:color="auto" w:fill="auto"/>
                  <w:vAlign w:val="center"/>
                </w:tcPr>
                <w:p w14:paraId="036545A7">
                  <w:pPr>
                    <w:pStyle w:val="30"/>
                    <w:rPr>
                      <w:color w:val="auto"/>
                      <w:highlight w:val="none"/>
                    </w:rPr>
                  </w:pPr>
                  <w:r>
                    <w:rPr>
                      <w:color w:val="auto"/>
                      <w:highlight w:val="none"/>
                    </w:rPr>
                    <w:t>2</w:t>
                  </w:r>
                </w:p>
              </w:tc>
              <w:tc>
                <w:tcPr>
                  <w:tcW w:w="429" w:type="dxa"/>
                  <w:vMerge w:val="restart"/>
                  <w:vAlign w:val="center"/>
                </w:tcPr>
                <w:p w14:paraId="35139839">
                  <w:pPr>
                    <w:pStyle w:val="30"/>
                    <w:rPr>
                      <w:color w:val="auto"/>
                      <w:highlight w:val="none"/>
                    </w:rPr>
                  </w:pPr>
                  <w:r>
                    <w:rPr>
                      <w:rFonts w:hint="eastAsia"/>
                      <w:color w:val="auto"/>
                      <w:highlight w:val="none"/>
                      <w:lang w:eastAsia="zh-CN"/>
                    </w:rPr>
                    <w:t>内部</w:t>
                  </w:r>
                  <w:r>
                    <w:rPr>
                      <w:rFonts w:hint="eastAsia"/>
                      <w:color w:val="auto"/>
                      <w:highlight w:val="none"/>
                    </w:rPr>
                    <w:t>综合能源站</w:t>
                  </w:r>
                </w:p>
              </w:tc>
              <w:tc>
                <w:tcPr>
                  <w:tcW w:w="1417" w:type="dxa"/>
                  <w:vAlign w:val="center"/>
                </w:tcPr>
                <w:p w14:paraId="7446B639">
                  <w:pPr>
                    <w:pStyle w:val="30"/>
                    <w:bidi w:val="0"/>
                    <w:rPr>
                      <w:color w:val="auto"/>
                      <w:highlight w:val="none"/>
                    </w:rPr>
                  </w:pPr>
                  <w:r>
                    <w:rPr>
                      <w:color w:val="auto"/>
                      <w:highlight w:val="none"/>
                    </w:rPr>
                    <w:t>加油机1</w:t>
                  </w:r>
                </w:p>
              </w:tc>
              <w:tc>
                <w:tcPr>
                  <w:tcW w:w="864" w:type="dxa"/>
                  <w:vAlign w:val="center"/>
                </w:tcPr>
                <w:p w14:paraId="7E863953">
                  <w:pPr>
                    <w:pStyle w:val="30"/>
                    <w:bidi w:val="0"/>
                    <w:rPr>
                      <w:rFonts w:hint="default"/>
                      <w:color w:val="auto"/>
                      <w:highlight w:val="none"/>
                      <w:lang w:val="en-US" w:eastAsia="zh-CN"/>
                    </w:rPr>
                  </w:pPr>
                  <w:r>
                    <w:rPr>
                      <w:color w:val="auto"/>
                      <w:highlight w:val="none"/>
                    </w:rPr>
                    <w:t>-5.5</w:t>
                  </w:r>
                </w:p>
              </w:tc>
              <w:tc>
                <w:tcPr>
                  <w:tcW w:w="656" w:type="dxa"/>
                  <w:vAlign w:val="center"/>
                </w:tcPr>
                <w:p w14:paraId="3D949604">
                  <w:pPr>
                    <w:pStyle w:val="30"/>
                    <w:bidi w:val="0"/>
                    <w:rPr>
                      <w:rFonts w:hint="default"/>
                      <w:color w:val="auto"/>
                      <w:highlight w:val="none"/>
                      <w:lang w:val="en-US" w:eastAsia="zh-CN"/>
                    </w:rPr>
                  </w:pPr>
                  <w:r>
                    <w:rPr>
                      <w:color w:val="auto"/>
                      <w:highlight w:val="none"/>
                    </w:rPr>
                    <w:t>60.6</w:t>
                  </w:r>
                </w:p>
              </w:tc>
              <w:tc>
                <w:tcPr>
                  <w:tcW w:w="645" w:type="dxa"/>
                  <w:vAlign w:val="center"/>
                </w:tcPr>
                <w:p w14:paraId="0D2CC86F">
                  <w:pPr>
                    <w:pStyle w:val="30"/>
                    <w:bidi w:val="0"/>
                    <w:rPr>
                      <w:color w:val="auto"/>
                      <w:highlight w:val="none"/>
                    </w:rPr>
                  </w:pPr>
                  <w:r>
                    <w:rPr>
                      <w:rFonts w:hint="eastAsia"/>
                      <w:color w:val="auto"/>
                      <w:highlight w:val="none"/>
                    </w:rPr>
                    <w:t>2</w:t>
                  </w:r>
                </w:p>
              </w:tc>
              <w:tc>
                <w:tcPr>
                  <w:tcW w:w="1338" w:type="dxa"/>
                  <w:vAlign w:val="center"/>
                </w:tcPr>
                <w:p w14:paraId="2FC7E1CE">
                  <w:pPr>
                    <w:pStyle w:val="30"/>
                    <w:bidi w:val="0"/>
                    <w:rPr>
                      <w:rFonts w:hint="default"/>
                      <w:color w:val="auto"/>
                      <w:highlight w:val="none"/>
                      <w:lang w:val="en-US" w:eastAsia="zh-CN"/>
                    </w:rPr>
                  </w:pPr>
                  <w:r>
                    <w:rPr>
                      <w:rFonts w:hint="eastAsia"/>
                      <w:color w:val="auto"/>
                      <w:highlight w:val="none"/>
                      <w:lang w:val="en-US" w:eastAsia="zh-CN"/>
                    </w:rPr>
                    <w:t>70</w:t>
                  </w:r>
                </w:p>
              </w:tc>
              <w:tc>
                <w:tcPr>
                  <w:tcW w:w="1092" w:type="dxa"/>
                  <w:vMerge w:val="continue"/>
                  <w:vAlign w:val="center"/>
                </w:tcPr>
                <w:p w14:paraId="4F03DE7F">
                  <w:pPr>
                    <w:pStyle w:val="30"/>
                    <w:rPr>
                      <w:color w:val="auto"/>
                      <w:highlight w:val="none"/>
                    </w:rPr>
                  </w:pPr>
                </w:p>
              </w:tc>
              <w:tc>
                <w:tcPr>
                  <w:tcW w:w="751" w:type="dxa"/>
                  <w:vAlign w:val="center"/>
                </w:tcPr>
                <w:p w14:paraId="000F8DC0">
                  <w:pPr>
                    <w:pStyle w:val="30"/>
                    <w:rPr>
                      <w:color w:val="auto"/>
                      <w:highlight w:val="none"/>
                    </w:rPr>
                  </w:pPr>
                  <w:r>
                    <w:rPr>
                      <w:color w:val="auto"/>
                      <w:highlight w:val="none"/>
                    </w:rPr>
                    <w:t>连续</w:t>
                  </w:r>
                </w:p>
              </w:tc>
            </w:tr>
            <w:tr w14:paraId="1649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dxa"/>
                  <w:shd w:val="clear" w:color="auto" w:fill="auto"/>
                  <w:vAlign w:val="center"/>
                </w:tcPr>
                <w:p w14:paraId="75EBD2C0">
                  <w:pPr>
                    <w:pStyle w:val="30"/>
                    <w:rPr>
                      <w:color w:val="auto"/>
                      <w:highlight w:val="none"/>
                    </w:rPr>
                  </w:pPr>
                  <w:r>
                    <w:rPr>
                      <w:color w:val="auto"/>
                      <w:highlight w:val="none"/>
                    </w:rPr>
                    <w:t>3</w:t>
                  </w:r>
                </w:p>
              </w:tc>
              <w:tc>
                <w:tcPr>
                  <w:tcW w:w="429" w:type="dxa"/>
                  <w:vMerge w:val="continue"/>
                  <w:vAlign w:val="center"/>
                </w:tcPr>
                <w:p w14:paraId="4E5340CD">
                  <w:pPr>
                    <w:pStyle w:val="30"/>
                    <w:rPr>
                      <w:color w:val="auto"/>
                      <w:highlight w:val="none"/>
                    </w:rPr>
                  </w:pPr>
                </w:p>
              </w:tc>
              <w:tc>
                <w:tcPr>
                  <w:tcW w:w="1417" w:type="dxa"/>
                  <w:vAlign w:val="center"/>
                </w:tcPr>
                <w:p w14:paraId="2B7F5D1E">
                  <w:pPr>
                    <w:pStyle w:val="30"/>
                    <w:bidi w:val="0"/>
                    <w:rPr>
                      <w:color w:val="auto"/>
                      <w:highlight w:val="none"/>
                    </w:rPr>
                  </w:pPr>
                  <w:r>
                    <w:rPr>
                      <w:color w:val="auto"/>
                      <w:highlight w:val="none"/>
                    </w:rPr>
                    <w:t>加油机2</w:t>
                  </w:r>
                </w:p>
              </w:tc>
              <w:tc>
                <w:tcPr>
                  <w:tcW w:w="864" w:type="dxa"/>
                  <w:vAlign w:val="center"/>
                </w:tcPr>
                <w:p w14:paraId="632F9CD7">
                  <w:pPr>
                    <w:pStyle w:val="30"/>
                    <w:bidi w:val="0"/>
                    <w:rPr>
                      <w:rFonts w:hint="default"/>
                      <w:color w:val="auto"/>
                      <w:highlight w:val="none"/>
                      <w:lang w:val="en-US" w:eastAsia="zh-CN"/>
                    </w:rPr>
                  </w:pPr>
                  <w:r>
                    <w:rPr>
                      <w:color w:val="auto"/>
                      <w:highlight w:val="none"/>
                    </w:rPr>
                    <w:t>-8</w:t>
                  </w:r>
                </w:p>
              </w:tc>
              <w:tc>
                <w:tcPr>
                  <w:tcW w:w="656" w:type="dxa"/>
                  <w:vAlign w:val="center"/>
                </w:tcPr>
                <w:p w14:paraId="7FA989EF">
                  <w:pPr>
                    <w:pStyle w:val="30"/>
                    <w:bidi w:val="0"/>
                    <w:rPr>
                      <w:rFonts w:hint="default"/>
                      <w:color w:val="auto"/>
                      <w:highlight w:val="none"/>
                      <w:lang w:val="en-US" w:eastAsia="zh-CN"/>
                    </w:rPr>
                  </w:pPr>
                  <w:r>
                    <w:rPr>
                      <w:color w:val="auto"/>
                      <w:highlight w:val="none"/>
                    </w:rPr>
                    <w:t>54.8</w:t>
                  </w:r>
                </w:p>
              </w:tc>
              <w:tc>
                <w:tcPr>
                  <w:tcW w:w="645" w:type="dxa"/>
                  <w:vAlign w:val="center"/>
                </w:tcPr>
                <w:p w14:paraId="623FC380">
                  <w:pPr>
                    <w:pStyle w:val="30"/>
                    <w:bidi w:val="0"/>
                    <w:rPr>
                      <w:color w:val="auto"/>
                      <w:highlight w:val="none"/>
                    </w:rPr>
                  </w:pPr>
                  <w:r>
                    <w:rPr>
                      <w:rFonts w:hint="eastAsia"/>
                      <w:color w:val="auto"/>
                      <w:highlight w:val="none"/>
                    </w:rPr>
                    <w:t>2</w:t>
                  </w:r>
                </w:p>
              </w:tc>
              <w:tc>
                <w:tcPr>
                  <w:tcW w:w="1338" w:type="dxa"/>
                  <w:vAlign w:val="center"/>
                </w:tcPr>
                <w:p w14:paraId="6DBF03E1">
                  <w:pPr>
                    <w:pStyle w:val="30"/>
                    <w:bidi w:val="0"/>
                    <w:rPr>
                      <w:color w:val="auto"/>
                      <w:highlight w:val="none"/>
                    </w:rPr>
                  </w:pPr>
                  <w:r>
                    <w:rPr>
                      <w:rFonts w:hint="eastAsia"/>
                      <w:color w:val="auto"/>
                      <w:highlight w:val="none"/>
                      <w:lang w:val="en-US" w:eastAsia="zh-CN"/>
                    </w:rPr>
                    <w:t>70</w:t>
                  </w:r>
                </w:p>
              </w:tc>
              <w:tc>
                <w:tcPr>
                  <w:tcW w:w="1092" w:type="dxa"/>
                  <w:vMerge w:val="continue"/>
                  <w:vAlign w:val="center"/>
                </w:tcPr>
                <w:p w14:paraId="22A0999F">
                  <w:pPr>
                    <w:pStyle w:val="30"/>
                    <w:rPr>
                      <w:color w:val="auto"/>
                      <w:highlight w:val="none"/>
                    </w:rPr>
                  </w:pPr>
                </w:p>
              </w:tc>
              <w:tc>
                <w:tcPr>
                  <w:tcW w:w="751" w:type="dxa"/>
                  <w:vAlign w:val="center"/>
                </w:tcPr>
                <w:p w14:paraId="76909228">
                  <w:pPr>
                    <w:pStyle w:val="30"/>
                    <w:rPr>
                      <w:color w:val="auto"/>
                      <w:highlight w:val="none"/>
                    </w:rPr>
                  </w:pPr>
                  <w:r>
                    <w:rPr>
                      <w:color w:val="auto"/>
                      <w:highlight w:val="none"/>
                    </w:rPr>
                    <w:t>连续</w:t>
                  </w:r>
                </w:p>
              </w:tc>
            </w:tr>
            <w:tr w14:paraId="3B31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dxa"/>
                  <w:shd w:val="clear" w:color="auto" w:fill="auto"/>
                  <w:vAlign w:val="center"/>
                </w:tcPr>
                <w:p w14:paraId="7D5B700A">
                  <w:pPr>
                    <w:pStyle w:val="30"/>
                    <w:rPr>
                      <w:color w:val="auto"/>
                      <w:highlight w:val="none"/>
                    </w:rPr>
                  </w:pPr>
                  <w:r>
                    <w:rPr>
                      <w:rFonts w:hint="eastAsia"/>
                      <w:color w:val="auto"/>
                      <w:highlight w:val="none"/>
                    </w:rPr>
                    <w:t>4</w:t>
                  </w:r>
                </w:p>
              </w:tc>
              <w:tc>
                <w:tcPr>
                  <w:tcW w:w="429" w:type="dxa"/>
                  <w:vMerge w:val="continue"/>
                  <w:vAlign w:val="center"/>
                </w:tcPr>
                <w:p w14:paraId="1E0E4B0D">
                  <w:pPr>
                    <w:pStyle w:val="30"/>
                    <w:rPr>
                      <w:color w:val="auto"/>
                      <w:highlight w:val="none"/>
                    </w:rPr>
                  </w:pPr>
                </w:p>
              </w:tc>
              <w:tc>
                <w:tcPr>
                  <w:tcW w:w="1417" w:type="dxa"/>
                  <w:vAlign w:val="center"/>
                </w:tcPr>
                <w:p w14:paraId="383BD372">
                  <w:pPr>
                    <w:pStyle w:val="30"/>
                    <w:bidi w:val="0"/>
                    <w:rPr>
                      <w:color w:val="auto"/>
                      <w:highlight w:val="none"/>
                    </w:rPr>
                  </w:pPr>
                  <w:r>
                    <w:rPr>
                      <w:color w:val="auto"/>
                      <w:highlight w:val="none"/>
                    </w:rPr>
                    <w:t>加油机3</w:t>
                  </w:r>
                </w:p>
              </w:tc>
              <w:tc>
                <w:tcPr>
                  <w:tcW w:w="864" w:type="dxa"/>
                  <w:vAlign w:val="center"/>
                </w:tcPr>
                <w:p w14:paraId="04E602A9">
                  <w:pPr>
                    <w:pStyle w:val="30"/>
                    <w:bidi w:val="0"/>
                    <w:rPr>
                      <w:rFonts w:hint="default"/>
                      <w:color w:val="auto"/>
                      <w:highlight w:val="none"/>
                      <w:lang w:val="en-US" w:eastAsia="zh-CN"/>
                    </w:rPr>
                  </w:pPr>
                  <w:r>
                    <w:rPr>
                      <w:color w:val="auto"/>
                      <w:highlight w:val="none"/>
                    </w:rPr>
                    <w:t>-3.8</w:t>
                  </w:r>
                </w:p>
              </w:tc>
              <w:tc>
                <w:tcPr>
                  <w:tcW w:w="656" w:type="dxa"/>
                  <w:vAlign w:val="center"/>
                </w:tcPr>
                <w:p w14:paraId="44B56A72">
                  <w:pPr>
                    <w:pStyle w:val="30"/>
                    <w:bidi w:val="0"/>
                    <w:rPr>
                      <w:rFonts w:hint="default"/>
                      <w:color w:val="auto"/>
                      <w:highlight w:val="none"/>
                      <w:lang w:val="en-US" w:eastAsia="zh-CN"/>
                    </w:rPr>
                  </w:pPr>
                  <w:r>
                    <w:rPr>
                      <w:color w:val="auto"/>
                      <w:highlight w:val="none"/>
                    </w:rPr>
                    <w:t>53.6</w:t>
                  </w:r>
                </w:p>
              </w:tc>
              <w:tc>
                <w:tcPr>
                  <w:tcW w:w="645" w:type="dxa"/>
                  <w:vAlign w:val="center"/>
                </w:tcPr>
                <w:p w14:paraId="5629655B">
                  <w:pPr>
                    <w:pStyle w:val="30"/>
                    <w:bidi w:val="0"/>
                    <w:rPr>
                      <w:color w:val="auto"/>
                      <w:highlight w:val="none"/>
                    </w:rPr>
                  </w:pPr>
                  <w:r>
                    <w:rPr>
                      <w:rFonts w:hint="eastAsia"/>
                      <w:color w:val="auto"/>
                      <w:highlight w:val="none"/>
                    </w:rPr>
                    <w:t>2</w:t>
                  </w:r>
                </w:p>
              </w:tc>
              <w:tc>
                <w:tcPr>
                  <w:tcW w:w="1338" w:type="dxa"/>
                  <w:vAlign w:val="center"/>
                </w:tcPr>
                <w:p w14:paraId="09F4AB6F">
                  <w:pPr>
                    <w:pStyle w:val="30"/>
                    <w:bidi w:val="0"/>
                    <w:rPr>
                      <w:color w:val="auto"/>
                      <w:highlight w:val="none"/>
                    </w:rPr>
                  </w:pPr>
                  <w:r>
                    <w:rPr>
                      <w:rFonts w:hint="eastAsia"/>
                      <w:color w:val="auto"/>
                      <w:highlight w:val="none"/>
                      <w:lang w:val="en-US" w:eastAsia="zh-CN"/>
                    </w:rPr>
                    <w:t>70</w:t>
                  </w:r>
                </w:p>
              </w:tc>
              <w:tc>
                <w:tcPr>
                  <w:tcW w:w="1092" w:type="dxa"/>
                  <w:vMerge w:val="continue"/>
                  <w:vAlign w:val="center"/>
                </w:tcPr>
                <w:p w14:paraId="6B764064">
                  <w:pPr>
                    <w:pStyle w:val="30"/>
                    <w:rPr>
                      <w:color w:val="auto"/>
                      <w:highlight w:val="none"/>
                    </w:rPr>
                  </w:pPr>
                </w:p>
              </w:tc>
              <w:tc>
                <w:tcPr>
                  <w:tcW w:w="751" w:type="dxa"/>
                  <w:vAlign w:val="center"/>
                </w:tcPr>
                <w:p w14:paraId="134E8AD6">
                  <w:pPr>
                    <w:pStyle w:val="30"/>
                    <w:rPr>
                      <w:color w:val="auto"/>
                      <w:highlight w:val="none"/>
                    </w:rPr>
                  </w:pPr>
                  <w:r>
                    <w:rPr>
                      <w:color w:val="auto"/>
                      <w:highlight w:val="none"/>
                    </w:rPr>
                    <w:t>连续</w:t>
                  </w:r>
                </w:p>
              </w:tc>
            </w:tr>
            <w:tr w14:paraId="3DA2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dxa"/>
                  <w:shd w:val="clear" w:color="auto" w:fill="auto"/>
                  <w:vAlign w:val="center"/>
                </w:tcPr>
                <w:p w14:paraId="66D2B898">
                  <w:pPr>
                    <w:pStyle w:val="30"/>
                    <w:rPr>
                      <w:color w:val="auto"/>
                      <w:highlight w:val="none"/>
                    </w:rPr>
                  </w:pPr>
                  <w:r>
                    <w:rPr>
                      <w:rFonts w:hint="eastAsia"/>
                      <w:color w:val="auto"/>
                      <w:highlight w:val="none"/>
                    </w:rPr>
                    <w:t>5</w:t>
                  </w:r>
                </w:p>
              </w:tc>
              <w:tc>
                <w:tcPr>
                  <w:tcW w:w="429" w:type="dxa"/>
                  <w:vMerge w:val="continue"/>
                  <w:vAlign w:val="center"/>
                </w:tcPr>
                <w:p w14:paraId="4D3759B9">
                  <w:pPr>
                    <w:pStyle w:val="30"/>
                    <w:rPr>
                      <w:color w:val="auto"/>
                      <w:highlight w:val="none"/>
                    </w:rPr>
                  </w:pPr>
                </w:p>
              </w:tc>
              <w:tc>
                <w:tcPr>
                  <w:tcW w:w="1417" w:type="dxa"/>
                  <w:vAlign w:val="center"/>
                </w:tcPr>
                <w:p w14:paraId="6DBEC5A0">
                  <w:pPr>
                    <w:pStyle w:val="30"/>
                    <w:bidi w:val="0"/>
                    <w:rPr>
                      <w:color w:val="auto"/>
                      <w:highlight w:val="none"/>
                    </w:rPr>
                  </w:pPr>
                  <w:r>
                    <w:rPr>
                      <w:color w:val="auto"/>
                      <w:highlight w:val="none"/>
                    </w:rPr>
                    <w:t>加油机</w:t>
                  </w:r>
                  <w:r>
                    <w:rPr>
                      <w:rFonts w:hint="eastAsia"/>
                      <w:color w:val="auto"/>
                      <w:highlight w:val="none"/>
                    </w:rPr>
                    <w:t>4</w:t>
                  </w:r>
                </w:p>
              </w:tc>
              <w:tc>
                <w:tcPr>
                  <w:tcW w:w="864" w:type="dxa"/>
                  <w:vAlign w:val="center"/>
                </w:tcPr>
                <w:p w14:paraId="2ED6D102">
                  <w:pPr>
                    <w:pStyle w:val="30"/>
                    <w:bidi w:val="0"/>
                    <w:rPr>
                      <w:rFonts w:hint="default"/>
                      <w:color w:val="auto"/>
                      <w:highlight w:val="none"/>
                      <w:lang w:val="en-US" w:eastAsia="zh-CN"/>
                    </w:rPr>
                  </w:pPr>
                  <w:r>
                    <w:rPr>
                      <w:color w:val="auto"/>
                      <w:highlight w:val="none"/>
                    </w:rPr>
                    <w:t>-1.4</w:t>
                  </w:r>
                </w:p>
              </w:tc>
              <w:tc>
                <w:tcPr>
                  <w:tcW w:w="656" w:type="dxa"/>
                  <w:vAlign w:val="center"/>
                </w:tcPr>
                <w:p w14:paraId="4F009169">
                  <w:pPr>
                    <w:pStyle w:val="30"/>
                    <w:bidi w:val="0"/>
                    <w:rPr>
                      <w:rFonts w:hint="default"/>
                      <w:color w:val="auto"/>
                      <w:highlight w:val="none"/>
                      <w:lang w:val="en-US" w:eastAsia="zh-CN"/>
                    </w:rPr>
                  </w:pPr>
                  <w:r>
                    <w:rPr>
                      <w:color w:val="auto"/>
                      <w:highlight w:val="none"/>
                    </w:rPr>
                    <w:t>59.1</w:t>
                  </w:r>
                </w:p>
              </w:tc>
              <w:tc>
                <w:tcPr>
                  <w:tcW w:w="645" w:type="dxa"/>
                  <w:vAlign w:val="center"/>
                </w:tcPr>
                <w:p w14:paraId="1E5537B5">
                  <w:pPr>
                    <w:pStyle w:val="30"/>
                    <w:bidi w:val="0"/>
                    <w:rPr>
                      <w:color w:val="auto"/>
                      <w:highlight w:val="none"/>
                    </w:rPr>
                  </w:pPr>
                  <w:r>
                    <w:rPr>
                      <w:rFonts w:hint="eastAsia"/>
                      <w:color w:val="auto"/>
                      <w:highlight w:val="none"/>
                    </w:rPr>
                    <w:t>2</w:t>
                  </w:r>
                </w:p>
              </w:tc>
              <w:tc>
                <w:tcPr>
                  <w:tcW w:w="1338" w:type="dxa"/>
                  <w:vAlign w:val="center"/>
                </w:tcPr>
                <w:p w14:paraId="31964E2F">
                  <w:pPr>
                    <w:pStyle w:val="30"/>
                    <w:bidi w:val="0"/>
                    <w:rPr>
                      <w:color w:val="auto"/>
                      <w:highlight w:val="none"/>
                    </w:rPr>
                  </w:pPr>
                  <w:r>
                    <w:rPr>
                      <w:rFonts w:hint="eastAsia"/>
                      <w:color w:val="auto"/>
                      <w:highlight w:val="none"/>
                      <w:lang w:val="en-US" w:eastAsia="zh-CN"/>
                    </w:rPr>
                    <w:t>70</w:t>
                  </w:r>
                </w:p>
              </w:tc>
              <w:tc>
                <w:tcPr>
                  <w:tcW w:w="1092" w:type="dxa"/>
                  <w:vMerge w:val="continue"/>
                  <w:vAlign w:val="center"/>
                </w:tcPr>
                <w:p w14:paraId="33171D3C">
                  <w:pPr>
                    <w:pStyle w:val="30"/>
                    <w:rPr>
                      <w:color w:val="auto"/>
                      <w:highlight w:val="none"/>
                    </w:rPr>
                  </w:pPr>
                </w:p>
              </w:tc>
              <w:tc>
                <w:tcPr>
                  <w:tcW w:w="751" w:type="dxa"/>
                  <w:vAlign w:val="center"/>
                </w:tcPr>
                <w:p w14:paraId="6934A64B">
                  <w:pPr>
                    <w:pStyle w:val="30"/>
                    <w:rPr>
                      <w:color w:val="auto"/>
                      <w:highlight w:val="none"/>
                    </w:rPr>
                  </w:pPr>
                  <w:r>
                    <w:rPr>
                      <w:color w:val="auto"/>
                      <w:highlight w:val="none"/>
                    </w:rPr>
                    <w:t>连续</w:t>
                  </w:r>
                </w:p>
              </w:tc>
            </w:tr>
            <w:tr w14:paraId="41F2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dxa"/>
                  <w:shd w:val="clear" w:color="auto" w:fill="auto"/>
                  <w:vAlign w:val="center"/>
                </w:tcPr>
                <w:p w14:paraId="1EAB9EE8">
                  <w:pPr>
                    <w:pStyle w:val="30"/>
                    <w:rPr>
                      <w:rFonts w:hint="eastAsia" w:eastAsia="宋体"/>
                      <w:color w:val="auto"/>
                      <w:highlight w:val="none"/>
                      <w:lang w:val="en-US" w:eastAsia="zh-CN"/>
                    </w:rPr>
                  </w:pPr>
                  <w:r>
                    <w:rPr>
                      <w:rFonts w:hint="eastAsia"/>
                      <w:color w:val="auto"/>
                      <w:highlight w:val="none"/>
                      <w:lang w:val="en-US" w:eastAsia="zh-CN"/>
                    </w:rPr>
                    <w:t>6</w:t>
                  </w:r>
                </w:p>
              </w:tc>
              <w:tc>
                <w:tcPr>
                  <w:tcW w:w="429" w:type="dxa"/>
                  <w:vMerge w:val="continue"/>
                  <w:vAlign w:val="center"/>
                </w:tcPr>
                <w:p w14:paraId="1D9D3C7D">
                  <w:pPr>
                    <w:pStyle w:val="30"/>
                    <w:rPr>
                      <w:color w:val="auto"/>
                      <w:highlight w:val="none"/>
                    </w:rPr>
                  </w:pPr>
                </w:p>
              </w:tc>
              <w:tc>
                <w:tcPr>
                  <w:tcW w:w="1417" w:type="dxa"/>
                  <w:vAlign w:val="center"/>
                </w:tcPr>
                <w:p w14:paraId="5B629755">
                  <w:pPr>
                    <w:pStyle w:val="30"/>
                    <w:bidi w:val="0"/>
                    <w:rPr>
                      <w:rFonts w:hint="default"/>
                      <w:color w:val="auto"/>
                      <w:highlight w:val="none"/>
                      <w:lang w:val="en-US" w:eastAsia="zh-CN"/>
                    </w:rPr>
                  </w:pPr>
                  <w:r>
                    <w:rPr>
                      <w:rFonts w:hint="eastAsia"/>
                      <w:color w:val="auto"/>
                      <w:highlight w:val="none"/>
                      <w:lang w:eastAsia="zh-CN"/>
                    </w:rPr>
                    <w:t>尿素加注机</w:t>
                  </w:r>
                  <w:r>
                    <w:rPr>
                      <w:rFonts w:hint="eastAsia"/>
                      <w:color w:val="auto"/>
                      <w:highlight w:val="none"/>
                      <w:lang w:val="en-US" w:eastAsia="zh-CN"/>
                    </w:rPr>
                    <w:t>1</w:t>
                  </w:r>
                </w:p>
              </w:tc>
              <w:tc>
                <w:tcPr>
                  <w:tcW w:w="864" w:type="dxa"/>
                  <w:vAlign w:val="center"/>
                </w:tcPr>
                <w:p w14:paraId="48569C01">
                  <w:pPr>
                    <w:pStyle w:val="30"/>
                    <w:bidi w:val="0"/>
                    <w:rPr>
                      <w:rFonts w:hint="default"/>
                      <w:color w:val="auto"/>
                      <w:highlight w:val="none"/>
                      <w:lang w:val="en-US" w:eastAsia="zh-CN"/>
                    </w:rPr>
                  </w:pPr>
                  <w:r>
                    <w:rPr>
                      <w:color w:val="auto"/>
                      <w:highlight w:val="none"/>
                    </w:rPr>
                    <w:t>3</w:t>
                  </w:r>
                </w:p>
              </w:tc>
              <w:tc>
                <w:tcPr>
                  <w:tcW w:w="656" w:type="dxa"/>
                  <w:vAlign w:val="center"/>
                </w:tcPr>
                <w:p w14:paraId="18EDEA51">
                  <w:pPr>
                    <w:pStyle w:val="30"/>
                    <w:bidi w:val="0"/>
                    <w:rPr>
                      <w:rFonts w:hint="default"/>
                      <w:color w:val="auto"/>
                      <w:highlight w:val="none"/>
                      <w:lang w:val="en-US" w:eastAsia="zh-CN"/>
                    </w:rPr>
                  </w:pPr>
                  <w:r>
                    <w:rPr>
                      <w:color w:val="auto"/>
                      <w:highlight w:val="none"/>
                    </w:rPr>
                    <w:t>57.4</w:t>
                  </w:r>
                </w:p>
              </w:tc>
              <w:tc>
                <w:tcPr>
                  <w:tcW w:w="645" w:type="dxa"/>
                  <w:vAlign w:val="center"/>
                </w:tcPr>
                <w:p w14:paraId="03B2E320">
                  <w:pPr>
                    <w:pStyle w:val="30"/>
                    <w:bidi w:val="0"/>
                    <w:rPr>
                      <w:rFonts w:hint="eastAsia"/>
                      <w:color w:val="auto"/>
                      <w:highlight w:val="none"/>
                    </w:rPr>
                  </w:pPr>
                  <w:r>
                    <w:rPr>
                      <w:rFonts w:hint="eastAsia"/>
                      <w:color w:val="auto"/>
                      <w:highlight w:val="none"/>
                    </w:rPr>
                    <w:t>2</w:t>
                  </w:r>
                </w:p>
              </w:tc>
              <w:tc>
                <w:tcPr>
                  <w:tcW w:w="1338" w:type="dxa"/>
                  <w:vAlign w:val="center"/>
                </w:tcPr>
                <w:p w14:paraId="11BE881F">
                  <w:pPr>
                    <w:pStyle w:val="30"/>
                    <w:bidi w:val="0"/>
                    <w:rPr>
                      <w:rFonts w:hint="eastAsia"/>
                      <w:color w:val="auto"/>
                      <w:highlight w:val="none"/>
                    </w:rPr>
                  </w:pPr>
                  <w:r>
                    <w:rPr>
                      <w:rFonts w:hint="eastAsia"/>
                      <w:color w:val="auto"/>
                      <w:highlight w:val="none"/>
                    </w:rPr>
                    <w:t>60</w:t>
                  </w:r>
                </w:p>
              </w:tc>
              <w:tc>
                <w:tcPr>
                  <w:tcW w:w="1092" w:type="dxa"/>
                  <w:vMerge w:val="continue"/>
                  <w:vAlign w:val="center"/>
                </w:tcPr>
                <w:p w14:paraId="7E1D60AD">
                  <w:pPr>
                    <w:pStyle w:val="30"/>
                    <w:rPr>
                      <w:color w:val="auto"/>
                      <w:highlight w:val="none"/>
                    </w:rPr>
                  </w:pPr>
                </w:p>
              </w:tc>
              <w:tc>
                <w:tcPr>
                  <w:tcW w:w="751" w:type="dxa"/>
                  <w:vAlign w:val="center"/>
                </w:tcPr>
                <w:p w14:paraId="18D87721">
                  <w:pPr>
                    <w:pStyle w:val="30"/>
                    <w:bidi w:val="0"/>
                    <w:rPr>
                      <w:color w:val="auto"/>
                      <w:highlight w:val="none"/>
                    </w:rPr>
                  </w:pPr>
                  <w:r>
                    <w:rPr>
                      <w:color w:val="auto"/>
                      <w:highlight w:val="none"/>
                    </w:rPr>
                    <w:t>连续</w:t>
                  </w:r>
                </w:p>
              </w:tc>
            </w:tr>
            <w:tr w14:paraId="0D68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dxa"/>
                  <w:shd w:val="clear" w:color="auto" w:fill="auto"/>
                  <w:vAlign w:val="center"/>
                </w:tcPr>
                <w:p w14:paraId="4F180E02">
                  <w:pPr>
                    <w:pStyle w:val="30"/>
                    <w:rPr>
                      <w:rFonts w:hint="eastAsia" w:eastAsia="宋体"/>
                      <w:color w:val="auto"/>
                      <w:highlight w:val="none"/>
                      <w:lang w:val="en-US" w:eastAsia="zh-CN"/>
                    </w:rPr>
                  </w:pPr>
                  <w:r>
                    <w:rPr>
                      <w:rFonts w:hint="eastAsia"/>
                      <w:color w:val="auto"/>
                      <w:highlight w:val="none"/>
                      <w:lang w:val="en-US" w:eastAsia="zh-CN"/>
                    </w:rPr>
                    <w:t>7</w:t>
                  </w:r>
                </w:p>
              </w:tc>
              <w:tc>
                <w:tcPr>
                  <w:tcW w:w="429" w:type="dxa"/>
                  <w:vMerge w:val="continue"/>
                  <w:vAlign w:val="center"/>
                </w:tcPr>
                <w:p w14:paraId="6FFCA3E1">
                  <w:pPr>
                    <w:pStyle w:val="30"/>
                    <w:rPr>
                      <w:color w:val="auto"/>
                      <w:highlight w:val="none"/>
                    </w:rPr>
                  </w:pPr>
                </w:p>
              </w:tc>
              <w:tc>
                <w:tcPr>
                  <w:tcW w:w="1417" w:type="dxa"/>
                  <w:vAlign w:val="center"/>
                </w:tcPr>
                <w:p w14:paraId="1B984E09">
                  <w:pPr>
                    <w:pStyle w:val="30"/>
                    <w:bidi w:val="0"/>
                    <w:rPr>
                      <w:color w:val="auto"/>
                      <w:highlight w:val="none"/>
                    </w:rPr>
                  </w:pPr>
                  <w:r>
                    <w:rPr>
                      <w:rFonts w:hint="eastAsia"/>
                      <w:color w:val="auto"/>
                      <w:highlight w:val="none"/>
                      <w:lang w:eastAsia="zh-CN"/>
                    </w:rPr>
                    <w:t>尿素加注机</w:t>
                  </w:r>
                  <w:r>
                    <w:rPr>
                      <w:rFonts w:hint="eastAsia"/>
                      <w:color w:val="auto"/>
                      <w:highlight w:val="none"/>
                      <w:lang w:val="en-US" w:eastAsia="zh-CN"/>
                    </w:rPr>
                    <w:t>2</w:t>
                  </w:r>
                </w:p>
              </w:tc>
              <w:tc>
                <w:tcPr>
                  <w:tcW w:w="864" w:type="dxa"/>
                  <w:vAlign w:val="center"/>
                </w:tcPr>
                <w:p w14:paraId="3B117160">
                  <w:pPr>
                    <w:pStyle w:val="30"/>
                    <w:bidi w:val="0"/>
                    <w:rPr>
                      <w:rFonts w:hint="default"/>
                      <w:color w:val="auto"/>
                      <w:highlight w:val="none"/>
                      <w:lang w:val="en-US" w:eastAsia="zh-CN"/>
                    </w:rPr>
                  </w:pPr>
                  <w:r>
                    <w:rPr>
                      <w:color w:val="auto"/>
                      <w:highlight w:val="none"/>
                    </w:rPr>
                    <w:t>0.6</w:t>
                  </w:r>
                </w:p>
              </w:tc>
              <w:tc>
                <w:tcPr>
                  <w:tcW w:w="656" w:type="dxa"/>
                  <w:vAlign w:val="center"/>
                </w:tcPr>
                <w:p w14:paraId="29673020">
                  <w:pPr>
                    <w:pStyle w:val="30"/>
                    <w:bidi w:val="0"/>
                    <w:rPr>
                      <w:rFonts w:hint="default"/>
                      <w:color w:val="auto"/>
                      <w:highlight w:val="none"/>
                      <w:lang w:val="en-US" w:eastAsia="zh-CN"/>
                    </w:rPr>
                  </w:pPr>
                  <w:r>
                    <w:rPr>
                      <w:color w:val="auto"/>
                      <w:highlight w:val="none"/>
                    </w:rPr>
                    <w:t>52.4</w:t>
                  </w:r>
                </w:p>
              </w:tc>
              <w:tc>
                <w:tcPr>
                  <w:tcW w:w="645" w:type="dxa"/>
                  <w:vAlign w:val="center"/>
                </w:tcPr>
                <w:p w14:paraId="0DA65B9B">
                  <w:pPr>
                    <w:pStyle w:val="30"/>
                    <w:bidi w:val="0"/>
                    <w:rPr>
                      <w:rFonts w:hint="eastAsia"/>
                      <w:color w:val="auto"/>
                      <w:highlight w:val="none"/>
                    </w:rPr>
                  </w:pPr>
                  <w:r>
                    <w:rPr>
                      <w:rFonts w:hint="eastAsia"/>
                      <w:color w:val="auto"/>
                      <w:highlight w:val="none"/>
                    </w:rPr>
                    <w:t>2</w:t>
                  </w:r>
                </w:p>
              </w:tc>
              <w:tc>
                <w:tcPr>
                  <w:tcW w:w="1338" w:type="dxa"/>
                  <w:vAlign w:val="center"/>
                </w:tcPr>
                <w:p w14:paraId="4A1F012D">
                  <w:pPr>
                    <w:pStyle w:val="30"/>
                    <w:bidi w:val="0"/>
                    <w:rPr>
                      <w:rFonts w:hint="eastAsia"/>
                      <w:color w:val="auto"/>
                      <w:highlight w:val="none"/>
                    </w:rPr>
                  </w:pPr>
                  <w:r>
                    <w:rPr>
                      <w:rFonts w:hint="eastAsia"/>
                      <w:color w:val="auto"/>
                      <w:highlight w:val="none"/>
                    </w:rPr>
                    <w:t>60</w:t>
                  </w:r>
                </w:p>
              </w:tc>
              <w:tc>
                <w:tcPr>
                  <w:tcW w:w="1092" w:type="dxa"/>
                  <w:vMerge w:val="continue"/>
                  <w:vAlign w:val="center"/>
                </w:tcPr>
                <w:p w14:paraId="373ED1B4">
                  <w:pPr>
                    <w:pStyle w:val="30"/>
                    <w:rPr>
                      <w:color w:val="auto"/>
                      <w:highlight w:val="none"/>
                    </w:rPr>
                  </w:pPr>
                </w:p>
              </w:tc>
              <w:tc>
                <w:tcPr>
                  <w:tcW w:w="751" w:type="dxa"/>
                  <w:vAlign w:val="center"/>
                </w:tcPr>
                <w:p w14:paraId="194DED02">
                  <w:pPr>
                    <w:pStyle w:val="30"/>
                    <w:bidi w:val="0"/>
                    <w:rPr>
                      <w:color w:val="auto"/>
                      <w:highlight w:val="none"/>
                    </w:rPr>
                  </w:pPr>
                  <w:r>
                    <w:rPr>
                      <w:color w:val="auto"/>
                      <w:highlight w:val="none"/>
                    </w:rPr>
                    <w:t>连续</w:t>
                  </w:r>
                </w:p>
              </w:tc>
            </w:tr>
            <w:tr w14:paraId="421B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8" w:type="dxa"/>
                  <w:gridSpan w:val="9"/>
                  <w:vAlign w:val="center"/>
                </w:tcPr>
                <w:p w14:paraId="52C668A2">
                  <w:pPr>
                    <w:pStyle w:val="30"/>
                    <w:jc w:val="both"/>
                    <w:rPr>
                      <w:rFonts w:hint="default" w:eastAsia="宋体"/>
                      <w:color w:val="auto"/>
                      <w:highlight w:val="none"/>
                      <w:lang w:val="en-US" w:eastAsia="zh-CN"/>
                    </w:rPr>
                  </w:pPr>
                  <w:r>
                    <w:rPr>
                      <w:color w:val="auto"/>
                      <w:highlight w:val="none"/>
                    </w:rPr>
                    <w:t>注：坐标原点</w:t>
                  </w:r>
                  <w:r>
                    <w:rPr>
                      <w:rFonts w:hint="eastAsia"/>
                      <w:color w:val="auto"/>
                      <w:highlight w:val="none"/>
                      <w:lang w:eastAsia="zh-CN"/>
                    </w:rPr>
                    <w:t>为东侧地块</w:t>
                  </w:r>
                  <w:r>
                    <w:rPr>
                      <w:color w:val="auto"/>
                      <w:highlight w:val="none"/>
                    </w:rPr>
                    <w:t>中心点，</w:t>
                  </w:r>
                  <w:r>
                    <w:rPr>
                      <w:rFonts w:hint="eastAsia"/>
                      <w:color w:val="auto"/>
                      <w:highlight w:val="none"/>
                      <w:lang w:eastAsia="zh-CN"/>
                    </w:rPr>
                    <w:t>正东方向为</w:t>
                  </w:r>
                  <w:r>
                    <w:rPr>
                      <w:rFonts w:hint="eastAsia"/>
                      <w:color w:val="auto"/>
                      <w:highlight w:val="none"/>
                      <w:lang w:val="en-US" w:eastAsia="zh-CN"/>
                    </w:rPr>
                    <w:t>X轴，正北方向为Y轴。</w:t>
                  </w:r>
                </w:p>
              </w:tc>
            </w:tr>
          </w:tbl>
          <w:p w14:paraId="298AD135">
            <w:pPr>
              <w:adjustRightInd w:val="0"/>
              <w:snapToGrid w:val="0"/>
              <w:rPr>
                <w:color w:val="auto"/>
                <w:highlight w:val="none"/>
              </w:rPr>
            </w:pPr>
          </w:p>
          <w:p w14:paraId="0447D9C4">
            <w:pPr>
              <w:adjustRightInd w:val="0"/>
              <w:snapToGrid w:val="0"/>
              <w:rPr>
                <w:color w:val="auto"/>
                <w:highlight w:val="none"/>
              </w:rPr>
            </w:pPr>
            <w:r>
              <w:rPr>
                <w:color w:val="auto"/>
                <w:highlight w:val="none"/>
              </w:rPr>
              <w:t>2、预测</w:t>
            </w:r>
            <w:r>
              <w:rPr>
                <w:rFonts w:hint="eastAsia"/>
                <w:color w:val="auto"/>
                <w:highlight w:val="none"/>
              </w:rPr>
              <w:t>模式</w:t>
            </w:r>
          </w:p>
          <w:p w14:paraId="232CA4B4">
            <w:pPr>
              <w:pStyle w:val="41"/>
              <w:bidi w:val="0"/>
              <w:rPr>
                <w:color w:val="auto"/>
                <w:highlight w:val="none"/>
              </w:rPr>
            </w:pPr>
            <w:r>
              <w:rPr>
                <w:color w:val="auto"/>
                <w:highlight w:val="none"/>
              </w:rPr>
              <w:t>根据项目建设内容及《环境影响评价技术导则—声环境》（HJ2.4-2021）的要求，项目环评釆用环安噪声环境影响评价系统。该软件计算工业噪声时采用的模型为《环境影响评价技术导则 声环境》</w:t>
            </w:r>
            <w:r>
              <w:rPr>
                <w:rFonts w:hint="eastAsia"/>
                <w:color w:val="auto"/>
                <w:highlight w:val="none"/>
                <w:lang w:eastAsia="zh-CN"/>
              </w:rPr>
              <w:t>（</w:t>
            </w:r>
            <w:r>
              <w:rPr>
                <w:color w:val="auto"/>
                <w:highlight w:val="none"/>
              </w:rPr>
              <w:t>HJ2.4.2021</w:t>
            </w:r>
            <w:r>
              <w:rPr>
                <w:rFonts w:hint="eastAsia"/>
                <w:color w:val="auto"/>
                <w:highlight w:val="none"/>
                <w:lang w:eastAsia="zh-CN"/>
              </w:rPr>
              <w:t>）</w:t>
            </w:r>
            <w:r>
              <w:rPr>
                <w:color w:val="auto"/>
                <w:highlight w:val="none"/>
              </w:rPr>
              <w:t>附录B（规范性附录）中“B.1工业噪声预测计算模型”。</w:t>
            </w:r>
          </w:p>
          <w:p w14:paraId="656FFEAB">
            <w:pPr>
              <w:pStyle w:val="41"/>
              <w:bidi w:val="0"/>
              <w:rPr>
                <w:color w:val="auto"/>
                <w:highlight w:val="none"/>
              </w:rPr>
            </w:pPr>
            <w:r>
              <w:rPr>
                <w:color w:val="auto"/>
                <w:highlight w:val="none"/>
              </w:rPr>
              <w:t>声环境影响预测时，一般采用声源的倍频带声功率级，A声功率级或靠近声源某一位置的倍频带声压级，A声级来预测计算距声源不同距离的声级。分别计算室外和室内两种工业声源。</w:t>
            </w:r>
          </w:p>
          <w:p w14:paraId="36915C17">
            <w:pPr>
              <w:pStyle w:val="41"/>
              <w:bidi w:val="0"/>
              <w:rPr>
                <w:color w:val="auto"/>
                <w:highlight w:val="none"/>
              </w:rPr>
            </w:pPr>
            <w:r>
              <w:rPr>
                <w:rFonts w:hint="eastAsia"/>
                <w:color w:val="auto"/>
                <w:highlight w:val="none"/>
              </w:rPr>
              <w:t>（1）</w:t>
            </w:r>
            <w:r>
              <w:rPr>
                <w:color w:val="auto"/>
                <w:highlight w:val="none"/>
              </w:rPr>
              <w:t>室内声源等效室外声源声功率级计算方法</w:t>
            </w:r>
          </w:p>
          <w:p w14:paraId="4106BB36">
            <w:pPr>
              <w:pStyle w:val="41"/>
              <w:bidi w:val="0"/>
              <w:rPr>
                <w:color w:val="auto"/>
                <w:highlight w:val="none"/>
              </w:rPr>
            </w:pPr>
            <w:r>
              <w:rPr>
                <w:color w:val="auto"/>
                <w:highlight w:val="none"/>
              </w:rPr>
              <w:t>如图1所示，声源位于室内，室内声源可采用等效室外声源声功率级法进行计算。设靠近开口处（或窗户）室内、室外某倍频带的声压级分别为Lp1和Lp2。若声源所在室内声场为近似扩散声场，式4-1计算某一室内声源靠近围护结构处产生的倍频带声压级：</w:t>
            </w:r>
          </w:p>
          <w:p w14:paraId="5AF363A1">
            <w:pPr>
              <w:autoSpaceDE w:val="0"/>
              <w:autoSpaceDN w:val="0"/>
              <w:adjustRightInd w:val="0"/>
              <w:spacing w:after="0" w:line="360" w:lineRule="auto"/>
              <w:ind w:firstLine="2"/>
              <w:jc w:val="center"/>
              <w:rPr>
                <w:rFonts w:ascii="Calibri" w:hAnsi="Calibri"/>
                <w:color w:val="auto"/>
                <w:kern w:val="2"/>
                <w:sz w:val="21"/>
                <w:szCs w:val="21"/>
                <w:highlight w:val="none"/>
              </w:rPr>
            </w:pPr>
            <w:r>
              <w:rPr>
                <w:rFonts w:ascii="Calibri" w:hAnsi="Calibri"/>
                <w:color w:val="auto"/>
                <w:kern w:val="2"/>
                <w:sz w:val="21"/>
                <w:szCs w:val="21"/>
                <w:highlight w:val="none"/>
              </w:rPr>
              <w:drawing>
                <wp:inline distT="0" distB="0" distL="0" distR="0">
                  <wp:extent cx="2671445" cy="1209040"/>
                  <wp:effectExtent l="0" t="0" r="14605" b="10160"/>
                  <wp:docPr id="12767762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76284" name="图片 12"/>
                          <pic:cNvPicPr>
                            <a:picLocks noChangeAspect="1" noChangeArrowheads="1"/>
                          </pic:cNvPicPr>
                        </pic:nvPicPr>
                        <pic:blipFill>
                          <a:blip r:embed="rId32">
                            <a:extLst>
                              <a:ext uri="{28A0092B-C50C-407E-A947-70E740481C1C}">
                                <a14:useLocalDpi xmlns:a14="http://schemas.microsoft.com/office/drawing/2010/main" val="0"/>
                              </a:ext>
                            </a:extLst>
                          </a:blip>
                          <a:srcRect t="7907" b="6047"/>
                          <a:stretch>
                            <a:fillRect/>
                          </a:stretch>
                        </pic:blipFill>
                        <pic:spPr>
                          <a:xfrm>
                            <a:off x="0" y="0"/>
                            <a:ext cx="2746900" cy="1243635"/>
                          </a:xfrm>
                          <a:prstGeom prst="rect">
                            <a:avLst/>
                          </a:prstGeom>
                          <a:noFill/>
                          <a:ln>
                            <a:noFill/>
                          </a:ln>
                        </pic:spPr>
                      </pic:pic>
                    </a:graphicData>
                  </a:graphic>
                </wp:inline>
              </w:drawing>
            </w:r>
          </w:p>
          <w:p w14:paraId="7DDDDF31">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ascii="Calibri" w:hAnsi="Calibri"/>
                <w:bCs/>
                <w:color w:val="auto"/>
                <w:kern w:val="2"/>
                <w:sz w:val="21"/>
                <w:szCs w:val="21"/>
                <w:highlight w:val="none"/>
              </w:rPr>
            </w:pPr>
            <w:r>
              <w:rPr>
                <w:color w:val="auto"/>
                <w:highlight w:val="none"/>
              </w:rPr>
              <w:t xml:space="preserve">图 </w:t>
            </w:r>
            <w:r>
              <w:rPr>
                <w:rFonts w:hint="eastAsia"/>
                <w:color w:val="auto"/>
                <w:highlight w:val="none"/>
                <w:lang w:val="en-US" w:eastAsia="zh-CN"/>
              </w:rPr>
              <w:t>4</w:t>
            </w:r>
            <w:r>
              <w:rPr>
                <w:rFonts w:hint="eastAsia"/>
                <w:color w:val="auto"/>
                <w:highlight w:val="none"/>
                <w:lang w:eastAsia="zh-CN"/>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w:t>
            </w:r>
            <w:r>
              <w:rPr>
                <w:rStyle w:val="42"/>
                <w:b/>
                <w:color w:val="auto"/>
                <w:highlight w:val="none"/>
              </w:rPr>
              <w:t>室内声源等效为室外声源图</w:t>
            </w:r>
            <w:r>
              <w:rPr>
                <w:rFonts w:ascii="Calibri" w:hAnsi="Calibri"/>
                <w:b/>
                <w:bCs/>
                <w:color w:val="auto"/>
                <w:kern w:val="2"/>
                <w:sz w:val="21"/>
                <w:szCs w:val="21"/>
                <w:highlight w:val="none"/>
              </w:rPr>
              <w:t>例</w:t>
            </w:r>
          </w:p>
          <w:p w14:paraId="582F32C9">
            <w:pPr>
              <w:adjustRightInd w:val="0"/>
              <w:snapToGrid w:val="0"/>
              <w:spacing w:after="0" w:line="480" w:lineRule="exact"/>
              <w:ind w:firstLine="3150" w:firstLineChars="1500"/>
              <w:outlineLvl w:val="2"/>
              <w:rPr>
                <w:rFonts w:ascii="Calibri" w:hAnsi="Calibri"/>
                <w:bCs/>
                <w:color w:val="auto"/>
                <w:kern w:val="2"/>
                <w:sz w:val="21"/>
                <w:szCs w:val="21"/>
                <w:highlight w:val="none"/>
              </w:rPr>
            </w:pPr>
            <w:r>
              <w:rPr>
                <w:rStyle w:val="42"/>
                <w:b w:val="0"/>
                <w:color w:val="auto"/>
                <w:highlight w:val="none"/>
              </w:rPr>
              <w:drawing>
                <wp:anchor distT="0" distB="0" distL="114300" distR="114300" simplePos="0" relativeHeight="251665408" behindDoc="0" locked="0" layoutInCell="1" allowOverlap="1">
                  <wp:simplePos x="0" y="0"/>
                  <wp:positionH relativeFrom="column">
                    <wp:posOffset>1583690</wp:posOffset>
                  </wp:positionH>
                  <wp:positionV relativeFrom="paragraph">
                    <wp:posOffset>49530</wp:posOffset>
                  </wp:positionV>
                  <wp:extent cx="1716405" cy="431800"/>
                  <wp:effectExtent l="0" t="0" r="17145" b="5715"/>
                  <wp:wrapNone/>
                  <wp:docPr id="10" name="Objec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ct 288"/>
                          <pic:cNvPicPr>
                            <a:picLocks noChangeAspect="1"/>
                          </pic:cNvPicPr>
                        </pic:nvPicPr>
                        <pic:blipFill>
                          <a:blip r:embed="rId33"/>
                          <a:stretch>
                            <a:fillRect/>
                          </a:stretch>
                        </pic:blipFill>
                        <pic:spPr>
                          <a:xfrm>
                            <a:off x="0" y="0"/>
                            <a:ext cx="1716405" cy="431800"/>
                          </a:xfrm>
                          <a:prstGeom prst="rect">
                            <a:avLst/>
                          </a:prstGeom>
                          <a:noFill/>
                          <a:ln>
                            <a:noFill/>
                          </a:ln>
                        </pic:spPr>
                      </pic:pic>
                    </a:graphicData>
                  </a:graphic>
                </wp:anchor>
              </w:drawing>
            </w:r>
            <w:r>
              <w:rPr>
                <w:rFonts w:ascii="Calibri" w:hAnsi="Calibri"/>
                <w:bCs/>
                <w:color w:val="auto"/>
                <w:kern w:val="2"/>
                <w:sz w:val="21"/>
                <w:szCs w:val="21"/>
                <w:highlight w:val="none"/>
              </w:rPr>
              <w:t xml:space="preserve">                 </w:t>
            </w:r>
            <w:r>
              <w:rPr>
                <w:rFonts w:ascii="Calibri" w:hAnsi="Calibri"/>
                <w:bCs/>
                <w:iCs/>
                <w:color w:val="auto"/>
                <w:kern w:val="2"/>
                <w:sz w:val="21"/>
                <w:szCs w:val="21"/>
                <w:highlight w:val="none"/>
              </w:rPr>
              <w:t xml:space="preserve">    </w:t>
            </w:r>
            <w:r>
              <w:rPr>
                <w:rFonts w:ascii="Calibri" w:hAnsi="Calibri"/>
                <w:bCs/>
                <w:color w:val="auto"/>
                <w:kern w:val="2"/>
                <w:sz w:val="21"/>
                <w:szCs w:val="21"/>
                <w:highlight w:val="none"/>
              </w:rPr>
              <w:t>（式4-1）</w:t>
            </w:r>
          </w:p>
          <w:p w14:paraId="7CAD3815">
            <w:pPr>
              <w:pStyle w:val="40"/>
              <w:wordWrap/>
              <w:ind w:firstLine="480"/>
              <w:rPr>
                <w:bCs/>
                <w:color w:val="auto"/>
                <w:highlight w:val="none"/>
                <w:shd w:val="clear" w:color="auto" w:fill="FFFFFF"/>
              </w:rPr>
            </w:pPr>
            <w:r>
              <w:rPr>
                <w:bCs/>
                <w:color w:val="auto"/>
                <w:highlight w:val="none"/>
                <w:shd w:val="clear" w:color="auto" w:fill="FFFFFF"/>
              </w:rPr>
              <w:t>式中：</w:t>
            </w:r>
          </w:p>
          <w:p w14:paraId="4FEC4DA5">
            <w:pPr>
              <w:pStyle w:val="40"/>
              <w:wordWrap/>
              <w:ind w:firstLine="480"/>
              <w:rPr>
                <w:bCs/>
                <w:color w:val="auto"/>
                <w:highlight w:val="none"/>
                <w:shd w:val="clear" w:color="auto" w:fill="FFFFFF"/>
              </w:rPr>
            </w:pPr>
            <w:r>
              <w:rPr>
                <w:bCs/>
                <w:i/>
                <w:iCs/>
                <w:color w:val="auto"/>
                <w:highlight w:val="none"/>
                <w:shd w:val="clear" w:color="auto" w:fill="FFFFFF"/>
              </w:rPr>
              <w:t>L</w:t>
            </w:r>
            <w:r>
              <w:rPr>
                <w:bCs/>
                <w:i/>
                <w:iCs/>
                <w:color w:val="auto"/>
                <w:highlight w:val="none"/>
                <w:shd w:val="clear" w:color="auto" w:fill="FFFFFF"/>
                <w:vertAlign w:val="subscript"/>
              </w:rPr>
              <w:t>p1</w:t>
            </w:r>
            <w:r>
              <w:rPr>
                <w:bCs/>
                <w:color w:val="auto"/>
                <w:highlight w:val="none"/>
                <w:shd w:val="clear" w:color="auto" w:fill="FFFFFF"/>
              </w:rPr>
              <w:t xml:space="preserve">—靠近开口处（或窗户）室内某倍频带的声压级或A声级，dB； </w:t>
            </w:r>
          </w:p>
          <w:p w14:paraId="4FEE9F1D">
            <w:pPr>
              <w:pStyle w:val="40"/>
              <w:wordWrap/>
              <w:ind w:firstLine="480"/>
              <w:rPr>
                <w:bCs/>
                <w:color w:val="auto"/>
                <w:highlight w:val="none"/>
                <w:shd w:val="clear" w:color="auto" w:fill="FFFFFF"/>
              </w:rPr>
            </w:pPr>
            <w:r>
              <w:rPr>
                <w:bCs/>
                <w:i/>
                <w:iCs/>
                <w:color w:val="auto"/>
                <w:highlight w:val="none"/>
                <w:shd w:val="clear" w:color="auto" w:fill="FFFFFF"/>
              </w:rPr>
              <w:t>L</w:t>
            </w:r>
            <w:r>
              <w:rPr>
                <w:bCs/>
                <w:i/>
                <w:iCs/>
                <w:color w:val="auto"/>
                <w:highlight w:val="none"/>
                <w:shd w:val="clear" w:color="auto" w:fill="FFFFFF"/>
                <w:vertAlign w:val="subscript"/>
              </w:rPr>
              <w:t>w</w:t>
            </w:r>
            <w:r>
              <w:rPr>
                <w:bCs/>
                <w:color w:val="auto"/>
                <w:highlight w:val="none"/>
                <w:shd w:val="clear" w:color="auto" w:fill="FFFFFF"/>
              </w:rPr>
              <w:t>—点声源声功率级（A计权或倍频带），dB；</w:t>
            </w:r>
          </w:p>
          <w:p w14:paraId="3FD1CE66">
            <w:pPr>
              <w:pStyle w:val="40"/>
              <w:wordWrap/>
              <w:ind w:firstLine="480"/>
              <w:rPr>
                <w:bCs/>
                <w:color w:val="auto"/>
                <w:highlight w:val="none"/>
                <w:shd w:val="clear" w:color="auto" w:fill="FFFFFF"/>
              </w:rPr>
            </w:pPr>
            <w:r>
              <w:rPr>
                <w:bCs/>
                <w:i/>
                <w:iCs/>
                <w:color w:val="auto"/>
                <w:highlight w:val="none"/>
                <w:shd w:val="clear" w:color="auto" w:fill="FFFFFF"/>
              </w:rPr>
              <w:t>Q</w:t>
            </w:r>
            <w:r>
              <w:rPr>
                <w:bCs/>
                <w:color w:val="auto"/>
                <w:highlight w:val="none"/>
                <w:shd w:val="clear" w:color="auto" w:fill="FFFFFF"/>
              </w:rPr>
              <w:t xml:space="preserve"> —指向性因数：通常对无指向性声源，当声源放在房间中心时，</w:t>
            </w:r>
            <w:r>
              <w:rPr>
                <w:bCs/>
                <w:i/>
                <w:iCs/>
                <w:color w:val="auto"/>
                <w:highlight w:val="none"/>
                <w:shd w:val="clear" w:color="auto" w:fill="FFFFFF"/>
              </w:rPr>
              <w:t>Q</w:t>
            </w:r>
            <w:r>
              <w:rPr>
                <w:bCs/>
                <w:color w:val="auto"/>
                <w:highlight w:val="none"/>
                <w:shd w:val="clear" w:color="auto" w:fill="FFFFFF"/>
              </w:rPr>
              <w:t>=1；当放在一面墙的中心时，</w:t>
            </w:r>
            <w:r>
              <w:rPr>
                <w:bCs/>
                <w:i/>
                <w:iCs/>
                <w:color w:val="auto"/>
                <w:highlight w:val="none"/>
                <w:shd w:val="clear" w:color="auto" w:fill="FFFFFF"/>
              </w:rPr>
              <w:t>Q</w:t>
            </w:r>
            <w:r>
              <w:rPr>
                <w:bCs/>
                <w:color w:val="auto"/>
                <w:highlight w:val="none"/>
                <w:shd w:val="clear" w:color="auto" w:fill="FFFFFF"/>
              </w:rPr>
              <w:t>=2；当放在两面墙夹角处时，</w:t>
            </w:r>
            <w:r>
              <w:rPr>
                <w:bCs/>
                <w:i/>
                <w:iCs/>
                <w:color w:val="auto"/>
                <w:highlight w:val="none"/>
                <w:shd w:val="clear" w:color="auto" w:fill="FFFFFF"/>
              </w:rPr>
              <w:t>Q</w:t>
            </w:r>
            <w:r>
              <w:rPr>
                <w:bCs/>
                <w:color w:val="auto"/>
                <w:highlight w:val="none"/>
                <w:shd w:val="clear" w:color="auto" w:fill="FFFFFF"/>
              </w:rPr>
              <w:t>=4；当放在三面墙夹角处时，</w:t>
            </w:r>
            <w:r>
              <w:rPr>
                <w:bCs/>
                <w:i/>
                <w:iCs/>
                <w:color w:val="auto"/>
                <w:highlight w:val="none"/>
                <w:shd w:val="clear" w:color="auto" w:fill="FFFFFF"/>
              </w:rPr>
              <w:t>Q</w:t>
            </w:r>
            <w:r>
              <w:rPr>
                <w:bCs/>
                <w:color w:val="auto"/>
                <w:highlight w:val="none"/>
                <w:shd w:val="clear" w:color="auto" w:fill="FFFFFF"/>
              </w:rPr>
              <w:t>=8。</w:t>
            </w:r>
          </w:p>
          <w:p w14:paraId="79946AE5">
            <w:pPr>
              <w:pStyle w:val="40"/>
              <w:wordWrap/>
              <w:ind w:firstLine="480"/>
              <w:rPr>
                <w:bCs/>
                <w:color w:val="auto"/>
                <w:highlight w:val="none"/>
                <w:shd w:val="clear" w:color="auto" w:fill="FFFFFF"/>
              </w:rPr>
            </w:pPr>
            <w:r>
              <w:rPr>
                <w:bCs/>
                <w:i/>
                <w:iCs/>
                <w:color w:val="auto"/>
                <w:highlight w:val="none"/>
                <w:shd w:val="clear" w:color="auto" w:fill="FFFFFF"/>
              </w:rPr>
              <w:t>R</w:t>
            </w:r>
            <w:r>
              <w:rPr>
                <w:bCs/>
                <w:color w:val="auto"/>
                <w:highlight w:val="none"/>
                <w:shd w:val="clear" w:color="auto" w:fill="FFFFFF"/>
              </w:rPr>
              <w:t>—房间常数：</w:t>
            </w:r>
            <w:r>
              <w:rPr>
                <w:bCs/>
                <w:i/>
                <w:iCs/>
                <w:color w:val="auto"/>
                <w:highlight w:val="none"/>
                <w:shd w:val="clear" w:color="auto" w:fill="FFFFFF"/>
              </w:rPr>
              <w:t>R=Sα/</w:t>
            </w:r>
            <w:r>
              <w:rPr>
                <w:rFonts w:hint="eastAsia"/>
                <w:bCs/>
                <w:i/>
                <w:iCs/>
                <w:color w:val="auto"/>
                <w:highlight w:val="none"/>
                <w:shd w:val="clear" w:color="auto" w:fill="FFFFFF"/>
                <w:lang w:eastAsia="zh-CN"/>
              </w:rPr>
              <w:t>（</w:t>
            </w:r>
            <w:r>
              <w:rPr>
                <w:bCs/>
                <w:i/>
                <w:iCs/>
                <w:color w:val="auto"/>
                <w:highlight w:val="none"/>
                <w:shd w:val="clear" w:color="auto" w:fill="FFFFFF"/>
              </w:rPr>
              <w:t>1−α</w:t>
            </w:r>
            <w:r>
              <w:rPr>
                <w:rFonts w:hint="eastAsia"/>
                <w:bCs/>
                <w:i/>
                <w:iCs/>
                <w:color w:val="auto"/>
                <w:highlight w:val="none"/>
                <w:shd w:val="clear" w:color="auto" w:fill="FFFFFF"/>
                <w:lang w:eastAsia="zh-CN"/>
              </w:rPr>
              <w:t>）</w:t>
            </w:r>
            <w:r>
              <w:rPr>
                <w:bCs/>
                <w:color w:val="auto"/>
                <w:highlight w:val="none"/>
                <w:shd w:val="clear" w:color="auto" w:fill="FFFFFF"/>
              </w:rPr>
              <w:t>，</w:t>
            </w:r>
            <w:r>
              <w:rPr>
                <w:bCs/>
                <w:i/>
                <w:iCs/>
                <w:color w:val="auto"/>
                <w:highlight w:val="none"/>
                <w:shd w:val="clear" w:color="auto" w:fill="FFFFFF"/>
              </w:rPr>
              <w:t>S</w:t>
            </w:r>
            <w:r>
              <w:rPr>
                <w:bCs/>
                <w:color w:val="auto"/>
                <w:highlight w:val="none"/>
                <w:shd w:val="clear" w:color="auto" w:fill="FFFFFF"/>
              </w:rPr>
              <w:t>为房间内表面面积，m</w:t>
            </w:r>
            <w:r>
              <w:rPr>
                <w:bCs/>
                <w:color w:val="auto"/>
                <w:highlight w:val="none"/>
                <w:shd w:val="clear" w:color="auto" w:fill="FFFFFF"/>
                <w:vertAlign w:val="superscript"/>
              </w:rPr>
              <w:t>2</w:t>
            </w:r>
            <w:r>
              <w:rPr>
                <w:bCs/>
                <w:color w:val="auto"/>
                <w:highlight w:val="none"/>
                <w:shd w:val="clear" w:color="auto" w:fill="FFFFFF"/>
              </w:rPr>
              <w:t>；</w:t>
            </w:r>
            <w:r>
              <w:rPr>
                <w:bCs/>
                <w:i/>
                <w:iCs/>
                <w:color w:val="auto"/>
                <w:highlight w:val="none"/>
                <w:shd w:val="clear" w:color="auto" w:fill="FFFFFF"/>
              </w:rPr>
              <w:t>α</w:t>
            </w:r>
            <w:r>
              <w:rPr>
                <w:bCs/>
                <w:color w:val="auto"/>
                <w:highlight w:val="none"/>
                <w:shd w:val="clear" w:color="auto" w:fill="FFFFFF"/>
              </w:rPr>
              <w:t>为平均吸声系数。</w:t>
            </w:r>
          </w:p>
          <w:p w14:paraId="2B210E4A">
            <w:pPr>
              <w:pStyle w:val="40"/>
              <w:wordWrap/>
              <w:ind w:firstLine="480"/>
              <w:rPr>
                <w:bCs/>
                <w:color w:val="auto"/>
                <w:highlight w:val="none"/>
                <w:shd w:val="clear" w:color="auto" w:fill="FFFFFF"/>
              </w:rPr>
            </w:pPr>
            <w:r>
              <w:rPr>
                <w:bCs/>
                <w:i/>
                <w:iCs/>
                <w:color w:val="auto"/>
                <w:highlight w:val="none"/>
                <w:shd w:val="clear" w:color="auto" w:fill="FFFFFF"/>
              </w:rPr>
              <w:t>r</w:t>
            </w:r>
            <w:r>
              <w:rPr>
                <w:bCs/>
                <w:color w:val="auto"/>
                <w:highlight w:val="none"/>
                <w:shd w:val="clear" w:color="auto" w:fill="FFFFFF"/>
              </w:rPr>
              <w:t>—声源到靠近围护结构某点处的距离，m。</w:t>
            </w:r>
          </w:p>
          <w:p w14:paraId="2873B559">
            <w:pPr>
              <w:pStyle w:val="40"/>
              <w:wordWrap/>
              <w:ind w:firstLine="480"/>
              <w:rPr>
                <w:bCs/>
                <w:color w:val="auto"/>
                <w:highlight w:val="none"/>
                <w:shd w:val="clear" w:color="auto" w:fill="FFFFFF"/>
              </w:rPr>
            </w:pPr>
            <w:r>
              <w:rPr>
                <w:bCs/>
                <w:color w:val="auto"/>
                <w:position w:val="-32"/>
                <w:highlight w:val="none"/>
                <w:shd w:val="clear" w:color="auto" w:fill="FFFFFF"/>
              </w:rPr>
              <w:drawing>
                <wp:anchor distT="0" distB="0" distL="114300" distR="114300" simplePos="0" relativeHeight="251666432" behindDoc="0" locked="0" layoutInCell="1" allowOverlap="1">
                  <wp:simplePos x="0" y="0"/>
                  <wp:positionH relativeFrom="column">
                    <wp:posOffset>1672590</wp:posOffset>
                  </wp:positionH>
                  <wp:positionV relativeFrom="paragraph">
                    <wp:posOffset>478790</wp:posOffset>
                  </wp:positionV>
                  <wp:extent cx="1487170" cy="482600"/>
                  <wp:effectExtent l="0" t="0" r="17780" b="13335"/>
                  <wp:wrapNone/>
                  <wp:docPr id="15" name="Objec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 289"/>
                          <pic:cNvPicPr>
                            <a:picLocks noChangeAspect="1"/>
                          </pic:cNvPicPr>
                        </pic:nvPicPr>
                        <pic:blipFill>
                          <a:blip r:embed="rId34"/>
                          <a:stretch>
                            <a:fillRect/>
                          </a:stretch>
                        </pic:blipFill>
                        <pic:spPr>
                          <a:xfrm>
                            <a:off x="0" y="0"/>
                            <a:ext cx="1487170" cy="482600"/>
                          </a:xfrm>
                          <a:prstGeom prst="rect">
                            <a:avLst/>
                          </a:prstGeom>
                          <a:noFill/>
                          <a:ln>
                            <a:noFill/>
                          </a:ln>
                        </pic:spPr>
                      </pic:pic>
                    </a:graphicData>
                  </a:graphic>
                </wp:anchor>
              </w:drawing>
            </w:r>
            <w:r>
              <w:rPr>
                <w:bCs/>
                <w:color w:val="auto"/>
                <w:highlight w:val="none"/>
                <w:shd w:val="clear" w:color="auto" w:fill="FFFFFF"/>
              </w:rPr>
              <w:t>然后按式4-2计算出所有室内声源在围护结构处产生的i倍频带叠加声压级：</w:t>
            </w:r>
          </w:p>
          <w:p w14:paraId="55846A47">
            <w:pPr>
              <w:pStyle w:val="40"/>
              <w:wordWrap/>
              <w:ind w:firstLine="480"/>
              <w:rPr>
                <w:bCs/>
                <w:color w:val="auto"/>
                <w:highlight w:val="none"/>
              </w:rPr>
            </w:pPr>
            <w:r>
              <w:rPr>
                <w:bCs/>
                <w:color w:val="auto"/>
                <w:highlight w:val="none"/>
              </w:rPr>
              <w:t xml:space="preserve">                                                   （式4-2）</w:t>
            </w:r>
          </w:p>
          <w:p w14:paraId="57EA2504">
            <w:pPr>
              <w:pStyle w:val="40"/>
              <w:wordWrap/>
              <w:ind w:firstLine="480"/>
              <w:rPr>
                <w:bCs/>
                <w:color w:val="auto"/>
                <w:szCs w:val="24"/>
                <w:highlight w:val="none"/>
                <w:shd w:val="clear" w:color="auto" w:fill="FFFFFF"/>
              </w:rPr>
            </w:pPr>
            <w:r>
              <w:rPr>
                <w:bCs/>
                <w:color w:val="auto"/>
                <w:szCs w:val="24"/>
                <w:highlight w:val="none"/>
                <w:shd w:val="clear" w:color="auto" w:fill="FFFFFF"/>
              </w:rPr>
              <w:t>式中：</w:t>
            </w:r>
          </w:p>
          <w:p w14:paraId="15EFE904">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P1i</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T</w:t>
            </w:r>
            <w:r>
              <w:rPr>
                <w:rFonts w:hint="eastAsia"/>
                <w:bCs/>
                <w:i/>
                <w:iCs/>
                <w:color w:val="auto"/>
                <w:szCs w:val="24"/>
                <w:highlight w:val="none"/>
                <w:shd w:val="clear" w:color="auto" w:fill="FFFFFF"/>
                <w:lang w:eastAsia="zh-CN"/>
              </w:rPr>
              <w:t>）</w:t>
            </w:r>
            <w:r>
              <w:rPr>
                <w:bCs/>
                <w:color w:val="auto"/>
                <w:szCs w:val="24"/>
                <w:highlight w:val="none"/>
                <w:shd w:val="clear" w:color="auto" w:fill="FFFFFF"/>
              </w:rPr>
              <w:t>—靠近围护结构处室内</w:t>
            </w:r>
            <w:r>
              <w:rPr>
                <w:bCs/>
                <w:i/>
                <w:iCs/>
                <w:color w:val="auto"/>
                <w:szCs w:val="24"/>
                <w:highlight w:val="none"/>
                <w:shd w:val="clear" w:color="auto" w:fill="FFFFFF"/>
              </w:rPr>
              <w:t>N</w:t>
            </w:r>
            <w:r>
              <w:rPr>
                <w:bCs/>
                <w:color w:val="auto"/>
                <w:szCs w:val="24"/>
                <w:highlight w:val="none"/>
                <w:shd w:val="clear" w:color="auto" w:fill="FFFFFF"/>
              </w:rPr>
              <w:t>个声源</w:t>
            </w:r>
            <w:r>
              <w:rPr>
                <w:bCs/>
                <w:i/>
                <w:iCs/>
                <w:color w:val="auto"/>
                <w:szCs w:val="24"/>
                <w:highlight w:val="none"/>
                <w:shd w:val="clear" w:color="auto" w:fill="FFFFFF"/>
              </w:rPr>
              <w:t>i</w:t>
            </w:r>
            <w:r>
              <w:rPr>
                <w:bCs/>
                <w:color w:val="auto"/>
                <w:szCs w:val="24"/>
                <w:highlight w:val="none"/>
                <w:shd w:val="clear" w:color="auto" w:fill="FFFFFF"/>
              </w:rPr>
              <w:t>倍频带的叠加声压级，dB；</w:t>
            </w:r>
          </w:p>
          <w:p w14:paraId="0680379E">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P1ij</w:t>
            </w:r>
            <w:r>
              <w:rPr>
                <w:bCs/>
                <w:color w:val="auto"/>
                <w:szCs w:val="24"/>
                <w:highlight w:val="none"/>
                <w:shd w:val="clear" w:color="auto" w:fill="FFFFFF"/>
              </w:rPr>
              <w:t>—室内</w:t>
            </w:r>
            <w:r>
              <w:rPr>
                <w:bCs/>
                <w:i/>
                <w:iCs/>
                <w:color w:val="auto"/>
                <w:szCs w:val="24"/>
                <w:highlight w:val="none"/>
                <w:shd w:val="clear" w:color="auto" w:fill="FFFFFF"/>
              </w:rPr>
              <w:t>j</w:t>
            </w:r>
            <w:r>
              <w:rPr>
                <w:bCs/>
                <w:color w:val="auto"/>
                <w:szCs w:val="24"/>
                <w:highlight w:val="none"/>
                <w:shd w:val="clear" w:color="auto" w:fill="FFFFFF"/>
              </w:rPr>
              <w:t>声源</w:t>
            </w:r>
            <w:r>
              <w:rPr>
                <w:bCs/>
                <w:i/>
                <w:iCs/>
                <w:color w:val="auto"/>
                <w:szCs w:val="24"/>
                <w:highlight w:val="none"/>
                <w:shd w:val="clear" w:color="auto" w:fill="FFFFFF"/>
              </w:rPr>
              <w:t>i</w:t>
            </w:r>
            <w:r>
              <w:rPr>
                <w:bCs/>
                <w:color w:val="auto"/>
                <w:szCs w:val="24"/>
                <w:highlight w:val="none"/>
                <w:shd w:val="clear" w:color="auto" w:fill="FFFFFF"/>
              </w:rPr>
              <w:t>倍频带的声压级，dB；</w:t>
            </w:r>
          </w:p>
          <w:p w14:paraId="49505646">
            <w:pPr>
              <w:pStyle w:val="40"/>
              <w:wordWrap/>
              <w:ind w:firstLine="480"/>
              <w:rPr>
                <w:bCs/>
                <w:color w:val="auto"/>
                <w:szCs w:val="24"/>
                <w:highlight w:val="none"/>
                <w:shd w:val="clear" w:color="auto" w:fill="FFFFFF"/>
              </w:rPr>
            </w:pPr>
            <w:r>
              <w:rPr>
                <w:bCs/>
                <w:i/>
                <w:iCs/>
                <w:color w:val="auto"/>
                <w:szCs w:val="24"/>
                <w:highlight w:val="none"/>
                <w:shd w:val="clear" w:color="auto" w:fill="FFFFFF"/>
              </w:rPr>
              <w:t>N</w:t>
            </w:r>
            <w:r>
              <w:rPr>
                <w:bCs/>
                <w:color w:val="auto"/>
                <w:szCs w:val="24"/>
                <w:highlight w:val="none"/>
                <w:shd w:val="clear" w:color="auto" w:fill="FFFFFF"/>
              </w:rPr>
              <w:t>—室内声源总数。</w:t>
            </w:r>
          </w:p>
          <w:p w14:paraId="5A77BDAE">
            <w:pPr>
              <w:pStyle w:val="40"/>
              <w:wordWrap/>
              <w:ind w:firstLine="480"/>
              <w:rPr>
                <w:bCs/>
                <w:color w:val="auto"/>
                <w:szCs w:val="24"/>
                <w:highlight w:val="none"/>
                <w:shd w:val="clear" w:color="auto" w:fill="FFFFFF"/>
              </w:rPr>
            </w:pPr>
            <w:r>
              <w:rPr>
                <w:bCs/>
                <w:color w:val="auto"/>
                <w:szCs w:val="24"/>
                <w:highlight w:val="none"/>
                <w:shd w:val="clear" w:color="auto" w:fill="FFFFFF"/>
              </w:rPr>
              <w:t>在室内近似为扩散声场时，按式4-3计算出靠近室外围护结构处的声压级</w:t>
            </w:r>
            <w:r>
              <w:rPr>
                <w:rFonts w:hint="eastAsia"/>
                <w:bCs/>
                <w:color w:val="auto"/>
                <w:szCs w:val="24"/>
                <w:highlight w:val="none"/>
                <w:shd w:val="clear" w:color="auto" w:fill="FFFFFF"/>
              </w:rPr>
              <w:t>；</w:t>
            </w:r>
          </w:p>
          <w:p w14:paraId="60E48DDD">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P2i</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T</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=L</w:t>
            </w:r>
            <w:r>
              <w:rPr>
                <w:bCs/>
                <w:i/>
                <w:iCs/>
                <w:color w:val="auto"/>
                <w:szCs w:val="24"/>
                <w:highlight w:val="none"/>
                <w:shd w:val="clear" w:color="auto" w:fill="FFFFFF"/>
                <w:vertAlign w:val="subscript"/>
              </w:rPr>
              <w:t>P1i</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T</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-（T</w:t>
            </w:r>
            <w:r>
              <w:rPr>
                <w:bCs/>
                <w:i/>
                <w:iCs/>
                <w:color w:val="auto"/>
                <w:szCs w:val="24"/>
                <w:highlight w:val="none"/>
                <w:shd w:val="clear" w:color="auto" w:fill="FFFFFF"/>
                <w:vertAlign w:val="subscript"/>
              </w:rPr>
              <w:t>Li</w:t>
            </w:r>
            <w:r>
              <w:rPr>
                <w:bCs/>
                <w:i/>
                <w:iCs/>
                <w:color w:val="auto"/>
                <w:szCs w:val="24"/>
                <w:highlight w:val="none"/>
                <w:shd w:val="clear" w:color="auto" w:fill="FFFFFF"/>
              </w:rPr>
              <w:t>+6）</w:t>
            </w:r>
            <w:r>
              <w:rPr>
                <w:bCs/>
                <w:color w:val="auto"/>
                <w:szCs w:val="24"/>
                <w:highlight w:val="none"/>
                <w:shd w:val="clear" w:color="auto" w:fill="FFFFFF"/>
              </w:rPr>
              <w:t xml:space="preserve">          （式4-3）</w:t>
            </w:r>
          </w:p>
          <w:p w14:paraId="714FBCD9">
            <w:pPr>
              <w:pStyle w:val="40"/>
              <w:wordWrap/>
              <w:ind w:firstLine="480"/>
              <w:rPr>
                <w:bCs/>
                <w:color w:val="auto"/>
                <w:szCs w:val="24"/>
                <w:highlight w:val="none"/>
                <w:shd w:val="clear" w:color="auto" w:fill="FFFFFF"/>
              </w:rPr>
            </w:pPr>
            <w:r>
              <w:rPr>
                <w:bCs/>
                <w:color w:val="auto"/>
                <w:szCs w:val="24"/>
                <w:highlight w:val="none"/>
                <w:shd w:val="clear" w:color="auto" w:fill="FFFFFF"/>
              </w:rPr>
              <w:t>式中：</w:t>
            </w:r>
          </w:p>
          <w:p w14:paraId="04884194">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P2i</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T</w:t>
            </w:r>
            <w:r>
              <w:rPr>
                <w:rFonts w:hint="eastAsia"/>
                <w:bCs/>
                <w:i/>
                <w:iCs/>
                <w:color w:val="auto"/>
                <w:szCs w:val="24"/>
                <w:highlight w:val="none"/>
                <w:shd w:val="clear" w:color="auto" w:fill="FFFFFF"/>
                <w:lang w:eastAsia="zh-CN"/>
              </w:rPr>
              <w:t>）</w:t>
            </w:r>
            <w:r>
              <w:rPr>
                <w:bCs/>
                <w:color w:val="auto"/>
                <w:szCs w:val="24"/>
                <w:highlight w:val="none"/>
                <w:shd w:val="clear" w:color="auto" w:fill="FFFFFF"/>
              </w:rPr>
              <w:t>—靠近围护结构处室外</w:t>
            </w:r>
            <w:r>
              <w:rPr>
                <w:bCs/>
                <w:i/>
                <w:iCs/>
                <w:color w:val="auto"/>
                <w:szCs w:val="24"/>
                <w:highlight w:val="none"/>
                <w:shd w:val="clear" w:color="auto" w:fill="FFFFFF"/>
              </w:rPr>
              <w:t>N</w:t>
            </w:r>
            <w:r>
              <w:rPr>
                <w:bCs/>
                <w:color w:val="auto"/>
                <w:szCs w:val="24"/>
                <w:highlight w:val="none"/>
                <w:shd w:val="clear" w:color="auto" w:fill="FFFFFF"/>
              </w:rPr>
              <w:t>个声源</w:t>
            </w:r>
            <w:r>
              <w:rPr>
                <w:bCs/>
                <w:i/>
                <w:iCs/>
                <w:color w:val="auto"/>
                <w:szCs w:val="24"/>
                <w:highlight w:val="none"/>
                <w:shd w:val="clear" w:color="auto" w:fill="FFFFFF"/>
              </w:rPr>
              <w:t>i</w:t>
            </w:r>
            <w:r>
              <w:rPr>
                <w:bCs/>
                <w:color w:val="auto"/>
                <w:szCs w:val="24"/>
                <w:highlight w:val="none"/>
                <w:shd w:val="clear" w:color="auto" w:fill="FFFFFF"/>
              </w:rPr>
              <w:t>倍频带的叠加声压级，dB；</w:t>
            </w:r>
          </w:p>
          <w:p w14:paraId="74750E81">
            <w:pPr>
              <w:pStyle w:val="40"/>
              <w:wordWrap/>
              <w:ind w:firstLine="480"/>
              <w:rPr>
                <w:bCs/>
                <w:color w:val="auto"/>
                <w:szCs w:val="24"/>
                <w:highlight w:val="none"/>
                <w:shd w:val="clear" w:color="auto" w:fill="FFFFFF"/>
              </w:rPr>
            </w:pPr>
            <w:r>
              <w:rPr>
                <w:bCs/>
                <w:i/>
                <w:iCs/>
                <w:color w:val="auto"/>
                <w:szCs w:val="24"/>
                <w:highlight w:val="none"/>
                <w:shd w:val="clear" w:color="auto" w:fill="FFFFFF"/>
              </w:rPr>
              <w:t>T</w:t>
            </w:r>
            <w:r>
              <w:rPr>
                <w:bCs/>
                <w:i/>
                <w:iCs/>
                <w:color w:val="auto"/>
                <w:szCs w:val="24"/>
                <w:highlight w:val="none"/>
                <w:shd w:val="clear" w:color="auto" w:fill="FFFFFF"/>
                <w:vertAlign w:val="subscript"/>
              </w:rPr>
              <w:t>Li</w:t>
            </w:r>
            <w:r>
              <w:rPr>
                <w:bCs/>
                <w:color w:val="auto"/>
                <w:szCs w:val="24"/>
                <w:highlight w:val="none"/>
                <w:shd w:val="clear" w:color="auto" w:fill="FFFFFF"/>
              </w:rPr>
              <w:t>—围护结构</w:t>
            </w:r>
            <w:r>
              <w:rPr>
                <w:bCs/>
                <w:i/>
                <w:iCs/>
                <w:color w:val="auto"/>
                <w:szCs w:val="24"/>
                <w:highlight w:val="none"/>
                <w:shd w:val="clear" w:color="auto" w:fill="FFFFFF"/>
              </w:rPr>
              <w:t>i</w:t>
            </w:r>
            <w:r>
              <w:rPr>
                <w:bCs/>
                <w:color w:val="auto"/>
                <w:szCs w:val="24"/>
                <w:highlight w:val="none"/>
                <w:shd w:val="clear" w:color="auto" w:fill="FFFFFF"/>
              </w:rPr>
              <w:t>倍频带的隔声量，dB。</w:t>
            </w:r>
          </w:p>
          <w:p w14:paraId="35AAEB10">
            <w:pPr>
              <w:pStyle w:val="40"/>
              <w:wordWrap/>
              <w:ind w:firstLine="480"/>
              <w:rPr>
                <w:bCs/>
                <w:color w:val="auto"/>
                <w:szCs w:val="24"/>
                <w:highlight w:val="none"/>
                <w:shd w:val="clear" w:color="auto" w:fill="FFFFFF"/>
              </w:rPr>
            </w:pPr>
            <w:r>
              <w:rPr>
                <w:bCs/>
                <w:color w:val="auto"/>
                <w:szCs w:val="24"/>
                <w:highlight w:val="none"/>
                <w:shd w:val="clear" w:color="auto" w:fill="FFFFFF"/>
              </w:rPr>
              <w:t>然后按式4-4将室外声源的声压级和透过面积换算成等效的室外声源，计算出中心位置位于透声面积（</w:t>
            </w:r>
            <w:r>
              <w:rPr>
                <w:bCs/>
                <w:i/>
                <w:iCs/>
                <w:color w:val="auto"/>
                <w:szCs w:val="24"/>
                <w:highlight w:val="none"/>
                <w:shd w:val="clear" w:color="auto" w:fill="FFFFFF"/>
              </w:rPr>
              <w:t>S</w:t>
            </w:r>
            <w:r>
              <w:rPr>
                <w:bCs/>
                <w:color w:val="auto"/>
                <w:szCs w:val="24"/>
                <w:highlight w:val="none"/>
                <w:shd w:val="clear" w:color="auto" w:fill="FFFFFF"/>
              </w:rPr>
              <w:t>）处的等效声源的倍频带声功率级。</w:t>
            </w:r>
          </w:p>
          <w:p w14:paraId="7144FC9D">
            <w:pPr>
              <w:pStyle w:val="40"/>
              <w:wordWrap/>
              <w:ind w:left="0" w:leftChars="0" w:right="0" w:rightChars="0" w:firstLine="0" w:firstLineChars="0"/>
              <w:jc w:val="center"/>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w</w:t>
            </w:r>
            <w:r>
              <w:rPr>
                <w:bCs/>
                <w:i/>
                <w:iCs/>
                <w:color w:val="auto"/>
                <w:szCs w:val="24"/>
                <w:highlight w:val="none"/>
                <w:shd w:val="clear" w:color="auto" w:fill="FFFFFF"/>
              </w:rPr>
              <w:t>=L</w:t>
            </w:r>
            <w:r>
              <w:rPr>
                <w:bCs/>
                <w:i/>
                <w:iCs/>
                <w:color w:val="auto"/>
                <w:szCs w:val="24"/>
                <w:highlight w:val="none"/>
                <w:shd w:val="clear" w:color="auto" w:fill="FFFFFF"/>
                <w:vertAlign w:val="subscript"/>
              </w:rPr>
              <w:t>P2</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T</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 xml:space="preserve">+10lgS </w:t>
            </w:r>
            <w:r>
              <w:rPr>
                <w:bCs/>
                <w:color w:val="auto"/>
                <w:szCs w:val="24"/>
                <w:highlight w:val="none"/>
                <w:shd w:val="clear" w:color="auto" w:fill="FFFFFF"/>
              </w:rPr>
              <w:t xml:space="preserve">            （式4-4）</w:t>
            </w:r>
          </w:p>
          <w:p w14:paraId="4FC47470">
            <w:pPr>
              <w:pStyle w:val="40"/>
              <w:wordWrap/>
              <w:ind w:firstLine="480"/>
              <w:rPr>
                <w:bCs/>
                <w:color w:val="auto"/>
                <w:szCs w:val="24"/>
                <w:highlight w:val="none"/>
                <w:shd w:val="clear" w:color="auto" w:fill="FFFFFF"/>
              </w:rPr>
            </w:pPr>
            <w:r>
              <w:rPr>
                <w:bCs/>
                <w:color w:val="auto"/>
                <w:szCs w:val="24"/>
                <w:highlight w:val="none"/>
                <w:shd w:val="clear" w:color="auto" w:fill="FFFFFF"/>
              </w:rPr>
              <w:t>式中：</w:t>
            </w:r>
            <w:r>
              <w:rPr>
                <w:bCs/>
                <w:color w:val="auto"/>
                <w:position w:val="-10"/>
                <w:szCs w:val="24"/>
                <w:highlight w:val="none"/>
                <w:shd w:val="clear" w:color="auto" w:fill="FFFFFF"/>
              </w:rPr>
              <w:object>
                <v:shape id="_x0000_i1025" o:spt="75" type="#_x0000_t75" style="height:21.75pt;width:72pt;" o:ole="t" filled="f" o:preferrelative="t" stroked="f" coordsize="21600,21600">
                  <v:path/>
                  <v:fill on="f" focussize="0,0"/>
                  <v:stroke on="f" joinstyle="miter"/>
                  <v:imagedata r:id="rId36" o:title=""/>
                  <o:lock v:ext="edit" aspectratio="t"/>
                  <w10:wrap type="none"/>
                  <w10:anchorlock/>
                </v:shape>
                <o:OLEObject Type="Embed" ProgID="Equation.3" ShapeID="_x0000_i1025" DrawAspect="Content" ObjectID="_1468075725" r:id="rId35">
                  <o:LockedField>false</o:LockedField>
                </o:OLEObject>
              </w:object>
            </w:r>
          </w:p>
          <w:p w14:paraId="51B207E8">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w</w:t>
            </w:r>
            <w:r>
              <w:rPr>
                <w:bCs/>
                <w:color w:val="auto"/>
                <w:szCs w:val="24"/>
                <w:highlight w:val="none"/>
                <w:shd w:val="clear" w:color="auto" w:fill="FFFFFF"/>
              </w:rPr>
              <w:t>—中心位置位于透声面积（</w:t>
            </w:r>
            <w:r>
              <w:rPr>
                <w:bCs/>
                <w:i/>
                <w:iCs/>
                <w:color w:val="auto"/>
                <w:szCs w:val="24"/>
                <w:highlight w:val="none"/>
                <w:shd w:val="clear" w:color="auto" w:fill="FFFFFF"/>
              </w:rPr>
              <w:t>S</w:t>
            </w:r>
            <w:r>
              <w:rPr>
                <w:bCs/>
                <w:color w:val="auto"/>
                <w:szCs w:val="24"/>
                <w:highlight w:val="none"/>
                <w:shd w:val="clear" w:color="auto" w:fill="FFFFFF"/>
              </w:rPr>
              <w:t>）处的等效声源的倍频带声功率级，dB；</w:t>
            </w:r>
          </w:p>
          <w:p w14:paraId="7BEB0FEE">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p2</w:t>
            </w:r>
            <w:r>
              <w:rPr>
                <w:rFonts w:hint="eastAsia"/>
                <w:bCs/>
                <w:i/>
                <w:iCs/>
                <w:color w:val="auto"/>
                <w:szCs w:val="24"/>
                <w:highlight w:val="none"/>
                <w:shd w:val="clear" w:color="auto" w:fill="FFFFFF"/>
                <w:lang w:eastAsia="zh-CN"/>
              </w:rPr>
              <w:t>（</w:t>
            </w:r>
            <w:r>
              <w:rPr>
                <w:bCs/>
                <w:i/>
                <w:iCs/>
                <w:color w:val="auto"/>
                <w:szCs w:val="24"/>
                <w:highlight w:val="none"/>
                <w:shd w:val="clear" w:color="auto" w:fill="FFFFFF"/>
              </w:rPr>
              <w:t>T</w:t>
            </w:r>
            <w:r>
              <w:rPr>
                <w:rFonts w:hint="eastAsia"/>
                <w:bCs/>
                <w:i/>
                <w:iCs/>
                <w:color w:val="auto"/>
                <w:szCs w:val="24"/>
                <w:highlight w:val="none"/>
                <w:shd w:val="clear" w:color="auto" w:fill="FFFFFF"/>
                <w:lang w:eastAsia="zh-CN"/>
              </w:rPr>
              <w:t>）</w:t>
            </w:r>
            <w:r>
              <w:rPr>
                <w:bCs/>
                <w:color w:val="auto"/>
                <w:szCs w:val="24"/>
                <w:highlight w:val="none"/>
                <w:shd w:val="clear" w:color="auto" w:fill="FFFFFF"/>
              </w:rPr>
              <w:t>—靠近围护结构处室外声源的声压级，dB；</w:t>
            </w:r>
          </w:p>
          <w:p w14:paraId="196F7B05">
            <w:pPr>
              <w:pStyle w:val="40"/>
              <w:wordWrap/>
              <w:ind w:firstLine="480"/>
              <w:rPr>
                <w:bCs/>
                <w:color w:val="auto"/>
                <w:szCs w:val="24"/>
                <w:highlight w:val="none"/>
                <w:shd w:val="clear" w:color="auto" w:fill="FFFFFF"/>
              </w:rPr>
            </w:pPr>
            <w:r>
              <w:rPr>
                <w:bCs/>
                <w:i/>
                <w:iCs/>
                <w:color w:val="auto"/>
                <w:szCs w:val="24"/>
                <w:highlight w:val="none"/>
                <w:shd w:val="clear" w:color="auto" w:fill="FFFFFF"/>
              </w:rPr>
              <w:t>S</w:t>
            </w:r>
            <w:r>
              <w:rPr>
                <w:bCs/>
                <w:color w:val="auto"/>
                <w:szCs w:val="24"/>
                <w:highlight w:val="none"/>
                <w:shd w:val="clear" w:color="auto" w:fill="FFFFFF"/>
              </w:rPr>
              <w:t>—透声面积，m</w:t>
            </w:r>
            <w:r>
              <w:rPr>
                <w:bCs/>
                <w:color w:val="auto"/>
                <w:szCs w:val="24"/>
                <w:highlight w:val="none"/>
                <w:shd w:val="clear" w:color="auto" w:fill="FFFFFF"/>
                <w:vertAlign w:val="superscript"/>
              </w:rPr>
              <w:t>2</w:t>
            </w:r>
            <w:r>
              <w:rPr>
                <w:bCs/>
                <w:color w:val="auto"/>
                <w:szCs w:val="24"/>
                <w:highlight w:val="none"/>
                <w:shd w:val="clear" w:color="auto" w:fill="FFFFFF"/>
              </w:rPr>
              <w:t>。</w:t>
            </w:r>
          </w:p>
          <w:p w14:paraId="48EAFED5">
            <w:pPr>
              <w:pStyle w:val="40"/>
              <w:wordWrap/>
              <w:ind w:firstLine="480"/>
              <w:rPr>
                <w:bCs/>
                <w:color w:val="auto"/>
                <w:szCs w:val="24"/>
                <w:highlight w:val="none"/>
                <w:shd w:val="clear" w:color="auto" w:fill="FFFFFF"/>
              </w:rPr>
            </w:pPr>
            <w:r>
              <w:rPr>
                <w:bCs/>
                <w:color w:val="auto"/>
                <w:szCs w:val="24"/>
                <w:highlight w:val="none"/>
                <w:shd w:val="clear" w:color="auto" w:fill="FFFFFF"/>
              </w:rPr>
              <w:t>然后按室外声源预测方法计算预测点处的A声级。</w:t>
            </w:r>
          </w:p>
          <w:p w14:paraId="3A55A2AA">
            <w:pPr>
              <w:pStyle w:val="40"/>
              <w:wordWrap/>
              <w:ind w:firstLine="480"/>
              <w:rPr>
                <w:bCs/>
                <w:color w:val="auto"/>
                <w:szCs w:val="24"/>
                <w:highlight w:val="none"/>
                <w:shd w:val="clear" w:color="auto" w:fill="FFFFFF"/>
              </w:rPr>
            </w:pPr>
            <w:r>
              <w:rPr>
                <w:rFonts w:hint="eastAsia"/>
                <w:bCs/>
                <w:color w:val="auto"/>
                <w:szCs w:val="24"/>
                <w:highlight w:val="none"/>
                <w:shd w:val="clear" w:color="auto" w:fill="FFFFFF"/>
              </w:rPr>
              <w:t>（</w:t>
            </w:r>
            <w:r>
              <w:rPr>
                <w:rFonts w:hint="eastAsia"/>
                <w:bCs/>
                <w:color w:val="auto"/>
                <w:szCs w:val="24"/>
                <w:highlight w:val="none"/>
                <w:shd w:val="clear" w:color="auto" w:fill="FFFFFF"/>
                <w:lang w:val="en-US" w:eastAsia="zh-CN"/>
              </w:rPr>
              <w:t>2</w:t>
            </w:r>
            <w:r>
              <w:rPr>
                <w:rFonts w:hint="eastAsia"/>
                <w:bCs/>
                <w:color w:val="auto"/>
                <w:szCs w:val="24"/>
                <w:highlight w:val="none"/>
                <w:shd w:val="clear" w:color="auto" w:fill="FFFFFF"/>
              </w:rPr>
              <w:t>）</w:t>
            </w:r>
            <w:r>
              <w:rPr>
                <w:bCs/>
                <w:color w:val="auto"/>
                <w:szCs w:val="24"/>
                <w:highlight w:val="none"/>
                <w:shd w:val="clear" w:color="auto" w:fill="FFFFFF"/>
              </w:rPr>
              <w:t>工业企业噪声计算</w:t>
            </w:r>
          </w:p>
          <w:p w14:paraId="0937A553">
            <w:pPr>
              <w:pStyle w:val="40"/>
              <w:wordWrap/>
              <w:ind w:firstLine="480"/>
              <w:rPr>
                <w:bCs/>
                <w:color w:val="auto"/>
                <w:szCs w:val="24"/>
                <w:highlight w:val="none"/>
                <w:shd w:val="clear" w:color="auto" w:fill="FFFFFF"/>
              </w:rPr>
            </w:pPr>
            <w:r>
              <w:rPr>
                <w:bCs/>
                <w:color w:val="auto"/>
                <w:position w:val="-34"/>
                <w:szCs w:val="24"/>
                <w:highlight w:val="none"/>
                <w:shd w:val="clear" w:color="auto" w:fill="FFFFFF"/>
              </w:rPr>
              <w:drawing>
                <wp:anchor distT="0" distB="0" distL="114300" distR="114300" simplePos="0" relativeHeight="251664384" behindDoc="0" locked="0" layoutInCell="1" allowOverlap="1">
                  <wp:simplePos x="0" y="0"/>
                  <wp:positionH relativeFrom="column">
                    <wp:posOffset>892810</wp:posOffset>
                  </wp:positionH>
                  <wp:positionV relativeFrom="paragraph">
                    <wp:posOffset>1053465</wp:posOffset>
                  </wp:positionV>
                  <wp:extent cx="2590800" cy="508000"/>
                  <wp:effectExtent l="0" t="0" r="0" b="5715"/>
                  <wp:wrapNone/>
                  <wp:docPr id="20" name="Objec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 291"/>
                          <pic:cNvPicPr>
                            <a:picLocks noChangeAspect="1"/>
                          </pic:cNvPicPr>
                        </pic:nvPicPr>
                        <pic:blipFill>
                          <a:blip r:embed="rId37"/>
                          <a:stretch>
                            <a:fillRect/>
                          </a:stretch>
                        </pic:blipFill>
                        <pic:spPr>
                          <a:xfrm>
                            <a:off x="0" y="0"/>
                            <a:ext cx="2590800" cy="508000"/>
                          </a:xfrm>
                          <a:prstGeom prst="rect">
                            <a:avLst/>
                          </a:prstGeom>
                          <a:noFill/>
                          <a:ln>
                            <a:noFill/>
                          </a:ln>
                        </pic:spPr>
                      </pic:pic>
                    </a:graphicData>
                  </a:graphic>
                </wp:anchor>
              </w:drawing>
            </w:r>
            <w:r>
              <w:rPr>
                <w:bCs/>
                <w:color w:val="auto"/>
                <w:szCs w:val="24"/>
                <w:highlight w:val="none"/>
                <w:shd w:val="clear" w:color="auto" w:fill="FFFFFF"/>
              </w:rPr>
              <w:t>设第</w:t>
            </w:r>
            <w:r>
              <w:rPr>
                <w:bCs/>
                <w:i/>
                <w:iCs/>
                <w:color w:val="auto"/>
                <w:szCs w:val="24"/>
                <w:highlight w:val="none"/>
                <w:shd w:val="clear" w:color="auto" w:fill="FFFFFF"/>
              </w:rPr>
              <w:t>i</w:t>
            </w:r>
            <w:r>
              <w:rPr>
                <w:bCs/>
                <w:color w:val="auto"/>
                <w:szCs w:val="24"/>
                <w:highlight w:val="none"/>
                <w:shd w:val="clear" w:color="auto" w:fill="FFFFFF"/>
              </w:rPr>
              <w:t>个室外声源在预测点产生的A声级为</w:t>
            </w:r>
            <w:r>
              <w:rPr>
                <w:bCs/>
                <w:i/>
                <w:iCs/>
                <w:color w:val="auto"/>
                <w:szCs w:val="24"/>
                <w:highlight w:val="none"/>
                <w:shd w:val="clear" w:color="auto" w:fill="FFFFFF"/>
              </w:rPr>
              <w:t>L</w:t>
            </w:r>
            <w:r>
              <w:rPr>
                <w:bCs/>
                <w:i/>
                <w:iCs/>
                <w:color w:val="auto"/>
                <w:szCs w:val="24"/>
                <w:highlight w:val="none"/>
                <w:shd w:val="clear" w:color="auto" w:fill="FFFFFF"/>
                <w:vertAlign w:val="subscript"/>
              </w:rPr>
              <w:t>Ai</w:t>
            </w:r>
            <w:r>
              <w:rPr>
                <w:bCs/>
                <w:color w:val="auto"/>
                <w:szCs w:val="24"/>
                <w:highlight w:val="none"/>
                <w:shd w:val="clear" w:color="auto" w:fill="FFFFFF"/>
              </w:rPr>
              <w:t>，在</w:t>
            </w:r>
            <w:r>
              <w:rPr>
                <w:bCs/>
                <w:i/>
                <w:iCs/>
                <w:color w:val="auto"/>
                <w:szCs w:val="24"/>
                <w:highlight w:val="none"/>
                <w:shd w:val="clear" w:color="auto" w:fill="FFFFFF"/>
              </w:rPr>
              <w:t>T</w:t>
            </w:r>
            <w:r>
              <w:rPr>
                <w:bCs/>
                <w:color w:val="auto"/>
                <w:szCs w:val="24"/>
                <w:highlight w:val="none"/>
                <w:shd w:val="clear" w:color="auto" w:fill="FFFFFF"/>
              </w:rPr>
              <w:t>时间内该声源工作时间为</w:t>
            </w:r>
            <w:r>
              <w:rPr>
                <w:bCs/>
                <w:i/>
                <w:iCs/>
                <w:color w:val="auto"/>
                <w:szCs w:val="24"/>
                <w:highlight w:val="none"/>
                <w:shd w:val="clear" w:color="auto" w:fill="FFFFFF"/>
              </w:rPr>
              <w:t>t</w:t>
            </w:r>
            <w:r>
              <w:rPr>
                <w:bCs/>
                <w:i/>
                <w:iCs/>
                <w:color w:val="auto"/>
                <w:szCs w:val="24"/>
                <w:highlight w:val="none"/>
                <w:shd w:val="clear" w:color="auto" w:fill="FFFFFF"/>
                <w:vertAlign w:val="subscript"/>
              </w:rPr>
              <w:t>i</w:t>
            </w:r>
            <w:r>
              <w:rPr>
                <w:bCs/>
                <w:color w:val="auto"/>
                <w:szCs w:val="24"/>
                <w:highlight w:val="none"/>
                <w:shd w:val="clear" w:color="auto" w:fill="FFFFFF"/>
              </w:rPr>
              <w:t>；第</w:t>
            </w:r>
            <w:r>
              <w:rPr>
                <w:bCs/>
                <w:i/>
                <w:iCs/>
                <w:color w:val="auto"/>
                <w:szCs w:val="24"/>
                <w:highlight w:val="none"/>
                <w:shd w:val="clear" w:color="auto" w:fill="FFFFFF"/>
              </w:rPr>
              <w:t>j</w:t>
            </w:r>
            <w:r>
              <w:rPr>
                <w:bCs/>
                <w:color w:val="auto"/>
                <w:szCs w:val="24"/>
                <w:highlight w:val="none"/>
                <w:shd w:val="clear" w:color="auto" w:fill="FFFFFF"/>
              </w:rPr>
              <w:t>个等效室外声源在预测点产生的A声级为</w:t>
            </w:r>
            <w:r>
              <w:rPr>
                <w:bCs/>
                <w:i/>
                <w:iCs/>
                <w:color w:val="auto"/>
                <w:szCs w:val="24"/>
                <w:highlight w:val="none"/>
                <w:shd w:val="clear" w:color="auto" w:fill="FFFFFF"/>
              </w:rPr>
              <w:t>L</w:t>
            </w:r>
            <w:r>
              <w:rPr>
                <w:bCs/>
                <w:i/>
                <w:iCs/>
                <w:color w:val="auto"/>
                <w:szCs w:val="24"/>
                <w:highlight w:val="none"/>
                <w:shd w:val="clear" w:color="auto" w:fill="FFFFFF"/>
                <w:vertAlign w:val="subscript"/>
              </w:rPr>
              <w:t>Aj</w:t>
            </w:r>
            <w:r>
              <w:rPr>
                <w:bCs/>
                <w:color w:val="auto"/>
                <w:szCs w:val="24"/>
                <w:highlight w:val="none"/>
                <w:shd w:val="clear" w:color="auto" w:fill="FFFFFF"/>
              </w:rPr>
              <w:t>，在T时间内该声源工作时间为</w:t>
            </w:r>
            <w:r>
              <w:rPr>
                <w:bCs/>
                <w:i/>
                <w:iCs/>
                <w:color w:val="auto"/>
                <w:szCs w:val="24"/>
                <w:highlight w:val="none"/>
                <w:shd w:val="clear" w:color="auto" w:fill="FFFFFF"/>
              </w:rPr>
              <w:t>t</w:t>
            </w:r>
            <w:r>
              <w:rPr>
                <w:bCs/>
                <w:i/>
                <w:iCs/>
                <w:color w:val="auto"/>
                <w:szCs w:val="24"/>
                <w:highlight w:val="none"/>
                <w:shd w:val="clear" w:color="auto" w:fill="FFFFFF"/>
                <w:vertAlign w:val="subscript"/>
              </w:rPr>
              <w:t>j</w:t>
            </w:r>
            <w:r>
              <w:rPr>
                <w:bCs/>
                <w:color w:val="auto"/>
                <w:szCs w:val="24"/>
                <w:highlight w:val="none"/>
                <w:shd w:val="clear" w:color="auto" w:fill="FFFFFF"/>
              </w:rPr>
              <w:t>，则拟建工程声源对预测点产生的贡献值（</w:t>
            </w:r>
            <w:r>
              <w:rPr>
                <w:bCs/>
                <w:i/>
                <w:iCs/>
                <w:color w:val="auto"/>
                <w:szCs w:val="24"/>
                <w:highlight w:val="none"/>
                <w:shd w:val="clear" w:color="auto" w:fill="FFFFFF"/>
              </w:rPr>
              <w:t>L</w:t>
            </w:r>
            <w:r>
              <w:rPr>
                <w:bCs/>
                <w:i/>
                <w:iCs/>
                <w:color w:val="auto"/>
                <w:szCs w:val="24"/>
                <w:highlight w:val="none"/>
                <w:shd w:val="clear" w:color="auto" w:fill="FFFFFF"/>
                <w:vertAlign w:val="subscript"/>
              </w:rPr>
              <w:t>eqg</w:t>
            </w:r>
            <w:r>
              <w:rPr>
                <w:bCs/>
                <w:color w:val="auto"/>
                <w:szCs w:val="24"/>
                <w:highlight w:val="none"/>
                <w:shd w:val="clear" w:color="auto" w:fill="FFFFFF"/>
              </w:rPr>
              <w:t>）为：</w:t>
            </w:r>
          </w:p>
          <w:p w14:paraId="7ACD9B02">
            <w:pPr>
              <w:pStyle w:val="40"/>
              <w:wordWrap/>
              <w:ind w:firstLine="480"/>
              <w:rPr>
                <w:bCs/>
                <w:color w:val="auto"/>
                <w:szCs w:val="24"/>
                <w:highlight w:val="none"/>
                <w:shd w:val="clear" w:color="auto" w:fill="FFFFFF"/>
              </w:rPr>
            </w:pPr>
            <w:r>
              <w:rPr>
                <w:bCs/>
                <w:color w:val="auto"/>
                <w:position w:val="-34"/>
                <w:szCs w:val="24"/>
                <w:highlight w:val="none"/>
                <w:shd w:val="clear" w:color="auto" w:fill="FFFFFF"/>
              </w:rPr>
              <w:t xml:space="preserve">                                               </w:t>
            </w:r>
            <w:r>
              <w:rPr>
                <w:bCs/>
                <w:color w:val="auto"/>
                <w:szCs w:val="24"/>
                <w:highlight w:val="none"/>
                <w:shd w:val="clear" w:color="auto" w:fill="FFFFFF"/>
              </w:rPr>
              <w:t>（式4-9）</w:t>
            </w:r>
          </w:p>
          <w:p w14:paraId="3128CF6E">
            <w:pPr>
              <w:pStyle w:val="40"/>
              <w:wordWrap/>
              <w:ind w:firstLine="480"/>
              <w:rPr>
                <w:bCs/>
                <w:color w:val="auto"/>
                <w:szCs w:val="24"/>
                <w:highlight w:val="none"/>
                <w:shd w:val="clear" w:color="auto" w:fill="FFFFFF"/>
              </w:rPr>
            </w:pPr>
            <w:r>
              <w:rPr>
                <w:bCs/>
                <w:color w:val="auto"/>
                <w:szCs w:val="24"/>
                <w:highlight w:val="none"/>
                <w:shd w:val="clear" w:color="auto" w:fill="FFFFFF"/>
              </w:rPr>
              <w:t>式中：</w:t>
            </w:r>
          </w:p>
          <w:p w14:paraId="5491B2FC">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eqg</w:t>
            </w:r>
            <w:r>
              <w:rPr>
                <w:bCs/>
                <w:color w:val="auto"/>
                <w:szCs w:val="24"/>
                <w:highlight w:val="none"/>
                <w:shd w:val="clear" w:color="auto" w:fill="FFFFFF"/>
              </w:rPr>
              <w:t xml:space="preserve">—建设项目声源在预测点产生的噪声贡献值，dB； </w:t>
            </w:r>
          </w:p>
          <w:p w14:paraId="49E90787">
            <w:pPr>
              <w:pStyle w:val="40"/>
              <w:wordWrap/>
              <w:ind w:firstLine="480"/>
              <w:rPr>
                <w:bCs/>
                <w:color w:val="auto"/>
                <w:szCs w:val="24"/>
                <w:highlight w:val="none"/>
                <w:shd w:val="clear" w:color="auto" w:fill="FFFFFF"/>
              </w:rPr>
            </w:pPr>
            <w:r>
              <w:rPr>
                <w:bCs/>
                <w:i/>
                <w:iCs/>
                <w:color w:val="auto"/>
                <w:szCs w:val="24"/>
                <w:highlight w:val="none"/>
                <w:shd w:val="clear" w:color="auto" w:fill="FFFFFF"/>
              </w:rPr>
              <w:t>T</w:t>
            </w:r>
            <w:r>
              <w:rPr>
                <w:bCs/>
                <w:color w:val="auto"/>
                <w:szCs w:val="24"/>
                <w:highlight w:val="none"/>
                <w:shd w:val="clear" w:color="auto" w:fill="FFFFFF"/>
              </w:rPr>
              <w:t xml:space="preserve">—用于计算等效声级的时间，s； </w:t>
            </w:r>
          </w:p>
          <w:p w14:paraId="5FB3F9F9">
            <w:pPr>
              <w:pStyle w:val="40"/>
              <w:wordWrap/>
              <w:ind w:firstLine="480"/>
              <w:rPr>
                <w:bCs/>
                <w:color w:val="auto"/>
                <w:szCs w:val="24"/>
                <w:highlight w:val="none"/>
                <w:shd w:val="clear" w:color="auto" w:fill="FFFFFF"/>
              </w:rPr>
            </w:pPr>
            <w:r>
              <w:rPr>
                <w:bCs/>
                <w:i/>
                <w:iCs/>
                <w:color w:val="auto"/>
                <w:szCs w:val="24"/>
                <w:highlight w:val="none"/>
                <w:shd w:val="clear" w:color="auto" w:fill="FFFFFF"/>
              </w:rPr>
              <w:t>N</w:t>
            </w:r>
            <w:r>
              <w:rPr>
                <w:bCs/>
                <w:color w:val="auto"/>
                <w:szCs w:val="24"/>
                <w:highlight w:val="none"/>
                <w:shd w:val="clear" w:color="auto" w:fill="FFFFFF"/>
              </w:rPr>
              <w:t>—室外声源个数；</w:t>
            </w:r>
          </w:p>
          <w:p w14:paraId="5EDAA971">
            <w:pPr>
              <w:pStyle w:val="40"/>
              <w:wordWrap/>
              <w:ind w:firstLine="480"/>
              <w:rPr>
                <w:bCs/>
                <w:color w:val="auto"/>
                <w:szCs w:val="24"/>
                <w:highlight w:val="none"/>
                <w:shd w:val="clear" w:color="auto" w:fill="FFFFFF"/>
              </w:rPr>
            </w:pPr>
            <w:r>
              <w:rPr>
                <w:bCs/>
                <w:i/>
                <w:iCs/>
                <w:color w:val="auto"/>
                <w:szCs w:val="24"/>
                <w:highlight w:val="none"/>
                <w:shd w:val="clear" w:color="auto" w:fill="FFFFFF"/>
              </w:rPr>
              <w:t>t</w:t>
            </w:r>
            <w:r>
              <w:rPr>
                <w:bCs/>
                <w:i/>
                <w:iCs/>
                <w:color w:val="auto"/>
                <w:szCs w:val="24"/>
                <w:highlight w:val="none"/>
                <w:shd w:val="clear" w:color="auto" w:fill="FFFFFF"/>
                <w:vertAlign w:val="subscript"/>
              </w:rPr>
              <w:t>i</w:t>
            </w:r>
            <w:r>
              <w:rPr>
                <w:bCs/>
                <w:color w:val="auto"/>
                <w:szCs w:val="24"/>
                <w:highlight w:val="none"/>
                <w:shd w:val="clear" w:color="auto" w:fill="FFFFFF"/>
              </w:rPr>
              <w:t>—在</w:t>
            </w:r>
            <w:r>
              <w:rPr>
                <w:bCs/>
                <w:i/>
                <w:iCs/>
                <w:color w:val="auto"/>
                <w:szCs w:val="24"/>
                <w:highlight w:val="none"/>
                <w:shd w:val="clear" w:color="auto" w:fill="FFFFFF"/>
              </w:rPr>
              <w:t>T</w:t>
            </w:r>
            <w:r>
              <w:rPr>
                <w:bCs/>
                <w:color w:val="auto"/>
                <w:szCs w:val="24"/>
                <w:highlight w:val="none"/>
                <w:shd w:val="clear" w:color="auto" w:fill="FFFFFF"/>
              </w:rPr>
              <w:t>时间内</w:t>
            </w:r>
            <w:r>
              <w:rPr>
                <w:bCs/>
                <w:i/>
                <w:iCs/>
                <w:color w:val="auto"/>
                <w:szCs w:val="24"/>
                <w:highlight w:val="none"/>
                <w:shd w:val="clear" w:color="auto" w:fill="FFFFFF"/>
              </w:rPr>
              <w:t>i</w:t>
            </w:r>
            <w:r>
              <w:rPr>
                <w:bCs/>
                <w:color w:val="auto"/>
                <w:szCs w:val="24"/>
                <w:highlight w:val="none"/>
                <w:shd w:val="clear" w:color="auto" w:fill="FFFFFF"/>
              </w:rPr>
              <w:t xml:space="preserve">声源工作时间，s； </w:t>
            </w:r>
          </w:p>
          <w:p w14:paraId="10CE5762">
            <w:pPr>
              <w:pStyle w:val="40"/>
              <w:wordWrap/>
              <w:ind w:firstLine="480"/>
              <w:rPr>
                <w:bCs/>
                <w:color w:val="auto"/>
                <w:szCs w:val="24"/>
                <w:highlight w:val="none"/>
                <w:shd w:val="clear" w:color="auto" w:fill="FFFFFF"/>
              </w:rPr>
            </w:pPr>
            <w:r>
              <w:rPr>
                <w:bCs/>
                <w:i/>
                <w:iCs/>
                <w:color w:val="auto"/>
                <w:szCs w:val="24"/>
                <w:highlight w:val="none"/>
                <w:shd w:val="clear" w:color="auto" w:fill="FFFFFF"/>
              </w:rPr>
              <w:t>M</w:t>
            </w:r>
            <w:r>
              <w:rPr>
                <w:bCs/>
                <w:color w:val="auto"/>
                <w:szCs w:val="24"/>
                <w:highlight w:val="none"/>
                <w:shd w:val="clear" w:color="auto" w:fill="FFFFFF"/>
              </w:rPr>
              <w:t>—等效室外声源个数；</w:t>
            </w:r>
          </w:p>
          <w:p w14:paraId="47027410">
            <w:pPr>
              <w:pStyle w:val="40"/>
              <w:wordWrap/>
              <w:ind w:firstLine="480"/>
              <w:rPr>
                <w:bCs/>
                <w:color w:val="auto"/>
                <w:szCs w:val="24"/>
                <w:highlight w:val="none"/>
                <w:shd w:val="clear" w:color="auto" w:fill="FFFFFF"/>
              </w:rPr>
            </w:pPr>
            <w:r>
              <w:rPr>
                <w:bCs/>
                <w:i/>
                <w:iCs/>
                <w:color w:val="auto"/>
                <w:szCs w:val="24"/>
                <w:highlight w:val="none"/>
                <w:shd w:val="clear" w:color="auto" w:fill="FFFFFF"/>
              </w:rPr>
              <w:t>t</w:t>
            </w:r>
            <w:r>
              <w:rPr>
                <w:bCs/>
                <w:i/>
                <w:iCs/>
                <w:color w:val="auto"/>
                <w:szCs w:val="24"/>
                <w:highlight w:val="none"/>
                <w:shd w:val="clear" w:color="auto" w:fill="FFFFFF"/>
                <w:vertAlign w:val="subscript"/>
              </w:rPr>
              <w:t>j</w:t>
            </w:r>
            <w:r>
              <w:rPr>
                <w:bCs/>
                <w:color w:val="auto"/>
                <w:szCs w:val="24"/>
                <w:highlight w:val="none"/>
                <w:shd w:val="clear" w:color="auto" w:fill="FFFFFF"/>
              </w:rPr>
              <w:t>—在</w:t>
            </w:r>
            <w:r>
              <w:rPr>
                <w:bCs/>
                <w:i/>
                <w:iCs/>
                <w:color w:val="auto"/>
                <w:szCs w:val="24"/>
                <w:highlight w:val="none"/>
                <w:shd w:val="clear" w:color="auto" w:fill="FFFFFF"/>
              </w:rPr>
              <w:t>T</w:t>
            </w:r>
            <w:r>
              <w:rPr>
                <w:bCs/>
                <w:color w:val="auto"/>
                <w:szCs w:val="24"/>
                <w:highlight w:val="none"/>
                <w:shd w:val="clear" w:color="auto" w:fill="FFFFFF"/>
              </w:rPr>
              <w:t>时间内</w:t>
            </w:r>
            <w:r>
              <w:rPr>
                <w:bCs/>
                <w:i/>
                <w:iCs/>
                <w:color w:val="auto"/>
                <w:szCs w:val="24"/>
                <w:highlight w:val="none"/>
                <w:shd w:val="clear" w:color="auto" w:fill="FFFFFF"/>
              </w:rPr>
              <w:t>j</w:t>
            </w:r>
            <w:r>
              <w:rPr>
                <w:bCs/>
                <w:color w:val="auto"/>
                <w:szCs w:val="24"/>
                <w:highlight w:val="none"/>
                <w:shd w:val="clear" w:color="auto" w:fill="FFFFFF"/>
              </w:rPr>
              <w:t>声源工作时间，s。</w:t>
            </w:r>
          </w:p>
          <w:p w14:paraId="009A51E3">
            <w:pPr>
              <w:pStyle w:val="40"/>
              <w:wordWrap/>
              <w:ind w:firstLine="480"/>
              <w:rPr>
                <w:bCs/>
                <w:color w:val="auto"/>
                <w:szCs w:val="24"/>
                <w:highlight w:val="none"/>
                <w:shd w:val="clear" w:color="auto" w:fill="FFFFFF"/>
              </w:rPr>
            </w:pPr>
            <w:r>
              <w:rPr>
                <w:bCs/>
                <w:color w:val="auto"/>
                <w:szCs w:val="24"/>
                <w:highlight w:val="none"/>
                <w:shd w:val="clear" w:color="auto" w:fill="FFFFFF"/>
              </w:rPr>
              <w:t>E、预测值计算</w:t>
            </w:r>
          </w:p>
          <w:p w14:paraId="710A5ABC">
            <w:pPr>
              <w:pStyle w:val="40"/>
              <w:wordWrap/>
              <w:ind w:firstLine="480"/>
              <w:jc w:val="center"/>
              <w:rPr>
                <w:bCs/>
                <w:color w:val="auto"/>
                <w:szCs w:val="24"/>
                <w:highlight w:val="none"/>
                <w:shd w:val="clear" w:color="auto" w:fill="FFFFFF"/>
              </w:rPr>
            </w:pPr>
            <w:r>
              <w:rPr>
                <w:color w:val="auto"/>
                <w:position w:val="-14"/>
                <w:szCs w:val="24"/>
                <w:highlight w:val="none"/>
                <w:shd w:val="clear" w:color="auto" w:fill="FFFFFF"/>
                <w:lang w:bidi="ar-SA"/>
              </w:rPr>
              <w:drawing>
                <wp:inline distT="0" distB="0" distL="0" distR="0">
                  <wp:extent cx="2202815" cy="318135"/>
                  <wp:effectExtent l="0" t="0" r="6985" b="5080"/>
                  <wp:docPr id="10048359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5986" name="图片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02815" cy="318135"/>
                          </a:xfrm>
                          <a:prstGeom prst="rect">
                            <a:avLst/>
                          </a:prstGeom>
                          <a:noFill/>
                          <a:ln>
                            <a:noFill/>
                          </a:ln>
                        </pic:spPr>
                      </pic:pic>
                    </a:graphicData>
                  </a:graphic>
                </wp:inline>
              </w:drawing>
            </w:r>
            <w:r>
              <w:rPr>
                <w:bCs/>
                <w:color w:val="auto"/>
                <w:szCs w:val="24"/>
                <w:highlight w:val="none"/>
                <w:shd w:val="clear" w:color="auto" w:fill="FFFFFF"/>
              </w:rPr>
              <w:t>（式4-10）</w:t>
            </w:r>
          </w:p>
          <w:p w14:paraId="3DFBD151">
            <w:pPr>
              <w:pStyle w:val="40"/>
              <w:wordWrap/>
              <w:ind w:firstLine="480"/>
              <w:rPr>
                <w:bCs/>
                <w:color w:val="auto"/>
                <w:szCs w:val="24"/>
                <w:highlight w:val="none"/>
                <w:shd w:val="clear" w:color="auto" w:fill="FFFFFF"/>
              </w:rPr>
            </w:pPr>
            <w:r>
              <w:rPr>
                <w:bCs/>
                <w:color w:val="auto"/>
                <w:szCs w:val="24"/>
                <w:highlight w:val="none"/>
                <w:shd w:val="clear" w:color="auto" w:fill="FFFFFF"/>
              </w:rPr>
              <w:t>式中：</w:t>
            </w:r>
          </w:p>
          <w:p w14:paraId="4374A587">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eq</w:t>
            </w:r>
            <w:r>
              <w:rPr>
                <w:bCs/>
                <w:color w:val="auto"/>
                <w:szCs w:val="24"/>
                <w:highlight w:val="none"/>
                <w:shd w:val="clear" w:color="auto" w:fill="FFFFFF"/>
              </w:rPr>
              <w:t>—预测点的噪声预测值，dB；</w:t>
            </w:r>
          </w:p>
          <w:p w14:paraId="7345E890">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eqg</w:t>
            </w:r>
            <w:r>
              <w:rPr>
                <w:bCs/>
                <w:color w:val="auto"/>
                <w:szCs w:val="24"/>
                <w:highlight w:val="none"/>
                <w:shd w:val="clear" w:color="auto" w:fill="FFFFFF"/>
              </w:rPr>
              <w:t xml:space="preserve">—建设项目声源在预测点产生的噪声贡献值，dB； </w:t>
            </w:r>
          </w:p>
          <w:p w14:paraId="32369EC9">
            <w:pPr>
              <w:pStyle w:val="40"/>
              <w:wordWrap/>
              <w:ind w:firstLine="480"/>
              <w:rPr>
                <w:bCs/>
                <w:color w:val="auto"/>
                <w:szCs w:val="24"/>
                <w:highlight w:val="none"/>
                <w:shd w:val="clear" w:color="auto" w:fill="FFFFFF"/>
              </w:rPr>
            </w:pPr>
            <w:r>
              <w:rPr>
                <w:bCs/>
                <w:i/>
                <w:iCs/>
                <w:color w:val="auto"/>
                <w:szCs w:val="24"/>
                <w:highlight w:val="none"/>
                <w:shd w:val="clear" w:color="auto" w:fill="FFFFFF"/>
              </w:rPr>
              <w:t>L</w:t>
            </w:r>
            <w:r>
              <w:rPr>
                <w:bCs/>
                <w:i/>
                <w:iCs/>
                <w:color w:val="auto"/>
                <w:szCs w:val="24"/>
                <w:highlight w:val="none"/>
                <w:shd w:val="clear" w:color="auto" w:fill="FFFFFF"/>
                <w:vertAlign w:val="subscript"/>
              </w:rPr>
              <w:t>eqb</w:t>
            </w:r>
            <w:r>
              <w:rPr>
                <w:bCs/>
                <w:color w:val="auto"/>
                <w:szCs w:val="24"/>
                <w:highlight w:val="none"/>
                <w:shd w:val="clear" w:color="auto" w:fill="FFFFFF"/>
              </w:rPr>
              <w:t>—预测点的背景噪声值，dB。</w:t>
            </w:r>
          </w:p>
          <w:p w14:paraId="0A63C16E">
            <w:pPr>
              <w:pStyle w:val="40"/>
              <w:wordWrap/>
              <w:ind w:firstLine="480"/>
              <w:rPr>
                <w:bCs/>
                <w:color w:val="auto"/>
                <w:szCs w:val="24"/>
                <w:highlight w:val="none"/>
                <w:shd w:val="clear" w:color="auto" w:fill="FFFFFF"/>
              </w:rPr>
            </w:pPr>
            <w:r>
              <w:rPr>
                <w:rFonts w:hint="eastAsia"/>
                <w:bCs/>
                <w:color w:val="auto"/>
                <w:szCs w:val="24"/>
                <w:highlight w:val="none"/>
                <w:shd w:val="clear" w:color="auto" w:fill="FFFFFF"/>
                <w:lang w:val="en-US" w:eastAsia="zh-CN"/>
              </w:rPr>
              <w:t>3</w:t>
            </w:r>
            <w:r>
              <w:rPr>
                <w:rFonts w:hint="eastAsia"/>
                <w:bCs/>
                <w:color w:val="auto"/>
                <w:szCs w:val="24"/>
                <w:highlight w:val="none"/>
                <w:shd w:val="clear" w:color="auto" w:fill="FFFFFF"/>
              </w:rPr>
              <w:t>、</w:t>
            </w:r>
            <w:r>
              <w:rPr>
                <w:bCs/>
                <w:color w:val="auto"/>
                <w:szCs w:val="24"/>
                <w:highlight w:val="none"/>
                <w:shd w:val="clear" w:color="auto" w:fill="FFFFFF"/>
              </w:rPr>
              <w:t>预测参数选取</w:t>
            </w:r>
          </w:p>
          <w:p w14:paraId="61BD9D53">
            <w:pPr>
              <w:pStyle w:val="40"/>
              <w:wordWrap/>
              <w:ind w:firstLine="480"/>
              <w:rPr>
                <w:bCs/>
                <w:color w:val="auto"/>
                <w:szCs w:val="24"/>
                <w:highlight w:val="none"/>
                <w:shd w:val="clear" w:color="auto" w:fill="FFFFFF"/>
              </w:rPr>
            </w:pPr>
            <w:r>
              <w:rPr>
                <w:bCs/>
                <w:color w:val="auto"/>
                <w:szCs w:val="24"/>
                <w:highlight w:val="none"/>
                <w:shd w:val="clear" w:color="auto" w:fill="FFFFFF"/>
              </w:rPr>
              <w:t>本项目主要噪声设备及噪声源强见项目源强分析。</w:t>
            </w:r>
          </w:p>
          <w:p w14:paraId="21A08496">
            <w:pPr>
              <w:pStyle w:val="40"/>
              <w:wordWrap/>
              <w:ind w:firstLine="480"/>
              <w:rPr>
                <w:bCs/>
                <w:color w:val="auto"/>
                <w:szCs w:val="24"/>
                <w:highlight w:val="none"/>
                <w:shd w:val="clear" w:color="auto" w:fill="FFFFFF"/>
              </w:rPr>
            </w:pPr>
            <w:r>
              <w:rPr>
                <w:rFonts w:hint="eastAsia"/>
                <w:bCs/>
                <w:color w:val="auto"/>
                <w:szCs w:val="24"/>
                <w:highlight w:val="none"/>
                <w:shd w:val="clear" w:color="auto" w:fill="FFFFFF"/>
                <w:lang w:val="en-US" w:eastAsia="zh-CN"/>
              </w:rPr>
              <w:t>4</w:t>
            </w:r>
            <w:r>
              <w:rPr>
                <w:rFonts w:hint="eastAsia"/>
                <w:bCs/>
                <w:color w:val="auto"/>
                <w:szCs w:val="24"/>
                <w:highlight w:val="none"/>
                <w:shd w:val="clear" w:color="auto" w:fill="FFFFFF"/>
              </w:rPr>
              <w:t>、</w:t>
            </w:r>
            <w:r>
              <w:rPr>
                <w:bCs/>
                <w:color w:val="auto"/>
                <w:szCs w:val="24"/>
                <w:highlight w:val="none"/>
                <w:shd w:val="clear" w:color="auto" w:fill="FFFFFF"/>
              </w:rPr>
              <w:t>预测计算结果</w:t>
            </w:r>
          </w:p>
          <w:p w14:paraId="720FA6DD">
            <w:pPr>
              <w:widowControl/>
              <w:kinsoku w:val="0"/>
              <w:autoSpaceDE w:val="0"/>
              <w:autoSpaceDN w:val="0"/>
              <w:adjustRightInd w:val="0"/>
              <w:snapToGrid w:val="0"/>
              <w:ind w:firstLine="480" w:firstLineChars="200"/>
              <w:textAlignment w:val="baseline"/>
              <w:rPr>
                <w:color w:val="auto"/>
                <w:highlight w:val="none"/>
              </w:rPr>
            </w:pPr>
            <w:r>
              <w:rPr>
                <w:rFonts w:eastAsiaTheme="minorEastAsia"/>
                <w:color w:val="auto"/>
                <w:szCs w:val="24"/>
                <w:highlight w:val="none"/>
              </w:rPr>
              <w:t>通过预测模型计算，项目厂界噪声预测结果与达标分析见</w:t>
            </w:r>
            <w:r>
              <w:rPr>
                <w:rFonts w:hint="eastAsia" w:eastAsiaTheme="minorEastAsia"/>
                <w:color w:val="auto"/>
                <w:szCs w:val="24"/>
                <w:highlight w:val="none"/>
                <w:lang w:eastAsia="zh-CN"/>
              </w:rPr>
              <w:t>下表</w:t>
            </w:r>
            <w:r>
              <w:rPr>
                <w:bCs/>
                <w:color w:val="auto"/>
                <w:szCs w:val="24"/>
                <w:highlight w:val="none"/>
                <w:shd w:val="clear" w:color="auto" w:fill="FFFFFF"/>
              </w:rPr>
              <w:t>。</w:t>
            </w:r>
          </w:p>
          <w:p w14:paraId="0032E264">
            <w:pPr>
              <w:pStyle w:val="6"/>
              <w:rPr>
                <w:color w:val="auto"/>
                <w:kern w:val="21"/>
                <w:sz w:val="18"/>
                <w:szCs w:val="18"/>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11</w:t>
            </w:r>
            <w:r>
              <w:rPr>
                <w:color w:val="auto"/>
                <w:highlight w:val="none"/>
              </w:rPr>
              <w:fldChar w:fldCharType="end"/>
            </w:r>
            <w:r>
              <w:rPr>
                <w:rFonts w:hint="eastAsia"/>
                <w:color w:val="auto"/>
                <w:highlight w:val="none"/>
              </w:rPr>
              <w:t xml:space="preserve"> 本项目</w:t>
            </w:r>
            <w:r>
              <w:rPr>
                <w:rFonts w:hint="eastAsia"/>
                <w:color w:val="auto"/>
                <w:highlight w:val="none"/>
                <w:lang w:eastAsia="zh-CN"/>
              </w:rPr>
              <w:t>西侧地块</w:t>
            </w:r>
            <w:r>
              <w:rPr>
                <w:bCs/>
                <w:color w:val="auto"/>
                <w:szCs w:val="21"/>
                <w:highlight w:val="none"/>
              </w:rPr>
              <w:t>噪声预测结果表</w:t>
            </w:r>
            <w:r>
              <w:rPr>
                <w:rFonts w:hint="eastAsia"/>
                <w:color w:val="auto"/>
                <w:highlight w:val="none"/>
              </w:rPr>
              <w:t xml:space="preserve">  </w:t>
            </w:r>
            <w:r>
              <w:rPr>
                <w:rFonts w:hint="eastAsia"/>
                <w:color w:val="auto"/>
                <w:sz w:val="18"/>
                <w:szCs w:val="18"/>
                <w:highlight w:val="none"/>
              </w:rPr>
              <w:t>单位：</w:t>
            </w:r>
            <w:r>
              <w:rPr>
                <w:color w:val="auto"/>
                <w:kern w:val="21"/>
                <w:sz w:val="18"/>
                <w:szCs w:val="18"/>
                <w:highlight w:val="none"/>
              </w:rPr>
              <w:t>dB（A）</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756"/>
              <w:gridCol w:w="748"/>
              <w:gridCol w:w="710"/>
              <w:gridCol w:w="840"/>
              <w:gridCol w:w="1322"/>
              <w:gridCol w:w="1323"/>
              <w:gridCol w:w="985"/>
            </w:tblGrid>
            <w:tr w14:paraId="1D97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14:paraId="4ADD411C">
                  <w:pPr>
                    <w:pStyle w:val="30"/>
                    <w:bidi w:val="0"/>
                    <w:rPr>
                      <w:b/>
                      <w:bCs/>
                      <w:color w:val="auto"/>
                      <w:highlight w:val="none"/>
                    </w:rPr>
                  </w:pPr>
                  <w:r>
                    <w:rPr>
                      <w:b/>
                      <w:bCs/>
                      <w:color w:val="auto"/>
                      <w:highlight w:val="none"/>
                    </w:rPr>
                    <w:t>预测方位</w:t>
                  </w:r>
                </w:p>
              </w:tc>
              <w:tc>
                <w:tcPr>
                  <w:tcW w:w="2409" w:type="dxa"/>
                  <w:gridSpan w:val="3"/>
                  <w:vAlign w:val="center"/>
                </w:tcPr>
                <w:p w14:paraId="5553D1E5">
                  <w:pPr>
                    <w:pStyle w:val="30"/>
                    <w:bidi w:val="0"/>
                    <w:rPr>
                      <w:b/>
                      <w:bCs/>
                      <w:color w:val="auto"/>
                      <w:highlight w:val="none"/>
                    </w:rPr>
                  </w:pPr>
                  <w:r>
                    <w:rPr>
                      <w:rFonts w:hint="eastAsia"/>
                      <w:b/>
                      <w:bCs/>
                      <w:color w:val="auto"/>
                      <w:highlight w:val="none"/>
                      <w:lang w:val="en-US" w:eastAsia="zh-CN"/>
                    </w:rPr>
                    <w:t>最大值点</w:t>
                  </w:r>
                  <w:r>
                    <w:rPr>
                      <w:b/>
                      <w:bCs/>
                      <w:color w:val="auto"/>
                      <w:highlight w:val="none"/>
                    </w:rPr>
                    <w:t>空间相对位置/m</w:t>
                  </w:r>
                </w:p>
              </w:tc>
              <w:tc>
                <w:tcPr>
                  <w:tcW w:w="993" w:type="dxa"/>
                  <w:vMerge w:val="restart"/>
                  <w:vAlign w:val="center"/>
                </w:tcPr>
                <w:p w14:paraId="270AC61F">
                  <w:pPr>
                    <w:pStyle w:val="30"/>
                    <w:bidi w:val="0"/>
                    <w:rPr>
                      <w:b/>
                      <w:bCs/>
                      <w:color w:val="auto"/>
                      <w:highlight w:val="none"/>
                    </w:rPr>
                  </w:pPr>
                  <w:r>
                    <w:rPr>
                      <w:b/>
                      <w:bCs/>
                      <w:color w:val="auto"/>
                      <w:highlight w:val="none"/>
                    </w:rPr>
                    <w:t>时段</w:t>
                  </w:r>
                </w:p>
              </w:tc>
              <w:tc>
                <w:tcPr>
                  <w:tcW w:w="1417" w:type="dxa"/>
                  <w:vMerge w:val="restart"/>
                  <w:vAlign w:val="center"/>
                </w:tcPr>
                <w:p w14:paraId="3B81AEA5">
                  <w:pPr>
                    <w:pStyle w:val="30"/>
                    <w:bidi w:val="0"/>
                    <w:rPr>
                      <w:b/>
                      <w:bCs/>
                      <w:color w:val="auto"/>
                      <w:highlight w:val="none"/>
                    </w:rPr>
                  </w:pPr>
                  <w:r>
                    <w:rPr>
                      <w:rFonts w:hint="eastAsia"/>
                      <w:b/>
                      <w:bCs/>
                      <w:color w:val="auto"/>
                      <w:highlight w:val="none"/>
                    </w:rPr>
                    <w:t>贡献值</w:t>
                  </w:r>
                  <w:r>
                    <w:rPr>
                      <w:b/>
                      <w:bCs/>
                      <w:color w:val="auto"/>
                      <w:highlight w:val="none"/>
                    </w:rPr>
                    <w:t>（dB(A)）</w:t>
                  </w:r>
                </w:p>
              </w:tc>
              <w:tc>
                <w:tcPr>
                  <w:tcW w:w="1418" w:type="dxa"/>
                  <w:vMerge w:val="restart"/>
                  <w:vAlign w:val="center"/>
                </w:tcPr>
                <w:p w14:paraId="45DCADE0">
                  <w:pPr>
                    <w:pStyle w:val="30"/>
                    <w:bidi w:val="0"/>
                    <w:rPr>
                      <w:b/>
                      <w:bCs/>
                      <w:color w:val="auto"/>
                      <w:highlight w:val="none"/>
                    </w:rPr>
                  </w:pPr>
                  <w:r>
                    <w:rPr>
                      <w:b/>
                      <w:bCs/>
                      <w:color w:val="auto"/>
                      <w:highlight w:val="none"/>
                    </w:rPr>
                    <w:t>标准限值（dB(A)）</w:t>
                  </w:r>
                </w:p>
              </w:tc>
              <w:tc>
                <w:tcPr>
                  <w:tcW w:w="1188" w:type="dxa"/>
                  <w:vMerge w:val="restart"/>
                  <w:vAlign w:val="center"/>
                </w:tcPr>
                <w:p w14:paraId="6174C82F">
                  <w:pPr>
                    <w:pStyle w:val="30"/>
                    <w:bidi w:val="0"/>
                    <w:rPr>
                      <w:b/>
                      <w:bCs/>
                      <w:color w:val="auto"/>
                      <w:highlight w:val="none"/>
                    </w:rPr>
                  </w:pPr>
                  <w:r>
                    <w:rPr>
                      <w:b/>
                      <w:bCs/>
                      <w:color w:val="auto"/>
                      <w:highlight w:val="none"/>
                    </w:rPr>
                    <w:t>达标情况</w:t>
                  </w:r>
                </w:p>
              </w:tc>
            </w:tr>
            <w:tr w14:paraId="28A4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14:paraId="0E7779D2">
                  <w:pPr>
                    <w:pStyle w:val="30"/>
                    <w:bidi w:val="0"/>
                    <w:rPr>
                      <w:color w:val="auto"/>
                      <w:highlight w:val="none"/>
                    </w:rPr>
                  </w:pPr>
                </w:p>
              </w:tc>
              <w:tc>
                <w:tcPr>
                  <w:tcW w:w="803" w:type="dxa"/>
                  <w:shd w:val="clear" w:color="auto" w:fill="FFFFFF"/>
                  <w:vAlign w:val="center"/>
                </w:tcPr>
                <w:p w14:paraId="15B752C9">
                  <w:pPr>
                    <w:pStyle w:val="30"/>
                    <w:bidi w:val="0"/>
                    <w:rPr>
                      <w:b/>
                      <w:bCs/>
                      <w:color w:val="auto"/>
                      <w:highlight w:val="none"/>
                    </w:rPr>
                  </w:pPr>
                  <w:r>
                    <w:rPr>
                      <w:b/>
                      <w:bCs/>
                      <w:color w:val="auto"/>
                      <w:highlight w:val="none"/>
                    </w:rPr>
                    <w:t>X</w:t>
                  </w:r>
                </w:p>
              </w:tc>
              <w:tc>
                <w:tcPr>
                  <w:tcW w:w="803" w:type="dxa"/>
                  <w:shd w:val="clear" w:color="auto" w:fill="FFFFFF"/>
                  <w:vAlign w:val="center"/>
                </w:tcPr>
                <w:p w14:paraId="290EE2EC">
                  <w:pPr>
                    <w:pStyle w:val="30"/>
                    <w:bidi w:val="0"/>
                    <w:rPr>
                      <w:b/>
                      <w:bCs/>
                      <w:color w:val="auto"/>
                      <w:highlight w:val="none"/>
                    </w:rPr>
                  </w:pPr>
                  <w:r>
                    <w:rPr>
                      <w:b/>
                      <w:bCs/>
                      <w:color w:val="auto"/>
                      <w:highlight w:val="none"/>
                    </w:rPr>
                    <w:t>Y</w:t>
                  </w:r>
                </w:p>
              </w:tc>
              <w:tc>
                <w:tcPr>
                  <w:tcW w:w="803" w:type="dxa"/>
                  <w:shd w:val="clear" w:color="auto" w:fill="FFFFFF"/>
                  <w:vAlign w:val="center"/>
                </w:tcPr>
                <w:p w14:paraId="666ACEDE">
                  <w:pPr>
                    <w:pStyle w:val="30"/>
                    <w:bidi w:val="0"/>
                    <w:rPr>
                      <w:b/>
                      <w:bCs/>
                      <w:color w:val="auto"/>
                      <w:highlight w:val="none"/>
                    </w:rPr>
                  </w:pPr>
                  <w:r>
                    <w:rPr>
                      <w:b/>
                      <w:bCs/>
                      <w:color w:val="auto"/>
                      <w:highlight w:val="none"/>
                    </w:rPr>
                    <w:t>Z</w:t>
                  </w:r>
                </w:p>
              </w:tc>
              <w:tc>
                <w:tcPr>
                  <w:tcW w:w="993" w:type="dxa"/>
                  <w:vMerge w:val="continue"/>
                  <w:shd w:val="clear" w:color="auto" w:fill="FFFFFF"/>
                  <w:vAlign w:val="center"/>
                </w:tcPr>
                <w:p w14:paraId="67536F04">
                  <w:pPr>
                    <w:pStyle w:val="30"/>
                    <w:bidi w:val="0"/>
                    <w:rPr>
                      <w:color w:val="auto"/>
                      <w:highlight w:val="none"/>
                    </w:rPr>
                  </w:pPr>
                </w:p>
              </w:tc>
              <w:tc>
                <w:tcPr>
                  <w:tcW w:w="1417" w:type="dxa"/>
                  <w:vMerge w:val="continue"/>
                  <w:shd w:val="clear" w:color="auto" w:fill="FFFFFF"/>
                  <w:vAlign w:val="center"/>
                </w:tcPr>
                <w:p w14:paraId="4B8E5458">
                  <w:pPr>
                    <w:pStyle w:val="30"/>
                    <w:bidi w:val="0"/>
                    <w:rPr>
                      <w:color w:val="auto"/>
                      <w:highlight w:val="none"/>
                    </w:rPr>
                  </w:pPr>
                </w:p>
              </w:tc>
              <w:tc>
                <w:tcPr>
                  <w:tcW w:w="1418" w:type="dxa"/>
                  <w:vMerge w:val="continue"/>
                  <w:shd w:val="clear" w:color="auto" w:fill="FFFFFF"/>
                  <w:vAlign w:val="center"/>
                </w:tcPr>
                <w:p w14:paraId="66BC6B30">
                  <w:pPr>
                    <w:pStyle w:val="30"/>
                    <w:bidi w:val="0"/>
                    <w:rPr>
                      <w:color w:val="auto"/>
                      <w:highlight w:val="none"/>
                    </w:rPr>
                  </w:pPr>
                </w:p>
              </w:tc>
              <w:tc>
                <w:tcPr>
                  <w:tcW w:w="1188" w:type="dxa"/>
                  <w:vMerge w:val="continue"/>
                  <w:shd w:val="clear" w:color="auto" w:fill="FFFFFF"/>
                  <w:vAlign w:val="center"/>
                </w:tcPr>
                <w:p w14:paraId="1AC016AC">
                  <w:pPr>
                    <w:pStyle w:val="30"/>
                    <w:bidi w:val="0"/>
                    <w:rPr>
                      <w:color w:val="auto"/>
                      <w:highlight w:val="none"/>
                    </w:rPr>
                  </w:pPr>
                </w:p>
              </w:tc>
            </w:tr>
            <w:tr w14:paraId="66C6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3C167F9F">
                  <w:pPr>
                    <w:pStyle w:val="30"/>
                    <w:bidi w:val="0"/>
                    <w:rPr>
                      <w:color w:val="auto"/>
                      <w:highlight w:val="none"/>
                    </w:rPr>
                  </w:pPr>
                  <w:r>
                    <w:rPr>
                      <w:color w:val="auto"/>
                      <w:highlight w:val="none"/>
                    </w:rPr>
                    <w:t>东侧</w:t>
                  </w:r>
                </w:p>
              </w:tc>
              <w:tc>
                <w:tcPr>
                  <w:tcW w:w="803" w:type="dxa"/>
                  <w:shd w:val="clear" w:color="auto" w:fill="FFFFFF"/>
                  <w:vAlign w:val="center"/>
                </w:tcPr>
                <w:p w14:paraId="3F34CA64">
                  <w:pPr>
                    <w:pStyle w:val="30"/>
                    <w:bidi w:val="0"/>
                    <w:rPr>
                      <w:color w:val="auto"/>
                      <w:highlight w:val="none"/>
                    </w:rPr>
                  </w:pPr>
                  <w:r>
                    <w:rPr>
                      <w:color w:val="auto"/>
                      <w:highlight w:val="none"/>
                    </w:rPr>
                    <w:t>129.8</w:t>
                  </w:r>
                </w:p>
              </w:tc>
              <w:tc>
                <w:tcPr>
                  <w:tcW w:w="803" w:type="dxa"/>
                  <w:shd w:val="clear" w:color="auto" w:fill="FFFFFF"/>
                  <w:vAlign w:val="center"/>
                </w:tcPr>
                <w:p w14:paraId="2E16D1C1">
                  <w:pPr>
                    <w:pStyle w:val="30"/>
                    <w:bidi w:val="0"/>
                    <w:rPr>
                      <w:color w:val="auto"/>
                      <w:highlight w:val="none"/>
                    </w:rPr>
                  </w:pPr>
                  <w:r>
                    <w:rPr>
                      <w:color w:val="auto"/>
                      <w:highlight w:val="none"/>
                    </w:rPr>
                    <w:t>-25.3</w:t>
                  </w:r>
                </w:p>
              </w:tc>
              <w:tc>
                <w:tcPr>
                  <w:tcW w:w="803" w:type="dxa"/>
                  <w:shd w:val="clear" w:color="auto" w:fill="FFFFFF"/>
                  <w:vAlign w:val="center"/>
                </w:tcPr>
                <w:p w14:paraId="0C0A31C6">
                  <w:pPr>
                    <w:pStyle w:val="30"/>
                    <w:bidi w:val="0"/>
                    <w:rPr>
                      <w:color w:val="auto"/>
                      <w:highlight w:val="none"/>
                    </w:rPr>
                  </w:pPr>
                  <w:r>
                    <w:rPr>
                      <w:color w:val="auto"/>
                      <w:highlight w:val="none"/>
                    </w:rPr>
                    <w:t>1.2</w:t>
                  </w:r>
                </w:p>
              </w:tc>
              <w:tc>
                <w:tcPr>
                  <w:tcW w:w="993" w:type="dxa"/>
                  <w:shd w:val="clear" w:color="auto" w:fill="FFFFFF"/>
                  <w:vAlign w:val="center"/>
                </w:tcPr>
                <w:p w14:paraId="1CD5FC17">
                  <w:pPr>
                    <w:pStyle w:val="30"/>
                    <w:bidi w:val="0"/>
                    <w:rPr>
                      <w:color w:val="auto"/>
                      <w:highlight w:val="none"/>
                    </w:rPr>
                  </w:pPr>
                  <w:r>
                    <w:rPr>
                      <w:color w:val="auto"/>
                      <w:highlight w:val="none"/>
                    </w:rPr>
                    <w:t>昼间</w:t>
                  </w:r>
                </w:p>
              </w:tc>
              <w:tc>
                <w:tcPr>
                  <w:tcW w:w="1417" w:type="dxa"/>
                  <w:shd w:val="clear" w:color="auto" w:fill="FFFFFF"/>
                  <w:vAlign w:val="center"/>
                </w:tcPr>
                <w:p w14:paraId="5F3F0FDE">
                  <w:pPr>
                    <w:pStyle w:val="30"/>
                    <w:bidi w:val="0"/>
                    <w:rPr>
                      <w:color w:val="auto"/>
                      <w:highlight w:val="none"/>
                    </w:rPr>
                  </w:pPr>
                  <w:r>
                    <w:rPr>
                      <w:color w:val="auto"/>
                      <w:highlight w:val="none"/>
                    </w:rPr>
                    <w:t>40.9</w:t>
                  </w:r>
                </w:p>
              </w:tc>
              <w:tc>
                <w:tcPr>
                  <w:tcW w:w="1418" w:type="dxa"/>
                  <w:shd w:val="clear" w:color="auto" w:fill="FFFFFF"/>
                  <w:vAlign w:val="center"/>
                </w:tcPr>
                <w:p w14:paraId="0F0EF08C">
                  <w:pPr>
                    <w:pStyle w:val="30"/>
                    <w:bidi w:val="0"/>
                    <w:rPr>
                      <w:color w:val="auto"/>
                      <w:highlight w:val="none"/>
                    </w:rPr>
                  </w:pPr>
                  <w:r>
                    <w:rPr>
                      <w:color w:val="auto"/>
                      <w:highlight w:val="none"/>
                    </w:rPr>
                    <w:t>65</w:t>
                  </w:r>
                </w:p>
              </w:tc>
              <w:tc>
                <w:tcPr>
                  <w:tcW w:w="1188" w:type="dxa"/>
                  <w:shd w:val="clear" w:color="auto" w:fill="FFFFFF"/>
                  <w:vAlign w:val="center"/>
                </w:tcPr>
                <w:p w14:paraId="2A018404">
                  <w:pPr>
                    <w:pStyle w:val="30"/>
                    <w:bidi w:val="0"/>
                    <w:rPr>
                      <w:color w:val="auto"/>
                      <w:highlight w:val="none"/>
                    </w:rPr>
                  </w:pPr>
                  <w:r>
                    <w:rPr>
                      <w:color w:val="auto"/>
                      <w:highlight w:val="none"/>
                    </w:rPr>
                    <w:t>达标</w:t>
                  </w:r>
                </w:p>
              </w:tc>
            </w:tr>
            <w:tr w14:paraId="7463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6109D32D">
                  <w:pPr>
                    <w:pStyle w:val="30"/>
                    <w:bidi w:val="0"/>
                    <w:rPr>
                      <w:color w:val="auto"/>
                      <w:highlight w:val="none"/>
                    </w:rPr>
                  </w:pPr>
                </w:p>
              </w:tc>
              <w:tc>
                <w:tcPr>
                  <w:tcW w:w="803" w:type="dxa"/>
                  <w:shd w:val="clear" w:color="auto" w:fill="FFFFFF"/>
                  <w:vAlign w:val="center"/>
                </w:tcPr>
                <w:p w14:paraId="7C4C290D">
                  <w:pPr>
                    <w:pStyle w:val="30"/>
                    <w:bidi w:val="0"/>
                    <w:rPr>
                      <w:color w:val="auto"/>
                      <w:highlight w:val="none"/>
                    </w:rPr>
                  </w:pPr>
                  <w:r>
                    <w:rPr>
                      <w:color w:val="auto"/>
                      <w:highlight w:val="none"/>
                    </w:rPr>
                    <w:t>129.8</w:t>
                  </w:r>
                </w:p>
              </w:tc>
              <w:tc>
                <w:tcPr>
                  <w:tcW w:w="803" w:type="dxa"/>
                  <w:shd w:val="clear" w:color="auto" w:fill="FFFFFF"/>
                  <w:vAlign w:val="center"/>
                </w:tcPr>
                <w:p w14:paraId="59F0F4A5">
                  <w:pPr>
                    <w:pStyle w:val="30"/>
                    <w:bidi w:val="0"/>
                    <w:rPr>
                      <w:color w:val="auto"/>
                      <w:highlight w:val="none"/>
                    </w:rPr>
                  </w:pPr>
                  <w:r>
                    <w:rPr>
                      <w:color w:val="auto"/>
                      <w:highlight w:val="none"/>
                    </w:rPr>
                    <w:t>-25.3</w:t>
                  </w:r>
                </w:p>
              </w:tc>
              <w:tc>
                <w:tcPr>
                  <w:tcW w:w="803" w:type="dxa"/>
                  <w:shd w:val="clear" w:color="auto" w:fill="FFFFFF"/>
                  <w:vAlign w:val="center"/>
                </w:tcPr>
                <w:p w14:paraId="16407E62">
                  <w:pPr>
                    <w:pStyle w:val="30"/>
                    <w:bidi w:val="0"/>
                    <w:rPr>
                      <w:color w:val="auto"/>
                      <w:highlight w:val="none"/>
                    </w:rPr>
                  </w:pPr>
                  <w:r>
                    <w:rPr>
                      <w:color w:val="auto"/>
                      <w:highlight w:val="none"/>
                    </w:rPr>
                    <w:t>1.2</w:t>
                  </w:r>
                </w:p>
              </w:tc>
              <w:tc>
                <w:tcPr>
                  <w:tcW w:w="993" w:type="dxa"/>
                  <w:shd w:val="clear" w:color="auto" w:fill="FFFFFF"/>
                  <w:vAlign w:val="center"/>
                </w:tcPr>
                <w:p w14:paraId="2713204D">
                  <w:pPr>
                    <w:pStyle w:val="30"/>
                    <w:bidi w:val="0"/>
                    <w:rPr>
                      <w:color w:val="auto"/>
                      <w:highlight w:val="none"/>
                    </w:rPr>
                  </w:pPr>
                  <w:r>
                    <w:rPr>
                      <w:color w:val="auto"/>
                      <w:highlight w:val="none"/>
                    </w:rPr>
                    <w:t>夜间</w:t>
                  </w:r>
                </w:p>
              </w:tc>
              <w:tc>
                <w:tcPr>
                  <w:tcW w:w="1417" w:type="dxa"/>
                  <w:shd w:val="clear" w:color="auto" w:fill="FFFFFF"/>
                  <w:vAlign w:val="center"/>
                </w:tcPr>
                <w:p w14:paraId="020B44D7">
                  <w:pPr>
                    <w:pStyle w:val="30"/>
                    <w:bidi w:val="0"/>
                    <w:rPr>
                      <w:color w:val="auto"/>
                      <w:highlight w:val="none"/>
                    </w:rPr>
                  </w:pPr>
                  <w:r>
                    <w:rPr>
                      <w:color w:val="auto"/>
                      <w:highlight w:val="none"/>
                    </w:rPr>
                    <w:t>40.9</w:t>
                  </w:r>
                </w:p>
              </w:tc>
              <w:tc>
                <w:tcPr>
                  <w:tcW w:w="1418" w:type="dxa"/>
                  <w:shd w:val="clear" w:color="auto" w:fill="FFFFFF"/>
                  <w:vAlign w:val="center"/>
                </w:tcPr>
                <w:p w14:paraId="13ABC2B2">
                  <w:pPr>
                    <w:pStyle w:val="30"/>
                    <w:bidi w:val="0"/>
                    <w:rPr>
                      <w:color w:val="auto"/>
                      <w:highlight w:val="none"/>
                    </w:rPr>
                  </w:pPr>
                  <w:r>
                    <w:rPr>
                      <w:color w:val="auto"/>
                      <w:highlight w:val="none"/>
                    </w:rPr>
                    <w:t>55</w:t>
                  </w:r>
                </w:p>
              </w:tc>
              <w:tc>
                <w:tcPr>
                  <w:tcW w:w="1188" w:type="dxa"/>
                  <w:shd w:val="clear" w:color="auto" w:fill="FFFFFF"/>
                  <w:vAlign w:val="center"/>
                </w:tcPr>
                <w:p w14:paraId="6D220249">
                  <w:pPr>
                    <w:pStyle w:val="30"/>
                    <w:bidi w:val="0"/>
                    <w:rPr>
                      <w:color w:val="auto"/>
                      <w:highlight w:val="none"/>
                    </w:rPr>
                  </w:pPr>
                  <w:r>
                    <w:rPr>
                      <w:color w:val="auto"/>
                      <w:highlight w:val="none"/>
                    </w:rPr>
                    <w:t>达标</w:t>
                  </w:r>
                </w:p>
              </w:tc>
            </w:tr>
            <w:tr w14:paraId="2538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1B06E7BB">
                  <w:pPr>
                    <w:pStyle w:val="30"/>
                    <w:bidi w:val="0"/>
                    <w:rPr>
                      <w:color w:val="auto"/>
                      <w:highlight w:val="none"/>
                    </w:rPr>
                  </w:pPr>
                  <w:r>
                    <w:rPr>
                      <w:color w:val="auto"/>
                      <w:highlight w:val="none"/>
                    </w:rPr>
                    <w:t>南侧</w:t>
                  </w:r>
                </w:p>
              </w:tc>
              <w:tc>
                <w:tcPr>
                  <w:tcW w:w="803" w:type="dxa"/>
                  <w:shd w:val="clear" w:color="auto" w:fill="FFFFFF"/>
                  <w:vAlign w:val="center"/>
                </w:tcPr>
                <w:p w14:paraId="297B877D">
                  <w:pPr>
                    <w:pStyle w:val="30"/>
                    <w:bidi w:val="0"/>
                    <w:rPr>
                      <w:color w:val="auto"/>
                      <w:highlight w:val="none"/>
                    </w:rPr>
                  </w:pPr>
                  <w:r>
                    <w:rPr>
                      <w:color w:val="auto"/>
                      <w:highlight w:val="none"/>
                    </w:rPr>
                    <w:t>58.6</w:t>
                  </w:r>
                </w:p>
              </w:tc>
              <w:tc>
                <w:tcPr>
                  <w:tcW w:w="803" w:type="dxa"/>
                  <w:shd w:val="clear" w:color="auto" w:fill="FFFFFF"/>
                  <w:vAlign w:val="center"/>
                </w:tcPr>
                <w:p w14:paraId="20922D9B">
                  <w:pPr>
                    <w:pStyle w:val="30"/>
                    <w:bidi w:val="0"/>
                    <w:rPr>
                      <w:color w:val="auto"/>
                      <w:highlight w:val="none"/>
                    </w:rPr>
                  </w:pPr>
                  <w:r>
                    <w:rPr>
                      <w:color w:val="auto"/>
                      <w:highlight w:val="none"/>
                    </w:rPr>
                    <w:t>-87.5</w:t>
                  </w:r>
                </w:p>
              </w:tc>
              <w:tc>
                <w:tcPr>
                  <w:tcW w:w="803" w:type="dxa"/>
                  <w:shd w:val="clear" w:color="auto" w:fill="FFFFFF"/>
                  <w:vAlign w:val="center"/>
                </w:tcPr>
                <w:p w14:paraId="5ED701D9">
                  <w:pPr>
                    <w:pStyle w:val="30"/>
                    <w:bidi w:val="0"/>
                    <w:rPr>
                      <w:color w:val="auto"/>
                      <w:highlight w:val="none"/>
                    </w:rPr>
                  </w:pPr>
                  <w:r>
                    <w:rPr>
                      <w:color w:val="auto"/>
                      <w:highlight w:val="none"/>
                    </w:rPr>
                    <w:t>1.2</w:t>
                  </w:r>
                </w:p>
              </w:tc>
              <w:tc>
                <w:tcPr>
                  <w:tcW w:w="993" w:type="dxa"/>
                  <w:shd w:val="clear" w:color="auto" w:fill="FFFFFF"/>
                  <w:vAlign w:val="center"/>
                </w:tcPr>
                <w:p w14:paraId="50B0423C">
                  <w:pPr>
                    <w:pStyle w:val="30"/>
                    <w:bidi w:val="0"/>
                    <w:rPr>
                      <w:color w:val="auto"/>
                      <w:highlight w:val="none"/>
                    </w:rPr>
                  </w:pPr>
                  <w:r>
                    <w:rPr>
                      <w:color w:val="auto"/>
                      <w:highlight w:val="none"/>
                    </w:rPr>
                    <w:t>昼间</w:t>
                  </w:r>
                </w:p>
              </w:tc>
              <w:tc>
                <w:tcPr>
                  <w:tcW w:w="1417" w:type="dxa"/>
                  <w:shd w:val="clear" w:color="auto" w:fill="FFFFFF"/>
                  <w:vAlign w:val="center"/>
                </w:tcPr>
                <w:p w14:paraId="03ED1EF4">
                  <w:pPr>
                    <w:pStyle w:val="30"/>
                    <w:bidi w:val="0"/>
                    <w:rPr>
                      <w:color w:val="auto"/>
                      <w:highlight w:val="none"/>
                    </w:rPr>
                  </w:pPr>
                  <w:r>
                    <w:rPr>
                      <w:color w:val="auto"/>
                      <w:highlight w:val="none"/>
                    </w:rPr>
                    <w:t>42.8</w:t>
                  </w:r>
                </w:p>
              </w:tc>
              <w:tc>
                <w:tcPr>
                  <w:tcW w:w="1418" w:type="dxa"/>
                  <w:shd w:val="clear" w:color="auto" w:fill="FFFFFF"/>
                  <w:vAlign w:val="center"/>
                </w:tcPr>
                <w:p w14:paraId="45A6F5CE">
                  <w:pPr>
                    <w:pStyle w:val="30"/>
                    <w:bidi w:val="0"/>
                    <w:rPr>
                      <w:color w:val="auto"/>
                      <w:highlight w:val="none"/>
                    </w:rPr>
                  </w:pPr>
                  <w:r>
                    <w:rPr>
                      <w:color w:val="auto"/>
                      <w:highlight w:val="none"/>
                    </w:rPr>
                    <w:t>65</w:t>
                  </w:r>
                </w:p>
              </w:tc>
              <w:tc>
                <w:tcPr>
                  <w:tcW w:w="1188" w:type="dxa"/>
                  <w:shd w:val="clear" w:color="auto" w:fill="FFFFFF"/>
                  <w:vAlign w:val="center"/>
                </w:tcPr>
                <w:p w14:paraId="57A09875">
                  <w:pPr>
                    <w:pStyle w:val="30"/>
                    <w:bidi w:val="0"/>
                    <w:rPr>
                      <w:color w:val="auto"/>
                      <w:highlight w:val="none"/>
                    </w:rPr>
                  </w:pPr>
                  <w:r>
                    <w:rPr>
                      <w:color w:val="auto"/>
                      <w:highlight w:val="none"/>
                    </w:rPr>
                    <w:t>达标</w:t>
                  </w:r>
                </w:p>
              </w:tc>
            </w:tr>
            <w:tr w14:paraId="3B8A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30788CA6">
                  <w:pPr>
                    <w:pStyle w:val="30"/>
                    <w:bidi w:val="0"/>
                    <w:rPr>
                      <w:color w:val="auto"/>
                      <w:highlight w:val="none"/>
                    </w:rPr>
                  </w:pPr>
                </w:p>
              </w:tc>
              <w:tc>
                <w:tcPr>
                  <w:tcW w:w="803" w:type="dxa"/>
                  <w:shd w:val="clear" w:color="auto" w:fill="FFFFFF"/>
                  <w:vAlign w:val="center"/>
                </w:tcPr>
                <w:p w14:paraId="2F402C6D">
                  <w:pPr>
                    <w:pStyle w:val="30"/>
                    <w:bidi w:val="0"/>
                    <w:rPr>
                      <w:color w:val="auto"/>
                      <w:highlight w:val="none"/>
                    </w:rPr>
                  </w:pPr>
                  <w:r>
                    <w:rPr>
                      <w:color w:val="auto"/>
                      <w:highlight w:val="none"/>
                    </w:rPr>
                    <w:t>58.6</w:t>
                  </w:r>
                </w:p>
              </w:tc>
              <w:tc>
                <w:tcPr>
                  <w:tcW w:w="803" w:type="dxa"/>
                  <w:shd w:val="clear" w:color="auto" w:fill="FFFFFF"/>
                  <w:vAlign w:val="center"/>
                </w:tcPr>
                <w:p w14:paraId="72A1C2D4">
                  <w:pPr>
                    <w:pStyle w:val="30"/>
                    <w:bidi w:val="0"/>
                    <w:rPr>
                      <w:color w:val="auto"/>
                      <w:highlight w:val="none"/>
                    </w:rPr>
                  </w:pPr>
                  <w:r>
                    <w:rPr>
                      <w:color w:val="auto"/>
                      <w:highlight w:val="none"/>
                    </w:rPr>
                    <w:t>-87.5</w:t>
                  </w:r>
                </w:p>
              </w:tc>
              <w:tc>
                <w:tcPr>
                  <w:tcW w:w="803" w:type="dxa"/>
                  <w:shd w:val="clear" w:color="auto" w:fill="FFFFFF"/>
                  <w:vAlign w:val="center"/>
                </w:tcPr>
                <w:p w14:paraId="3A1E6C80">
                  <w:pPr>
                    <w:pStyle w:val="30"/>
                    <w:bidi w:val="0"/>
                    <w:rPr>
                      <w:color w:val="auto"/>
                      <w:highlight w:val="none"/>
                    </w:rPr>
                  </w:pPr>
                  <w:r>
                    <w:rPr>
                      <w:color w:val="auto"/>
                      <w:highlight w:val="none"/>
                    </w:rPr>
                    <w:t>1.2</w:t>
                  </w:r>
                </w:p>
              </w:tc>
              <w:tc>
                <w:tcPr>
                  <w:tcW w:w="993" w:type="dxa"/>
                  <w:shd w:val="clear" w:color="auto" w:fill="FFFFFF"/>
                  <w:vAlign w:val="center"/>
                </w:tcPr>
                <w:p w14:paraId="2F944387">
                  <w:pPr>
                    <w:pStyle w:val="30"/>
                    <w:bidi w:val="0"/>
                    <w:rPr>
                      <w:color w:val="auto"/>
                      <w:highlight w:val="none"/>
                    </w:rPr>
                  </w:pPr>
                  <w:r>
                    <w:rPr>
                      <w:color w:val="auto"/>
                      <w:highlight w:val="none"/>
                    </w:rPr>
                    <w:t>夜间</w:t>
                  </w:r>
                </w:p>
              </w:tc>
              <w:tc>
                <w:tcPr>
                  <w:tcW w:w="1417" w:type="dxa"/>
                  <w:shd w:val="clear" w:color="auto" w:fill="FFFFFF"/>
                  <w:vAlign w:val="center"/>
                </w:tcPr>
                <w:p w14:paraId="4B118D9E">
                  <w:pPr>
                    <w:pStyle w:val="30"/>
                    <w:bidi w:val="0"/>
                    <w:rPr>
                      <w:color w:val="auto"/>
                      <w:highlight w:val="none"/>
                    </w:rPr>
                  </w:pPr>
                  <w:r>
                    <w:rPr>
                      <w:color w:val="auto"/>
                      <w:highlight w:val="none"/>
                    </w:rPr>
                    <w:t>42.8</w:t>
                  </w:r>
                </w:p>
              </w:tc>
              <w:tc>
                <w:tcPr>
                  <w:tcW w:w="1418" w:type="dxa"/>
                  <w:shd w:val="clear" w:color="auto" w:fill="FFFFFF"/>
                  <w:vAlign w:val="center"/>
                </w:tcPr>
                <w:p w14:paraId="53DE29D1">
                  <w:pPr>
                    <w:pStyle w:val="30"/>
                    <w:bidi w:val="0"/>
                    <w:rPr>
                      <w:color w:val="auto"/>
                      <w:highlight w:val="none"/>
                    </w:rPr>
                  </w:pPr>
                  <w:r>
                    <w:rPr>
                      <w:color w:val="auto"/>
                      <w:highlight w:val="none"/>
                    </w:rPr>
                    <w:t>55</w:t>
                  </w:r>
                </w:p>
              </w:tc>
              <w:tc>
                <w:tcPr>
                  <w:tcW w:w="1188" w:type="dxa"/>
                  <w:shd w:val="clear" w:color="auto" w:fill="FFFFFF"/>
                  <w:vAlign w:val="center"/>
                </w:tcPr>
                <w:p w14:paraId="5D3C7E62">
                  <w:pPr>
                    <w:pStyle w:val="30"/>
                    <w:bidi w:val="0"/>
                    <w:rPr>
                      <w:color w:val="auto"/>
                      <w:highlight w:val="none"/>
                    </w:rPr>
                  </w:pPr>
                  <w:r>
                    <w:rPr>
                      <w:color w:val="auto"/>
                      <w:highlight w:val="none"/>
                    </w:rPr>
                    <w:t>达标</w:t>
                  </w:r>
                </w:p>
              </w:tc>
            </w:tr>
            <w:tr w14:paraId="0FBF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531D4E7D">
                  <w:pPr>
                    <w:pStyle w:val="30"/>
                    <w:bidi w:val="0"/>
                    <w:rPr>
                      <w:color w:val="auto"/>
                      <w:highlight w:val="none"/>
                    </w:rPr>
                  </w:pPr>
                  <w:r>
                    <w:rPr>
                      <w:color w:val="auto"/>
                      <w:highlight w:val="none"/>
                    </w:rPr>
                    <w:t>西侧</w:t>
                  </w:r>
                </w:p>
              </w:tc>
              <w:tc>
                <w:tcPr>
                  <w:tcW w:w="803" w:type="dxa"/>
                  <w:shd w:val="clear" w:color="auto" w:fill="FFFFFF"/>
                  <w:vAlign w:val="center"/>
                </w:tcPr>
                <w:p w14:paraId="39F17CB5">
                  <w:pPr>
                    <w:pStyle w:val="30"/>
                    <w:bidi w:val="0"/>
                    <w:rPr>
                      <w:color w:val="auto"/>
                      <w:highlight w:val="none"/>
                    </w:rPr>
                  </w:pPr>
                  <w:r>
                    <w:rPr>
                      <w:color w:val="auto"/>
                      <w:highlight w:val="none"/>
                    </w:rPr>
                    <w:t>-41</w:t>
                  </w:r>
                </w:p>
              </w:tc>
              <w:tc>
                <w:tcPr>
                  <w:tcW w:w="803" w:type="dxa"/>
                  <w:shd w:val="clear" w:color="auto" w:fill="FFFFFF"/>
                  <w:vAlign w:val="center"/>
                </w:tcPr>
                <w:p w14:paraId="18622018">
                  <w:pPr>
                    <w:pStyle w:val="30"/>
                    <w:bidi w:val="0"/>
                    <w:rPr>
                      <w:color w:val="auto"/>
                      <w:highlight w:val="none"/>
                    </w:rPr>
                  </w:pPr>
                  <w:r>
                    <w:rPr>
                      <w:color w:val="auto"/>
                      <w:highlight w:val="none"/>
                    </w:rPr>
                    <w:t>-40.4</w:t>
                  </w:r>
                </w:p>
              </w:tc>
              <w:tc>
                <w:tcPr>
                  <w:tcW w:w="803" w:type="dxa"/>
                  <w:shd w:val="clear" w:color="auto" w:fill="FFFFFF"/>
                  <w:vAlign w:val="center"/>
                </w:tcPr>
                <w:p w14:paraId="3AF16874">
                  <w:pPr>
                    <w:pStyle w:val="30"/>
                    <w:bidi w:val="0"/>
                    <w:rPr>
                      <w:color w:val="auto"/>
                      <w:highlight w:val="none"/>
                    </w:rPr>
                  </w:pPr>
                  <w:r>
                    <w:rPr>
                      <w:color w:val="auto"/>
                      <w:highlight w:val="none"/>
                    </w:rPr>
                    <w:t>1.2</w:t>
                  </w:r>
                </w:p>
              </w:tc>
              <w:tc>
                <w:tcPr>
                  <w:tcW w:w="993" w:type="dxa"/>
                  <w:shd w:val="clear" w:color="auto" w:fill="FFFFFF"/>
                  <w:vAlign w:val="center"/>
                </w:tcPr>
                <w:p w14:paraId="7191D5FC">
                  <w:pPr>
                    <w:pStyle w:val="30"/>
                    <w:bidi w:val="0"/>
                    <w:rPr>
                      <w:color w:val="auto"/>
                      <w:highlight w:val="none"/>
                    </w:rPr>
                  </w:pPr>
                  <w:r>
                    <w:rPr>
                      <w:color w:val="auto"/>
                      <w:highlight w:val="none"/>
                    </w:rPr>
                    <w:t>昼间</w:t>
                  </w:r>
                </w:p>
              </w:tc>
              <w:tc>
                <w:tcPr>
                  <w:tcW w:w="1417" w:type="dxa"/>
                  <w:shd w:val="clear" w:color="auto" w:fill="FFFFFF"/>
                  <w:vAlign w:val="center"/>
                </w:tcPr>
                <w:p w14:paraId="32464DDC">
                  <w:pPr>
                    <w:pStyle w:val="30"/>
                    <w:bidi w:val="0"/>
                    <w:rPr>
                      <w:color w:val="auto"/>
                      <w:highlight w:val="none"/>
                    </w:rPr>
                  </w:pPr>
                  <w:r>
                    <w:rPr>
                      <w:color w:val="auto"/>
                      <w:highlight w:val="none"/>
                    </w:rPr>
                    <w:t>40.2</w:t>
                  </w:r>
                </w:p>
              </w:tc>
              <w:tc>
                <w:tcPr>
                  <w:tcW w:w="1418" w:type="dxa"/>
                  <w:shd w:val="clear" w:color="auto" w:fill="FFFFFF"/>
                  <w:vAlign w:val="center"/>
                </w:tcPr>
                <w:p w14:paraId="79299DDC">
                  <w:pPr>
                    <w:pStyle w:val="30"/>
                    <w:bidi w:val="0"/>
                    <w:rPr>
                      <w:color w:val="auto"/>
                      <w:highlight w:val="none"/>
                    </w:rPr>
                  </w:pPr>
                  <w:r>
                    <w:rPr>
                      <w:color w:val="auto"/>
                      <w:highlight w:val="none"/>
                    </w:rPr>
                    <w:t>65</w:t>
                  </w:r>
                </w:p>
              </w:tc>
              <w:tc>
                <w:tcPr>
                  <w:tcW w:w="1188" w:type="dxa"/>
                  <w:shd w:val="clear" w:color="auto" w:fill="FFFFFF"/>
                  <w:vAlign w:val="center"/>
                </w:tcPr>
                <w:p w14:paraId="4A4B4459">
                  <w:pPr>
                    <w:pStyle w:val="30"/>
                    <w:bidi w:val="0"/>
                    <w:rPr>
                      <w:color w:val="auto"/>
                      <w:highlight w:val="none"/>
                    </w:rPr>
                  </w:pPr>
                  <w:r>
                    <w:rPr>
                      <w:color w:val="auto"/>
                      <w:highlight w:val="none"/>
                    </w:rPr>
                    <w:t>达标</w:t>
                  </w:r>
                </w:p>
              </w:tc>
            </w:tr>
            <w:tr w14:paraId="4373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22B25315">
                  <w:pPr>
                    <w:pStyle w:val="30"/>
                    <w:bidi w:val="0"/>
                    <w:rPr>
                      <w:color w:val="auto"/>
                      <w:highlight w:val="none"/>
                    </w:rPr>
                  </w:pPr>
                </w:p>
              </w:tc>
              <w:tc>
                <w:tcPr>
                  <w:tcW w:w="803" w:type="dxa"/>
                  <w:shd w:val="clear" w:color="auto" w:fill="FFFFFF"/>
                  <w:vAlign w:val="center"/>
                </w:tcPr>
                <w:p w14:paraId="07059D5C">
                  <w:pPr>
                    <w:pStyle w:val="30"/>
                    <w:bidi w:val="0"/>
                    <w:rPr>
                      <w:color w:val="auto"/>
                      <w:highlight w:val="none"/>
                    </w:rPr>
                  </w:pPr>
                  <w:r>
                    <w:rPr>
                      <w:color w:val="auto"/>
                      <w:highlight w:val="none"/>
                    </w:rPr>
                    <w:t>-41</w:t>
                  </w:r>
                </w:p>
              </w:tc>
              <w:tc>
                <w:tcPr>
                  <w:tcW w:w="803" w:type="dxa"/>
                  <w:shd w:val="clear" w:color="auto" w:fill="FFFFFF"/>
                  <w:vAlign w:val="center"/>
                </w:tcPr>
                <w:p w14:paraId="0EEC4D95">
                  <w:pPr>
                    <w:pStyle w:val="30"/>
                    <w:bidi w:val="0"/>
                    <w:rPr>
                      <w:color w:val="auto"/>
                      <w:highlight w:val="none"/>
                    </w:rPr>
                  </w:pPr>
                  <w:r>
                    <w:rPr>
                      <w:color w:val="auto"/>
                      <w:highlight w:val="none"/>
                    </w:rPr>
                    <w:t>-40.4</w:t>
                  </w:r>
                </w:p>
              </w:tc>
              <w:tc>
                <w:tcPr>
                  <w:tcW w:w="803" w:type="dxa"/>
                  <w:shd w:val="clear" w:color="auto" w:fill="FFFFFF"/>
                  <w:vAlign w:val="center"/>
                </w:tcPr>
                <w:p w14:paraId="17ABDB5F">
                  <w:pPr>
                    <w:pStyle w:val="30"/>
                    <w:bidi w:val="0"/>
                    <w:rPr>
                      <w:color w:val="auto"/>
                      <w:highlight w:val="none"/>
                    </w:rPr>
                  </w:pPr>
                  <w:r>
                    <w:rPr>
                      <w:color w:val="auto"/>
                      <w:highlight w:val="none"/>
                    </w:rPr>
                    <w:t>1.2</w:t>
                  </w:r>
                </w:p>
              </w:tc>
              <w:tc>
                <w:tcPr>
                  <w:tcW w:w="993" w:type="dxa"/>
                  <w:shd w:val="clear" w:color="auto" w:fill="FFFFFF"/>
                  <w:vAlign w:val="center"/>
                </w:tcPr>
                <w:p w14:paraId="50B81B2B">
                  <w:pPr>
                    <w:pStyle w:val="30"/>
                    <w:bidi w:val="0"/>
                    <w:rPr>
                      <w:color w:val="auto"/>
                      <w:highlight w:val="none"/>
                    </w:rPr>
                  </w:pPr>
                  <w:r>
                    <w:rPr>
                      <w:color w:val="auto"/>
                      <w:highlight w:val="none"/>
                    </w:rPr>
                    <w:t>夜间</w:t>
                  </w:r>
                </w:p>
              </w:tc>
              <w:tc>
                <w:tcPr>
                  <w:tcW w:w="1417" w:type="dxa"/>
                  <w:shd w:val="clear" w:color="auto" w:fill="FFFFFF"/>
                  <w:vAlign w:val="center"/>
                </w:tcPr>
                <w:p w14:paraId="1178452F">
                  <w:pPr>
                    <w:pStyle w:val="30"/>
                    <w:bidi w:val="0"/>
                    <w:rPr>
                      <w:color w:val="auto"/>
                      <w:highlight w:val="none"/>
                    </w:rPr>
                  </w:pPr>
                  <w:r>
                    <w:rPr>
                      <w:color w:val="auto"/>
                      <w:highlight w:val="none"/>
                    </w:rPr>
                    <w:t>40.2</w:t>
                  </w:r>
                </w:p>
              </w:tc>
              <w:tc>
                <w:tcPr>
                  <w:tcW w:w="1418" w:type="dxa"/>
                  <w:shd w:val="clear" w:color="auto" w:fill="FFFFFF"/>
                  <w:vAlign w:val="center"/>
                </w:tcPr>
                <w:p w14:paraId="39112DC1">
                  <w:pPr>
                    <w:pStyle w:val="30"/>
                    <w:bidi w:val="0"/>
                    <w:rPr>
                      <w:color w:val="auto"/>
                      <w:highlight w:val="none"/>
                    </w:rPr>
                  </w:pPr>
                  <w:r>
                    <w:rPr>
                      <w:color w:val="auto"/>
                      <w:highlight w:val="none"/>
                    </w:rPr>
                    <w:t>55</w:t>
                  </w:r>
                </w:p>
              </w:tc>
              <w:tc>
                <w:tcPr>
                  <w:tcW w:w="1188" w:type="dxa"/>
                  <w:shd w:val="clear" w:color="auto" w:fill="FFFFFF"/>
                  <w:vAlign w:val="center"/>
                </w:tcPr>
                <w:p w14:paraId="3D611461">
                  <w:pPr>
                    <w:pStyle w:val="30"/>
                    <w:bidi w:val="0"/>
                    <w:rPr>
                      <w:color w:val="auto"/>
                      <w:highlight w:val="none"/>
                    </w:rPr>
                  </w:pPr>
                  <w:r>
                    <w:rPr>
                      <w:color w:val="auto"/>
                      <w:highlight w:val="none"/>
                    </w:rPr>
                    <w:t>达标</w:t>
                  </w:r>
                </w:p>
              </w:tc>
            </w:tr>
            <w:tr w14:paraId="75F4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6A0C2B35">
                  <w:pPr>
                    <w:pStyle w:val="30"/>
                    <w:bidi w:val="0"/>
                    <w:rPr>
                      <w:color w:val="auto"/>
                      <w:highlight w:val="none"/>
                    </w:rPr>
                  </w:pPr>
                  <w:r>
                    <w:rPr>
                      <w:color w:val="auto"/>
                      <w:highlight w:val="none"/>
                    </w:rPr>
                    <w:t>北侧</w:t>
                  </w:r>
                </w:p>
              </w:tc>
              <w:tc>
                <w:tcPr>
                  <w:tcW w:w="803" w:type="dxa"/>
                  <w:shd w:val="clear" w:color="auto" w:fill="FFFFFF"/>
                  <w:vAlign w:val="center"/>
                </w:tcPr>
                <w:p w14:paraId="52EC41F0">
                  <w:pPr>
                    <w:pStyle w:val="30"/>
                    <w:bidi w:val="0"/>
                    <w:rPr>
                      <w:color w:val="auto"/>
                      <w:highlight w:val="none"/>
                    </w:rPr>
                  </w:pPr>
                  <w:r>
                    <w:rPr>
                      <w:color w:val="auto"/>
                      <w:highlight w:val="none"/>
                    </w:rPr>
                    <w:t>63.6</w:t>
                  </w:r>
                </w:p>
              </w:tc>
              <w:tc>
                <w:tcPr>
                  <w:tcW w:w="803" w:type="dxa"/>
                  <w:shd w:val="clear" w:color="auto" w:fill="FFFFFF"/>
                  <w:vAlign w:val="center"/>
                </w:tcPr>
                <w:p w14:paraId="5265A0D7">
                  <w:pPr>
                    <w:pStyle w:val="30"/>
                    <w:bidi w:val="0"/>
                    <w:rPr>
                      <w:color w:val="auto"/>
                      <w:highlight w:val="none"/>
                    </w:rPr>
                  </w:pPr>
                  <w:r>
                    <w:rPr>
                      <w:color w:val="auto"/>
                      <w:highlight w:val="none"/>
                    </w:rPr>
                    <w:t>55.3</w:t>
                  </w:r>
                </w:p>
              </w:tc>
              <w:tc>
                <w:tcPr>
                  <w:tcW w:w="803" w:type="dxa"/>
                  <w:shd w:val="clear" w:color="auto" w:fill="FFFFFF"/>
                  <w:vAlign w:val="center"/>
                </w:tcPr>
                <w:p w14:paraId="0C18B7F4">
                  <w:pPr>
                    <w:pStyle w:val="30"/>
                    <w:bidi w:val="0"/>
                    <w:rPr>
                      <w:color w:val="auto"/>
                      <w:highlight w:val="none"/>
                    </w:rPr>
                  </w:pPr>
                  <w:r>
                    <w:rPr>
                      <w:color w:val="auto"/>
                      <w:highlight w:val="none"/>
                    </w:rPr>
                    <w:t>1.2</w:t>
                  </w:r>
                </w:p>
              </w:tc>
              <w:tc>
                <w:tcPr>
                  <w:tcW w:w="993" w:type="dxa"/>
                  <w:shd w:val="clear" w:color="auto" w:fill="FFFFFF"/>
                  <w:vAlign w:val="center"/>
                </w:tcPr>
                <w:p w14:paraId="710784D1">
                  <w:pPr>
                    <w:pStyle w:val="30"/>
                    <w:bidi w:val="0"/>
                    <w:rPr>
                      <w:color w:val="auto"/>
                      <w:highlight w:val="none"/>
                    </w:rPr>
                  </w:pPr>
                  <w:r>
                    <w:rPr>
                      <w:color w:val="auto"/>
                      <w:highlight w:val="none"/>
                    </w:rPr>
                    <w:t>昼间</w:t>
                  </w:r>
                </w:p>
              </w:tc>
              <w:tc>
                <w:tcPr>
                  <w:tcW w:w="1417" w:type="dxa"/>
                  <w:shd w:val="clear" w:color="auto" w:fill="FFFFFF"/>
                  <w:vAlign w:val="center"/>
                </w:tcPr>
                <w:p w14:paraId="24DA8996">
                  <w:pPr>
                    <w:pStyle w:val="30"/>
                    <w:bidi w:val="0"/>
                    <w:rPr>
                      <w:color w:val="auto"/>
                      <w:highlight w:val="none"/>
                    </w:rPr>
                  </w:pPr>
                  <w:r>
                    <w:rPr>
                      <w:color w:val="auto"/>
                      <w:highlight w:val="none"/>
                    </w:rPr>
                    <w:t>46</w:t>
                  </w:r>
                </w:p>
              </w:tc>
              <w:tc>
                <w:tcPr>
                  <w:tcW w:w="1418" w:type="dxa"/>
                  <w:shd w:val="clear" w:color="auto" w:fill="FFFFFF"/>
                  <w:vAlign w:val="center"/>
                </w:tcPr>
                <w:p w14:paraId="0B328823">
                  <w:pPr>
                    <w:pStyle w:val="30"/>
                    <w:bidi w:val="0"/>
                    <w:rPr>
                      <w:rFonts w:hint="default" w:eastAsia="宋体"/>
                      <w:color w:val="auto"/>
                      <w:highlight w:val="none"/>
                      <w:lang w:val="en-US" w:eastAsia="zh-CN"/>
                    </w:rPr>
                  </w:pPr>
                  <w:r>
                    <w:rPr>
                      <w:rFonts w:hint="eastAsia"/>
                      <w:color w:val="auto"/>
                      <w:highlight w:val="none"/>
                      <w:lang w:val="en-US" w:eastAsia="zh-CN"/>
                    </w:rPr>
                    <w:t>70</w:t>
                  </w:r>
                </w:p>
              </w:tc>
              <w:tc>
                <w:tcPr>
                  <w:tcW w:w="1188" w:type="dxa"/>
                  <w:shd w:val="clear" w:color="auto" w:fill="FFFFFF"/>
                  <w:vAlign w:val="center"/>
                </w:tcPr>
                <w:p w14:paraId="25B3C502">
                  <w:pPr>
                    <w:pStyle w:val="30"/>
                    <w:bidi w:val="0"/>
                    <w:rPr>
                      <w:color w:val="auto"/>
                      <w:highlight w:val="none"/>
                    </w:rPr>
                  </w:pPr>
                  <w:r>
                    <w:rPr>
                      <w:color w:val="auto"/>
                      <w:highlight w:val="none"/>
                    </w:rPr>
                    <w:t>达标</w:t>
                  </w:r>
                </w:p>
              </w:tc>
            </w:tr>
            <w:tr w14:paraId="368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785CE280">
                  <w:pPr>
                    <w:pStyle w:val="30"/>
                    <w:bidi w:val="0"/>
                    <w:rPr>
                      <w:color w:val="auto"/>
                      <w:highlight w:val="none"/>
                    </w:rPr>
                  </w:pPr>
                </w:p>
              </w:tc>
              <w:tc>
                <w:tcPr>
                  <w:tcW w:w="803" w:type="dxa"/>
                  <w:shd w:val="clear" w:color="auto" w:fill="FFFFFF"/>
                  <w:vAlign w:val="center"/>
                </w:tcPr>
                <w:p w14:paraId="4A83E40D">
                  <w:pPr>
                    <w:pStyle w:val="30"/>
                    <w:bidi w:val="0"/>
                    <w:rPr>
                      <w:color w:val="auto"/>
                      <w:highlight w:val="none"/>
                    </w:rPr>
                  </w:pPr>
                  <w:r>
                    <w:rPr>
                      <w:color w:val="auto"/>
                      <w:highlight w:val="none"/>
                    </w:rPr>
                    <w:t>63.6</w:t>
                  </w:r>
                </w:p>
              </w:tc>
              <w:tc>
                <w:tcPr>
                  <w:tcW w:w="803" w:type="dxa"/>
                  <w:shd w:val="clear" w:color="auto" w:fill="FFFFFF"/>
                  <w:vAlign w:val="center"/>
                </w:tcPr>
                <w:p w14:paraId="1DB08E43">
                  <w:pPr>
                    <w:pStyle w:val="30"/>
                    <w:bidi w:val="0"/>
                    <w:rPr>
                      <w:color w:val="auto"/>
                      <w:highlight w:val="none"/>
                    </w:rPr>
                  </w:pPr>
                  <w:r>
                    <w:rPr>
                      <w:color w:val="auto"/>
                      <w:highlight w:val="none"/>
                    </w:rPr>
                    <w:t>55.3</w:t>
                  </w:r>
                </w:p>
              </w:tc>
              <w:tc>
                <w:tcPr>
                  <w:tcW w:w="803" w:type="dxa"/>
                  <w:shd w:val="clear" w:color="auto" w:fill="FFFFFF"/>
                  <w:vAlign w:val="center"/>
                </w:tcPr>
                <w:p w14:paraId="48A950AD">
                  <w:pPr>
                    <w:pStyle w:val="30"/>
                    <w:bidi w:val="0"/>
                    <w:rPr>
                      <w:color w:val="auto"/>
                      <w:highlight w:val="none"/>
                    </w:rPr>
                  </w:pPr>
                  <w:r>
                    <w:rPr>
                      <w:color w:val="auto"/>
                      <w:highlight w:val="none"/>
                    </w:rPr>
                    <w:t>1.2</w:t>
                  </w:r>
                </w:p>
              </w:tc>
              <w:tc>
                <w:tcPr>
                  <w:tcW w:w="993" w:type="dxa"/>
                  <w:shd w:val="clear" w:color="auto" w:fill="FFFFFF"/>
                  <w:vAlign w:val="center"/>
                </w:tcPr>
                <w:p w14:paraId="03C9D534">
                  <w:pPr>
                    <w:pStyle w:val="30"/>
                    <w:bidi w:val="0"/>
                    <w:rPr>
                      <w:color w:val="auto"/>
                      <w:highlight w:val="none"/>
                    </w:rPr>
                  </w:pPr>
                  <w:r>
                    <w:rPr>
                      <w:color w:val="auto"/>
                      <w:highlight w:val="none"/>
                    </w:rPr>
                    <w:t>夜间</w:t>
                  </w:r>
                </w:p>
              </w:tc>
              <w:tc>
                <w:tcPr>
                  <w:tcW w:w="1417" w:type="dxa"/>
                  <w:shd w:val="clear" w:color="auto" w:fill="FFFFFF"/>
                  <w:vAlign w:val="center"/>
                </w:tcPr>
                <w:p w14:paraId="11F561FD">
                  <w:pPr>
                    <w:pStyle w:val="30"/>
                    <w:bidi w:val="0"/>
                    <w:rPr>
                      <w:color w:val="auto"/>
                      <w:highlight w:val="none"/>
                    </w:rPr>
                  </w:pPr>
                  <w:r>
                    <w:rPr>
                      <w:color w:val="auto"/>
                      <w:highlight w:val="none"/>
                    </w:rPr>
                    <w:t>46</w:t>
                  </w:r>
                </w:p>
              </w:tc>
              <w:tc>
                <w:tcPr>
                  <w:tcW w:w="1418" w:type="dxa"/>
                  <w:shd w:val="clear" w:color="auto" w:fill="FFFFFF"/>
                  <w:vAlign w:val="center"/>
                </w:tcPr>
                <w:p w14:paraId="7A7D99DE">
                  <w:pPr>
                    <w:pStyle w:val="30"/>
                    <w:bidi w:val="0"/>
                    <w:rPr>
                      <w:color w:val="auto"/>
                      <w:highlight w:val="none"/>
                    </w:rPr>
                  </w:pPr>
                  <w:r>
                    <w:rPr>
                      <w:color w:val="auto"/>
                      <w:highlight w:val="none"/>
                    </w:rPr>
                    <w:t>55</w:t>
                  </w:r>
                </w:p>
              </w:tc>
              <w:tc>
                <w:tcPr>
                  <w:tcW w:w="1188" w:type="dxa"/>
                  <w:shd w:val="clear" w:color="auto" w:fill="FFFFFF"/>
                  <w:vAlign w:val="center"/>
                </w:tcPr>
                <w:p w14:paraId="22A94BD0">
                  <w:pPr>
                    <w:pStyle w:val="30"/>
                    <w:bidi w:val="0"/>
                    <w:rPr>
                      <w:color w:val="auto"/>
                      <w:highlight w:val="none"/>
                    </w:rPr>
                  </w:pPr>
                  <w:r>
                    <w:rPr>
                      <w:color w:val="auto"/>
                      <w:highlight w:val="none"/>
                    </w:rPr>
                    <w:t>达标</w:t>
                  </w:r>
                </w:p>
              </w:tc>
            </w:tr>
          </w:tbl>
          <w:p w14:paraId="33CF50AB">
            <w:pPr>
              <w:pStyle w:val="6"/>
              <w:rPr>
                <w:color w:val="auto"/>
                <w:highlight w:val="none"/>
              </w:rPr>
            </w:pPr>
            <w:r>
              <w:rPr>
                <w:color w:val="auto"/>
                <w:highlight w:val="none"/>
              </w:rPr>
              <w:t xml:space="preserve">表 </w:t>
            </w:r>
            <w:r>
              <w:rPr>
                <w:rFonts w:hint="eastAsia"/>
                <w:color w:val="auto"/>
                <w:highlight w:val="none"/>
                <w:lang w:val="en-US" w:eastAsia="zh-CN"/>
              </w:rPr>
              <w:t>4</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t xml:space="preserve"> 本项目</w:t>
            </w:r>
            <w:r>
              <w:rPr>
                <w:rFonts w:hint="eastAsia"/>
                <w:color w:val="auto"/>
                <w:highlight w:val="none"/>
                <w:lang w:eastAsia="zh-CN"/>
              </w:rPr>
              <w:t>东侧地块</w:t>
            </w:r>
            <w:r>
              <w:rPr>
                <w:bCs/>
                <w:color w:val="auto"/>
                <w:szCs w:val="21"/>
                <w:highlight w:val="none"/>
              </w:rPr>
              <w:t>噪声预测结果表</w:t>
            </w:r>
            <w:r>
              <w:rPr>
                <w:rFonts w:hint="eastAsia"/>
                <w:color w:val="auto"/>
                <w:highlight w:val="none"/>
              </w:rPr>
              <w:t xml:space="preserve">  </w:t>
            </w:r>
            <w:r>
              <w:rPr>
                <w:rFonts w:hint="eastAsia"/>
                <w:color w:val="auto"/>
                <w:sz w:val="18"/>
                <w:szCs w:val="18"/>
                <w:highlight w:val="none"/>
              </w:rPr>
              <w:t>单位：</w:t>
            </w:r>
            <w:r>
              <w:rPr>
                <w:color w:val="auto"/>
                <w:kern w:val="21"/>
                <w:sz w:val="18"/>
                <w:szCs w:val="18"/>
                <w:highlight w:val="none"/>
              </w:rPr>
              <w:t>dB（A）</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755"/>
              <w:gridCol w:w="784"/>
              <w:gridCol w:w="707"/>
              <w:gridCol w:w="833"/>
              <w:gridCol w:w="1318"/>
              <w:gridCol w:w="1319"/>
              <w:gridCol w:w="976"/>
            </w:tblGrid>
            <w:tr w14:paraId="475F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912" w:type="dxa"/>
                  <w:vMerge w:val="restart"/>
                  <w:vAlign w:val="center"/>
                </w:tcPr>
                <w:p w14:paraId="206DE62A">
                  <w:pPr>
                    <w:pStyle w:val="30"/>
                    <w:bidi w:val="0"/>
                    <w:rPr>
                      <w:b/>
                      <w:bCs/>
                      <w:color w:val="auto"/>
                      <w:highlight w:val="none"/>
                    </w:rPr>
                  </w:pPr>
                  <w:r>
                    <w:rPr>
                      <w:b/>
                      <w:bCs/>
                      <w:color w:val="auto"/>
                      <w:highlight w:val="none"/>
                    </w:rPr>
                    <w:t>预测方位</w:t>
                  </w:r>
                </w:p>
              </w:tc>
              <w:tc>
                <w:tcPr>
                  <w:tcW w:w="2246" w:type="dxa"/>
                  <w:gridSpan w:val="3"/>
                  <w:vAlign w:val="center"/>
                </w:tcPr>
                <w:p w14:paraId="0FD1B910">
                  <w:pPr>
                    <w:pStyle w:val="30"/>
                    <w:bidi w:val="0"/>
                    <w:rPr>
                      <w:b/>
                      <w:bCs/>
                      <w:color w:val="auto"/>
                      <w:highlight w:val="none"/>
                    </w:rPr>
                  </w:pPr>
                  <w:r>
                    <w:rPr>
                      <w:rFonts w:hint="eastAsia"/>
                      <w:b/>
                      <w:bCs/>
                      <w:color w:val="auto"/>
                      <w:highlight w:val="none"/>
                      <w:lang w:val="en-US" w:eastAsia="zh-CN"/>
                    </w:rPr>
                    <w:t>最大值点</w:t>
                  </w:r>
                  <w:r>
                    <w:rPr>
                      <w:b/>
                      <w:bCs/>
                      <w:color w:val="auto"/>
                      <w:highlight w:val="none"/>
                    </w:rPr>
                    <w:t>空间相对位置/m</w:t>
                  </w:r>
                </w:p>
              </w:tc>
              <w:tc>
                <w:tcPr>
                  <w:tcW w:w="833" w:type="dxa"/>
                  <w:vMerge w:val="restart"/>
                  <w:vAlign w:val="center"/>
                </w:tcPr>
                <w:p w14:paraId="6296B077">
                  <w:pPr>
                    <w:pStyle w:val="30"/>
                    <w:bidi w:val="0"/>
                    <w:rPr>
                      <w:b/>
                      <w:bCs/>
                      <w:color w:val="auto"/>
                      <w:highlight w:val="none"/>
                    </w:rPr>
                  </w:pPr>
                  <w:r>
                    <w:rPr>
                      <w:b/>
                      <w:bCs/>
                      <w:color w:val="auto"/>
                      <w:highlight w:val="none"/>
                    </w:rPr>
                    <w:t>时段</w:t>
                  </w:r>
                </w:p>
              </w:tc>
              <w:tc>
                <w:tcPr>
                  <w:tcW w:w="1318" w:type="dxa"/>
                  <w:vMerge w:val="restart"/>
                  <w:vAlign w:val="center"/>
                </w:tcPr>
                <w:p w14:paraId="437A3F17">
                  <w:pPr>
                    <w:pStyle w:val="30"/>
                    <w:bidi w:val="0"/>
                    <w:rPr>
                      <w:b/>
                      <w:bCs/>
                      <w:color w:val="auto"/>
                      <w:highlight w:val="none"/>
                    </w:rPr>
                  </w:pPr>
                  <w:r>
                    <w:rPr>
                      <w:rFonts w:hint="eastAsia"/>
                      <w:b/>
                      <w:bCs/>
                      <w:color w:val="auto"/>
                      <w:highlight w:val="none"/>
                    </w:rPr>
                    <w:t>贡献值</w:t>
                  </w:r>
                  <w:r>
                    <w:rPr>
                      <w:b/>
                      <w:bCs/>
                      <w:color w:val="auto"/>
                      <w:highlight w:val="none"/>
                    </w:rPr>
                    <w:t>（dB(A)）</w:t>
                  </w:r>
                </w:p>
              </w:tc>
              <w:tc>
                <w:tcPr>
                  <w:tcW w:w="1319" w:type="dxa"/>
                  <w:vMerge w:val="restart"/>
                  <w:vAlign w:val="center"/>
                </w:tcPr>
                <w:p w14:paraId="732464BF">
                  <w:pPr>
                    <w:pStyle w:val="30"/>
                    <w:bidi w:val="0"/>
                    <w:rPr>
                      <w:b/>
                      <w:bCs/>
                      <w:color w:val="auto"/>
                      <w:highlight w:val="none"/>
                    </w:rPr>
                  </w:pPr>
                  <w:r>
                    <w:rPr>
                      <w:b/>
                      <w:bCs/>
                      <w:color w:val="auto"/>
                      <w:highlight w:val="none"/>
                    </w:rPr>
                    <w:t>标准限值（dB(A)）</w:t>
                  </w:r>
                </w:p>
              </w:tc>
              <w:tc>
                <w:tcPr>
                  <w:tcW w:w="976" w:type="dxa"/>
                  <w:vMerge w:val="restart"/>
                  <w:vAlign w:val="center"/>
                </w:tcPr>
                <w:p w14:paraId="5765EC43">
                  <w:pPr>
                    <w:pStyle w:val="30"/>
                    <w:bidi w:val="0"/>
                    <w:rPr>
                      <w:b/>
                      <w:bCs/>
                      <w:color w:val="auto"/>
                      <w:highlight w:val="none"/>
                    </w:rPr>
                  </w:pPr>
                  <w:r>
                    <w:rPr>
                      <w:b/>
                      <w:bCs/>
                      <w:color w:val="auto"/>
                      <w:highlight w:val="none"/>
                    </w:rPr>
                    <w:t>达标情况</w:t>
                  </w:r>
                </w:p>
              </w:tc>
            </w:tr>
            <w:tr w14:paraId="64AE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12" w:type="dxa"/>
                  <w:vMerge w:val="continue"/>
                  <w:shd w:val="clear" w:color="auto" w:fill="FFFFFF"/>
                  <w:vAlign w:val="center"/>
                </w:tcPr>
                <w:p w14:paraId="0EDB62C2">
                  <w:pPr>
                    <w:pStyle w:val="30"/>
                    <w:bidi w:val="0"/>
                    <w:rPr>
                      <w:b/>
                      <w:bCs/>
                      <w:color w:val="auto"/>
                      <w:highlight w:val="none"/>
                    </w:rPr>
                  </w:pPr>
                </w:p>
              </w:tc>
              <w:tc>
                <w:tcPr>
                  <w:tcW w:w="755" w:type="dxa"/>
                  <w:shd w:val="clear" w:color="auto" w:fill="FFFFFF"/>
                  <w:vAlign w:val="center"/>
                </w:tcPr>
                <w:p w14:paraId="46750CA2">
                  <w:pPr>
                    <w:pStyle w:val="30"/>
                    <w:bidi w:val="0"/>
                    <w:rPr>
                      <w:b/>
                      <w:bCs/>
                      <w:color w:val="auto"/>
                      <w:highlight w:val="none"/>
                    </w:rPr>
                  </w:pPr>
                  <w:r>
                    <w:rPr>
                      <w:b/>
                      <w:bCs/>
                      <w:color w:val="auto"/>
                      <w:highlight w:val="none"/>
                    </w:rPr>
                    <w:t>X</w:t>
                  </w:r>
                </w:p>
              </w:tc>
              <w:tc>
                <w:tcPr>
                  <w:tcW w:w="784" w:type="dxa"/>
                  <w:shd w:val="clear" w:color="auto" w:fill="FFFFFF"/>
                  <w:vAlign w:val="center"/>
                </w:tcPr>
                <w:p w14:paraId="135A0833">
                  <w:pPr>
                    <w:pStyle w:val="30"/>
                    <w:bidi w:val="0"/>
                    <w:rPr>
                      <w:b/>
                      <w:bCs/>
                      <w:color w:val="auto"/>
                      <w:highlight w:val="none"/>
                    </w:rPr>
                  </w:pPr>
                  <w:r>
                    <w:rPr>
                      <w:b/>
                      <w:bCs/>
                      <w:color w:val="auto"/>
                      <w:highlight w:val="none"/>
                    </w:rPr>
                    <w:t>Y</w:t>
                  </w:r>
                </w:p>
              </w:tc>
              <w:tc>
                <w:tcPr>
                  <w:tcW w:w="707" w:type="dxa"/>
                  <w:shd w:val="clear" w:color="auto" w:fill="FFFFFF"/>
                  <w:vAlign w:val="center"/>
                </w:tcPr>
                <w:p w14:paraId="688DC833">
                  <w:pPr>
                    <w:pStyle w:val="30"/>
                    <w:bidi w:val="0"/>
                    <w:rPr>
                      <w:b/>
                      <w:bCs/>
                      <w:color w:val="auto"/>
                      <w:highlight w:val="none"/>
                    </w:rPr>
                  </w:pPr>
                  <w:r>
                    <w:rPr>
                      <w:b/>
                      <w:bCs/>
                      <w:color w:val="auto"/>
                      <w:highlight w:val="none"/>
                    </w:rPr>
                    <w:t>Z</w:t>
                  </w:r>
                </w:p>
              </w:tc>
              <w:tc>
                <w:tcPr>
                  <w:tcW w:w="833" w:type="dxa"/>
                  <w:vMerge w:val="continue"/>
                  <w:shd w:val="clear" w:color="auto" w:fill="FFFFFF"/>
                  <w:vAlign w:val="center"/>
                </w:tcPr>
                <w:p w14:paraId="43217309">
                  <w:pPr>
                    <w:pStyle w:val="30"/>
                    <w:bidi w:val="0"/>
                    <w:rPr>
                      <w:color w:val="auto"/>
                      <w:highlight w:val="none"/>
                    </w:rPr>
                  </w:pPr>
                </w:p>
              </w:tc>
              <w:tc>
                <w:tcPr>
                  <w:tcW w:w="1318" w:type="dxa"/>
                  <w:vMerge w:val="continue"/>
                  <w:shd w:val="clear" w:color="auto" w:fill="FFFFFF"/>
                  <w:vAlign w:val="center"/>
                </w:tcPr>
                <w:p w14:paraId="73E54430">
                  <w:pPr>
                    <w:pStyle w:val="30"/>
                    <w:bidi w:val="0"/>
                    <w:rPr>
                      <w:color w:val="auto"/>
                      <w:highlight w:val="none"/>
                    </w:rPr>
                  </w:pPr>
                </w:p>
              </w:tc>
              <w:tc>
                <w:tcPr>
                  <w:tcW w:w="1319" w:type="dxa"/>
                  <w:vMerge w:val="continue"/>
                  <w:shd w:val="clear" w:color="auto" w:fill="FFFFFF"/>
                  <w:vAlign w:val="center"/>
                </w:tcPr>
                <w:p w14:paraId="78730C1F">
                  <w:pPr>
                    <w:pStyle w:val="30"/>
                    <w:bidi w:val="0"/>
                    <w:rPr>
                      <w:color w:val="auto"/>
                      <w:highlight w:val="none"/>
                    </w:rPr>
                  </w:pPr>
                </w:p>
              </w:tc>
              <w:tc>
                <w:tcPr>
                  <w:tcW w:w="976" w:type="dxa"/>
                  <w:vMerge w:val="continue"/>
                  <w:shd w:val="clear" w:color="auto" w:fill="FFFFFF"/>
                  <w:vAlign w:val="center"/>
                </w:tcPr>
                <w:p w14:paraId="4F857181">
                  <w:pPr>
                    <w:pStyle w:val="30"/>
                    <w:bidi w:val="0"/>
                    <w:rPr>
                      <w:color w:val="auto"/>
                      <w:highlight w:val="none"/>
                    </w:rPr>
                  </w:pPr>
                </w:p>
              </w:tc>
            </w:tr>
            <w:tr w14:paraId="4CAF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restart"/>
                  <w:shd w:val="clear" w:color="auto" w:fill="FFFFFF"/>
                  <w:vAlign w:val="center"/>
                </w:tcPr>
                <w:p w14:paraId="2364E22E">
                  <w:pPr>
                    <w:pStyle w:val="30"/>
                    <w:bidi w:val="0"/>
                    <w:rPr>
                      <w:color w:val="auto"/>
                      <w:highlight w:val="none"/>
                    </w:rPr>
                  </w:pPr>
                  <w:r>
                    <w:rPr>
                      <w:color w:val="auto"/>
                      <w:highlight w:val="none"/>
                    </w:rPr>
                    <w:t>东侧</w:t>
                  </w:r>
                </w:p>
              </w:tc>
              <w:tc>
                <w:tcPr>
                  <w:tcW w:w="755" w:type="dxa"/>
                  <w:shd w:val="clear" w:color="auto" w:fill="FFFFFF"/>
                  <w:vAlign w:val="center"/>
                </w:tcPr>
                <w:p w14:paraId="66902066">
                  <w:pPr>
                    <w:pStyle w:val="30"/>
                    <w:bidi w:val="0"/>
                    <w:rPr>
                      <w:color w:val="auto"/>
                      <w:highlight w:val="none"/>
                      <w:lang w:val="en-US" w:eastAsia="zh-CN"/>
                    </w:rPr>
                  </w:pPr>
                  <w:r>
                    <w:rPr>
                      <w:color w:val="auto"/>
                      <w:highlight w:val="none"/>
                    </w:rPr>
                    <w:t>67.5</w:t>
                  </w:r>
                </w:p>
              </w:tc>
              <w:tc>
                <w:tcPr>
                  <w:tcW w:w="784" w:type="dxa"/>
                  <w:shd w:val="clear" w:color="auto" w:fill="FFFFFF"/>
                  <w:vAlign w:val="center"/>
                </w:tcPr>
                <w:p w14:paraId="41BBF827">
                  <w:pPr>
                    <w:pStyle w:val="30"/>
                    <w:bidi w:val="0"/>
                    <w:rPr>
                      <w:color w:val="auto"/>
                      <w:highlight w:val="none"/>
                      <w:lang w:val="en-US" w:eastAsia="zh-CN"/>
                    </w:rPr>
                  </w:pPr>
                  <w:r>
                    <w:rPr>
                      <w:color w:val="auto"/>
                      <w:highlight w:val="none"/>
                    </w:rPr>
                    <w:t>47.1</w:t>
                  </w:r>
                </w:p>
              </w:tc>
              <w:tc>
                <w:tcPr>
                  <w:tcW w:w="707" w:type="dxa"/>
                  <w:shd w:val="clear" w:color="auto" w:fill="FFFFFF"/>
                  <w:vAlign w:val="center"/>
                </w:tcPr>
                <w:p w14:paraId="76B85B26">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4D4456F7">
                  <w:pPr>
                    <w:pStyle w:val="30"/>
                    <w:bidi w:val="0"/>
                    <w:rPr>
                      <w:color w:val="auto"/>
                      <w:highlight w:val="none"/>
                    </w:rPr>
                  </w:pPr>
                  <w:r>
                    <w:rPr>
                      <w:color w:val="auto"/>
                      <w:highlight w:val="none"/>
                    </w:rPr>
                    <w:t>昼间</w:t>
                  </w:r>
                </w:p>
              </w:tc>
              <w:tc>
                <w:tcPr>
                  <w:tcW w:w="1318" w:type="dxa"/>
                  <w:shd w:val="clear" w:color="auto" w:fill="FFFFFF"/>
                  <w:vAlign w:val="center"/>
                </w:tcPr>
                <w:p w14:paraId="3A79AF37">
                  <w:pPr>
                    <w:pStyle w:val="30"/>
                    <w:bidi w:val="0"/>
                    <w:rPr>
                      <w:color w:val="auto"/>
                      <w:highlight w:val="none"/>
                    </w:rPr>
                  </w:pPr>
                  <w:r>
                    <w:rPr>
                      <w:color w:val="auto"/>
                      <w:highlight w:val="none"/>
                    </w:rPr>
                    <w:t>40.9</w:t>
                  </w:r>
                </w:p>
              </w:tc>
              <w:tc>
                <w:tcPr>
                  <w:tcW w:w="1319" w:type="dxa"/>
                  <w:shd w:val="clear" w:color="auto" w:fill="FFFFFF"/>
                  <w:vAlign w:val="center"/>
                </w:tcPr>
                <w:p w14:paraId="4714041A">
                  <w:pPr>
                    <w:pStyle w:val="30"/>
                    <w:bidi w:val="0"/>
                    <w:rPr>
                      <w:color w:val="auto"/>
                      <w:highlight w:val="none"/>
                    </w:rPr>
                  </w:pPr>
                  <w:r>
                    <w:rPr>
                      <w:color w:val="auto"/>
                      <w:highlight w:val="none"/>
                    </w:rPr>
                    <w:t>65</w:t>
                  </w:r>
                </w:p>
              </w:tc>
              <w:tc>
                <w:tcPr>
                  <w:tcW w:w="976" w:type="dxa"/>
                  <w:shd w:val="clear" w:color="auto" w:fill="FFFFFF"/>
                  <w:vAlign w:val="center"/>
                </w:tcPr>
                <w:p w14:paraId="7DECFFFE">
                  <w:pPr>
                    <w:pStyle w:val="30"/>
                    <w:bidi w:val="0"/>
                    <w:rPr>
                      <w:color w:val="auto"/>
                      <w:highlight w:val="none"/>
                    </w:rPr>
                  </w:pPr>
                  <w:r>
                    <w:rPr>
                      <w:color w:val="auto"/>
                      <w:highlight w:val="none"/>
                    </w:rPr>
                    <w:t>达标</w:t>
                  </w:r>
                </w:p>
              </w:tc>
            </w:tr>
            <w:tr w14:paraId="1A35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continue"/>
                  <w:shd w:val="clear" w:color="auto" w:fill="FFFFFF"/>
                  <w:vAlign w:val="center"/>
                </w:tcPr>
                <w:p w14:paraId="5494B2EF">
                  <w:pPr>
                    <w:pStyle w:val="30"/>
                    <w:bidi w:val="0"/>
                    <w:rPr>
                      <w:color w:val="auto"/>
                      <w:highlight w:val="none"/>
                    </w:rPr>
                  </w:pPr>
                </w:p>
              </w:tc>
              <w:tc>
                <w:tcPr>
                  <w:tcW w:w="755" w:type="dxa"/>
                  <w:shd w:val="clear" w:color="auto" w:fill="FFFFFF"/>
                  <w:vAlign w:val="center"/>
                </w:tcPr>
                <w:p w14:paraId="38A2419B">
                  <w:pPr>
                    <w:pStyle w:val="30"/>
                    <w:bidi w:val="0"/>
                    <w:rPr>
                      <w:color w:val="auto"/>
                      <w:highlight w:val="none"/>
                      <w:lang w:val="en-US" w:eastAsia="zh-CN"/>
                    </w:rPr>
                  </w:pPr>
                  <w:r>
                    <w:rPr>
                      <w:color w:val="auto"/>
                      <w:highlight w:val="none"/>
                    </w:rPr>
                    <w:t>67.5</w:t>
                  </w:r>
                </w:p>
              </w:tc>
              <w:tc>
                <w:tcPr>
                  <w:tcW w:w="784" w:type="dxa"/>
                  <w:shd w:val="clear" w:color="auto" w:fill="FFFFFF"/>
                  <w:vAlign w:val="center"/>
                </w:tcPr>
                <w:p w14:paraId="21CB36A1">
                  <w:pPr>
                    <w:pStyle w:val="30"/>
                    <w:bidi w:val="0"/>
                    <w:rPr>
                      <w:color w:val="auto"/>
                      <w:highlight w:val="none"/>
                      <w:lang w:val="en-US" w:eastAsia="zh-CN"/>
                    </w:rPr>
                  </w:pPr>
                  <w:r>
                    <w:rPr>
                      <w:color w:val="auto"/>
                      <w:highlight w:val="none"/>
                    </w:rPr>
                    <w:t>47.1</w:t>
                  </w:r>
                </w:p>
              </w:tc>
              <w:tc>
                <w:tcPr>
                  <w:tcW w:w="707" w:type="dxa"/>
                  <w:shd w:val="clear" w:color="auto" w:fill="FFFFFF"/>
                  <w:vAlign w:val="center"/>
                </w:tcPr>
                <w:p w14:paraId="388E6D60">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563909C6">
                  <w:pPr>
                    <w:pStyle w:val="30"/>
                    <w:bidi w:val="0"/>
                    <w:rPr>
                      <w:color w:val="auto"/>
                      <w:highlight w:val="none"/>
                    </w:rPr>
                  </w:pPr>
                  <w:r>
                    <w:rPr>
                      <w:color w:val="auto"/>
                      <w:highlight w:val="none"/>
                    </w:rPr>
                    <w:t>夜间</w:t>
                  </w:r>
                </w:p>
              </w:tc>
              <w:tc>
                <w:tcPr>
                  <w:tcW w:w="1318" w:type="dxa"/>
                  <w:shd w:val="clear" w:color="auto" w:fill="FFFFFF"/>
                  <w:vAlign w:val="center"/>
                </w:tcPr>
                <w:p w14:paraId="2B8807C0">
                  <w:pPr>
                    <w:pStyle w:val="30"/>
                    <w:bidi w:val="0"/>
                    <w:rPr>
                      <w:color w:val="auto"/>
                      <w:highlight w:val="none"/>
                    </w:rPr>
                  </w:pPr>
                  <w:r>
                    <w:rPr>
                      <w:color w:val="auto"/>
                      <w:highlight w:val="none"/>
                    </w:rPr>
                    <w:t>40.9</w:t>
                  </w:r>
                </w:p>
              </w:tc>
              <w:tc>
                <w:tcPr>
                  <w:tcW w:w="1319" w:type="dxa"/>
                  <w:shd w:val="clear" w:color="auto" w:fill="FFFFFF"/>
                  <w:vAlign w:val="center"/>
                </w:tcPr>
                <w:p w14:paraId="57AAF6B5">
                  <w:pPr>
                    <w:pStyle w:val="30"/>
                    <w:bidi w:val="0"/>
                    <w:rPr>
                      <w:color w:val="auto"/>
                      <w:highlight w:val="none"/>
                    </w:rPr>
                  </w:pPr>
                  <w:r>
                    <w:rPr>
                      <w:color w:val="auto"/>
                      <w:highlight w:val="none"/>
                    </w:rPr>
                    <w:t>55</w:t>
                  </w:r>
                </w:p>
              </w:tc>
              <w:tc>
                <w:tcPr>
                  <w:tcW w:w="976" w:type="dxa"/>
                  <w:shd w:val="clear" w:color="auto" w:fill="FFFFFF"/>
                  <w:vAlign w:val="center"/>
                </w:tcPr>
                <w:p w14:paraId="69BDFB78">
                  <w:pPr>
                    <w:pStyle w:val="30"/>
                    <w:bidi w:val="0"/>
                    <w:rPr>
                      <w:color w:val="auto"/>
                      <w:highlight w:val="none"/>
                    </w:rPr>
                  </w:pPr>
                  <w:r>
                    <w:rPr>
                      <w:color w:val="auto"/>
                      <w:highlight w:val="none"/>
                    </w:rPr>
                    <w:t>达标</w:t>
                  </w:r>
                </w:p>
              </w:tc>
            </w:tr>
            <w:tr w14:paraId="1406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restart"/>
                  <w:shd w:val="clear" w:color="auto" w:fill="FFFFFF"/>
                  <w:vAlign w:val="center"/>
                </w:tcPr>
                <w:p w14:paraId="217C1EEA">
                  <w:pPr>
                    <w:pStyle w:val="30"/>
                    <w:bidi w:val="0"/>
                    <w:rPr>
                      <w:color w:val="auto"/>
                      <w:highlight w:val="none"/>
                    </w:rPr>
                  </w:pPr>
                  <w:r>
                    <w:rPr>
                      <w:color w:val="auto"/>
                      <w:highlight w:val="none"/>
                    </w:rPr>
                    <w:t>南侧</w:t>
                  </w:r>
                </w:p>
              </w:tc>
              <w:tc>
                <w:tcPr>
                  <w:tcW w:w="755" w:type="dxa"/>
                  <w:shd w:val="clear" w:color="auto" w:fill="FFFFFF"/>
                  <w:vAlign w:val="center"/>
                </w:tcPr>
                <w:p w14:paraId="3C194613">
                  <w:pPr>
                    <w:pStyle w:val="30"/>
                    <w:bidi w:val="0"/>
                    <w:rPr>
                      <w:color w:val="auto"/>
                      <w:highlight w:val="none"/>
                      <w:lang w:val="en-US" w:eastAsia="zh-CN"/>
                    </w:rPr>
                  </w:pPr>
                  <w:r>
                    <w:rPr>
                      <w:color w:val="auto"/>
                      <w:highlight w:val="none"/>
                    </w:rPr>
                    <w:t>32.2</w:t>
                  </w:r>
                </w:p>
              </w:tc>
              <w:tc>
                <w:tcPr>
                  <w:tcW w:w="784" w:type="dxa"/>
                  <w:shd w:val="clear" w:color="auto" w:fill="FFFFFF"/>
                  <w:vAlign w:val="center"/>
                </w:tcPr>
                <w:p w14:paraId="5DF2AA62">
                  <w:pPr>
                    <w:pStyle w:val="30"/>
                    <w:bidi w:val="0"/>
                    <w:rPr>
                      <w:color w:val="auto"/>
                      <w:highlight w:val="none"/>
                      <w:lang w:val="en-US" w:eastAsia="zh-CN"/>
                    </w:rPr>
                  </w:pPr>
                  <w:r>
                    <w:rPr>
                      <w:color w:val="auto"/>
                      <w:highlight w:val="none"/>
                    </w:rPr>
                    <w:t>-123.5</w:t>
                  </w:r>
                </w:p>
              </w:tc>
              <w:tc>
                <w:tcPr>
                  <w:tcW w:w="707" w:type="dxa"/>
                  <w:shd w:val="clear" w:color="auto" w:fill="FFFFFF"/>
                  <w:vAlign w:val="center"/>
                </w:tcPr>
                <w:p w14:paraId="36A8886E">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7B3A2D6E">
                  <w:pPr>
                    <w:pStyle w:val="30"/>
                    <w:bidi w:val="0"/>
                    <w:rPr>
                      <w:color w:val="auto"/>
                      <w:highlight w:val="none"/>
                    </w:rPr>
                  </w:pPr>
                  <w:r>
                    <w:rPr>
                      <w:color w:val="auto"/>
                      <w:highlight w:val="none"/>
                    </w:rPr>
                    <w:t>昼间</w:t>
                  </w:r>
                </w:p>
              </w:tc>
              <w:tc>
                <w:tcPr>
                  <w:tcW w:w="1318" w:type="dxa"/>
                  <w:shd w:val="clear" w:color="auto" w:fill="FFFFFF"/>
                  <w:vAlign w:val="center"/>
                </w:tcPr>
                <w:p w14:paraId="341241DC">
                  <w:pPr>
                    <w:pStyle w:val="30"/>
                    <w:bidi w:val="0"/>
                    <w:rPr>
                      <w:color w:val="auto"/>
                      <w:highlight w:val="none"/>
                    </w:rPr>
                  </w:pPr>
                  <w:r>
                    <w:rPr>
                      <w:color w:val="auto"/>
                      <w:highlight w:val="none"/>
                    </w:rPr>
                    <w:t>42.8</w:t>
                  </w:r>
                </w:p>
              </w:tc>
              <w:tc>
                <w:tcPr>
                  <w:tcW w:w="1319" w:type="dxa"/>
                  <w:shd w:val="clear" w:color="auto" w:fill="FFFFFF"/>
                  <w:vAlign w:val="center"/>
                </w:tcPr>
                <w:p w14:paraId="37C2B8FD">
                  <w:pPr>
                    <w:pStyle w:val="30"/>
                    <w:bidi w:val="0"/>
                    <w:rPr>
                      <w:color w:val="auto"/>
                      <w:highlight w:val="none"/>
                    </w:rPr>
                  </w:pPr>
                  <w:r>
                    <w:rPr>
                      <w:color w:val="auto"/>
                      <w:highlight w:val="none"/>
                    </w:rPr>
                    <w:t>65</w:t>
                  </w:r>
                </w:p>
              </w:tc>
              <w:tc>
                <w:tcPr>
                  <w:tcW w:w="976" w:type="dxa"/>
                  <w:shd w:val="clear" w:color="auto" w:fill="FFFFFF"/>
                  <w:vAlign w:val="center"/>
                </w:tcPr>
                <w:p w14:paraId="09FB8C1E">
                  <w:pPr>
                    <w:pStyle w:val="30"/>
                    <w:bidi w:val="0"/>
                    <w:rPr>
                      <w:color w:val="auto"/>
                      <w:highlight w:val="none"/>
                    </w:rPr>
                  </w:pPr>
                  <w:r>
                    <w:rPr>
                      <w:color w:val="auto"/>
                      <w:highlight w:val="none"/>
                    </w:rPr>
                    <w:t>达标</w:t>
                  </w:r>
                </w:p>
              </w:tc>
            </w:tr>
            <w:tr w14:paraId="0603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continue"/>
                  <w:shd w:val="clear" w:color="auto" w:fill="FFFFFF"/>
                  <w:vAlign w:val="center"/>
                </w:tcPr>
                <w:p w14:paraId="37984100">
                  <w:pPr>
                    <w:pStyle w:val="30"/>
                    <w:bidi w:val="0"/>
                    <w:rPr>
                      <w:color w:val="auto"/>
                      <w:highlight w:val="none"/>
                    </w:rPr>
                  </w:pPr>
                </w:p>
              </w:tc>
              <w:tc>
                <w:tcPr>
                  <w:tcW w:w="755" w:type="dxa"/>
                  <w:shd w:val="clear" w:color="auto" w:fill="FFFFFF"/>
                  <w:vAlign w:val="center"/>
                </w:tcPr>
                <w:p w14:paraId="34376909">
                  <w:pPr>
                    <w:pStyle w:val="30"/>
                    <w:bidi w:val="0"/>
                    <w:rPr>
                      <w:color w:val="auto"/>
                      <w:highlight w:val="none"/>
                      <w:lang w:val="en-US" w:eastAsia="zh-CN"/>
                    </w:rPr>
                  </w:pPr>
                  <w:r>
                    <w:rPr>
                      <w:color w:val="auto"/>
                      <w:highlight w:val="none"/>
                    </w:rPr>
                    <w:t>32.2</w:t>
                  </w:r>
                </w:p>
              </w:tc>
              <w:tc>
                <w:tcPr>
                  <w:tcW w:w="784" w:type="dxa"/>
                  <w:shd w:val="clear" w:color="auto" w:fill="FFFFFF"/>
                  <w:vAlign w:val="center"/>
                </w:tcPr>
                <w:p w14:paraId="5C2540FC">
                  <w:pPr>
                    <w:pStyle w:val="30"/>
                    <w:bidi w:val="0"/>
                    <w:rPr>
                      <w:color w:val="auto"/>
                      <w:highlight w:val="none"/>
                      <w:lang w:val="en-US" w:eastAsia="zh-CN"/>
                    </w:rPr>
                  </w:pPr>
                  <w:r>
                    <w:rPr>
                      <w:color w:val="auto"/>
                      <w:highlight w:val="none"/>
                    </w:rPr>
                    <w:t>-123.5</w:t>
                  </w:r>
                </w:p>
              </w:tc>
              <w:tc>
                <w:tcPr>
                  <w:tcW w:w="707" w:type="dxa"/>
                  <w:shd w:val="clear" w:color="auto" w:fill="FFFFFF"/>
                  <w:vAlign w:val="center"/>
                </w:tcPr>
                <w:p w14:paraId="4208E0A2">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4F250485">
                  <w:pPr>
                    <w:pStyle w:val="30"/>
                    <w:bidi w:val="0"/>
                    <w:rPr>
                      <w:color w:val="auto"/>
                      <w:highlight w:val="none"/>
                    </w:rPr>
                  </w:pPr>
                  <w:r>
                    <w:rPr>
                      <w:color w:val="auto"/>
                      <w:highlight w:val="none"/>
                    </w:rPr>
                    <w:t>夜间</w:t>
                  </w:r>
                </w:p>
              </w:tc>
              <w:tc>
                <w:tcPr>
                  <w:tcW w:w="1318" w:type="dxa"/>
                  <w:shd w:val="clear" w:color="auto" w:fill="FFFFFF"/>
                  <w:vAlign w:val="center"/>
                </w:tcPr>
                <w:p w14:paraId="1EDBE13C">
                  <w:pPr>
                    <w:pStyle w:val="30"/>
                    <w:bidi w:val="0"/>
                    <w:rPr>
                      <w:color w:val="auto"/>
                      <w:highlight w:val="none"/>
                    </w:rPr>
                  </w:pPr>
                  <w:r>
                    <w:rPr>
                      <w:color w:val="auto"/>
                      <w:highlight w:val="none"/>
                    </w:rPr>
                    <w:t>42.8</w:t>
                  </w:r>
                </w:p>
              </w:tc>
              <w:tc>
                <w:tcPr>
                  <w:tcW w:w="1319" w:type="dxa"/>
                  <w:shd w:val="clear" w:color="auto" w:fill="FFFFFF"/>
                  <w:vAlign w:val="center"/>
                </w:tcPr>
                <w:p w14:paraId="2C844406">
                  <w:pPr>
                    <w:pStyle w:val="30"/>
                    <w:bidi w:val="0"/>
                    <w:rPr>
                      <w:color w:val="auto"/>
                      <w:highlight w:val="none"/>
                    </w:rPr>
                  </w:pPr>
                  <w:r>
                    <w:rPr>
                      <w:color w:val="auto"/>
                      <w:highlight w:val="none"/>
                    </w:rPr>
                    <w:t>55</w:t>
                  </w:r>
                </w:p>
              </w:tc>
              <w:tc>
                <w:tcPr>
                  <w:tcW w:w="976" w:type="dxa"/>
                  <w:shd w:val="clear" w:color="auto" w:fill="FFFFFF"/>
                  <w:vAlign w:val="center"/>
                </w:tcPr>
                <w:p w14:paraId="4E2D24EF">
                  <w:pPr>
                    <w:pStyle w:val="30"/>
                    <w:bidi w:val="0"/>
                    <w:rPr>
                      <w:color w:val="auto"/>
                      <w:highlight w:val="none"/>
                    </w:rPr>
                  </w:pPr>
                  <w:r>
                    <w:rPr>
                      <w:color w:val="auto"/>
                      <w:highlight w:val="none"/>
                    </w:rPr>
                    <w:t>达标</w:t>
                  </w:r>
                </w:p>
              </w:tc>
            </w:tr>
            <w:tr w14:paraId="7B3E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restart"/>
                  <w:shd w:val="clear" w:color="auto" w:fill="FFFFFF"/>
                  <w:vAlign w:val="center"/>
                </w:tcPr>
                <w:p w14:paraId="0A1FADBC">
                  <w:pPr>
                    <w:pStyle w:val="30"/>
                    <w:bidi w:val="0"/>
                    <w:rPr>
                      <w:color w:val="auto"/>
                      <w:highlight w:val="none"/>
                    </w:rPr>
                  </w:pPr>
                  <w:r>
                    <w:rPr>
                      <w:color w:val="auto"/>
                      <w:highlight w:val="none"/>
                    </w:rPr>
                    <w:t>西侧</w:t>
                  </w:r>
                </w:p>
              </w:tc>
              <w:tc>
                <w:tcPr>
                  <w:tcW w:w="755" w:type="dxa"/>
                  <w:shd w:val="clear" w:color="auto" w:fill="FFFFFF"/>
                  <w:vAlign w:val="center"/>
                </w:tcPr>
                <w:p w14:paraId="532660F0">
                  <w:pPr>
                    <w:pStyle w:val="30"/>
                    <w:bidi w:val="0"/>
                    <w:rPr>
                      <w:color w:val="auto"/>
                      <w:highlight w:val="none"/>
                      <w:lang w:val="en-US" w:eastAsia="zh-CN"/>
                    </w:rPr>
                  </w:pPr>
                  <w:r>
                    <w:rPr>
                      <w:color w:val="auto"/>
                      <w:highlight w:val="none"/>
                    </w:rPr>
                    <w:t>-77.1</w:t>
                  </w:r>
                </w:p>
              </w:tc>
              <w:tc>
                <w:tcPr>
                  <w:tcW w:w="784" w:type="dxa"/>
                  <w:shd w:val="clear" w:color="auto" w:fill="FFFFFF"/>
                  <w:vAlign w:val="center"/>
                </w:tcPr>
                <w:p w14:paraId="69BE7010">
                  <w:pPr>
                    <w:pStyle w:val="30"/>
                    <w:bidi w:val="0"/>
                    <w:rPr>
                      <w:color w:val="auto"/>
                      <w:highlight w:val="none"/>
                      <w:lang w:val="en-US" w:eastAsia="zh-CN"/>
                    </w:rPr>
                  </w:pPr>
                  <w:r>
                    <w:rPr>
                      <w:color w:val="auto"/>
                      <w:highlight w:val="none"/>
                    </w:rPr>
                    <w:t>21.6</w:t>
                  </w:r>
                </w:p>
              </w:tc>
              <w:tc>
                <w:tcPr>
                  <w:tcW w:w="707" w:type="dxa"/>
                  <w:shd w:val="clear" w:color="auto" w:fill="FFFFFF"/>
                  <w:vAlign w:val="center"/>
                </w:tcPr>
                <w:p w14:paraId="7BF14048">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2FD0AA87">
                  <w:pPr>
                    <w:pStyle w:val="30"/>
                    <w:bidi w:val="0"/>
                    <w:rPr>
                      <w:color w:val="auto"/>
                      <w:highlight w:val="none"/>
                    </w:rPr>
                  </w:pPr>
                  <w:r>
                    <w:rPr>
                      <w:color w:val="auto"/>
                      <w:highlight w:val="none"/>
                    </w:rPr>
                    <w:t>昼间</w:t>
                  </w:r>
                </w:p>
              </w:tc>
              <w:tc>
                <w:tcPr>
                  <w:tcW w:w="1318" w:type="dxa"/>
                  <w:shd w:val="clear" w:color="auto" w:fill="FFFFFF"/>
                  <w:vAlign w:val="center"/>
                </w:tcPr>
                <w:p w14:paraId="405A956C">
                  <w:pPr>
                    <w:pStyle w:val="30"/>
                    <w:bidi w:val="0"/>
                    <w:rPr>
                      <w:color w:val="auto"/>
                      <w:highlight w:val="none"/>
                    </w:rPr>
                  </w:pPr>
                  <w:r>
                    <w:rPr>
                      <w:color w:val="auto"/>
                      <w:highlight w:val="none"/>
                    </w:rPr>
                    <w:t>40.2</w:t>
                  </w:r>
                </w:p>
              </w:tc>
              <w:tc>
                <w:tcPr>
                  <w:tcW w:w="1319" w:type="dxa"/>
                  <w:shd w:val="clear" w:color="auto" w:fill="FFFFFF"/>
                  <w:vAlign w:val="center"/>
                </w:tcPr>
                <w:p w14:paraId="69329431">
                  <w:pPr>
                    <w:pStyle w:val="30"/>
                    <w:bidi w:val="0"/>
                    <w:rPr>
                      <w:color w:val="auto"/>
                      <w:highlight w:val="none"/>
                    </w:rPr>
                  </w:pPr>
                  <w:r>
                    <w:rPr>
                      <w:color w:val="auto"/>
                      <w:highlight w:val="none"/>
                    </w:rPr>
                    <w:t>65</w:t>
                  </w:r>
                </w:p>
              </w:tc>
              <w:tc>
                <w:tcPr>
                  <w:tcW w:w="976" w:type="dxa"/>
                  <w:shd w:val="clear" w:color="auto" w:fill="FFFFFF"/>
                  <w:vAlign w:val="center"/>
                </w:tcPr>
                <w:p w14:paraId="4AE29926">
                  <w:pPr>
                    <w:pStyle w:val="30"/>
                    <w:bidi w:val="0"/>
                    <w:rPr>
                      <w:color w:val="auto"/>
                      <w:highlight w:val="none"/>
                    </w:rPr>
                  </w:pPr>
                  <w:r>
                    <w:rPr>
                      <w:color w:val="auto"/>
                      <w:highlight w:val="none"/>
                    </w:rPr>
                    <w:t>达标</w:t>
                  </w:r>
                </w:p>
              </w:tc>
            </w:tr>
            <w:tr w14:paraId="410B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continue"/>
                  <w:shd w:val="clear" w:color="auto" w:fill="FFFFFF"/>
                  <w:vAlign w:val="center"/>
                </w:tcPr>
                <w:p w14:paraId="569E3761">
                  <w:pPr>
                    <w:pStyle w:val="30"/>
                    <w:bidi w:val="0"/>
                    <w:rPr>
                      <w:color w:val="auto"/>
                      <w:highlight w:val="none"/>
                    </w:rPr>
                  </w:pPr>
                </w:p>
              </w:tc>
              <w:tc>
                <w:tcPr>
                  <w:tcW w:w="755" w:type="dxa"/>
                  <w:shd w:val="clear" w:color="auto" w:fill="FFFFFF"/>
                  <w:vAlign w:val="center"/>
                </w:tcPr>
                <w:p w14:paraId="10AB2384">
                  <w:pPr>
                    <w:pStyle w:val="30"/>
                    <w:bidi w:val="0"/>
                    <w:rPr>
                      <w:color w:val="auto"/>
                      <w:highlight w:val="none"/>
                      <w:lang w:val="en-US" w:eastAsia="zh-CN"/>
                    </w:rPr>
                  </w:pPr>
                  <w:r>
                    <w:rPr>
                      <w:color w:val="auto"/>
                      <w:highlight w:val="none"/>
                    </w:rPr>
                    <w:t>-77.1</w:t>
                  </w:r>
                </w:p>
              </w:tc>
              <w:tc>
                <w:tcPr>
                  <w:tcW w:w="784" w:type="dxa"/>
                  <w:shd w:val="clear" w:color="auto" w:fill="FFFFFF"/>
                  <w:vAlign w:val="center"/>
                </w:tcPr>
                <w:p w14:paraId="09F1CDC9">
                  <w:pPr>
                    <w:pStyle w:val="30"/>
                    <w:bidi w:val="0"/>
                    <w:rPr>
                      <w:color w:val="auto"/>
                      <w:highlight w:val="none"/>
                      <w:lang w:val="en-US" w:eastAsia="zh-CN"/>
                    </w:rPr>
                  </w:pPr>
                  <w:r>
                    <w:rPr>
                      <w:color w:val="auto"/>
                      <w:highlight w:val="none"/>
                    </w:rPr>
                    <w:t>21.6</w:t>
                  </w:r>
                </w:p>
              </w:tc>
              <w:tc>
                <w:tcPr>
                  <w:tcW w:w="707" w:type="dxa"/>
                  <w:shd w:val="clear" w:color="auto" w:fill="FFFFFF"/>
                  <w:vAlign w:val="center"/>
                </w:tcPr>
                <w:p w14:paraId="662B3B35">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7A7C8DEB">
                  <w:pPr>
                    <w:pStyle w:val="30"/>
                    <w:bidi w:val="0"/>
                    <w:rPr>
                      <w:color w:val="auto"/>
                      <w:highlight w:val="none"/>
                    </w:rPr>
                  </w:pPr>
                  <w:r>
                    <w:rPr>
                      <w:color w:val="auto"/>
                      <w:highlight w:val="none"/>
                    </w:rPr>
                    <w:t>夜间</w:t>
                  </w:r>
                </w:p>
              </w:tc>
              <w:tc>
                <w:tcPr>
                  <w:tcW w:w="1318" w:type="dxa"/>
                  <w:shd w:val="clear" w:color="auto" w:fill="FFFFFF"/>
                  <w:vAlign w:val="center"/>
                </w:tcPr>
                <w:p w14:paraId="42722643">
                  <w:pPr>
                    <w:pStyle w:val="30"/>
                    <w:bidi w:val="0"/>
                    <w:rPr>
                      <w:color w:val="auto"/>
                      <w:highlight w:val="none"/>
                    </w:rPr>
                  </w:pPr>
                  <w:r>
                    <w:rPr>
                      <w:color w:val="auto"/>
                      <w:highlight w:val="none"/>
                    </w:rPr>
                    <w:t>40.2</w:t>
                  </w:r>
                </w:p>
              </w:tc>
              <w:tc>
                <w:tcPr>
                  <w:tcW w:w="1319" w:type="dxa"/>
                  <w:shd w:val="clear" w:color="auto" w:fill="FFFFFF"/>
                  <w:vAlign w:val="center"/>
                </w:tcPr>
                <w:p w14:paraId="23C12705">
                  <w:pPr>
                    <w:pStyle w:val="30"/>
                    <w:bidi w:val="0"/>
                    <w:rPr>
                      <w:color w:val="auto"/>
                      <w:highlight w:val="none"/>
                    </w:rPr>
                  </w:pPr>
                  <w:r>
                    <w:rPr>
                      <w:color w:val="auto"/>
                      <w:highlight w:val="none"/>
                    </w:rPr>
                    <w:t>55</w:t>
                  </w:r>
                </w:p>
              </w:tc>
              <w:tc>
                <w:tcPr>
                  <w:tcW w:w="976" w:type="dxa"/>
                  <w:shd w:val="clear" w:color="auto" w:fill="FFFFFF"/>
                  <w:vAlign w:val="center"/>
                </w:tcPr>
                <w:p w14:paraId="617AC39F">
                  <w:pPr>
                    <w:pStyle w:val="30"/>
                    <w:bidi w:val="0"/>
                    <w:rPr>
                      <w:color w:val="auto"/>
                      <w:highlight w:val="none"/>
                    </w:rPr>
                  </w:pPr>
                  <w:r>
                    <w:rPr>
                      <w:color w:val="auto"/>
                      <w:highlight w:val="none"/>
                    </w:rPr>
                    <w:t>达标</w:t>
                  </w:r>
                </w:p>
              </w:tc>
            </w:tr>
            <w:tr w14:paraId="2BCF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restart"/>
                  <w:shd w:val="clear" w:color="auto" w:fill="FFFFFF"/>
                  <w:vAlign w:val="center"/>
                </w:tcPr>
                <w:p w14:paraId="432BBB69">
                  <w:pPr>
                    <w:pStyle w:val="30"/>
                    <w:bidi w:val="0"/>
                    <w:rPr>
                      <w:color w:val="auto"/>
                      <w:highlight w:val="none"/>
                    </w:rPr>
                  </w:pPr>
                  <w:r>
                    <w:rPr>
                      <w:color w:val="auto"/>
                      <w:highlight w:val="none"/>
                    </w:rPr>
                    <w:t>北侧</w:t>
                  </w:r>
                </w:p>
              </w:tc>
              <w:tc>
                <w:tcPr>
                  <w:tcW w:w="755" w:type="dxa"/>
                  <w:shd w:val="clear" w:color="auto" w:fill="FFFFFF"/>
                  <w:vAlign w:val="center"/>
                </w:tcPr>
                <w:p w14:paraId="6632CBC8">
                  <w:pPr>
                    <w:pStyle w:val="30"/>
                    <w:bidi w:val="0"/>
                    <w:rPr>
                      <w:color w:val="auto"/>
                      <w:highlight w:val="none"/>
                      <w:lang w:val="en-US" w:eastAsia="zh-CN"/>
                    </w:rPr>
                  </w:pPr>
                  <w:r>
                    <w:rPr>
                      <w:color w:val="auto"/>
                      <w:highlight w:val="none"/>
                    </w:rPr>
                    <w:t>8.2</w:t>
                  </w:r>
                </w:p>
              </w:tc>
              <w:tc>
                <w:tcPr>
                  <w:tcW w:w="784" w:type="dxa"/>
                  <w:shd w:val="clear" w:color="auto" w:fill="FFFFFF"/>
                  <w:vAlign w:val="center"/>
                </w:tcPr>
                <w:p w14:paraId="1E9DA23A">
                  <w:pPr>
                    <w:pStyle w:val="30"/>
                    <w:bidi w:val="0"/>
                    <w:rPr>
                      <w:color w:val="auto"/>
                      <w:highlight w:val="none"/>
                      <w:lang w:val="en-US" w:eastAsia="zh-CN"/>
                    </w:rPr>
                  </w:pPr>
                  <w:r>
                    <w:rPr>
                      <w:color w:val="auto"/>
                      <w:highlight w:val="none"/>
                    </w:rPr>
                    <w:t>92.4</w:t>
                  </w:r>
                </w:p>
              </w:tc>
              <w:tc>
                <w:tcPr>
                  <w:tcW w:w="707" w:type="dxa"/>
                  <w:shd w:val="clear" w:color="auto" w:fill="FFFFFF"/>
                  <w:vAlign w:val="center"/>
                </w:tcPr>
                <w:p w14:paraId="6112640E">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7F52E267">
                  <w:pPr>
                    <w:pStyle w:val="30"/>
                    <w:bidi w:val="0"/>
                    <w:rPr>
                      <w:color w:val="auto"/>
                      <w:highlight w:val="none"/>
                    </w:rPr>
                  </w:pPr>
                  <w:r>
                    <w:rPr>
                      <w:color w:val="auto"/>
                      <w:highlight w:val="none"/>
                    </w:rPr>
                    <w:t>昼间</w:t>
                  </w:r>
                </w:p>
              </w:tc>
              <w:tc>
                <w:tcPr>
                  <w:tcW w:w="1318" w:type="dxa"/>
                  <w:shd w:val="clear" w:color="auto" w:fill="FFFFFF"/>
                  <w:vAlign w:val="center"/>
                </w:tcPr>
                <w:p w14:paraId="0B50E3EB">
                  <w:pPr>
                    <w:pStyle w:val="30"/>
                    <w:bidi w:val="0"/>
                    <w:rPr>
                      <w:color w:val="auto"/>
                      <w:highlight w:val="none"/>
                    </w:rPr>
                  </w:pPr>
                  <w:r>
                    <w:rPr>
                      <w:color w:val="auto"/>
                      <w:highlight w:val="none"/>
                    </w:rPr>
                    <w:t>46</w:t>
                  </w:r>
                </w:p>
              </w:tc>
              <w:tc>
                <w:tcPr>
                  <w:tcW w:w="1319" w:type="dxa"/>
                  <w:shd w:val="clear" w:color="auto" w:fill="FFFFFF"/>
                  <w:vAlign w:val="center"/>
                </w:tcPr>
                <w:p w14:paraId="21633F55">
                  <w:pPr>
                    <w:pStyle w:val="30"/>
                    <w:bidi w:val="0"/>
                    <w:rPr>
                      <w:rFonts w:hint="default"/>
                      <w:color w:val="auto"/>
                      <w:highlight w:val="none"/>
                      <w:lang w:val="en-US" w:eastAsia="zh-CN"/>
                    </w:rPr>
                  </w:pPr>
                  <w:r>
                    <w:rPr>
                      <w:rFonts w:hint="eastAsia"/>
                      <w:color w:val="auto"/>
                      <w:highlight w:val="none"/>
                      <w:lang w:val="en-US" w:eastAsia="zh-CN"/>
                    </w:rPr>
                    <w:t>70</w:t>
                  </w:r>
                </w:p>
              </w:tc>
              <w:tc>
                <w:tcPr>
                  <w:tcW w:w="976" w:type="dxa"/>
                  <w:shd w:val="clear" w:color="auto" w:fill="FFFFFF"/>
                  <w:vAlign w:val="center"/>
                </w:tcPr>
                <w:p w14:paraId="3A3DA47F">
                  <w:pPr>
                    <w:pStyle w:val="30"/>
                    <w:bidi w:val="0"/>
                    <w:rPr>
                      <w:color w:val="auto"/>
                      <w:highlight w:val="none"/>
                    </w:rPr>
                  </w:pPr>
                  <w:r>
                    <w:rPr>
                      <w:color w:val="auto"/>
                      <w:highlight w:val="none"/>
                    </w:rPr>
                    <w:t>达标</w:t>
                  </w:r>
                </w:p>
              </w:tc>
            </w:tr>
            <w:tr w14:paraId="3DBD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continue"/>
                  <w:shd w:val="clear" w:color="auto" w:fill="FFFFFF"/>
                  <w:vAlign w:val="center"/>
                </w:tcPr>
                <w:p w14:paraId="2181431B">
                  <w:pPr>
                    <w:pStyle w:val="30"/>
                    <w:bidi w:val="0"/>
                    <w:rPr>
                      <w:color w:val="auto"/>
                      <w:highlight w:val="none"/>
                    </w:rPr>
                  </w:pPr>
                </w:p>
              </w:tc>
              <w:tc>
                <w:tcPr>
                  <w:tcW w:w="755" w:type="dxa"/>
                  <w:shd w:val="clear" w:color="auto" w:fill="FFFFFF"/>
                  <w:vAlign w:val="center"/>
                </w:tcPr>
                <w:p w14:paraId="21A8868A">
                  <w:pPr>
                    <w:pStyle w:val="30"/>
                    <w:bidi w:val="0"/>
                    <w:rPr>
                      <w:color w:val="auto"/>
                      <w:highlight w:val="none"/>
                      <w:lang w:val="en-US" w:eastAsia="zh-CN"/>
                    </w:rPr>
                  </w:pPr>
                  <w:r>
                    <w:rPr>
                      <w:color w:val="auto"/>
                      <w:highlight w:val="none"/>
                    </w:rPr>
                    <w:t>8.2</w:t>
                  </w:r>
                </w:p>
              </w:tc>
              <w:tc>
                <w:tcPr>
                  <w:tcW w:w="784" w:type="dxa"/>
                  <w:shd w:val="clear" w:color="auto" w:fill="FFFFFF"/>
                  <w:vAlign w:val="center"/>
                </w:tcPr>
                <w:p w14:paraId="251DF2C4">
                  <w:pPr>
                    <w:pStyle w:val="30"/>
                    <w:bidi w:val="0"/>
                    <w:rPr>
                      <w:color w:val="auto"/>
                      <w:highlight w:val="none"/>
                      <w:lang w:val="en-US" w:eastAsia="zh-CN"/>
                    </w:rPr>
                  </w:pPr>
                  <w:r>
                    <w:rPr>
                      <w:color w:val="auto"/>
                      <w:highlight w:val="none"/>
                    </w:rPr>
                    <w:t>92.4</w:t>
                  </w:r>
                </w:p>
              </w:tc>
              <w:tc>
                <w:tcPr>
                  <w:tcW w:w="707" w:type="dxa"/>
                  <w:shd w:val="clear" w:color="auto" w:fill="FFFFFF"/>
                  <w:vAlign w:val="center"/>
                </w:tcPr>
                <w:p w14:paraId="62ABAA38">
                  <w:pPr>
                    <w:pStyle w:val="30"/>
                    <w:bidi w:val="0"/>
                    <w:rPr>
                      <w:color w:val="auto"/>
                      <w:highlight w:val="none"/>
                      <w:lang w:val="en-US" w:eastAsia="zh-CN"/>
                    </w:rPr>
                  </w:pPr>
                  <w:r>
                    <w:rPr>
                      <w:color w:val="auto"/>
                      <w:highlight w:val="none"/>
                    </w:rPr>
                    <w:t>1.2</w:t>
                  </w:r>
                </w:p>
              </w:tc>
              <w:tc>
                <w:tcPr>
                  <w:tcW w:w="833" w:type="dxa"/>
                  <w:shd w:val="clear" w:color="auto" w:fill="FFFFFF"/>
                  <w:vAlign w:val="center"/>
                </w:tcPr>
                <w:p w14:paraId="64E81D1B">
                  <w:pPr>
                    <w:pStyle w:val="30"/>
                    <w:bidi w:val="0"/>
                    <w:rPr>
                      <w:color w:val="auto"/>
                      <w:highlight w:val="none"/>
                    </w:rPr>
                  </w:pPr>
                  <w:r>
                    <w:rPr>
                      <w:color w:val="auto"/>
                      <w:highlight w:val="none"/>
                    </w:rPr>
                    <w:t>夜间</w:t>
                  </w:r>
                </w:p>
              </w:tc>
              <w:tc>
                <w:tcPr>
                  <w:tcW w:w="1318" w:type="dxa"/>
                  <w:shd w:val="clear" w:color="auto" w:fill="FFFFFF"/>
                  <w:vAlign w:val="center"/>
                </w:tcPr>
                <w:p w14:paraId="2B2A8B97">
                  <w:pPr>
                    <w:pStyle w:val="30"/>
                    <w:bidi w:val="0"/>
                    <w:rPr>
                      <w:color w:val="auto"/>
                      <w:highlight w:val="none"/>
                    </w:rPr>
                  </w:pPr>
                  <w:r>
                    <w:rPr>
                      <w:color w:val="auto"/>
                      <w:highlight w:val="none"/>
                    </w:rPr>
                    <w:t>46</w:t>
                  </w:r>
                </w:p>
              </w:tc>
              <w:tc>
                <w:tcPr>
                  <w:tcW w:w="1319" w:type="dxa"/>
                  <w:shd w:val="clear" w:color="auto" w:fill="FFFFFF"/>
                  <w:vAlign w:val="center"/>
                </w:tcPr>
                <w:p w14:paraId="60DC31D3">
                  <w:pPr>
                    <w:pStyle w:val="30"/>
                    <w:bidi w:val="0"/>
                    <w:rPr>
                      <w:color w:val="auto"/>
                      <w:highlight w:val="none"/>
                    </w:rPr>
                  </w:pPr>
                  <w:r>
                    <w:rPr>
                      <w:color w:val="auto"/>
                      <w:highlight w:val="none"/>
                    </w:rPr>
                    <w:t>55</w:t>
                  </w:r>
                </w:p>
              </w:tc>
              <w:tc>
                <w:tcPr>
                  <w:tcW w:w="976" w:type="dxa"/>
                  <w:shd w:val="clear" w:color="auto" w:fill="FFFFFF"/>
                  <w:vAlign w:val="center"/>
                </w:tcPr>
                <w:p w14:paraId="1F6B97EA">
                  <w:pPr>
                    <w:pStyle w:val="30"/>
                    <w:bidi w:val="0"/>
                    <w:rPr>
                      <w:color w:val="auto"/>
                      <w:highlight w:val="none"/>
                    </w:rPr>
                  </w:pPr>
                  <w:r>
                    <w:rPr>
                      <w:color w:val="auto"/>
                      <w:highlight w:val="none"/>
                    </w:rPr>
                    <w:t>达标</w:t>
                  </w:r>
                </w:p>
              </w:tc>
            </w:tr>
            <w:tr w14:paraId="4A93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restart"/>
                  <w:shd w:val="clear" w:color="auto" w:fill="FFFFFF"/>
                  <w:vAlign w:val="center"/>
                </w:tcPr>
                <w:p w14:paraId="339D2309">
                  <w:pPr>
                    <w:pStyle w:val="30"/>
                    <w:bidi w:val="0"/>
                    <w:rPr>
                      <w:rFonts w:hint="eastAsia"/>
                      <w:color w:val="auto"/>
                      <w:highlight w:val="none"/>
                      <w:lang w:eastAsia="zh-CN"/>
                    </w:rPr>
                  </w:pPr>
                  <w:r>
                    <w:rPr>
                      <w:rFonts w:hint="eastAsia"/>
                      <w:color w:val="auto"/>
                      <w:highlight w:val="none"/>
                      <w:lang w:eastAsia="zh-CN"/>
                    </w:rPr>
                    <w:t>下陈村</w:t>
                  </w:r>
                </w:p>
              </w:tc>
              <w:tc>
                <w:tcPr>
                  <w:tcW w:w="755" w:type="dxa"/>
                  <w:shd w:val="clear" w:color="auto" w:fill="FFFFFF"/>
                  <w:vAlign w:val="center"/>
                </w:tcPr>
                <w:p w14:paraId="0AD49E41">
                  <w:pPr>
                    <w:pStyle w:val="30"/>
                    <w:bidi w:val="0"/>
                    <w:rPr>
                      <w:rFonts w:hint="eastAsia"/>
                      <w:color w:val="auto"/>
                      <w:highlight w:val="none"/>
                      <w:lang w:val="en-US" w:eastAsia="zh-CN"/>
                    </w:rPr>
                  </w:pPr>
                  <w:r>
                    <w:rPr>
                      <w:rFonts w:hint="eastAsia"/>
                      <w:color w:val="auto"/>
                      <w:highlight w:val="none"/>
                      <w:lang w:val="en-US" w:eastAsia="zh-CN"/>
                    </w:rPr>
                    <w:t>/</w:t>
                  </w:r>
                </w:p>
              </w:tc>
              <w:tc>
                <w:tcPr>
                  <w:tcW w:w="784" w:type="dxa"/>
                  <w:shd w:val="clear" w:color="auto" w:fill="FFFFFF"/>
                  <w:vAlign w:val="center"/>
                </w:tcPr>
                <w:p w14:paraId="0532BFC6">
                  <w:pPr>
                    <w:pStyle w:val="30"/>
                    <w:bidi w:val="0"/>
                    <w:rPr>
                      <w:rFonts w:hint="eastAsia"/>
                      <w:color w:val="auto"/>
                      <w:highlight w:val="none"/>
                      <w:lang w:val="en-US" w:eastAsia="zh-CN"/>
                    </w:rPr>
                  </w:pPr>
                  <w:r>
                    <w:rPr>
                      <w:rFonts w:hint="eastAsia"/>
                      <w:color w:val="auto"/>
                      <w:highlight w:val="none"/>
                      <w:lang w:val="en-US" w:eastAsia="zh-CN"/>
                    </w:rPr>
                    <w:t>/</w:t>
                  </w:r>
                </w:p>
              </w:tc>
              <w:tc>
                <w:tcPr>
                  <w:tcW w:w="707" w:type="dxa"/>
                  <w:shd w:val="clear" w:color="auto" w:fill="FFFFFF"/>
                  <w:vAlign w:val="center"/>
                </w:tcPr>
                <w:p w14:paraId="738E77C4">
                  <w:pPr>
                    <w:pStyle w:val="30"/>
                    <w:bidi w:val="0"/>
                    <w:rPr>
                      <w:rFonts w:hint="eastAsia"/>
                      <w:color w:val="auto"/>
                      <w:highlight w:val="none"/>
                      <w:lang w:val="en-US" w:eastAsia="zh-CN"/>
                    </w:rPr>
                  </w:pPr>
                  <w:r>
                    <w:rPr>
                      <w:rFonts w:hint="eastAsia"/>
                      <w:color w:val="auto"/>
                      <w:highlight w:val="none"/>
                      <w:lang w:val="en-US" w:eastAsia="zh-CN"/>
                    </w:rPr>
                    <w:t>/</w:t>
                  </w:r>
                </w:p>
              </w:tc>
              <w:tc>
                <w:tcPr>
                  <w:tcW w:w="833" w:type="dxa"/>
                  <w:shd w:val="clear" w:color="auto" w:fill="FFFFFF"/>
                  <w:vAlign w:val="center"/>
                </w:tcPr>
                <w:p w14:paraId="55E8C112">
                  <w:pPr>
                    <w:pStyle w:val="30"/>
                    <w:bidi w:val="0"/>
                    <w:rPr>
                      <w:color w:val="auto"/>
                      <w:highlight w:val="none"/>
                      <w:lang w:val="en-US" w:eastAsia="zh-CN"/>
                    </w:rPr>
                  </w:pPr>
                  <w:r>
                    <w:rPr>
                      <w:color w:val="auto"/>
                      <w:highlight w:val="none"/>
                    </w:rPr>
                    <w:t>昼间</w:t>
                  </w:r>
                </w:p>
              </w:tc>
              <w:tc>
                <w:tcPr>
                  <w:tcW w:w="1318" w:type="dxa"/>
                  <w:shd w:val="clear" w:color="auto" w:fill="FFFFFF"/>
                  <w:vAlign w:val="center"/>
                </w:tcPr>
                <w:p w14:paraId="0B76387F">
                  <w:pPr>
                    <w:pStyle w:val="30"/>
                    <w:bidi w:val="0"/>
                    <w:rPr>
                      <w:rFonts w:hint="default"/>
                      <w:color w:val="auto"/>
                      <w:highlight w:val="none"/>
                      <w:lang w:val="en-US" w:eastAsia="zh-CN"/>
                    </w:rPr>
                  </w:pPr>
                  <w:r>
                    <w:rPr>
                      <w:rFonts w:hint="eastAsia"/>
                      <w:color w:val="auto"/>
                      <w:highlight w:val="none"/>
                      <w:lang w:val="en-US" w:eastAsia="zh-CN"/>
                    </w:rPr>
                    <w:t>52</w:t>
                  </w:r>
                </w:p>
              </w:tc>
              <w:tc>
                <w:tcPr>
                  <w:tcW w:w="1319" w:type="dxa"/>
                  <w:shd w:val="clear" w:color="auto" w:fill="FFFFFF"/>
                  <w:vAlign w:val="center"/>
                </w:tcPr>
                <w:p w14:paraId="68B1F42F">
                  <w:pPr>
                    <w:pStyle w:val="30"/>
                    <w:bidi w:val="0"/>
                    <w:rPr>
                      <w:rFonts w:hint="default"/>
                      <w:color w:val="auto"/>
                      <w:highlight w:val="none"/>
                      <w:lang w:val="en-US" w:eastAsia="zh-CN"/>
                    </w:rPr>
                  </w:pPr>
                  <w:r>
                    <w:rPr>
                      <w:rFonts w:hint="eastAsia"/>
                      <w:color w:val="auto"/>
                      <w:highlight w:val="none"/>
                      <w:lang w:val="en-US" w:eastAsia="zh-CN"/>
                    </w:rPr>
                    <w:t>60</w:t>
                  </w:r>
                </w:p>
              </w:tc>
              <w:tc>
                <w:tcPr>
                  <w:tcW w:w="976" w:type="dxa"/>
                  <w:shd w:val="clear" w:color="auto" w:fill="FFFFFF"/>
                  <w:vAlign w:val="center"/>
                </w:tcPr>
                <w:p w14:paraId="619F1FDA">
                  <w:pPr>
                    <w:pStyle w:val="30"/>
                    <w:bidi w:val="0"/>
                    <w:rPr>
                      <w:color w:val="auto"/>
                      <w:highlight w:val="none"/>
                    </w:rPr>
                  </w:pPr>
                  <w:r>
                    <w:rPr>
                      <w:color w:val="auto"/>
                      <w:highlight w:val="none"/>
                    </w:rPr>
                    <w:t>达标</w:t>
                  </w:r>
                </w:p>
              </w:tc>
            </w:tr>
            <w:tr w14:paraId="69EB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912" w:type="dxa"/>
                  <w:vMerge w:val="continue"/>
                  <w:shd w:val="clear" w:color="auto" w:fill="FFFFFF"/>
                  <w:vAlign w:val="center"/>
                </w:tcPr>
                <w:p w14:paraId="2937B1FF">
                  <w:pPr>
                    <w:pStyle w:val="30"/>
                    <w:bidi w:val="0"/>
                    <w:rPr>
                      <w:rFonts w:hint="eastAsia"/>
                      <w:color w:val="auto"/>
                      <w:highlight w:val="none"/>
                      <w:lang w:eastAsia="zh-CN"/>
                    </w:rPr>
                  </w:pPr>
                </w:p>
              </w:tc>
              <w:tc>
                <w:tcPr>
                  <w:tcW w:w="755" w:type="dxa"/>
                  <w:shd w:val="clear" w:color="auto" w:fill="FFFFFF"/>
                  <w:vAlign w:val="center"/>
                </w:tcPr>
                <w:p w14:paraId="5026674F">
                  <w:pPr>
                    <w:pStyle w:val="30"/>
                    <w:bidi w:val="0"/>
                    <w:rPr>
                      <w:rFonts w:hint="default"/>
                      <w:color w:val="auto"/>
                      <w:highlight w:val="none"/>
                      <w:lang w:val="en-US" w:eastAsia="zh-CN"/>
                    </w:rPr>
                  </w:pPr>
                  <w:r>
                    <w:rPr>
                      <w:rFonts w:hint="eastAsia"/>
                      <w:color w:val="auto"/>
                      <w:highlight w:val="none"/>
                      <w:lang w:val="en-US" w:eastAsia="zh-CN"/>
                    </w:rPr>
                    <w:t>/</w:t>
                  </w:r>
                </w:p>
              </w:tc>
              <w:tc>
                <w:tcPr>
                  <w:tcW w:w="784" w:type="dxa"/>
                  <w:shd w:val="clear" w:color="auto" w:fill="FFFFFF"/>
                  <w:vAlign w:val="center"/>
                </w:tcPr>
                <w:p w14:paraId="3D9666F9">
                  <w:pPr>
                    <w:pStyle w:val="30"/>
                    <w:bidi w:val="0"/>
                    <w:rPr>
                      <w:rFonts w:hint="default"/>
                      <w:color w:val="auto"/>
                      <w:highlight w:val="none"/>
                      <w:lang w:val="en-US" w:eastAsia="zh-CN"/>
                    </w:rPr>
                  </w:pPr>
                  <w:r>
                    <w:rPr>
                      <w:rFonts w:hint="eastAsia"/>
                      <w:color w:val="auto"/>
                      <w:highlight w:val="none"/>
                      <w:lang w:val="en-US" w:eastAsia="zh-CN"/>
                    </w:rPr>
                    <w:t>/</w:t>
                  </w:r>
                </w:p>
              </w:tc>
              <w:tc>
                <w:tcPr>
                  <w:tcW w:w="707" w:type="dxa"/>
                  <w:shd w:val="clear" w:color="auto" w:fill="FFFFFF"/>
                  <w:vAlign w:val="center"/>
                </w:tcPr>
                <w:p w14:paraId="7BB8CFAE">
                  <w:pPr>
                    <w:pStyle w:val="30"/>
                    <w:bidi w:val="0"/>
                    <w:rPr>
                      <w:rFonts w:hint="default"/>
                      <w:color w:val="auto"/>
                      <w:highlight w:val="none"/>
                      <w:lang w:val="en-US" w:eastAsia="zh-CN"/>
                    </w:rPr>
                  </w:pPr>
                  <w:r>
                    <w:rPr>
                      <w:rFonts w:hint="eastAsia"/>
                      <w:color w:val="auto"/>
                      <w:highlight w:val="none"/>
                      <w:lang w:val="en-US" w:eastAsia="zh-CN"/>
                    </w:rPr>
                    <w:t>/</w:t>
                  </w:r>
                </w:p>
              </w:tc>
              <w:tc>
                <w:tcPr>
                  <w:tcW w:w="833" w:type="dxa"/>
                  <w:shd w:val="clear" w:color="auto" w:fill="FFFFFF"/>
                  <w:vAlign w:val="center"/>
                </w:tcPr>
                <w:p w14:paraId="4C40C5FE">
                  <w:pPr>
                    <w:pStyle w:val="30"/>
                    <w:bidi w:val="0"/>
                    <w:rPr>
                      <w:color w:val="auto"/>
                      <w:highlight w:val="none"/>
                      <w:lang w:val="en-US" w:eastAsia="zh-CN"/>
                    </w:rPr>
                  </w:pPr>
                  <w:r>
                    <w:rPr>
                      <w:color w:val="auto"/>
                      <w:highlight w:val="none"/>
                    </w:rPr>
                    <w:t>夜间</w:t>
                  </w:r>
                </w:p>
              </w:tc>
              <w:tc>
                <w:tcPr>
                  <w:tcW w:w="1318" w:type="dxa"/>
                  <w:shd w:val="clear" w:color="auto" w:fill="FFFFFF"/>
                  <w:vAlign w:val="center"/>
                </w:tcPr>
                <w:p w14:paraId="0B0AC50C">
                  <w:pPr>
                    <w:pStyle w:val="30"/>
                    <w:bidi w:val="0"/>
                    <w:rPr>
                      <w:rFonts w:hint="default"/>
                      <w:color w:val="auto"/>
                      <w:highlight w:val="none"/>
                      <w:lang w:val="en-US" w:eastAsia="zh-CN"/>
                    </w:rPr>
                  </w:pPr>
                  <w:r>
                    <w:rPr>
                      <w:rFonts w:hint="eastAsia"/>
                      <w:color w:val="auto"/>
                      <w:highlight w:val="none"/>
                      <w:lang w:val="en-US" w:eastAsia="zh-CN"/>
                    </w:rPr>
                    <w:t>43</w:t>
                  </w:r>
                </w:p>
              </w:tc>
              <w:tc>
                <w:tcPr>
                  <w:tcW w:w="1319" w:type="dxa"/>
                  <w:shd w:val="clear" w:color="auto" w:fill="FFFFFF"/>
                  <w:vAlign w:val="center"/>
                </w:tcPr>
                <w:p w14:paraId="65FD0B81">
                  <w:pPr>
                    <w:pStyle w:val="30"/>
                    <w:bidi w:val="0"/>
                    <w:rPr>
                      <w:rFonts w:hint="default"/>
                      <w:color w:val="auto"/>
                      <w:highlight w:val="none"/>
                      <w:lang w:val="en-US" w:eastAsia="zh-CN"/>
                    </w:rPr>
                  </w:pPr>
                  <w:r>
                    <w:rPr>
                      <w:rFonts w:hint="eastAsia"/>
                      <w:color w:val="auto"/>
                      <w:highlight w:val="none"/>
                      <w:lang w:val="en-US" w:eastAsia="zh-CN"/>
                    </w:rPr>
                    <w:t>50</w:t>
                  </w:r>
                </w:p>
              </w:tc>
              <w:tc>
                <w:tcPr>
                  <w:tcW w:w="976" w:type="dxa"/>
                  <w:shd w:val="clear" w:color="auto" w:fill="FFFFFF"/>
                  <w:vAlign w:val="center"/>
                </w:tcPr>
                <w:p w14:paraId="213164AF">
                  <w:pPr>
                    <w:pStyle w:val="30"/>
                    <w:bidi w:val="0"/>
                    <w:rPr>
                      <w:color w:val="auto"/>
                      <w:highlight w:val="none"/>
                    </w:rPr>
                  </w:pPr>
                  <w:r>
                    <w:rPr>
                      <w:color w:val="auto"/>
                      <w:highlight w:val="none"/>
                    </w:rPr>
                    <w:t>达标</w:t>
                  </w:r>
                </w:p>
              </w:tc>
            </w:tr>
          </w:tbl>
          <w:p w14:paraId="69AFDF25">
            <w:pPr>
              <w:adjustRightInd w:val="0"/>
              <w:snapToGrid w:val="0"/>
              <w:ind w:firstLine="480" w:firstLineChars="200"/>
              <w:rPr>
                <w:color w:val="auto"/>
                <w:highlight w:val="none"/>
              </w:rPr>
            </w:pPr>
            <w:r>
              <w:rPr>
                <w:rFonts w:hint="eastAsia"/>
                <w:color w:val="auto"/>
                <w:highlight w:val="none"/>
                <w:lang w:eastAsia="zh-CN"/>
              </w:rPr>
              <w:t>综上，</w:t>
            </w:r>
            <w:r>
              <w:rPr>
                <w:color w:val="auto"/>
                <w:highlight w:val="none"/>
              </w:rPr>
              <w:t>根据预测结果可知，项目使用的生产设备通过距离衰减、墙壁阻隔等措施之后，其噪声在</w:t>
            </w:r>
            <w:r>
              <w:rPr>
                <w:rFonts w:hint="eastAsia"/>
                <w:color w:val="auto"/>
                <w:highlight w:val="none"/>
              </w:rPr>
              <w:t>项目</w:t>
            </w:r>
            <w:r>
              <w:rPr>
                <w:color w:val="auto"/>
                <w:highlight w:val="none"/>
              </w:rPr>
              <w:t>边界处能够达到《工业企业厂界环境噪声排放标准》（GB12348-2008）中</w:t>
            </w:r>
            <w:r>
              <w:rPr>
                <w:rFonts w:hint="eastAsia"/>
                <w:color w:val="auto"/>
                <w:highlight w:val="none"/>
                <w:lang w:eastAsia="zh-CN"/>
              </w:rPr>
              <w:t>相应</w:t>
            </w:r>
            <w:r>
              <w:rPr>
                <w:color w:val="auto"/>
                <w:highlight w:val="none"/>
              </w:rPr>
              <w:t>标准要求</w:t>
            </w:r>
            <w:r>
              <w:rPr>
                <w:rFonts w:hint="eastAsia"/>
                <w:color w:val="auto"/>
                <w:highlight w:val="none"/>
              </w:rPr>
              <w:t>，</w:t>
            </w:r>
            <w:r>
              <w:rPr>
                <w:color w:val="auto"/>
                <w:highlight w:val="none"/>
              </w:rPr>
              <w:t>对周边环境无明显影响。</w:t>
            </w:r>
          </w:p>
          <w:p w14:paraId="2D71BF5B">
            <w:pPr>
              <w:adjustRightInd w:val="0"/>
              <w:snapToGrid w:val="0"/>
              <w:ind w:firstLine="480" w:firstLineChars="200"/>
              <w:rPr>
                <w:color w:val="auto"/>
                <w:highlight w:val="none"/>
              </w:rPr>
            </w:pPr>
            <w:r>
              <w:rPr>
                <w:rFonts w:hint="eastAsia"/>
                <w:color w:val="auto"/>
                <w:highlight w:val="none"/>
              </w:rPr>
              <w:t>为保证厂界噪声达，本环评提出以下噪声防治措施。噪声防治措施要求：</w:t>
            </w:r>
          </w:p>
          <w:p w14:paraId="0264D0D9">
            <w:pPr>
              <w:adjustRightInd w:val="0"/>
              <w:snapToGrid w:val="0"/>
              <w:ind w:firstLine="480" w:firstLineChars="200"/>
              <w:rPr>
                <w:color w:val="auto"/>
                <w:highlight w:val="none"/>
              </w:rPr>
            </w:pPr>
            <w:r>
              <w:rPr>
                <w:color w:val="auto"/>
                <w:highlight w:val="none"/>
              </w:rPr>
              <w:t>①工艺上应该选用机械性能好、噪声强度低的设备，并提高设备安装精度。</w:t>
            </w:r>
          </w:p>
          <w:p w14:paraId="42395482">
            <w:pPr>
              <w:adjustRightInd w:val="0"/>
              <w:snapToGrid w:val="0"/>
              <w:ind w:firstLine="480" w:firstLineChars="200"/>
              <w:rPr>
                <w:color w:val="auto"/>
                <w:highlight w:val="none"/>
              </w:rPr>
            </w:pPr>
            <w:r>
              <w:rPr>
                <w:color w:val="auto"/>
                <w:highlight w:val="none"/>
              </w:rPr>
              <w:t>②生产过程中产生噪声较大的设备应尽量避开敏感点，有利于减轻噪声对外环境的影响。</w:t>
            </w:r>
          </w:p>
          <w:p w14:paraId="36619B8A">
            <w:pPr>
              <w:ind w:firstLine="480" w:firstLineChars="200"/>
              <w:rPr>
                <w:color w:val="auto"/>
                <w:highlight w:val="none"/>
              </w:rPr>
            </w:pPr>
            <w:r>
              <w:rPr>
                <w:color w:val="auto"/>
                <w:highlight w:val="none"/>
              </w:rPr>
              <w:t>③应考虑在绿化设计等方面采取有效措施，在</w:t>
            </w:r>
            <w:r>
              <w:rPr>
                <w:rFonts w:hint="eastAsia"/>
                <w:color w:val="auto"/>
                <w:highlight w:val="none"/>
              </w:rPr>
              <w:t>加油站</w:t>
            </w:r>
            <w:r>
              <w:rPr>
                <w:color w:val="auto"/>
                <w:highlight w:val="none"/>
              </w:rPr>
              <w:t>边界绿化带搭配种植低矮灌木，以阻隔噪声的传播和干扰。</w:t>
            </w:r>
          </w:p>
          <w:p w14:paraId="301F0AEE">
            <w:pPr>
              <w:ind w:firstLine="480" w:firstLineChars="200"/>
              <w:rPr>
                <w:color w:val="auto"/>
                <w:highlight w:val="none"/>
              </w:rPr>
            </w:pPr>
            <w:r>
              <w:rPr>
                <w:color w:val="auto"/>
                <w:highlight w:val="none"/>
              </w:rPr>
              <w:fldChar w:fldCharType="begin"/>
            </w:r>
            <w:r>
              <w:rPr>
                <w:color w:val="auto"/>
                <w:highlight w:val="none"/>
              </w:rPr>
              <w:instrText xml:space="preserve"> = 4 \* GB3 \* MERGEFORMAT </w:instrText>
            </w:r>
            <w:r>
              <w:rPr>
                <w:color w:val="auto"/>
                <w:highlight w:val="none"/>
              </w:rPr>
              <w:fldChar w:fldCharType="separate"/>
            </w:r>
            <w:r>
              <w:rPr>
                <w:color w:val="auto"/>
                <w:highlight w:val="none"/>
              </w:rPr>
              <w:t>④</w:t>
            </w:r>
            <w:r>
              <w:rPr>
                <w:color w:val="auto"/>
                <w:highlight w:val="none"/>
              </w:rPr>
              <w:fldChar w:fldCharType="end"/>
            </w:r>
            <w:r>
              <w:rPr>
                <w:color w:val="auto"/>
                <w:highlight w:val="none"/>
              </w:rPr>
              <w:t>维护好设备，使之保持良好的工作状态、加强设备润滑等措施降低生产设备噪声。</w:t>
            </w:r>
          </w:p>
          <w:p w14:paraId="0A2CA955">
            <w:pPr>
              <w:widowControl/>
              <w:numPr>
                <w:ilvl w:val="0"/>
                <w:numId w:val="5"/>
              </w:numPr>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运营期声环境保护措施</w:t>
            </w:r>
          </w:p>
          <w:p w14:paraId="00454F7F">
            <w:pPr>
              <w:ind w:firstLine="420"/>
              <w:rPr>
                <w:color w:val="auto"/>
                <w:highlight w:val="none"/>
              </w:rPr>
            </w:pPr>
            <w:r>
              <w:rPr>
                <w:color w:val="auto"/>
                <w:highlight w:val="none"/>
              </w:rPr>
              <w:t>工程噪声控制拟在满足工艺生产条件前提下，尽可能选用低噪声设备，对高噪声等动力噪声源设置隔声罩、进气口加装消声器；车间采用封闭式厂房或隔音室，同时，对噪声设备基础进行隔振、减震处理。工程还</w:t>
            </w:r>
            <w:r>
              <w:rPr>
                <w:rFonts w:hint="eastAsia"/>
                <w:color w:val="auto"/>
                <w:highlight w:val="none"/>
                <w:lang w:eastAsia="zh-CN"/>
              </w:rPr>
              <w:t>应从</w:t>
            </w:r>
            <w:r>
              <w:rPr>
                <w:color w:val="auto"/>
                <w:highlight w:val="none"/>
              </w:rPr>
              <w:t>平面布局考虑，强噪设备布置时应充分考虑强噪设备与厂界的距离及厂界噪声限值，布置位置尽可能远离厂界。采用以下噪声防治措施：</w:t>
            </w:r>
          </w:p>
          <w:p w14:paraId="7EAEC31F">
            <w:pPr>
              <w:ind w:firstLine="420"/>
              <w:rPr>
                <w:color w:val="auto"/>
                <w:highlight w:val="none"/>
              </w:rPr>
            </w:pPr>
            <w:r>
              <w:rPr>
                <w:rFonts w:hint="eastAsia" w:ascii="宋体" w:hAnsi="宋体" w:cs="宋体"/>
                <w:color w:val="auto"/>
                <w:highlight w:val="none"/>
              </w:rPr>
              <w:t>①</w:t>
            </w:r>
            <w:r>
              <w:rPr>
                <w:color w:val="auto"/>
                <w:highlight w:val="none"/>
              </w:rPr>
              <w:t>在设备选型注意选择低噪声设备。在设备布局中除了满足工艺要求，考虑利用地形建筑物等障碍物降低噪声。</w:t>
            </w:r>
          </w:p>
          <w:p w14:paraId="6F589116">
            <w:pPr>
              <w:ind w:firstLine="420"/>
              <w:rPr>
                <w:color w:val="auto"/>
                <w:highlight w:val="none"/>
              </w:rPr>
            </w:pPr>
            <w:r>
              <w:rPr>
                <w:rFonts w:hint="eastAsia" w:ascii="宋体" w:hAnsi="宋体" w:cs="宋体"/>
                <w:color w:val="auto"/>
                <w:highlight w:val="none"/>
              </w:rPr>
              <w:t>②</w:t>
            </w:r>
            <w:r>
              <w:rPr>
                <w:color w:val="auto"/>
                <w:highlight w:val="none"/>
              </w:rPr>
              <w:t>设备的安装采用减振处理，风机可以安装消声器，风管连接采用软接；管道的固定要防止共振。</w:t>
            </w:r>
          </w:p>
          <w:p w14:paraId="224E1D73">
            <w:pPr>
              <w:ind w:firstLine="420"/>
              <w:rPr>
                <w:color w:val="auto"/>
                <w:highlight w:val="none"/>
              </w:rPr>
            </w:pPr>
            <w:r>
              <w:rPr>
                <w:rFonts w:hint="eastAsia" w:ascii="宋体" w:hAnsi="宋体" w:cs="宋体"/>
                <w:color w:val="auto"/>
                <w:highlight w:val="none"/>
              </w:rPr>
              <w:t>③</w:t>
            </w:r>
            <w:r>
              <w:rPr>
                <w:color w:val="auto"/>
                <w:highlight w:val="none"/>
              </w:rPr>
              <w:t>维护好设备，使之保持良好的工作状态、加强设备润滑等措施降低生产设备噪声。</w:t>
            </w:r>
          </w:p>
          <w:p w14:paraId="49FAB8C3">
            <w:pPr>
              <w:ind w:firstLine="480" w:firstLineChars="200"/>
              <w:rPr>
                <w:rFonts w:hint="eastAsia" w:ascii="宋体" w:hAnsi="宋体" w:cs="宋体"/>
                <w:color w:val="auto"/>
                <w:kern w:val="0"/>
                <w:highlight w:val="none"/>
                <w:lang w:bidi="ar"/>
              </w:rPr>
            </w:pPr>
            <w:r>
              <w:rPr>
                <w:rFonts w:hint="eastAsia" w:ascii="宋体" w:hAnsi="宋体" w:cs="宋体"/>
                <w:color w:val="auto"/>
                <w:kern w:val="0"/>
                <w:highlight w:val="none"/>
                <w:lang w:bidi="ar"/>
              </w:rPr>
              <w:t>本项目潜油泵布置在地下，噪声传至地面后对外环境影响较小。本项目噪声主要为车辆进出</w:t>
            </w:r>
            <w:r>
              <w:rPr>
                <w:rFonts w:hint="eastAsia" w:ascii="宋体" w:hAnsi="宋体" w:cs="宋体"/>
                <w:color w:val="auto"/>
                <w:kern w:val="0"/>
                <w:highlight w:val="none"/>
                <w:lang w:eastAsia="zh-CN" w:bidi="ar"/>
              </w:rPr>
              <w:t>综合能源站</w:t>
            </w:r>
            <w:r>
              <w:rPr>
                <w:rFonts w:hint="eastAsia" w:ascii="宋体" w:hAnsi="宋体" w:cs="宋体"/>
                <w:color w:val="auto"/>
                <w:kern w:val="0"/>
                <w:highlight w:val="none"/>
                <w:lang w:bidi="ar"/>
              </w:rPr>
              <w:t>时产生的交通噪声、加油机噪声以及车辆维修过程中产生的噪声。为降低噪声对周边环境的影响，建议采取以下降噪措施：</w:t>
            </w:r>
          </w:p>
          <w:p w14:paraId="2B27BBCD">
            <w:pPr>
              <w:ind w:firstLine="480" w:firstLineChars="200"/>
              <w:rPr>
                <w:rFonts w:hint="eastAsia" w:ascii="宋体" w:hAnsi="宋体" w:cs="宋体"/>
                <w:color w:val="auto"/>
                <w:kern w:val="0"/>
                <w:highlight w:val="none"/>
                <w:lang w:bidi="ar"/>
              </w:rPr>
            </w:pPr>
            <w:r>
              <w:rPr>
                <w:rFonts w:hint="eastAsia" w:ascii="宋体" w:hAnsi="宋体" w:cs="宋体"/>
                <w:color w:val="auto"/>
                <w:kern w:val="0"/>
                <w:highlight w:val="none"/>
                <w:lang w:bidi="ar"/>
              </w:rPr>
              <w:t>①在进站口设置减速标志和禁鸣标志，加强对进站车辆的管理；</w:t>
            </w:r>
          </w:p>
          <w:p w14:paraId="280A9179">
            <w:pPr>
              <w:ind w:firstLine="480" w:firstLineChars="200"/>
              <w:rPr>
                <w:rFonts w:hint="eastAsia" w:ascii="宋体" w:hAnsi="宋体" w:cs="宋体"/>
                <w:color w:val="auto"/>
                <w:kern w:val="0"/>
                <w:highlight w:val="none"/>
                <w:lang w:bidi="ar"/>
              </w:rPr>
            </w:pPr>
            <w:r>
              <w:rPr>
                <w:rFonts w:hint="eastAsia" w:ascii="宋体" w:hAnsi="宋体" w:cs="宋体"/>
                <w:color w:val="auto"/>
                <w:kern w:val="0"/>
                <w:highlight w:val="none"/>
                <w:lang w:bidi="ar"/>
              </w:rPr>
              <w:t>②优先选用低噪声设备，加强对加油机等设备的维护和保养，避免因设备问题而引发突发性高噪声；</w:t>
            </w:r>
          </w:p>
          <w:p w14:paraId="1A03D6C7">
            <w:pPr>
              <w:ind w:firstLine="480" w:firstLineChars="200"/>
              <w:rPr>
                <w:rFonts w:hint="eastAsia" w:ascii="宋体" w:hAnsi="宋体" w:cs="宋体"/>
                <w:color w:val="auto"/>
                <w:kern w:val="0"/>
                <w:highlight w:val="none"/>
                <w:lang w:bidi="ar"/>
              </w:rPr>
            </w:pPr>
            <w:r>
              <w:rPr>
                <w:rFonts w:hint="eastAsia" w:ascii="宋体" w:hAnsi="宋体" w:cs="宋体"/>
                <w:color w:val="auto"/>
                <w:kern w:val="0"/>
                <w:highlight w:val="none"/>
                <w:lang w:bidi="ar"/>
              </w:rPr>
              <w:t>③在运营过程中应遵守作业规定，减少碰撞噪声，尽量降低人为噪声；</w:t>
            </w:r>
          </w:p>
          <w:p w14:paraId="3192B1DC">
            <w:pPr>
              <w:ind w:firstLine="480" w:firstLineChars="200"/>
              <w:rPr>
                <w:rFonts w:hint="eastAsia" w:ascii="宋体" w:hAnsi="宋体" w:cs="宋体"/>
                <w:color w:val="auto"/>
                <w:kern w:val="0"/>
                <w:highlight w:val="none"/>
                <w:lang w:bidi="ar"/>
              </w:rPr>
            </w:pPr>
            <w:r>
              <w:rPr>
                <w:rFonts w:hint="eastAsia" w:ascii="宋体" w:hAnsi="宋体" w:cs="宋体"/>
                <w:color w:val="auto"/>
                <w:kern w:val="0"/>
                <w:highlight w:val="none"/>
                <w:lang w:bidi="ar"/>
              </w:rPr>
              <w:t>④在场界四周多种灌木使其形成绿化带，进一步降低噪声对周围环境的影响。</w:t>
            </w:r>
          </w:p>
          <w:p w14:paraId="6BF56275">
            <w:pPr>
              <w:ind w:firstLine="480" w:firstLineChars="200"/>
              <w:rPr>
                <w:color w:val="auto"/>
                <w:highlight w:val="none"/>
              </w:rPr>
            </w:pPr>
            <w:r>
              <w:rPr>
                <w:rFonts w:hint="eastAsia" w:ascii="宋体" w:hAnsi="宋体" w:cs="宋体"/>
                <w:color w:val="auto"/>
                <w:kern w:val="0"/>
                <w:highlight w:val="none"/>
                <w:lang w:bidi="ar"/>
              </w:rPr>
              <w:t>综上，项目投入使用后不会改变项目所处区域的声环境功能，对声环境的影响很小。</w:t>
            </w:r>
          </w:p>
          <w:p w14:paraId="7E075E29">
            <w:pPr>
              <w:snapToGrid w:val="0"/>
              <w:rPr>
                <w:bCs/>
                <w:color w:val="auto"/>
                <w:highlight w:val="none"/>
              </w:rPr>
            </w:pPr>
            <w:r>
              <w:rPr>
                <w:rFonts w:hint="eastAsia"/>
                <w:bCs/>
                <w:color w:val="auto"/>
                <w:highlight w:val="none"/>
              </w:rPr>
              <w:t>5</w:t>
            </w:r>
            <w:r>
              <w:rPr>
                <w:bCs/>
                <w:color w:val="auto"/>
                <w:highlight w:val="none"/>
              </w:rPr>
              <w:t>、噪声监测要求</w:t>
            </w:r>
          </w:p>
          <w:p w14:paraId="4A21EFF1">
            <w:pPr>
              <w:adjustRightInd w:val="0"/>
              <w:snapToGrid w:val="0"/>
              <w:ind w:firstLine="480" w:firstLineChars="200"/>
              <w:rPr>
                <w:color w:val="auto"/>
                <w:highlight w:val="none"/>
              </w:rPr>
            </w:pPr>
            <w:r>
              <w:rPr>
                <w:color w:val="auto"/>
                <w:highlight w:val="none"/>
              </w:rPr>
              <w:t>根据《排污单位自行监测技术指南 总则》（HJ 819-2017），项目噪声自行监测计划如下：</w:t>
            </w:r>
          </w:p>
          <w:p w14:paraId="1E4B8A0E">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13</w:t>
            </w:r>
            <w:r>
              <w:rPr>
                <w:color w:val="auto"/>
                <w:highlight w:val="none"/>
              </w:rPr>
              <w:fldChar w:fldCharType="end"/>
            </w:r>
            <w:r>
              <w:rPr>
                <w:bCs/>
                <w:color w:val="auto"/>
                <w:szCs w:val="21"/>
                <w:highlight w:val="none"/>
              </w:rPr>
              <w:t xml:space="preserve"> 噪声监测计划一览表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969"/>
              <w:gridCol w:w="1406"/>
              <w:gridCol w:w="4139"/>
            </w:tblGrid>
            <w:tr w14:paraId="7629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Align w:val="center"/>
                </w:tcPr>
                <w:p w14:paraId="44B00A69">
                  <w:pPr>
                    <w:pStyle w:val="30"/>
                    <w:rPr>
                      <w:b/>
                      <w:bCs/>
                      <w:color w:val="auto"/>
                      <w:highlight w:val="none"/>
                    </w:rPr>
                  </w:pPr>
                  <w:r>
                    <w:rPr>
                      <w:b/>
                      <w:bCs/>
                      <w:color w:val="auto"/>
                      <w:highlight w:val="none"/>
                    </w:rPr>
                    <w:t>监测点位</w:t>
                  </w:r>
                </w:p>
              </w:tc>
              <w:tc>
                <w:tcPr>
                  <w:tcW w:w="969" w:type="dxa"/>
                  <w:vAlign w:val="center"/>
                </w:tcPr>
                <w:p w14:paraId="12A79329">
                  <w:pPr>
                    <w:pStyle w:val="30"/>
                    <w:rPr>
                      <w:b/>
                      <w:bCs/>
                      <w:color w:val="auto"/>
                      <w:highlight w:val="none"/>
                    </w:rPr>
                  </w:pPr>
                  <w:r>
                    <w:rPr>
                      <w:b/>
                      <w:bCs/>
                      <w:color w:val="auto"/>
                      <w:highlight w:val="none"/>
                    </w:rPr>
                    <w:t>监测指标</w:t>
                  </w:r>
                </w:p>
              </w:tc>
              <w:tc>
                <w:tcPr>
                  <w:tcW w:w="1406" w:type="dxa"/>
                  <w:vAlign w:val="center"/>
                </w:tcPr>
                <w:p w14:paraId="0B85D552">
                  <w:pPr>
                    <w:pStyle w:val="30"/>
                    <w:rPr>
                      <w:b/>
                      <w:bCs/>
                      <w:color w:val="auto"/>
                      <w:highlight w:val="none"/>
                    </w:rPr>
                  </w:pPr>
                  <w:r>
                    <w:rPr>
                      <w:b/>
                      <w:bCs/>
                      <w:color w:val="auto"/>
                      <w:highlight w:val="none"/>
                    </w:rPr>
                    <w:t>监测频次</w:t>
                  </w:r>
                </w:p>
              </w:tc>
              <w:tc>
                <w:tcPr>
                  <w:tcW w:w="4139" w:type="dxa"/>
                  <w:vAlign w:val="center"/>
                </w:tcPr>
                <w:p w14:paraId="7CC4C8B2">
                  <w:pPr>
                    <w:pStyle w:val="30"/>
                    <w:rPr>
                      <w:b/>
                      <w:bCs/>
                      <w:color w:val="auto"/>
                      <w:highlight w:val="none"/>
                    </w:rPr>
                  </w:pPr>
                  <w:r>
                    <w:rPr>
                      <w:b/>
                      <w:bCs/>
                      <w:color w:val="auto"/>
                      <w:highlight w:val="none"/>
                    </w:rPr>
                    <w:t>执行排放标准</w:t>
                  </w:r>
                </w:p>
              </w:tc>
            </w:tr>
            <w:tr w14:paraId="032B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Align w:val="center"/>
                </w:tcPr>
                <w:p w14:paraId="214BC07A">
                  <w:pPr>
                    <w:pStyle w:val="30"/>
                    <w:rPr>
                      <w:color w:val="auto"/>
                      <w:highlight w:val="none"/>
                    </w:rPr>
                  </w:pPr>
                  <w:r>
                    <w:rPr>
                      <w:rFonts w:hint="eastAsia"/>
                      <w:color w:val="auto"/>
                      <w:highlight w:val="none"/>
                      <w:lang w:eastAsia="zh-CN"/>
                    </w:rPr>
                    <w:t>东侧地块</w:t>
                  </w:r>
                  <w:r>
                    <w:rPr>
                      <w:color w:val="auto"/>
                      <w:highlight w:val="none"/>
                    </w:rPr>
                    <w:t>厂界外1m</w:t>
                  </w:r>
                </w:p>
              </w:tc>
              <w:tc>
                <w:tcPr>
                  <w:tcW w:w="969" w:type="dxa"/>
                  <w:vAlign w:val="center"/>
                </w:tcPr>
                <w:p w14:paraId="019E2908">
                  <w:pPr>
                    <w:pStyle w:val="30"/>
                    <w:rPr>
                      <w:color w:val="auto"/>
                      <w:highlight w:val="none"/>
                    </w:rPr>
                  </w:pPr>
                  <w:r>
                    <w:rPr>
                      <w:color w:val="auto"/>
                      <w:highlight w:val="none"/>
                    </w:rPr>
                    <w:t>噪声</w:t>
                  </w:r>
                </w:p>
              </w:tc>
              <w:tc>
                <w:tcPr>
                  <w:tcW w:w="1406" w:type="dxa"/>
                  <w:vAlign w:val="center"/>
                </w:tcPr>
                <w:p w14:paraId="15868488">
                  <w:pPr>
                    <w:pStyle w:val="30"/>
                    <w:rPr>
                      <w:color w:val="auto"/>
                      <w:highlight w:val="none"/>
                    </w:rPr>
                  </w:pPr>
                  <w:r>
                    <w:rPr>
                      <w:color w:val="auto"/>
                      <w:highlight w:val="none"/>
                    </w:rPr>
                    <w:t>1次/季度，昼夜各1次</w:t>
                  </w:r>
                </w:p>
              </w:tc>
              <w:tc>
                <w:tcPr>
                  <w:tcW w:w="4139" w:type="dxa"/>
                  <w:vAlign w:val="center"/>
                </w:tcPr>
                <w:p w14:paraId="29C40A99">
                  <w:pPr>
                    <w:pStyle w:val="30"/>
                    <w:rPr>
                      <w:color w:val="auto"/>
                      <w:highlight w:val="none"/>
                    </w:rPr>
                  </w:pPr>
                  <w:r>
                    <w:rPr>
                      <w:rFonts w:hint="eastAsia"/>
                      <w:color w:val="auto"/>
                      <w:highlight w:val="none"/>
                      <w:lang w:val="en-US" w:eastAsia="zh-CN"/>
                    </w:rPr>
                    <w:t>本项目</w:t>
                  </w:r>
                  <w:r>
                    <w:rPr>
                      <w:rFonts w:hint="eastAsia"/>
                      <w:color w:val="auto"/>
                      <w:highlight w:val="none"/>
                    </w:rPr>
                    <w:t>东、西、南侧</w:t>
                  </w:r>
                  <w:r>
                    <w:rPr>
                      <w:rFonts w:hint="eastAsia"/>
                      <w:color w:val="auto"/>
                      <w:highlight w:val="none"/>
                      <w:lang w:val="en-US" w:eastAsia="zh-CN"/>
                    </w:rPr>
                    <w:t>厂界</w:t>
                  </w:r>
                  <w:r>
                    <w:rPr>
                      <w:rFonts w:hint="eastAsia"/>
                      <w:color w:val="auto"/>
                      <w:highlight w:val="none"/>
                    </w:rPr>
                    <w:t>执行</w:t>
                  </w:r>
                  <w:r>
                    <w:rPr>
                      <w:color w:val="auto"/>
                      <w:highlight w:val="none"/>
                    </w:rPr>
                    <w:t>《工业企业厂界环境噪声排放标准》（GB12348-2008）</w:t>
                  </w:r>
                  <w:bookmarkStart w:id="35" w:name="OLE_LINK36"/>
                  <w:r>
                    <w:rPr>
                      <w:rFonts w:hint="eastAsia"/>
                      <w:color w:val="auto"/>
                      <w:highlight w:val="none"/>
                      <w:lang w:val="en-US" w:eastAsia="zh-CN"/>
                    </w:rPr>
                    <w:t>3</w:t>
                  </w:r>
                  <w:r>
                    <w:rPr>
                      <w:rFonts w:hint="eastAsia"/>
                      <w:color w:val="auto"/>
                      <w:highlight w:val="none"/>
                    </w:rPr>
                    <w:t>类</w:t>
                  </w:r>
                  <w:bookmarkEnd w:id="35"/>
                  <w:r>
                    <w:rPr>
                      <w:rFonts w:hint="eastAsia"/>
                      <w:color w:val="auto"/>
                      <w:highlight w:val="none"/>
                    </w:rPr>
                    <w:t>标准要求；北侧</w:t>
                  </w:r>
                  <w:r>
                    <w:rPr>
                      <w:rFonts w:hint="eastAsia"/>
                      <w:color w:val="auto"/>
                      <w:highlight w:val="none"/>
                      <w:lang w:val="en-US" w:eastAsia="zh-CN"/>
                    </w:rPr>
                    <w:t>厂界</w:t>
                  </w:r>
                  <w:r>
                    <w:rPr>
                      <w:color w:val="auto"/>
                      <w:highlight w:val="none"/>
                    </w:rPr>
                    <w:t>执行GB12348-2008</w:t>
                  </w:r>
                  <w:r>
                    <w:rPr>
                      <w:rFonts w:hint="eastAsia"/>
                      <w:color w:val="auto"/>
                      <w:highlight w:val="none"/>
                    </w:rPr>
                    <w:t>中</w:t>
                  </w:r>
                  <w:r>
                    <w:rPr>
                      <w:rFonts w:hint="eastAsia"/>
                      <w:color w:val="auto"/>
                      <w:highlight w:val="none"/>
                      <w:lang w:val="en-US" w:eastAsia="zh-CN"/>
                    </w:rPr>
                    <w:t>4</w:t>
                  </w:r>
                  <w:r>
                    <w:rPr>
                      <w:rFonts w:hint="eastAsia"/>
                      <w:color w:val="auto"/>
                      <w:highlight w:val="none"/>
                    </w:rPr>
                    <w:t>类标准。</w:t>
                  </w:r>
                </w:p>
              </w:tc>
            </w:tr>
            <w:tr w14:paraId="3A1C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Align w:val="center"/>
                </w:tcPr>
                <w:p w14:paraId="7B7EB347">
                  <w:pPr>
                    <w:pStyle w:val="30"/>
                    <w:rPr>
                      <w:color w:val="auto"/>
                      <w:highlight w:val="none"/>
                    </w:rPr>
                  </w:pPr>
                  <w:r>
                    <w:rPr>
                      <w:rFonts w:hint="eastAsia"/>
                      <w:color w:val="auto"/>
                      <w:highlight w:val="none"/>
                      <w:lang w:eastAsia="zh-CN"/>
                    </w:rPr>
                    <w:t>西侧地块</w:t>
                  </w:r>
                  <w:r>
                    <w:rPr>
                      <w:color w:val="auto"/>
                      <w:highlight w:val="none"/>
                    </w:rPr>
                    <w:t>厂界外1m</w:t>
                  </w:r>
                </w:p>
              </w:tc>
              <w:tc>
                <w:tcPr>
                  <w:tcW w:w="969" w:type="dxa"/>
                  <w:shd w:val="clear" w:color="auto" w:fill="auto"/>
                  <w:vAlign w:val="center"/>
                </w:tcPr>
                <w:p w14:paraId="32A3D5FC">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噪声</w:t>
                  </w:r>
                </w:p>
              </w:tc>
              <w:tc>
                <w:tcPr>
                  <w:tcW w:w="1406" w:type="dxa"/>
                  <w:shd w:val="clear" w:color="auto" w:fill="auto"/>
                  <w:vAlign w:val="center"/>
                </w:tcPr>
                <w:p w14:paraId="7F036B69">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1次/季度，昼夜各1次</w:t>
                  </w:r>
                </w:p>
              </w:tc>
              <w:tc>
                <w:tcPr>
                  <w:tcW w:w="4139" w:type="dxa"/>
                  <w:shd w:val="clear" w:color="auto" w:fill="auto"/>
                  <w:vAlign w:val="center"/>
                </w:tcPr>
                <w:p w14:paraId="61A1D66C">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本项目</w:t>
                  </w:r>
                  <w:r>
                    <w:rPr>
                      <w:rFonts w:hint="eastAsia"/>
                      <w:color w:val="auto"/>
                      <w:highlight w:val="none"/>
                    </w:rPr>
                    <w:t>东、西、南侧</w:t>
                  </w:r>
                  <w:r>
                    <w:rPr>
                      <w:rFonts w:hint="eastAsia"/>
                      <w:color w:val="auto"/>
                      <w:highlight w:val="none"/>
                      <w:lang w:val="en-US" w:eastAsia="zh-CN"/>
                    </w:rPr>
                    <w:t>厂界</w:t>
                  </w:r>
                  <w:r>
                    <w:rPr>
                      <w:rFonts w:hint="eastAsia"/>
                      <w:color w:val="auto"/>
                      <w:highlight w:val="none"/>
                    </w:rPr>
                    <w:t>执行</w:t>
                  </w:r>
                  <w:r>
                    <w:rPr>
                      <w:color w:val="auto"/>
                      <w:highlight w:val="none"/>
                    </w:rPr>
                    <w:t>《工业企业厂界环境噪声排放标准》（GB12348-2008）</w:t>
                  </w:r>
                  <w:r>
                    <w:rPr>
                      <w:rFonts w:hint="eastAsia"/>
                      <w:color w:val="auto"/>
                      <w:highlight w:val="none"/>
                      <w:lang w:val="en-US" w:eastAsia="zh-CN"/>
                    </w:rPr>
                    <w:t>3</w:t>
                  </w:r>
                  <w:r>
                    <w:rPr>
                      <w:rFonts w:hint="eastAsia"/>
                      <w:color w:val="auto"/>
                      <w:highlight w:val="none"/>
                    </w:rPr>
                    <w:t>类标准要求；北侧</w:t>
                  </w:r>
                  <w:r>
                    <w:rPr>
                      <w:rFonts w:hint="eastAsia"/>
                      <w:color w:val="auto"/>
                      <w:highlight w:val="none"/>
                      <w:lang w:val="en-US" w:eastAsia="zh-CN"/>
                    </w:rPr>
                    <w:t>厂界</w:t>
                  </w:r>
                  <w:r>
                    <w:rPr>
                      <w:color w:val="auto"/>
                      <w:highlight w:val="none"/>
                    </w:rPr>
                    <w:t>执行GB12348-2008</w:t>
                  </w:r>
                  <w:r>
                    <w:rPr>
                      <w:rFonts w:hint="eastAsia"/>
                      <w:color w:val="auto"/>
                      <w:highlight w:val="none"/>
                    </w:rPr>
                    <w:t>中</w:t>
                  </w:r>
                  <w:r>
                    <w:rPr>
                      <w:rFonts w:hint="eastAsia"/>
                      <w:color w:val="auto"/>
                      <w:highlight w:val="none"/>
                      <w:lang w:val="en-US" w:eastAsia="zh-CN"/>
                    </w:rPr>
                    <w:t>4</w:t>
                  </w:r>
                  <w:r>
                    <w:rPr>
                      <w:rFonts w:hint="eastAsia"/>
                      <w:color w:val="auto"/>
                      <w:highlight w:val="none"/>
                    </w:rPr>
                    <w:t>类标准。</w:t>
                  </w:r>
                </w:p>
              </w:tc>
            </w:tr>
          </w:tbl>
          <w:p w14:paraId="5DCFC2FE">
            <w:pPr>
              <w:rPr>
                <w:b/>
                <w:bCs/>
                <w:color w:val="auto"/>
                <w:highlight w:val="none"/>
              </w:rPr>
            </w:pPr>
            <w:r>
              <w:rPr>
                <w:rFonts w:hint="eastAsia"/>
                <w:b/>
                <w:bCs/>
                <w:color w:val="auto"/>
                <w:highlight w:val="none"/>
              </w:rPr>
              <w:t>四、固体废物环境影响分析</w:t>
            </w:r>
          </w:p>
          <w:p w14:paraId="6A127B48">
            <w:pPr>
              <w:ind w:firstLine="480" w:firstLineChars="200"/>
              <w:rPr>
                <w:color w:val="auto"/>
                <w:highlight w:val="none"/>
              </w:rPr>
            </w:pPr>
            <w:r>
              <w:rPr>
                <w:color w:val="auto"/>
                <w:highlight w:val="none"/>
              </w:rPr>
              <w:t>本项目营运期主要固体废弃物为生活垃圾、</w:t>
            </w:r>
            <w:r>
              <w:rPr>
                <w:rFonts w:hint="eastAsia"/>
                <w:color w:val="auto"/>
                <w:highlight w:val="none"/>
              </w:rPr>
              <w:t>废零部件、废焊丝</w:t>
            </w:r>
            <w:r>
              <w:rPr>
                <w:rFonts w:hint="eastAsia"/>
                <w:color w:val="auto"/>
                <w:highlight w:val="none"/>
                <w:lang w:eastAsia="zh-CN"/>
              </w:rPr>
              <w:t>、</w:t>
            </w:r>
            <w:r>
              <w:rPr>
                <w:rFonts w:hint="eastAsia"/>
                <w:color w:val="auto"/>
                <w:highlight w:val="none"/>
              </w:rPr>
              <w:t>废轮胎、废机油、</w:t>
            </w:r>
            <w:r>
              <w:rPr>
                <w:rFonts w:hint="eastAsia"/>
                <w:color w:val="auto"/>
                <w:highlight w:val="none"/>
                <w:lang w:eastAsia="zh-CN"/>
              </w:rPr>
              <w:t>废机油桶、</w:t>
            </w:r>
            <w:r>
              <w:rPr>
                <w:rFonts w:hint="eastAsia"/>
                <w:color w:val="auto"/>
                <w:highlight w:val="none"/>
              </w:rPr>
              <w:t>废电池、洗车污泥及泥沙、废包装材料、清罐油泥</w:t>
            </w:r>
            <w:r>
              <w:rPr>
                <w:rFonts w:hint="eastAsia"/>
                <w:color w:val="auto"/>
                <w:highlight w:val="none"/>
                <w:lang w:eastAsia="zh-CN"/>
              </w:rPr>
              <w:t>、</w:t>
            </w:r>
            <w:r>
              <w:rPr>
                <w:rFonts w:hint="eastAsia"/>
                <w:color w:val="auto"/>
                <w:highlight w:val="none"/>
              </w:rPr>
              <w:t>清罐废液</w:t>
            </w:r>
            <w:r>
              <w:rPr>
                <w:color w:val="auto"/>
                <w:highlight w:val="none"/>
              </w:rPr>
              <w:t>、</w:t>
            </w:r>
            <w:r>
              <w:rPr>
                <w:rFonts w:hint="eastAsia"/>
                <w:color w:val="auto"/>
                <w:highlight w:val="none"/>
              </w:rPr>
              <w:t>含油废沙以及</w:t>
            </w:r>
            <w:r>
              <w:rPr>
                <w:rFonts w:hint="eastAsia"/>
                <w:color w:val="auto"/>
                <w:highlight w:val="none"/>
                <w:lang w:eastAsia="zh-CN"/>
              </w:rPr>
              <w:t>废含油抹布手套</w:t>
            </w:r>
            <w:r>
              <w:rPr>
                <w:rFonts w:hint="eastAsia"/>
                <w:color w:val="auto"/>
                <w:highlight w:val="none"/>
              </w:rPr>
              <w:t>等</w:t>
            </w:r>
            <w:r>
              <w:rPr>
                <w:color w:val="auto"/>
                <w:highlight w:val="none"/>
              </w:rPr>
              <w:t>。</w:t>
            </w:r>
          </w:p>
          <w:p w14:paraId="4F0F2F31">
            <w:pPr>
              <w:ind w:firstLine="480" w:firstLineChars="200"/>
              <w:rPr>
                <w:color w:val="auto"/>
                <w:highlight w:val="none"/>
              </w:rPr>
            </w:pPr>
            <w:r>
              <w:rPr>
                <w:rFonts w:hint="eastAsia"/>
                <w:color w:val="auto"/>
                <w:highlight w:val="none"/>
              </w:rPr>
              <w:t>1、一般固废</w:t>
            </w:r>
          </w:p>
          <w:p w14:paraId="7319AEB1">
            <w:pPr>
              <w:ind w:firstLine="480" w:firstLineChars="200"/>
              <w:rPr>
                <w:color w:val="auto"/>
                <w:highlight w:val="none"/>
              </w:rPr>
            </w:pPr>
            <w:r>
              <w:rPr>
                <w:rFonts w:hint="eastAsia"/>
                <w:color w:val="auto"/>
                <w:highlight w:val="none"/>
              </w:rPr>
              <w:t>（1）生活垃圾S1</w:t>
            </w:r>
          </w:p>
          <w:p w14:paraId="31E6BB7B">
            <w:pPr>
              <w:ind w:firstLine="480" w:firstLineChars="200"/>
              <w:rPr>
                <w:color w:val="auto"/>
                <w:highlight w:val="none"/>
                <w:lang w:val="zh-CN"/>
              </w:rPr>
            </w:pPr>
            <w:r>
              <w:rPr>
                <w:rFonts w:hint="eastAsia"/>
                <w:color w:val="auto"/>
                <w:highlight w:val="none"/>
                <w:lang w:eastAsia="zh-CN"/>
              </w:rPr>
              <w:t>本</w:t>
            </w:r>
            <w:r>
              <w:rPr>
                <w:color w:val="auto"/>
                <w:highlight w:val="none"/>
              </w:rPr>
              <w:t>项目</w:t>
            </w:r>
            <w:r>
              <w:rPr>
                <w:rFonts w:hint="eastAsia"/>
                <w:color w:val="auto"/>
                <w:highlight w:val="none"/>
              </w:rPr>
              <w:t>劳动定员</w:t>
            </w:r>
            <w:r>
              <w:rPr>
                <w:rFonts w:hint="eastAsia"/>
                <w:color w:val="auto"/>
                <w:highlight w:val="none"/>
                <w:lang w:eastAsia="zh-CN"/>
              </w:rPr>
              <w:t>共</w:t>
            </w:r>
            <w:r>
              <w:rPr>
                <w:rFonts w:hint="eastAsia"/>
                <w:color w:val="auto"/>
                <w:highlight w:val="none"/>
              </w:rPr>
              <w:t>30人</w:t>
            </w:r>
            <w:r>
              <w:rPr>
                <w:color w:val="auto"/>
                <w:highlight w:val="none"/>
              </w:rPr>
              <w:t>，</w:t>
            </w:r>
            <w:r>
              <w:rPr>
                <w:rFonts w:hint="eastAsia"/>
                <w:color w:val="auto"/>
                <w:highlight w:val="none"/>
              </w:rPr>
              <w:t>往来人员</w:t>
            </w:r>
            <w:r>
              <w:rPr>
                <w:rFonts w:hint="eastAsia"/>
                <w:color w:val="auto"/>
                <w:highlight w:val="none"/>
                <w:lang w:eastAsia="zh-CN"/>
              </w:rPr>
              <w:t>共约</w:t>
            </w:r>
            <w:r>
              <w:rPr>
                <w:rFonts w:hint="eastAsia"/>
                <w:color w:val="auto"/>
                <w:highlight w:val="none"/>
                <w:lang w:val="en-US" w:eastAsia="zh-CN"/>
              </w:rPr>
              <w:t>65</w:t>
            </w:r>
            <w:r>
              <w:rPr>
                <w:rFonts w:hint="eastAsia"/>
                <w:color w:val="auto"/>
                <w:highlight w:val="none"/>
              </w:rPr>
              <w:t>0</w:t>
            </w:r>
            <w:r>
              <w:rPr>
                <w:color w:val="auto"/>
                <w:highlight w:val="none"/>
              </w:rPr>
              <w:t>人，合计</w:t>
            </w:r>
            <w:r>
              <w:rPr>
                <w:rFonts w:hint="eastAsia"/>
                <w:color w:val="auto"/>
                <w:highlight w:val="none"/>
                <w:lang w:val="en-US" w:eastAsia="zh-CN"/>
              </w:rPr>
              <w:t>680</w:t>
            </w:r>
            <w:r>
              <w:rPr>
                <w:color w:val="auto"/>
                <w:highlight w:val="none"/>
              </w:rPr>
              <w:t>人，生活垃圾按每人0.5kg/d算，产生量约为</w:t>
            </w:r>
            <w:r>
              <w:rPr>
                <w:rFonts w:hint="eastAsia"/>
                <w:color w:val="auto"/>
                <w:highlight w:val="none"/>
                <w:lang w:val="en-US" w:eastAsia="zh-CN"/>
              </w:rPr>
              <w:t>340</w:t>
            </w:r>
            <w:r>
              <w:rPr>
                <w:color w:val="auto"/>
                <w:highlight w:val="none"/>
              </w:rPr>
              <w:t>kg/d（</w:t>
            </w:r>
            <w:r>
              <w:rPr>
                <w:rFonts w:hint="eastAsia"/>
                <w:color w:val="auto"/>
                <w:highlight w:val="none"/>
                <w:lang w:val="en-US" w:eastAsia="zh-CN"/>
              </w:rPr>
              <w:t>124.1</w:t>
            </w:r>
            <w:r>
              <w:rPr>
                <w:color w:val="auto"/>
                <w:highlight w:val="none"/>
              </w:rPr>
              <w:t>t/a），</w:t>
            </w:r>
            <w:r>
              <w:rPr>
                <w:color w:val="auto"/>
                <w:highlight w:val="none"/>
                <w:lang w:val="zh-CN"/>
              </w:rPr>
              <w:t>收集后</w:t>
            </w:r>
            <w:r>
              <w:rPr>
                <w:color w:val="auto"/>
                <w:highlight w:val="none"/>
              </w:rPr>
              <w:t>由环卫部门清运</w:t>
            </w:r>
            <w:r>
              <w:rPr>
                <w:color w:val="auto"/>
                <w:highlight w:val="none"/>
                <w:lang w:val="zh-CN"/>
              </w:rPr>
              <w:t>。</w:t>
            </w:r>
          </w:p>
          <w:p w14:paraId="73AFB1B2">
            <w:pPr>
              <w:ind w:firstLine="480" w:firstLineChars="200"/>
              <w:rPr>
                <w:color w:val="auto"/>
                <w:highlight w:val="none"/>
              </w:rPr>
            </w:pPr>
            <w:r>
              <w:rPr>
                <w:rFonts w:hint="eastAsia"/>
                <w:color w:val="auto"/>
                <w:highlight w:val="none"/>
                <w:lang w:val="zh-CN"/>
              </w:rPr>
              <w:t>（2）废零部件</w:t>
            </w:r>
            <w:r>
              <w:rPr>
                <w:rFonts w:hint="eastAsia"/>
                <w:color w:val="auto"/>
                <w:highlight w:val="none"/>
              </w:rPr>
              <w:t>S2</w:t>
            </w:r>
          </w:p>
          <w:p w14:paraId="08286819">
            <w:pPr>
              <w:ind w:firstLine="480" w:firstLineChars="200"/>
              <w:rPr>
                <w:color w:val="auto"/>
                <w:highlight w:val="none"/>
              </w:rPr>
            </w:pPr>
            <w:r>
              <w:rPr>
                <w:rFonts w:hint="eastAsia"/>
                <w:color w:val="auto"/>
                <w:highlight w:val="none"/>
                <w:lang w:val="zh-CN"/>
              </w:rPr>
              <w:t>车辆维修过程中产生的废旧零部件约</w:t>
            </w:r>
            <w:r>
              <w:rPr>
                <w:rFonts w:hint="eastAsia"/>
                <w:color w:val="auto"/>
                <w:highlight w:val="none"/>
              </w:rPr>
              <w:t>5t/a，经收集后</w:t>
            </w:r>
            <w:r>
              <w:rPr>
                <w:rFonts w:hint="eastAsia"/>
                <w:color w:val="auto"/>
                <w:highlight w:val="none"/>
                <w:lang w:val="en-US" w:eastAsia="zh-CN"/>
              </w:rPr>
              <w:t>定期由</w:t>
            </w:r>
            <w:r>
              <w:rPr>
                <w:rFonts w:hint="eastAsia"/>
                <w:color w:val="auto"/>
                <w:highlight w:val="none"/>
              </w:rPr>
              <w:t>物资回收单位</w:t>
            </w:r>
            <w:r>
              <w:rPr>
                <w:rFonts w:hint="eastAsia"/>
                <w:color w:val="auto"/>
                <w:highlight w:val="none"/>
                <w:lang w:val="en-US" w:eastAsia="zh-CN"/>
              </w:rPr>
              <w:t>回收</w:t>
            </w:r>
            <w:r>
              <w:rPr>
                <w:rFonts w:hint="eastAsia"/>
                <w:color w:val="auto"/>
                <w:highlight w:val="none"/>
              </w:rPr>
              <w:t>。</w:t>
            </w:r>
          </w:p>
          <w:p w14:paraId="5069C006">
            <w:pPr>
              <w:ind w:firstLine="480" w:firstLineChars="200"/>
              <w:rPr>
                <w:color w:val="auto"/>
                <w:highlight w:val="none"/>
              </w:rPr>
            </w:pPr>
            <w:r>
              <w:rPr>
                <w:rFonts w:hint="eastAsia"/>
                <w:color w:val="auto"/>
                <w:highlight w:val="none"/>
              </w:rPr>
              <w:t>（3）废焊丝S3</w:t>
            </w:r>
          </w:p>
          <w:p w14:paraId="1AE9EAA0">
            <w:pPr>
              <w:ind w:firstLine="480" w:firstLineChars="200"/>
              <w:rPr>
                <w:color w:val="auto"/>
                <w:highlight w:val="none"/>
              </w:rPr>
            </w:pPr>
            <w:r>
              <w:rPr>
                <w:color w:val="auto"/>
                <w:highlight w:val="none"/>
              </w:rPr>
              <w:t>项目焊接工序中会产生少量的废弃焊丝，根据建设单位经验，废弃焊丝产生量约为5%，项目焊丝使用量为</w:t>
            </w:r>
            <w:r>
              <w:rPr>
                <w:rFonts w:hint="eastAsia"/>
                <w:color w:val="auto"/>
                <w:highlight w:val="none"/>
              </w:rPr>
              <w:t>25kg</w:t>
            </w:r>
            <w:r>
              <w:rPr>
                <w:color w:val="auto"/>
                <w:highlight w:val="none"/>
              </w:rPr>
              <w:t>/a，则废焊丝产生量为0.</w:t>
            </w:r>
            <w:r>
              <w:rPr>
                <w:rFonts w:hint="eastAsia"/>
                <w:color w:val="auto"/>
                <w:highlight w:val="none"/>
              </w:rPr>
              <w:t>0</w:t>
            </w:r>
            <w:r>
              <w:rPr>
                <w:color w:val="auto"/>
                <w:highlight w:val="none"/>
              </w:rPr>
              <w:t>01t/a，集中收集后外售。属于</w:t>
            </w:r>
            <w:r>
              <w:rPr>
                <w:rFonts w:hint="eastAsia"/>
                <w:color w:val="auto"/>
                <w:highlight w:val="none"/>
              </w:rPr>
              <w:t>《固体废物分类与代码目录》</w:t>
            </w:r>
            <w:r>
              <w:rPr>
                <w:color w:val="auto"/>
                <w:highlight w:val="none"/>
              </w:rPr>
              <w:t>中</w:t>
            </w:r>
            <w:r>
              <w:rPr>
                <w:rFonts w:hint="eastAsia"/>
                <w:color w:val="auto"/>
                <w:highlight w:val="none"/>
              </w:rPr>
              <w:t>“其他工业生产过程中产生的固体废物”</w:t>
            </w:r>
            <w:r>
              <w:rPr>
                <w:color w:val="auto"/>
                <w:highlight w:val="none"/>
              </w:rPr>
              <w:t>，代码为</w:t>
            </w:r>
            <w:r>
              <w:rPr>
                <w:rFonts w:hint="eastAsia"/>
                <w:color w:val="auto"/>
                <w:highlight w:val="none"/>
              </w:rPr>
              <w:t>“</w:t>
            </w:r>
            <w:r>
              <w:rPr>
                <w:color w:val="auto"/>
                <w:highlight w:val="none"/>
              </w:rPr>
              <w:t>900-099-S59</w:t>
            </w:r>
            <w:r>
              <w:rPr>
                <w:rFonts w:hint="eastAsia"/>
                <w:color w:val="auto"/>
                <w:highlight w:val="none"/>
              </w:rPr>
              <w:t>”</w:t>
            </w:r>
            <w:r>
              <w:rPr>
                <w:color w:val="auto"/>
                <w:highlight w:val="none"/>
              </w:rPr>
              <w:t>，</w:t>
            </w:r>
            <w:r>
              <w:rPr>
                <w:rFonts w:hint="eastAsia"/>
                <w:color w:val="auto"/>
                <w:highlight w:val="none"/>
              </w:rPr>
              <w:t>经收集后</w:t>
            </w:r>
            <w:r>
              <w:rPr>
                <w:rFonts w:hint="eastAsia"/>
                <w:color w:val="auto"/>
                <w:highlight w:val="none"/>
                <w:lang w:val="en-US" w:eastAsia="zh-CN"/>
              </w:rPr>
              <w:t>定期由</w:t>
            </w:r>
            <w:r>
              <w:rPr>
                <w:rFonts w:hint="eastAsia"/>
                <w:color w:val="auto"/>
                <w:highlight w:val="none"/>
              </w:rPr>
              <w:t>物资回收单位</w:t>
            </w:r>
            <w:r>
              <w:rPr>
                <w:rFonts w:hint="eastAsia"/>
                <w:color w:val="auto"/>
                <w:highlight w:val="none"/>
                <w:lang w:val="en-US" w:eastAsia="zh-CN"/>
              </w:rPr>
              <w:t>回收</w:t>
            </w:r>
            <w:r>
              <w:rPr>
                <w:rFonts w:hint="eastAsia"/>
                <w:color w:val="auto"/>
                <w:highlight w:val="none"/>
              </w:rPr>
              <w:t>。</w:t>
            </w:r>
          </w:p>
          <w:p w14:paraId="1214627D">
            <w:pPr>
              <w:ind w:firstLine="480" w:firstLineChars="200"/>
              <w:rPr>
                <w:color w:val="auto"/>
                <w:highlight w:val="none"/>
              </w:rPr>
            </w:pPr>
            <w:r>
              <w:rPr>
                <w:rFonts w:hint="eastAsia"/>
                <w:color w:val="auto"/>
                <w:highlight w:val="none"/>
              </w:rPr>
              <w:t>（4）废轮胎S4</w:t>
            </w:r>
          </w:p>
          <w:p w14:paraId="4304E902">
            <w:pPr>
              <w:ind w:firstLine="480" w:firstLineChars="200"/>
              <w:rPr>
                <w:color w:val="auto"/>
                <w:highlight w:val="none"/>
              </w:rPr>
            </w:pPr>
            <w:r>
              <w:rPr>
                <w:rFonts w:hint="eastAsia"/>
                <w:color w:val="auto"/>
                <w:highlight w:val="none"/>
              </w:rPr>
              <w:t>根据建设单位提供资料，</w:t>
            </w:r>
            <w:r>
              <w:rPr>
                <w:rFonts w:hint="eastAsia"/>
                <w:color w:val="auto"/>
                <w:highlight w:val="none"/>
                <w:lang w:val="zh-CN"/>
              </w:rPr>
              <w:t>车辆维修过程中产生</w:t>
            </w:r>
            <w:r>
              <w:rPr>
                <w:rFonts w:hint="eastAsia"/>
                <w:color w:val="auto"/>
                <w:highlight w:val="none"/>
              </w:rPr>
              <w:t>废轮胎的量约8t/a，经收集后</w:t>
            </w:r>
            <w:r>
              <w:rPr>
                <w:rFonts w:hint="eastAsia"/>
                <w:color w:val="auto"/>
                <w:highlight w:val="none"/>
                <w:lang w:val="en-US" w:eastAsia="zh-CN"/>
              </w:rPr>
              <w:t>定期由</w:t>
            </w:r>
            <w:r>
              <w:rPr>
                <w:rFonts w:hint="eastAsia"/>
                <w:color w:val="auto"/>
                <w:highlight w:val="none"/>
              </w:rPr>
              <w:t>物资回收单位</w:t>
            </w:r>
            <w:r>
              <w:rPr>
                <w:rFonts w:hint="eastAsia"/>
                <w:color w:val="auto"/>
                <w:highlight w:val="none"/>
                <w:lang w:val="en-US" w:eastAsia="zh-CN"/>
              </w:rPr>
              <w:t>回收</w:t>
            </w:r>
            <w:r>
              <w:rPr>
                <w:rFonts w:hint="eastAsia"/>
                <w:color w:val="auto"/>
                <w:highlight w:val="none"/>
              </w:rPr>
              <w:t>。</w:t>
            </w:r>
          </w:p>
          <w:p w14:paraId="744A9148">
            <w:pPr>
              <w:ind w:firstLine="480" w:firstLineChars="200"/>
              <w:rPr>
                <w:color w:val="auto"/>
                <w:highlight w:val="none"/>
              </w:rPr>
            </w:pPr>
            <w:r>
              <w:rPr>
                <w:rFonts w:hint="eastAsia"/>
                <w:color w:val="auto"/>
                <w:highlight w:val="none"/>
              </w:rPr>
              <w:t>2、</w:t>
            </w:r>
            <w:r>
              <w:rPr>
                <w:color w:val="auto"/>
                <w:highlight w:val="none"/>
              </w:rPr>
              <w:t>危险废物</w:t>
            </w:r>
          </w:p>
          <w:p w14:paraId="65F94FAD">
            <w:pPr>
              <w:ind w:firstLine="480" w:firstLineChars="200"/>
              <w:rPr>
                <w:color w:val="auto"/>
                <w:highlight w:val="none"/>
              </w:rPr>
            </w:pPr>
            <w:r>
              <w:rPr>
                <w:rFonts w:hint="eastAsia"/>
                <w:color w:val="auto"/>
                <w:highlight w:val="none"/>
              </w:rPr>
              <w:t>（</w:t>
            </w:r>
            <w:r>
              <w:rPr>
                <w:rFonts w:hint="eastAsia"/>
                <w:color w:val="auto"/>
                <w:highlight w:val="none"/>
                <w:lang w:val="en-US" w:eastAsia="zh-CN"/>
              </w:rPr>
              <w:t>1</w:t>
            </w:r>
            <w:r>
              <w:rPr>
                <w:rFonts w:hint="eastAsia"/>
                <w:color w:val="auto"/>
                <w:highlight w:val="none"/>
              </w:rPr>
              <w:t>）洗车污泥及泥沙S5</w:t>
            </w:r>
          </w:p>
          <w:p w14:paraId="16671CA1">
            <w:pPr>
              <w:ind w:firstLine="480" w:firstLineChars="200"/>
              <w:rPr>
                <w:color w:val="auto"/>
                <w:highlight w:val="none"/>
              </w:rPr>
            </w:pPr>
            <w:r>
              <w:rPr>
                <w:rFonts w:hint="eastAsia"/>
                <w:color w:val="auto"/>
                <w:highlight w:val="none"/>
              </w:rPr>
              <w:t>本项目年洗车大型车1095辆、中型车</w:t>
            </w:r>
            <w:r>
              <w:rPr>
                <w:rFonts w:hint="eastAsia"/>
                <w:color w:val="auto"/>
                <w:highlight w:val="none"/>
                <w:lang w:val="en-US" w:eastAsia="zh-CN"/>
              </w:rPr>
              <w:t>1825</w:t>
            </w:r>
            <w:r>
              <w:rPr>
                <w:rFonts w:hint="eastAsia"/>
                <w:color w:val="auto"/>
                <w:highlight w:val="none"/>
              </w:rPr>
              <w:t>辆、小型车1825辆，类比同类型项目，洗车过程中大型车产生的污泥及泥沙含量平均为2kg/辆，中型车产生量平均为1kg/辆，小型车产生量平均为0.5kg/辆，则污泥及泥沙产生量约</w:t>
            </w:r>
            <w:r>
              <w:rPr>
                <w:rFonts w:hint="eastAsia"/>
                <w:color w:val="auto"/>
                <w:highlight w:val="none"/>
                <w:lang w:val="en-US" w:eastAsia="zh-CN"/>
              </w:rPr>
              <w:t>5</w:t>
            </w:r>
            <w:r>
              <w:rPr>
                <w:rFonts w:hint="eastAsia"/>
                <w:color w:val="auto"/>
                <w:highlight w:val="none"/>
              </w:rPr>
              <w:t>t/a。集中收集后委托</w:t>
            </w:r>
            <w:r>
              <w:rPr>
                <w:color w:val="auto"/>
                <w:highlight w:val="none"/>
              </w:rPr>
              <w:t>有危废处置资质的单位及时清运</w:t>
            </w:r>
            <w:r>
              <w:rPr>
                <w:rFonts w:hint="eastAsia"/>
                <w:color w:val="auto"/>
                <w:highlight w:val="none"/>
              </w:rPr>
              <w:t>。</w:t>
            </w:r>
          </w:p>
          <w:p w14:paraId="32ECE808">
            <w:pPr>
              <w:ind w:firstLine="480" w:firstLineChars="20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）清罐油泥S6及清罐废液S7</w:t>
            </w:r>
          </w:p>
          <w:p w14:paraId="5CEAF7B7">
            <w:pPr>
              <w:ind w:firstLine="480" w:firstLineChars="200"/>
              <w:rPr>
                <w:rFonts w:hint="eastAsia" w:ascii="宋体" w:hAnsi="宋体" w:cs="宋体"/>
                <w:color w:val="auto"/>
                <w:highlight w:val="none"/>
              </w:rPr>
            </w:pPr>
            <w:r>
              <w:rPr>
                <w:rFonts w:ascii="宋体" w:hAnsi="宋体" w:cs="宋体"/>
                <w:color w:val="auto"/>
                <w:highlight w:val="none"/>
              </w:rPr>
              <w:t>成品油储罐定期清理时，有少量清罐废物产生，主要由清罐</w:t>
            </w:r>
            <w:r>
              <w:rPr>
                <w:rFonts w:hint="eastAsia" w:ascii="宋体" w:hAnsi="宋体" w:cs="宋体"/>
                <w:color w:val="auto"/>
                <w:highlight w:val="none"/>
              </w:rPr>
              <w:t>油泥</w:t>
            </w:r>
            <w:r>
              <w:rPr>
                <w:rFonts w:ascii="宋体" w:hAnsi="宋体" w:cs="宋体"/>
                <w:color w:val="auto"/>
                <w:highlight w:val="none"/>
              </w:rPr>
              <w:t>和清罐</w:t>
            </w:r>
            <w:r>
              <w:rPr>
                <w:rFonts w:hint="eastAsia" w:ascii="宋体" w:hAnsi="宋体" w:cs="宋体"/>
                <w:color w:val="auto"/>
                <w:highlight w:val="none"/>
              </w:rPr>
              <w:t>废液</w:t>
            </w:r>
            <w:r>
              <w:rPr>
                <w:rFonts w:ascii="宋体" w:hAnsi="宋体" w:cs="宋体"/>
                <w:color w:val="auto"/>
                <w:highlight w:val="none"/>
              </w:rPr>
              <w:t>组成。</w:t>
            </w:r>
            <w:r>
              <w:rPr>
                <w:rFonts w:hint="eastAsia" w:ascii="宋体" w:hAnsi="宋体" w:cs="宋体"/>
                <w:color w:val="auto"/>
                <w:highlight w:val="none"/>
                <w:lang w:eastAsia="zh-CN"/>
              </w:rPr>
              <w:t>本项目埋地油罐</w:t>
            </w:r>
            <w:r>
              <w:rPr>
                <w:rFonts w:ascii="宋体" w:hAnsi="宋体" w:cs="宋体"/>
                <w:color w:val="auto"/>
                <w:highlight w:val="none"/>
              </w:rPr>
              <w:t>平均</w:t>
            </w:r>
            <w:r>
              <w:rPr>
                <w:rFonts w:hint="eastAsia" w:ascii="宋体" w:hAnsi="宋体" w:cs="宋体"/>
                <w:color w:val="auto"/>
                <w:highlight w:val="none"/>
              </w:rPr>
              <w:t>每3</w:t>
            </w:r>
            <w:r>
              <w:rPr>
                <w:rFonts w:ascii="宋体" w:hAnsi="宋体" w:cs="宋体"/>
                <w:color w:val="auto"/>
                <w:highlight w:val="none"/>
              </w:rPr>
              <w:t>年清理一次，由有资质的专业清洗公司进行清洗，按照中华人民共和国石油天然气行业标准《储罐机械清洗作业规</w:t>
            </w:r>
            <w:r>
              <w:rPr>
                <w:color w:val="auto"/>
                <w:highlight w:val="none"/>
              </w:rPr>
              <w:t>范》SY/T9996-2014，</w:t>
            </w:r>
            <w:r>
              <w:rPr>
                <w:rFonts w:ascii="宋体" w:hAnsi="宋体" w:cs="宋体"/>
                <w:color w:val="auto"/>
                <w:highlight w:val="none"/>
              </w:rPr>
              <w:t>采用临时设置的管线，将回收系统、清洗系统、油水分离系统与清洗油罐及清洗油供给油罐与接收油罐连接在一起，通过设置在清洗油罐上的清洗机，喷射清洗油供给油罐，击碎溶解罐内淤渣，用回收系统回收罐内清罐产生的淤渣。</w:t>
            </w:r>
          </w:p>
          <w:p w14:paraId="0F92F606">
            <w:pPr>
              <w:ind w:firstLine="480" w:firstLineChars="200"/>
              <w:rPr>
                <w:color w:val="auto"/>
                <w:highlight w:val="none"/>
              </w:rPr>
            </w:pPr>
            <w:r>
              <w:rPr>
                <w:rFonts w:hint="eastAsia"/>
                <w:color w:val="auto"/>
                <w:highlight w:val="none"/>
              </w:rPr>
              <w:t>综合能源</w:t>
            </w:r>
            <w:r>
              <w:rPr>
                <w:color w:val="auto"/>
                <w:highlight w:val="none"/>
              </w:rPr>
              <w:t>站储罐总容积为</w:t>
            </w:r>
            <w:r>
              <w:rPr>
                <w:rFonts w:hint="eastAsia"/>
                <w:color w:val="auto"/>
                <w:highlight w:val="none"/>
              </w:rPr>
              <w:t>210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根据同行业储罐清理经验数据，</w:t>
            </w:r>
            <w:r>
              <w:rPr>
                <w:color w:val="auto"/>
                <w:highlight w:val="none"/>
              </w:rPr>
              <w:t>清罐</w:t>
            </w:r>
            <w:r>
              <w:rPr>
                <w:rFonts w:hint="eastAsia"/>
                <w:color w:val="auto"/>
                <w:highlight w:val="none"/>
              </w:rPr>
              <w:t>废液</w:t>
            </w:r>
            <w:r>
              <w:rPr>
                <w:color w:val="auto"/>
                <w:highlight w:val="none"/>
              </w:rPr>
              <w:t>产生量约为油罐总容积的</w:t>
            </w:r>
            <w:r>
              <w:rPr>
                <w:rFonts w:hint="eastAsia"/>
                <w:color w:val="auto"/>
                <w:highlight w:val="none"/>
              </w:rPr>
              <w:t>5</w:t>
            </w:r>
            <w:r>
              <w:rPr>
                <w:color w:val="auto"/>
                <w:highlight w:val="none"/>
              </w:rPr>
              <w:t>%，油泥产生量约占油罐总容积的</w:t>
            </w:r>
            <w:r>
              <w:rPr>
                <w:rFonts w:hint="eastAsia"/>
                <w:color w:val="auto"/>
                <w:highlight w:val="none"/>
              </w:rPr>
              <w:t>1</w:t>
            </w:r>
            <w:r>
              <w:rPr>
                <w:color w:val="auto"/>
                <w:highlight w:val="none"/>
              </w:rPr>
              <w:t>%，</w:t>
            </w:r>
            <w:r>
              <w:rPr>
                <w:rFonts w:hint="eastAsia"/>
                <w:color w:val="auto"/>
                <w:highlight w:val="none"/>
              </w:rPr>
              <w:t>则</w:t>
            </w:r>
            <w:r>
              <w:rPr>
                <w:color w:val="auto"/>
                <w:highlight w:val="none"/>
              </w:rPr>
              <w:t>项目清罐</w:t>
            </w:r>
            <w:r>
              <w:rPr>
                <w:rFonts w:hint="eastAsia"/>
                <w:color w:val="auto"/>
                <w:highlight w:val="none"/>
              </w:rPr>
              <w:t>废液</w:t>
            </w:r>
            <w:r>
              <w:rPr>
                <w:color w:val="auto"/>
                <w:highlight w:val="none"/>
              </w:rPr>
              <w:t>产生量约为</w:t>
            </w:r>
            <w:r>
              <w:rPr>
                <w:rFonts w:hint="eastAsia"/>
                <w:color w:val="auto"/>
                <w:highlight w:val="none"/>
              </w:rPr>
              <w:t>10.5</w:t>
            </w:r>
            <w:r>
              <w:rPr>
                <w:color w:val="auto"/>
                <w:highlight w:val="none"/>
              </w:rPr>
              <w:t>t/次，计算项目油罐底部油泥产生量约</w:t>
            </w:r>
            <w:r>
              <w:rPr>
                <w:rFonts w:hint="eastAsia"/>
                <w:color w:val="auto"/>
                <w:highlight w:val="none"/>
              </w:rPr>
              <w:t>2.1</w:t>
            </w:r>
            <w:r>
              <w:rPr>
                <w:color w:val="auto"/>
                <w:highlight w:val="none"/>
              </w:rPr>
              <w:t>t/次。根据《国家危险废物名录》（202</w:t>
            </w:r>
            <w:r>
              <w:rPr>
                <w:rFonts w:hint="eastAsia"/>
                <w:color w:val="auto"/>
                <w:highlight w:val="none"/>
                <w:lang w:val="en-US" w:eastAsia="zh-CN"/>
              </w:rPr>
              <w:t>5年</w:t>
            </w:r>
            <w:r>
              <w:rPr>
                <w:rFonts w:hint="eastAsia"/>
                <w:color w:val="auto"/>
                <w:highlight w:val="none"/>
              </w:rPr>
              <w:t>版</w:t>
            </w:r>
            <w:r>
              <w:rPr>
                <w:color w:val="auto"/>
                <w:highlight w:val="none"/>
              </w:rPr>
              <w:t>），其废物类别为HW08，废物代码：清罐油水混合物为251-001-08，清罐废渣为900-221-08。油罐清洗产生的废水、废渣由具处置资质的单位运输并进行安全处置，不在站内暂存。</w:t>
            </w:r>
          </w:p>
          <w:p w14:paraId="103AA654">
            <w:pPr>
              <w:ind w:firstLine="48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）含油废沙S8</w:t>
            </w:r>
          </w:p>
          <w:p w14:paraId="63DC2913">
            <w:pPr>
              <w:ind w:firstLine="480" w:firstLineChars="200"/>
              <w:rPr>
                <w:color w:val="auto"/>
                <w:highlight w:val="none"/>
              </w:rPr>
            </w:pPr>
            <w:r>
              <w:rPr>
                <w:color w:val="auto"/>
                <w:highlight w:val="none"/>
              </w:rPr>
              <w:t>加油等作业过程中会使用</w:t>
            </w:r>
            <w:r>
              <w:rPr>
                <w:rFonts w:hint="eastAsia"/>
                <w:color w:val="auto"/>
                <w:highlight w:val="none"/>
                <w:lang w:eastAsia="zh-CN"/>
              </w:rPr>
              <w:t>沙子</w:t>
            </w:r>
            <w:r>
              <w:rPr>
                <w:color w:val="auto"/>
                <w:highlight w:val="none"/>
              </w:rPr>
              <w:t>处理滴漏在地上的油品，因此含油废沙也具有一定环境危害性，处置不当可能导致水体及土壤污染。其危险废物类别编号为HW08</w:t>
            </w:r>
            <w:r>
              <w:rPr>
                <w:rFonts w:hint="eastAsia"/>
                <w:color w:val="auto"/>
                <w:highlight w:val="none"/>
              </w:rPr>
              <w:t>（</w:t>
            </w:r>
            <w:r>
              <w:rPr>
                <w:color w:val="auto"/>
                <w:highlight w:val="none"/>
              </w:rPr>
              <w:t>900-249-08</w:t>
            </w:r>
            <w:r>
              <w:rPr>
                <w:rFonts w:hint="eastAsia"/>
                <w:color w:val="auto"/>
                <w:highlight w:val="none"/>
              </w:rPr>
              <w:t>）</w:t>
            </w:r>
            <w:r>
              <w:rPr>
                <w:color w:val="auto"/>
                <w:highlight w:val="none"/>
              </w:rPr>
              <w:t>，危险特性T/I。项目运行过程中含油废沙产生量约为0.1t/a，经收集后暂存于危险废物暂存间，</w:t>
            </w:r>
            <w:r>
              <w:rPr>
                <w:rFonts w:hint="eastAsia"/>
                <w:color w:val="auto"/>
                <w:highlight w:val="none"/>
                <w:lang w:eastAsia="zh-CN"/>
              </w:rPr>
              <w:t>交由</w:t>
            </w:r>
            <w:r>
              <w:rPr>
                <w:color w:val="auto"/>
                <w:highlight w:val="none"/>
              </w:rPr>
              <w:t>有危废处置资质的单位及时清运</w:t>
            </w:r>
            <w:r>
              <w:rPr>
                <w:rFonts w:hint="eastAsia"/>
                <w:color w:val="auto"/>
                <w:highlight w:val="none"/>
              </w:rPr>
              <w:t>。</w:t>
            </w:r>
          </w:p>
          <w:p w14:paraId="15235288">
            <w:pPr>
              <w:ind w:firstLine="480" w:firstLineChars="20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eastAsia="zh-CN"/>
              </w:rPr>
              <w:t>废含油抹布手套</w:t>
            </w:r>
            <w:r>
              <w:rPr>
                <w:rFonts w:hint="eastAsia"/>
                <w:color w:val="auto"/>
                <w:highlight w:val="none"/>
              </w:rPr>
              <w:t>S9</w:t>
            </w:r>
          </w:p>
          <w:p w14:paraId="1B6BE5F8">
            <w:pPr>
              <w:ind w:firstLine="480" w:firstLineChars="200"/>
              <w:rPr>
                <w:color w:val="auto"/>
                <w:highlight w:val="none"/>
              </w:rPr>
            </w:pPr>
            <w:r>
              <w:rPr>
                <w:rFonts w:hint="eastAsia"/>
                <w:color w:val="auto"/>
                <w:highlight w:val="none"/>
              </w:rPr>
              <w:t>项目含油抹布、废手套来源于设备维修等过程，本项目产生量约为0.05t/a，由于该类废物携带有油品，易燃，随意丢弃后可能间接导致水体、土壤污染，具有环境危害。根据</w:t>
            </w:r>
            <w:r>
              <w:rPr>
                <w:rFonts w:hint="eastAsia"/>
                <w:color w:val="auto"/>
                <w:highlight w:val="none"/>
                <w:lang w:eastAsia="zh-CN"/>
              </w:rPr>
              <w:t>《国家危险废物名录》（2025年版）</w:t>
            </w:r>
            <w:r>
              <w:rPr>
                <w:rFonts w:hint="eastAsia"/>
                <w:color w:val="auto"/>
                <w:highlight w:val="none"/>
              </w:rPr>
              <w:t>，其危险废物类别编号为HW49（900-041-49），危险特性T，I。暂存于危险废物暂存间，</w:t>
            </w:r>
            <w:r>
              <w:rPr>
                <w:rFonts w:hint="eastAsia"/>
                <w:color w:val="auto"/>
                <w:highlight w:val="none"/>
                <w:lang w:eastAsia="zh-CN"/>
              </w:rPr>
              <w:t>交由</w:t>
            </w:r>
            <w:r>
              <w:rPr>
                <w:color w:val="auto"/>
                <w:highlight w:val="none"/>
              </w:rPr>
              <w:t>有危废处置资质的单位及时清运</w:t>
            </w:r>
            <w:r>
              <w:rPr>
                <w:rFonts w:hint="eastAsia"/>
                <w:color w:val="auto"/>
                <w:highlight w:val="none"/>
              </w:rPr>
              <w:t>。。</w:t>
            </w:r>
          </w:p>
          <w:p w14:paraId="0CD4421D">
            <w:pPr>
              <w:ind w:firstLine="480" w:firstLineChars="20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）废机油S10、废机油桶S11</w:t>
            </w:r>
          </w:p>
          <w:p w14:paraId="594F4D75">
            <w:pPr>
              <w:ind w:firstLine="480" w:firstLineChars="200"/>
              <w:rPr>
                <w:color w:val="auto"/>
                <w:highlight w:val="none"/>
              </w:rPr>
            </w:pPr>
            <w:r>
              <w:rPr>
                <w:rFonts w:hint="eastAsia"/>
                <w:color w:val="auto"/>
                <w:highlight w:val="none"/>
              </w:rPr>
              <w:t>本项目营运期</w:t>
            </w:r>
            <w:r>
              <w:rPr>
                <w:rFonts w:hint="eastAsia"/>
                <w:color w:val="auto"/>
                <w:highlight w:val="none"/>
                <w:lang w:eastAsia="zh-CN"/>
              </w:rPr>
              <w:t>智慧货运维修中心</w:t>
            </w:r>
            <w:r>
              <w:rPr>
                <w:rFonts w:hint="eastAsia"/>
                <w:color w:val="auto"/>
                <w:highlight w:val="none"/>
              </w:rPr>
              <w:t>在车辆检修和保养检验过程会产生一定量的废机油，根据企业提供资料，废机油产生量约为1.5t/a，产生废机油桶0.5t/a，集中收集后</w:t>
            </w:r>
            <w:r>
              <w:rPr>
                <w:rFonts w:hint="eastAsia"/>
                <w:color w:val="auto"/>
                <w:highlight w:val="none"/>
                <w:lang w:eastAsia="zh-CN"/>
              </w:rPr>
              <w:t>交由</w:t>
            </w:r>
            <w:r>
              <w:rPr>
                <w:color w:val="auto"/>
                <w:highlight w:val="none"/>
              </w:rPr>
              <w:t>有危废处置资质的单位</w:t>
            </w:r>
            <w:r>
              <w:rPr>
                <w:rFonts w:hint="eastAsia"/>
                <w:color w:val="auto"/>
                <w:highlight w:val="none"/>
                <w:lang w:eastAsia="zh-CN"/>
              </w:rPr>
              <w:t>处置</w:t>
            </w:r>
            <w:r>
              <w:rPr>
                <w:rFonts w:hint="eastAsia"/>
                <w:color w:val="auto"/>
                <w:highlight w:val="none"/>
              </w:rPr>
              <w:t>。</w:t>
            </w:r>
          </w:p>
          <w:p w14:paraId="6F59332B">
            <w:pPr>
              <w:ind w:firstLine="480" w:firstLineChars="200"/>
              <w:rPr>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）废电池S12</w:t>
            </w:r>
          </w:p>
          <w:p w14:paraId="7A4E70CB">
            <w:pPr>
              <w:ind w:firstLine="480" w:firstLineChars="200"/>
              <w:rPr>
                <w:color w:val="auto"/>
                <w:highlight w:val="none"/>
              </w:rPr>
            </w:pPr>
            <w:r>
              <w:rPr>
                <w:rFonts w:hint="eastAsia"/>
                <w:color w:val="auto"/>
                <w:highlight w:val="none"/>
              </w:rPr>
              <w:t>本项目</w:t>
            </w:r>
            <w:r>
              <w:rPr>
                <w:rFonts w:hint="eastAsia"/>
                <w:color w:val="auto"/>
                <w:highlight w:val="none"/>
                <w:lang w:eastAsia="zh-CN"/>
              </w:rPr>
              <w:t>智慧货运维修中心</w:t>
            </w:r>
            <w:r>
              <w:rPr>
                <w:rFonts w:hint="eastAsia"/>
                <w:color w:val="auto"/>
                <w:highlight w:val="none"/>
              </w:rPr>
              <w:t>主要以维修燃油车为主，根据企业提供资料，废电池每年的产生量约为0.4t，在危废暂存间</w:t>
            </w:r>
            <w:r>
              <w:rPr>
                <w:rFonts w:hint="eastAsia"/>
                <w:color w:val="auto"/>
                <w:highlight w:val="none"/>
                <w:lang w:eastAsia="zh-CN"/>
              </w:rPr>
              <w:t>交由</w:t>
            </w:r>
            <w:r>
              <w:rPr>
                <w:color w:val="auto"/>
                <w:highlight w:val="none"/>
              </w:rPr>
              <w:t>有危废处置资质的单位</w:t>
            </w:r>
            <w:r>
              <w:rPr>
                <w:rFonts w:hint="eastAsia"/>
                <w:color w:val="auto"/>
                <w:highlight w:val="none"/>
                <w:lang w:eastAsia="zh-CN"/>
              </w:rPr>
              <w:t>处置</w:t>
            </w:r>
            <w:r>
              <w:rPr>
                <w:rFonts w:hint="eastAsia"/>
                <w:color w:val="auto"/>
                <w:highlight w:val="none"/>
              </w:rPr>
              <w:t>。</w:t>
            </w:r>
          </w:p>
          <w:p w14:paraId="0C3E0048">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rPr>
              <w:t xml:space="preserve"> </w:t>
            </w:r>
            <w:r>
              <w:rPr>
                <w:color w:val="auto"/>
                <w:highlight w:val="none"/>
              </w:rPr>
              <w:t>项目固体废物产生情况表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44"/>
              <w:gridCol w:w="951"/>
              <w:gridCol w:w="882"/>
              <w:gridCol w:w="1068"/>
              <w:gridCol w:w="1103"/>
              <w:gridCol w:w="1018"/>
              <w:gridCol w:w="983"/>
            </w:tblGrid>
            <w:tr w14:paraId="52A0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14:paraId="0C121EF1">
                  <w:pPr>
                    <w:pStyle w:val="30"/>
                    <w:rPr>
                      <w:color w:val="auto"/>
                      <w:highlight w:val="none"/>
                    </w:rPr>
                  </w:pPr>
                  <w:r>
                    <w:rPr>
                      <w:color w:val="auto"/>
                      <w:highlight w:val="none"/>
                    </w:rPr>
                    <w:t>序号</w:t>
                  </w:r>
                </w:p>
              </w:tc>
              <w:tc>
                <w:tcPr>
                  <w:tcW w:w="944" w:type="dxa"/>
                  <w:vAlign w:val="center"/>
                </w:tcPr>
                <w:p w14:paraId="6841AEA8">
                  <w:pPr>
                    <w:pStyle w:val="30"/>
                    <w:rPr>
                      <w:color w:val="auto"/>
                      <w:highlight w:val="none"/>
                    </w:rPr>
                  </w:pPr>
                  <w:r>
                    <w:rPr>
                      <w:color w:val="auto"/>
                      <w:highlight w:val="none"/>
                    </w:rPr>
                    <w:t>来源</w:t>
                  </w:r>
                </w:p>
              </w:tc>
              <w:tc>
                <w:tcPr>
                  <w:tcW w:w="951" w:type="dxa"/>
                  <w:vAlign w:val="center"/>
                </w:tcPr>
                <w:p w14:paraId="2661A4D9">
                  <w:pPr>
                    <w:pStyle w:val="30"/>
                    <w:rPr>
                      <w:color w:val="auto"/>
                      <w:highlight w:val="none"/>
                    </w:rPr>
                  </w:pPr>
                  <w:r>
                    <w:rPr>
                      <w:color w:val="auto"/>
                      <w:highlight w:val="none"/>
                    </w:rPr>
                    <w:t>废弃物</w:t>
                  </w:r>
                </w:p>
                <w:p w14:paraId="422ECE9F">
                  <w:pPr>
                    <w:pStyle w:val="30"/>
                    <w:rPr>
                      <w:color w:val="auto"/>
                      <w:highlight w:val="none"/>
                    </w:rPr>
                  </w:pPr>
                  <w:r>
                    <w:rPr>
                      <w:color w:val="auto"/>
                      <w:highlight w:val="none"/>
                    </w:rPr>
                    <w:t>名称</w:t>
                  </w:r>
                </w:p>
              </w:tc>
              <w:tc>
                <w:tcPr>
                  <w:tcW w:w="882" w:type="dxa"/>
                  <w:vAlign w:val="center"/>
                </w:tcPr>
                <w:p w14:paraId="76884E38">
                  <w:pPr>
                    <w:pStyle w:val="30"/>
                    <w:rPr>
                      <w:color w:val="auto"/>
                      <w:highlight w:val="none"/>
                    </w:rPr>
                  </w:pPr>
                  <w:r>
                    <w:rPr>
                      <w:color w:val="auto"/>
                      <w:highlight w:val="none"/>
                    </w:rPr>
                    <w:t>产生量</w:t>
                  </w:r>
                </w:p>
                <w:p w14:paraId="1B334914">
                  <w:pPr>
                    <w:pStyle w:val="30"/>
                    <w:rPr>
                      <w:color w:val="auto"/>
                      <w:highlight w:val="none"/>
                    </w:rPr>
                  </w:pPr>
                  <w:r>
                    <w:rPr>
                      <w:color w:val="auto"/>
                      <w:highlight w:val="none"/>
                    </w:rPr>
                    <w:t>t/a</w:t>
                  </w:r>
                </w:p>
              </w:tc>
              <w:tc>
                <w:tcPr>
                  <w:tcW w:w="1068" w:type="dxa"/>
                  <w:vAlign w:val="center"/>
                </w:tcPr>
                <w:p w14:paraId="550CA9CA">
                  <w:pPr>
                    <w:pStyle w:val="30"/>
                    <w:rPr>
                      <w:color w:val="auto"/>
                      <w:highlight w:val="none"/>
                    </w:rPr>
                  </w:pPr>
                  <w:r>
                    <w:rPr>
                      <w:color w:val="auto"/>
                      <w:highlight w:val="none"/>
                    </w:rPr>
                    <w:t>属性</w:t>
                  </w:r>
                </w:p>
              </w:tc>
              <w:tc>
                <w:tcPr>
                  <w:tcW w:w="1103" w:type="dxa"/>
                  <w:vAlign w:val="center"/>
                </w:tcPr>
                <w:p w14:paraId="56CC17EE">
                  <w:pPr>
                    <w:pStyle w:val="30"/>
                    <w:rPr>
                      <w:color w:val="auto"/>
                      <w:highlight w:val="none"/>
                    </w:rPr>
                  </w:pPr>
                  <w:r>
                    <w:rPr>
                      <w:color w:val="auto"/>
                      <w:highlight w:val="none"/>
                    </w:rPr>
                    <w:t>固废</w:t>
                  </w:r>
                </w:p>
                <w:p w14:paraId="5755366F">
                  <w:pPr>
                    <w:pStyle w:val="30"/>
                    <w:rPr>
                      <w:color w:val="auto"/>
                      <w:highlight w:val="none"/>
                    </w:rPr>
                  </w:pPr>
                  <w:r>
                    <w:rPr>
                      <w:color w:val="auto"/>
                      <w:highlight w:val="none"/>
                    </w:rPr>
                    <w:t>代码</w:t>
                  </w:r>
                </w:p>
              </w:tc>
              <w:tc>
                <w:tcPr>
                  <w:tcW w:w="1018" w:type="dxa"/>
                  <w:vAlign w:val="center"/>
                </w:tcPr>
                <w:p w14:paraId="46123431">
                  <w:pPr>
                    <w:pStyle w:val="30"/>
                    <w:rPr>
                      <w:color w:val="auto"/>
                      <w:highlight w:val="none"/>
                    </w:rPr>
                  </w:pPr>
                  <w:r>
                    <w:rPr>
                      <w:color w:val="auto"/>
                      <w:highlight w:val="none"/>
                    </w:rPr>
                    <w:t>危废</w:t>
                  </w:r>
                </w:p>
                <w:p w14:paraId="0CADC3CF">
                  <w:pPr>
                    <w:pStyle w:val="30"/>
                    <w:rPr>
                      <w:color w:val="auto"/>
                      <w:highlight w:val="none"/>
                    </w:rPr>
                  </w:pPr>
                  <w:r>
                    <w:rPr>
                      <w:color w:val="auto"/>
                      <w:highlight w:val="none"/>
                    </w:rPr>
                    <w:t>类别</w:t>
                  </w:r>
                </w:p>
              </w:tc>
              <w:tc>
                <w:tcPr>
                  <w:tcW w:w="983" w:type="dxa"/>
                  <w:vAlign w:val="center"/>
                </w:tcPr>
                <w:p w14:paraId="52121DBB">
                  <w:pPr>
                    <w:pStyle w:val="30"/>
                    <w:rPr>
                      <w:color w:val="auto"/>
                      <w:highlight w:val="none"/>
                    </w:rPr>
                  </w:pPr>
                  <w:r>
                    <w:rPr>
                      <w:color w:val="auto"/>
                      <w:highlight w:val="none"/>
                    </w:rPr>
                    <w:t>处置去向</w:t>
                  </w:r>
                </w:p>
              </w:tc>
            </w:tr>
            <w:tr w14:paraId="65D2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14:paraId="5E5A727B">
                  <w:pPr>
                    <w:pStyle w:val="30"/>
                    <w:rPr>
                      <w:color w:val="auto"/>
                      <w:highlight w:val="none"/>
                    </w:rPr>
                  </w:pPr>
                  <w:r>
                    <w:rPr>
                      <w:color w:val="auto"/>
                      <w:highlight w:val="none"/>
                    </w:rPr>
                    <w:t>1</w:t>
                  </w:r>
                </w:p>
              </w:tc>
              <w:tc>
                <w:tcPr>
                  <w:tcW w:w="944" w:type="dxa"/>
                  <w:vAlign w:val="center"/>
                </w:tcPr>
                <w:p w14:paraId="70A4D0C6">
                  <w:pPr>
                    <w:pStyle w:val="30"/>
                    <w:rPr>
                      <w:color w:val="auto"/>
                      <w:highlight w:val="none"/>
                    </w:rPr>
                  </w:pPr>
                  <w:r>
                    <w:rPr>
                      <w:rFonts w:hint="eastAsia"/>
                      <w:color w:val="auto"/>
                      <w:highlight w:val="none"/>
                    </w:rPr>
                    <w:t>员工、旅客</w:t>
                  </w:r>
                </w:p>
              </w:tc>
              <w:tc>
                <w:tcPr>
                  <w:tcW w:w="951" w:type="dxa"/>
                  <w:vAlign w:val="center"/>
                </w:tcPr>
                <w:p w14:paraId="03D697B2">
                  <w:pPr>
                    <w:pStyle w:val="30"/>
                    <w:rPr>
                      <w:color w:val="auto"/>
                      <w:highlight w:val="none"/>
                    </w:rPr>
                  </w:pPr>
                  <w:r>
                    <w:rPr>
                      <w:color w:val="auto"/>
                      <w:highlight w:val="none"/>
                    </w:rPr>
                    <w:t>生活垃圾</w:t>
                  </w:r>
                  <w:r>
                    <w:rPr>
                      <w:rFonts w:hint="eastAsia"/>
                      <w:color w:val="auto"/>
                      <w:highlight w:val="none"/>
                    </w:rPr>
                    <w:t>S1</w:t>
                  </w:r>
                </w:p>
              </w:tc>
              <w:tc>
                <w:tcPr>
                  <w:tcW w:w="882" w:type="dxa"/>
                  <w:vAlign w:val="center"/>
                </w:tcPr>
                <w:p w14:paraId="7BEA59BA">
                  <w:pPr>
                    <w:pStyle w:val="30"/>
                    <w:rPr>
                      <w:color w:val="auto"/>
                      <w:highlight w:val="none"/>
                    </w:rPr>
                  </w:pPr>
                  <w:r>
                    <w:rPr>
                      <w:rFonts w:hint="eastAsia"/>
                      <w:color w:val="auto"/>
                      <w:highlight w:val="none"/>
                    </w:rPr>
                    <w:t>96.73</w:t>
                  </w:r>
                </w:p>
              </w:tc>
              <w:tc>
                <w:tcPr>
                  <w:tcW w:w="1068" w:type="dxa"/>
                  <w:vAlign w:val="center"/>
                </w:tcPr>
                <w:p w14:paraId="245B4483">
                  <w:pPr>
                    <w:pStyle w:val="30"/>
                    <w:rPr>
                      <w:color w:val="auto"/>
                      <w:highlight w:val="none"/>
                    </w:rPr>
                  </w:pPr>
                  <w:r>
                    <w:rPr>
                      <w:color w:val="auto"/>
                      <w:highlight w:val="none"/>
                    </w:rPr>
                    <w:t>一般固废</w:t>
                  </w:r>
                </w:p>
              </w:tc>
              <w:tc>
                <w:tcPr>
                  <w:tcW w:w="1103" w:type="dxa"/>
                  <w:vAlign w:val="center"/>
                </w:tcPr>
                <w:p w14:paraId="41AA6D27">
                  <w:pPr>
                    <w:pStyle w:val="30"/>
                    <w:rPr>
                      <w:color w:val="auto"/>
                      <w:highlight w:val="none"/>
                    </w:rPr>
                  </w:pPr>
                  <w:r>
                    <w:rPr>
                      <w:color w:val="auto"/>
                      <w:highlight w:val="none"/>
                    </w:rPr>
                    <w:t>/</w:t>
                  </w:r>
                </w:p>
              </w:tc>
              <w:tc>
                <w:tcPr>
                  <w:tcW w:w="1018" w:type="dxa"/>
                  <w:vAlign w:val="center"/>
                </w:tcPr>
                <w:p w14:paraId="47BC78C2">
                  <w:pPr>
                    <w:pStyle w:val="30"/>
                    <w:rPr>
                      <w:color w:val="auto"/>
                      <w:highlight w:val="none"/>
                    </w:rPr>
                  </w:pPr>
                  <w:r>
                    <w:rPr>
                      <w:color w:val="auto"/>
                      <w:highlight w:val="none"/>
                    </w:rPr>
                    <w:t>/</w:t>
                  </w:r>
                </w:p>
              </w:tc>
              <w:tc>
                <w:tcPr>
                  <w:tcW w:w="983" w:type="dxa"/>
                  <w:vAlign w:val="center"/>
                </w:tcPr>
                <w:p w14:paraId="248AA7F7">
                  <w:pPr>
                    <w:pStyle w:val="30"/>
                    <w:rPr>
                      <w:color w:val="auto"/>
                      <w:highlight w:val="none"/>
                    </w:rPr>
                  </w:pPr>
                  <w:r>
                    <w:rPr>
                      <w:color w:val="auto"/>
                      <w:highlight w:val="none"/>
                    </w:rPr>
                    <w:t>环卫部门</w:t>
                  </w:r>
                  <w:r>
                    <w:rPr>
                      <w:rFonts w:hint="eastAsia"/>
                      <w:color w:val="auto"/>
                      <w:highlight w:val="none"/>
                      <w:lang w:val="en-US" w:eastAsia="zh-CN"/>
                    </w:rPr>
                    <w:t>清运</w:t>
                  </w:r>
                </w:p>
              </w:tc>
            </w:tr>
            <w:tr w14:paraId="6234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restart"/>
                  <w:vAlign w:val="center"/>
                </w:tcPr>
                <w:p w14:paraId="2709B6AE">
                  <w:pPr>
                    <w:pStyle w:val="30"/>
                    <w:rPr>
                      <w:color w:val="auto"/>
                      <w:highlight w:val="none"/>
                    </w:rPr>
                  </w:pPr>
                  <w:r>
                    <w:rPr>
                      <w:color w:val="auto"/>
                      <w:highlight w:val="none"/>
                    </w:rPr>
                    <w:t>2</w:t>
                  </w:r>
                </w:p>
              </w:tc>
              <w:tc>
                <w:tcPr>
                  <w:tcW w:w="944" w:type="dxa"/>
                  <w:vMerge w:val="restart"/>
                  <w:vAlign w:val="center"/>
                </w:tcPr>
                <w:p w14:paraId="32FB3772">
                  <w:pPr>
                    <w:pStyle w:val="30"/>
                    <w:rPr>
                      <w:color w:val="auto"/>
                      <w:highlight w:val="none"/>
                    </w:rPr>
                  </w:pPr>
                  <w:r>
                    <w:rPr>
                      <w:rFonts w:hint="eastAsia"/>
                      <w:color w:val="auto"/>
                      <w:highlight w:val="none"/>
                    </w:rPr>
                    <w:t>加油站运营</w:t>
                  </w:r>
                </w:p>
              </w:tc>
              <w:tc>
                <w:tcPr>
                  <w:tcW w:w="951" w:type="dxa"/>
                  <w:vAlign w:val="center"/>
                </w:tcPr>
                <w:p w14:paraId="34780905">
                  <w:pPr>
                    <w:pStyle w:val="30"/>
                    <w:rPr>
                      <w:color w:val="auto"/>
                      <w:highlight w:val="none"/>
                    </w:rPr>
                  </w:pPr>
                  <w:r>
                    <w:rPr>
                      <w:rFonts w:hint="eastAsia"/>
                      <w:color w:val="auto"/>
                      <w:highlight w:val="none"/>
                    </w:rPr>
                    <w:t>清罐油泥S6</w:t>
                  </w:r>
                </w:p>
              </w:tc>
              <w:tc>
                <w:tcPr>
                  <w:tcW w:w="882" w:type="dxa"/>
                  <w:vAlign w:val="center"/>
                </w:tcPr>
                <w:p w14:paraId="2D34EEA8">
                  <w:pPr>
                    <w:pStyle w:val="30"/>
                    <w:rPr>
                      <w:color w:val="auto"/>
                      <w:highlight w:val="none"/>
                    </w:rPr>
                  </w:pPr>
                  <w:r>
                    <w:rPr>
                      <w:rFonts w:hint="eastAsia"/>
                      <w:color w:val="auto"/>
                      <w:highlight w:val="none"/>
                    </w:rPr>
                    <w:t>2.1</w:t>
                  </w:r>
                </w:p>
              </w:tc>
              <w:tc>
                <w:tcPr>
                  <w:tcW w:w="1068" w:type="dxa"/>
                  <w:vAlign w:val="center"/>
                </w:tcPr>
                <w:p w14:paraId="3611821C">
                  <w:pPr>
                    <w:pStyle w:val="30"/>
                    <w:rPr>
                      <w:color w:val="auto"/>
                      <w:highlight w:val="none"/>
                    </w:rPr>
                  </w:pPr>
                  <w:r>
                    <w:rPr>
                      <w:color w:val="auto"/>
                      <w:highlight w:val="none"/>
                    </w:rPr>
                    <w:t>危险固废</w:t>
                  </w:r>
                </w:p>
              </w:tc>
              <w:tc>
                <w:tcPr>
                  <w:tcW w:w="1103" w:type="dxa"/>
                  <w:vAlign w:val="center"/>
                </w:tcPr>
                <w:p w14:paraId="559E7FE7">
                  <w:pPr>
                    <w:pStyle w:val="30"/>
                    <w:rPr>
                      <w:color w:val="auto"/>
                      <w:highlight w:val="none"/>
                    </w:rPr>
                  </w:pPr>
                  <w:r>
                    <w:rPr>
                      <w:color w:val="auto"/>
                      <w:highlight w:val="none"/>
                    </w:rPr>
                    <w:t>900-2</w:t>
                  </w:r>
                  <w:r>
                    <w:rPr>
                      <w:rFonts w:hint="eastAsia"/>
                      <w:color w:val="auto"/>
                      <w:highlight w:val="none"/>
                    </w:rPr>
                    <w:t>49</w:t>
                  </w:r>
                  <w:r>
                    <w:rPr>
                      <w:color w:val="auto"/>
                      <w:highlight w:val="none"/>
                    </w:rPr>
                    <w:t>-08</w:t>
                  </w:r>
                </w:p>
              </w:tc>
              <w:tc>
                <w:tcPr>
                  <w:tcW w:w="1018" w:type="dxa"/>
                  <w:vAlign w:val="center"/>
                </w:tcPr>
                <w:p w14:paraId="2BCCC83C">
                  <w:pPr>
                    <w:pStyle w:val="30"/>
                    <w:rPr>
                      <w:color w:val="auto"/>
                      <w:highlight w:val="none"/>
                    </w:rPr>
                  </w:pPr>
                  <w:r>
                    <w:rPr>
                      <w:color w:val="auto"/>
                      <w:highlight w:val="none"/>
                    </w:rPr>
                    <w:t>HW</w:t>
                  </w:r>
                  <w:r>
                    <w:rPr>
                      <w:rFonts w:hint="eastAsia"/>
                      <w:color w:val="auto"/>
                      <w:highlight w:val="none"/>
                    </w:rPr>
                    <w:t>08</w:t>
                  </w:r>
                </w:p>
              </w:tc>
              <w:tc>
                <w:tcPr>
                  <w:tcW w:w="983" w:type="dxa"/>
                  <w:vMerge w:val="restart"/>
                  <w:vAlign w:val="center"/>
                </w:tcPr>
                <w:p w14:paraId="10DECE8D">
                  <w:pPr>
                    <w:pStyle w:val="30"/>
                    <w:rPr>
                      <w:color w:val="auto"/>
                      <w:highlight w:val="none"/>
                    </w:rPr>
                  </w:pPr>
                  <w:r>
                    <w:rPr>
                      <w:rFonts w:hint="eastAsia"/>
                      <w:color w:val="auto"/>
                      <w:highlight w:val="none"/>
                      <w:lang w:eastAsia="zh-CN"/>
                    </w:rPr>
                    <w:t>交由</w:t>
                  </w:r>
                  <w:r>
                    <w:rPr>
                      <w:color w:val="auto"/>
                      <w:highlight w:val="none"/>
                    </w:rPr>
                    <w:t>有资质单位处置</w:t>
                  </w:r>
                </w:p>
              </w:tc>
            </w:tr>
            <w:tr w14:paraId="2DEE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06475B70">
                  <w:pPr>
                    <w:pStyle w:val="30"/>
                    <w:rPr>
                      <w:color w:val="auto"/>
                      <w:highlight w:val="none"/>
                    </w:rPr>
                  </w:pPr>
                </w:p>
              </w:tc>
              <w:tc>
                <w:tcPr>
                  <w:tcW w:w="944" w:type="dxa"/>
                  <w:vMerge w:val="continue"/>
                  <w:vAlign w:val="center"/>
                </w:tcPr>
                <w:p w14:paraId="0B7787CD">
                  <w:pPr>
                    <w:pStyle w:val="30"/>
                    <w:rPr>
                      <w:color w:val="auto"/>
                      <w:highlight w:val="none"/>
                    </w:rPr>
                  </w:pPr>
                </w:p>
              </w:tc>
              <w:tc>
                <w:tcPr>
                  <w:tcW w:w="951" w:type="dxa"/>
                  <w:vAlign w:val="center"/>
                </w:tcPr>
                <w:p w14:paraId="7F79D38E">
                  <w:pPr>
                    <w:pStyle w:val="30"/>
                    <w:rPr>
                      <w:color w:val="auto"/>
                      <w:highlight w:val="none"/>
                    </w:rPr>
                  </w:pPr>
                  <w:r>
                    <w:rPr>
                      <w:rFonts w:hint="eastAsia"/>
                      <w:color w:val="auto"/>
                      <w:highlight w:val="none"/>
                      <w:lang w:eastAsia="zh-CN"/>
                    </w:rPr>
                    <w:t>清罐</w:t>
                  </w:r>
                  <w:r>
                    <w:rPr>
                      <w:rFonts w:hint="eastAsia"/>
                      <w:color w:val="auto"/>
                      <w:highlight w:val="none"/>
                    </w:rPr>
                    <w:t>废液S7</w:t>
                  </w:r>
                </w:p>
              </w:tc>
              <w:tc>
                <w:tcPr>
                  <w:tcW w:w="882" w:type="dxa"/>
                  <w:vAlign w:val="center"/>
                </w:tcPr>
                <w:p w14:paraId="2CA21A5D">
                  <w:pPr>
                    <w:pStyle w:val="30"/>
                    <w:rPr>
                      <w:color w:val="auto"/>
                      <w:highlight w:val="none"/>
                    </w:rPr>
                  </w:pPr>
                  <w:r>
                    <w:rPr>
                      <w:rFonts w:hint="eastAsia"/>
                      <w:color w:val="auto"/>
                      <w:highlight w:val="none"/>
                    </w:rPr>
                    <w:t>10.5</w:t>
                  </w:r>
                </w:p>
              </w:tc>
              <w:tc>
                <w:tcPr>
                  <w:tcW w:w="1068" w:type="dxa"/>
                  <w:vAlign w:val="center"/>
                </w:tcPr>
                <w:p w14:paraId="48685B07">
                  <w:pPr>
                    <w:pStyle w:val="30"/>
                    <w:rPr>
                      <w:color w:val="auto"/>
                      <w:highlight w:val="none"/>
                    </w:rPr>
                  </w:pPr>
                  <w:r>
                    <w:rPr>
                      <w:color w:val="auto"/>
                      <w:highlight w:val="none"/>
                    </w:rPr>
                    <w:t>危险固废</w:t>
                  </w:r>
                </w:p>
              </w:tc>
              <w:tc>
                <w:tcPr>
                  <w:tcW w:w="1103" w:type="dxa"/>
                  <w:vAlign w:val="center"/>
                </w:tcPr>
                <w:p w14:paraId="7B6E0098">
                  <w:pPr>
                    <w:pStyle w:val="30"/>
                    <w:rPr>
                      <w:color w:val="auto"/>
                      <w:highlight w:val="none"/>
                    </w:rPr>
                  </w:pPr>
                  <w:r>
                    <w:rPr>
                      <w:color w:val="auto"/>
                      <w:highlight w:val="none"/>
                    </w:rPr>
                    <w:t>251-001-08</w:t>
                  </w:r>
                </w:p>
              </w:tc>
              <w:tc>
                <w:tcPr>
                  <w:tcW w:w="1018" w:type="dxa"/>
                  <w:vAlign w:val="center"/>
                </w:tcPr>
                <w:p w14:paraId="099A2E0F">
                  <w:pPr>
                    <w:pStyle w:val="30"/>
                    <w:rPr>
                      <w:color w:val="auto"/>
                      <w:highlight w:val="none"/>
                    </w:rPr>
                  </w:pPr>
                  <w:r>
                    <w:rPr>
                      <w:color w:val="auto"/>
                      <w:highlight w:val="none"/>
                    </w:rPr>
                    <w:t>HW08</w:t>
                  </w:r>
                </w:p>
              </w:tc>
              <w:tc>
                <w:tcPr>
                  <w:tcW w:w="983" w:type="dxa"/>
                  <w:vMerge w:val="continue"/>
                  <w:vAlign w:val="center"/>
                </w:tcPr>
                <w:p w14:paraId="3AFCA5A8">
                  <w:pPr>
                    <w:pStyle w:val="30"/>
                    <w:rPr>
                      <w:color w:val="auto"/>
                      <w:highlight w:val="none"/>
                    </w:rPr>
                  </w:pPr>
                </w:p>
              </w:tc>
            </w:tr>
            <w:tr w14:paraId="51CE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dxa"/>
                  <w:vMerge w:val="continue"/>
                  <w:vAlign w:val="center"/>
                </w:tcPr>
                <w:p w14:paraId="42A5F08C">
                  <w:pPr>
                    <w:pStyle w:val="30"/>
                    <w:rPr>
                      <w:color w:val="auto"/>
                      <w:highlight w:val="none"/>
                    </w:rPr>
                  </w:pPr>
                </w:p>
              </w:tc>
              <w:tc>
                <w:tcPr>
                  <w:tcW w:w="944" w:type="dxa"/>
                  <w:vMerge w:val="continue"/>
                  <w:vAlign w:val="center"/>
                </w:tcPr>
                <w:p w14:paraId="2ACEB462">
                  <w:pPr>
                    <w:pStyle w:val="30"/>
                    <w:rPr>
                      <w:color w:val="auto"/>
                      <w:highlight w:val="none"/>
                    </w:rPr>
                  </w:pPr>
                </w:p>
              </w:tc>
              <w:tc>
                <w:tcPr>
                  <w:tcW w:w="951" w:type="dxa"/>
                  <w:vAlign w:val="center"/>
                </w:tcPr>
                <w:p w14:paraId="26704AA9">
                  <w:pPr>
                    <w:pStyle w:val="30"/>
                    <w:rPr>
                      <w:color w:val="auto"/>
                      <w:highlight w:val="none"/>
                    </w:rPr>
                  </w:pPr>
                  <w:r>
                    <w:rPr>
                      <w:rFonts w:hint="eastAsia"/>
                      <w:color w:val="auto"/>
                      <w:highlight w:val="none"/>
                      <w:lang w:eastAsia="zh-CN"/>
                    </w:rPr>
                    <w:t>废含油抹布手套</w:t>
                  </w:r>
                  <w:r>
                    <w:rPr>
                      <w:rFonts w:hint="eastAsia"/>
                      <w:color w:val="auto"/>
                      <w:highlight w:val="none"/>
                    </w:rPr>
                    <w:t>S9</w:t>
                  </w:r>
                </w:p>
              </w:tc>
              <w:tc>
                <w:tcPr>
                  <w:tcW w:w="882" w:type="dxa"/>
                  <w:vAlign w:val="center"/>
                </w:tcPr>
                <w:p w14:paraId="1D85FF8D">
                  <w:pPr>
                    <w:pStyle w:val="30"/>
                    <w:rPr>
                      <w:color w:val="auto"/>
                      <w:highlight w:val="none"/>
                    </w:rPr>
                  </w:pPr>
                  <w:r>
                    <w:rPr>
                      <w:rFonts w:hint="eastAsia"/>
                      <w:color w:val="auto"/>
                      <w:highlight w:val="none"/>
                    </w:rPr>
                    <w:t>0.05</w:t>
                  </w:r>
                </w:p>
              </w:tc>
              <w:tc>
                <w:tcPr>
                  <w:tcW w:w="1068" w:type="dxa"/>
                  <w:vAlign w:val="center"/>
                </w:tcPr>
                <w:p w14:paraId="2CAFEA11">
                  <w:pPr>
                    <w:pStyle w:val="30"/>
                    <w:rPr>
                      <w:color w:val="auto"/>
                      <w:highlight w:val="none"/>
                    </w:rPr>
                  </w:pPr>
                  <w:r>
                    <w:rPr>
                      <w:color w:val="auto"/>
                      <w:highlight w:val="none"/>
                    </w:rPr>
                    <w:t>危险固废</w:t>
                  </w:r>
                </w:p>
              </w:tc>
              <w:tc>
                <w:tcPr>
                  <w:tcW w:w="1103" w:type="dxa"/>
                  <w:vAlign w:val="center"/>
                </w:tcPr>
                <w:p w14:paraId="32627E78">
                  <w:pPr>
                    <w:pStyle w:val="30"/>
                    <w:rPr>
                      <w:color w:val="auto"/>
                      <w:highlight w:val="none"/>
                    </w:rPr>
                  </w:pPr>
                  <w:r>
                    <w:rPr>
                      <w:color w:val="auto"/>
                      <w:highlight w:val="none"/>
                    </w:rPr>
                    <w:t>900-041-49</w:t>
                  </w:r>
                </w:p>
              </w:tc>
              <w:tc>
                <w:tcPr>
                  <w:tcW w:w="1018" w:type="dxa"/>
                  <w:vAlign w:val="center"/>
                </w:tcPr>
                <w:p w14:paraId="090B449C">
                  <w:pPr>
                    <w:pStyle w:val="30"/>
                    <w:rPr>
                      <w:color w:val="auto"/>
                      <w:highlight w:val="none"/>
                    </w:rPr>
                  </w:pPr>
                  <w:r>
                    <w:rPr>
                      <w:color w:val="auto"/>
                      <w:highlight w:val="none"/>
                    </w:rPr>
                    <w:t>HW49</w:t>
                  </w:r>
                </w:p>
              </w:tc>
              <w:tc>
                <w:tcPr>
                  <w:tcW w:w="983" w:type="dxa"/>
                  <w:vMerge w:val="continue"/>
                  <w:vAlign w:val="center"/>
                </w:tcPr>
                <w:p w14:paraId="14C0A8E2">
                  <w:pPr>
                    <w:pStyle w:val="30"/>
                    <w:rPr>
                      <w:color w:val="auto"/>
                      <w:highlight w:val="none"/>
                    </w:rPr>
                  </w:pPr>
                </w:p>
              </w:tc>
            </w:tr>
            <w:tr w14:paraId="2317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2CF26B6B">
                  <w:pPr>
                    <w:pStyle w:val="30"/>
                    <w:rPr>
                      <w:color w:val="auto"/>
                      <w:highlight w:val="none"/>
                    </w:rPr>
                  </w:pPr>
                </w:p>
              </w:tc>
              <w:tc>
                <w:tcPr>
                  <w:tcW w:w="944" w:type="dxa"/>
                  <w:vMerge w:val="continue"/>
                  <w:vAlign w:val="center"/>
                </w:tcPr>
                <w:p w14:paraId="6FCC3E6E">
                  <w:pPr>
                    <w:pStyle w:val="30"/>
                    <w:rPr>
                      <w:color w:val="auto"/>
                      <w:highlight w:val="none"/>
                    </w:rPr>
                  </w:pPr>
                </w:p>
              </w:tc>
              <w:tc>
                <w:tcPr>
                  <w:tcW w:w="951" w:type="dxa"/>
                  <w:vAlign w:val="center"/>
                </w:tcPr>
                <w:p w14:paraId="156550EB">
                  <w:pPr>
                    <w:pStyle w:val="30"/>
                    <w:rPr>
                      <w:color w:val="auto"/>
                      <w:highlight w:val="none"/>
                    </w:rPr>
                  </w:pPr>
                  <w:r>
                    <w:rPr>
                      <w:rFonts w:hint="eastAsia"/>
                      <w:color w:val="auto"/>
                      <w:highlight w:val="none"/>
                    </w:rPr>
                    <w:t>含油废沙S8</w:t>
                  </w:r>
                </w:p>
              </w:tc>
              <w:tc>
                <w:tcPr>
                  <w:tcW w:w="882" w:type="dxa"/>
                  <w:vAlign w:val="center"/>
                </w:tcPr>
                <w:p w14:paraId="07D4763F">
                  <w:pPr>
                    <w:pStyle w:val="30"/>
                    <w:rPr>
                      <w:color w:val="auto"/>
                      <w:highlight w:val="none"/>
                    </w:rPr>
                  </w:pPr>
                  <w:r>
                    <w:rPr>
                      <w:rFonts w:hint="eastAsia"/>
                      <w:color w:val="auto"/>
                      <w:highlight w:val="none"/>
                    </w:rPr>
                    <w:t>0.1</w:t>
                  </w:r>
                </w:p>
              </w:tc>
              <w:tc>
                <w:tcPr>
                  <w:tcW w:w="1068" w:type="dxa"/>
                  <w:vAlign w:val="center"/>
                </w:tcPr>
                <w:p w14:paraId="24E44F39">
                  <w:pPr>
                    <w:pStyle w:val="30"/>
                    <w:rPr>
                      <w:color w:val="auto"/>
                      <w:highlight w:val="none"/>
                    </w:rPr>
                  </w:pPr>
                  <w:r>
                    <w:rPr>
                      <w:color w:val="auto"/>
                      <w:highlight w:val="none"/>
                    </w:rPr>
                    <w:t>危险固废</w:t>
                  </w:r>
                </w:p>
              </w:tc>
              <w:tc>
                <w:tcPr>
                  <w:tcW w:w="1103" w:type="dxa"/>
                  <w:vAlign w:val="center"/>
                </w:tcPr>
                <w:p w14:paraId="6628642C">
                  <w:pPr>
                    <w:pStyle w:val="30"/>
                    <w:rPr>
                      <w:color w:val="auto"/>
                      <w:highlight w:val="none"/>
                    </w:rPr>
                  </w:pPr>
                  <w:r>
                    <w:rPr>
                      <w:color w:val="auto"/>
                      <w:highlight w:val="none"/>
                    </w:rPr>
                    <w:t>900-2</w:t>
                  </w:r>
                  <w:r>
                    <w:rPr>
                      <w:rFonts w:hint="eastAsia"/>
                      <w:color w:val="auto"/>
                      <w:highlight w:val="none"/>
                    </w:rPr>
                    <w:t>49</w:t>
                  </w:r>
                  <w:r>
                    <w:rPr>
                      <w:color w:val="auto"/>
                      <w:highlight w:val="none"/>
                    </w:rPr>
                    <w:t>-08</w:t>
                  </w:r>
                </w:p>
              </w:tc>
              <w:tc>
                <w:tcPr>
                  <w:tcW w:w="1018" w:type="dxa"/>
                  <w:vAlign w:val="center"/>
                </w:tcPr>
                <w:p w14:paraId="023413A4">
                  <w:pPr>
                    <w:pStyle w:val="30"/>
                    <w:rPr>
                      <w:color w:val="auto"/>
                      <w:highlight w:val="none"/>
                    </w:rPr>
                  </w:pPr>
                  <w:r>
                    <w:rPr>
                      <w:color w:val="auto"/>
                      <w:highlight w:val="none"/>
                    </w:rPr>
                    <w:t>HW</w:t>
                  </w:r>
                  <w:r>
                    <w:rPr>
                      <w:rFonts w:hint="eastAsia"/>
                      <w:color w:val="auto"/>
                      <w:highlight w:val="none"/>
                    </w:rPr>
                    <w:t>08</w:t>
                  </w:r>
                </w:p>
              </w:tc>
              <w:tc>
                <w:tcPr>
                  <w:tcW w:w="983" w:type="dxa"/>
                  <w:vMerge w:val="continue"/>
                  <w:vAlign w:val="center"/>
                </w:tcPr>
                <w:p w14:paraId="5CC915E0">
                  <w:pPr>
                    <w:pStyle w:val="30"/>
                    <w:rPr>
                      <w:color w:val="auto"/>
                      <w:highlight w:val="none"/>
                    </w:rPr>
                  </w:pPr>
                </w:p>
              </w:tc>
            </w:tr>
            <w:tr w14:paraId="390C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restart"/>
                  <w:vAlign w:val="center"/>
                </w:tcPr>
                <w:p w14:paraId="09441CB9">
                  <w:pPr>
                    <w:pStyle w:val="30"/>
                    <w:rPr>
                      <w:color w:val="auto"/>
                      <w:highlight w:val="none"/>
                    </w:rPr>
                  </w:pPr>
                  <w:r>
                    <w:rPr>
                      <w:rFonts w:hint="eastAsia"/>
                      <w:color w:val="auto"/>
                      <w:highlight w:val="none"/>
                    </w:rPr>
                    <w:t>3</w:t>
                  </w:r>
                </w:p>
              </w:tc>
              <w:tc>
                <w:tcPr>
                  <w:tcW w:w="944" w:type="dxa"/>
                  <w:vMerge w:val="restart"/>
                  <w:vAlign w:val="center"/>
                </w:tcPr>
                <w:p w14:paraId="62A844BF">
                  <w:pPr>
                    <w:pStyle w:val="30"/>
                    <w:rPr>
                      <w:rFonts w:hint="eastAsia" w:eastAsia="宋体"/>
                      <w:color w:val="auto"/>
                      <w:highlight w:val="none"/>
                      <w:lang w:eastAsia="zh-CN"/>
                    </w:rPr>
                  </w:pPr>
                  <w:r>
                    <w:rPr>
                      <w:rFonts w:hint="eastAsia"/>
                      <w:color w:val="auto"/>
                      <w:highlight w:val="none"/>
                      <w:lang w:eastAsia="zh-CN"/>
                    </w:rPr>
                    <w:t>智慧货运维修中心</w:t>
                  </w:r>
                </w:p>
              </w:tc>
              <w:tc>
                <w:tcPr>
                  <w:tcW w:w="951" w:type="dxa"/>
                  <w:vAlign w:val="center"/>
                </w:tcPr>
                <w:p w14:paraId="2D9B42CE">
                  <w:pPr>
                    <w:pStyle w:val="30"/>
                    <w:rPr>
                      <w:color w:val="auto"/>
                      <w:highlight w:val="none"/>
                    </w:rPr>
                  </w:pPr>
                  <w:r>
                    <w:rPr>
                      <w:rFonts w:hint="eastAsia"/>
                      <w:color w:val="auto"/>
                      <w:highlight w:val="none"/>
                    </w:rPr>
                    <w:t>废零部件S2</w:t>
                  </w:r>
                </w:p>
              </w:tc>
              <w:tc>
                <w:tcPr>
                  <w:tcW w:w="882" w:type="dxa"/>
                  <w:vAlign w:val="center"/>
                </w:tcPr>
                <w:p w14:paraId="11185C7D">
                  <w:pPr>
                    <w:pStyle w:val="30"/>
                    <w:rPr>
                      <w:color w:val="auto"/>
                      <w:highlight w:val="none"/>
                    </w:rPr>
                  </w:pPr>
                  <w:r>
                    <w:rPr>
                      <w:rFonts w:hint="eastAsia"/>
                      <w:color w:val="auto"/>
                      <w:highlight w:val="none"/>
                    </w:rPr>
                    <w:t>5</w:t>
                  </w:r>
                </w:p>
              </w:tc>
              <w:tc>
                <w:tcPr>
                  <w:tcW w:w="1068" w:type="dxa"/>
                  <w:vAlign w:val="center"/>
                </w:tcPr>
                <w:p w14:paraId="33EC4DBD">
                  <w:pPr>
                    <w:pStyle w:val="30"/>
                    <w:rPr>
                      <w:color w:val="auto"/>
                      <w:highlight w:val="none"/>
                    </w:rPr>
                  </w:pPr>
                  <w:r>
                    <w:rPr>
                      <w:rFonts w:hint="eastAsia"/>
                      <w:color w:val="auto"/>
                      <w:highlight w:val="none"/>
                    </w:rPr>
                    <w:t>一般固废</w:t>
                  </w:r>
                </w:p>
              </w:tc>
              <w:tc>
                <w:tcPr>
                  <w:tcW w:w="1103" w:type="dxa"/>
                  <w:vAlign w:val="center"/>
                </w:tcPr>
                <w:p w14:paraId="2EE653A7">
                  <w:pPr>
                    <w:pStyle w:val="30"/>
                    <w:rPr>
                      <w:color w:val="auto"/>
                      <w:highlight w:val="none"/>
                    </w:rPr>
                  </w:pPr>
                  <w:r>
                    <w:rPr>
                      <w:rFonts w:hint="eastAsia"/>
                      <w:color w:val="auto"/>
                      <w:highlight w:val="none"/>
                    </w:rPr>
                    <w:t>/</w:t>
                  </w:r>
                </w:p>
              </w:tc>
              <w:tc>
                <w:tcPr>
                  <w:tcW w:w="1018" w:type="dxa"/>
                  <w:vAlign w:val="center"/>
                </w:tcPr>
                <w:p w14:paraId="2D614377">
                  <w:pPr>
                    <w:pStyle w:val="30"/>
                    <w:rPr>
                      <w:color w:val="auto"/>
                      <w:highlight w:val="none"/>
                    </w:rPr>
                  </w:pPr>
                  <w:r>
                    <w:rPr>
                      <w:rFonts w:hint="eastAsia"/>
                      <w:color w:val="auto"/>
                      <w:highlight w:val="none"/>
                    </w:rPr>
                    <w:t>/</w:t>
                  </w:r>
                </w:p>
              </w:tc>
              <w:tc>
                <w:tcPr>
                  <w:tcW w:w="983" w:type="dxa"/>
                  <w:vMerge w:val="restart"/>
                  <w:vAlign w:val="center"/>
                </w:tcPr>
                <w:p w14:paraId="1634D8B7">
                  <w:pPr>
                    <w:pStyle w:val="30"/>
                    <w:rPr>
                      <w:color w:val="auto"/>
                      <w:highlight w:val="none"/>
                    </w:rPr>
                  </w:pPr>
                  <w:r>
                    <w:rPr>
                      <w:rFonts w:hint="eastAsia"/>
                      <w:color w:val="auto"/>
                      <w:highlight w:val="none"/>
                    </w:rPr>
                    <w:t>外售给物资回收单位</w:t>
                  </w:r>
                </w:p>
              </w:tc>
            </w:tr>
            <w:tr w14:paraId="1622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31BFBCBE">
                  <w:pPr>
                    <w:pStyle w:val="30"/>
                    <w:rPr>
                      <w:color w:val="auto"/>
                      <w:highlight w:val="none"/>
                    </w:rPr>
                  </w:pPr>
                </w:p>
              </w:tc>
              <w:tc>
                <w:tcPr>
                  <w:tcW w:w="944" w:type="dxa"/>
                  <w:vMerge w:val="continue"/>
                  <w:vAlign w:val="center"/>
                </w:tcPr>
                <w:p w14:paraId="16614283">
                  <w:pPr>
                    <w:pStyle w:val="30"/>
                    <w:rPr>
                      <w:color w:val="auto"/>
                      <w:highlight w:val="none"/>
                    </w:rPr>
                  </w:pPr>
                </w:p>
              </w:tc>
              <w:tc>
                <w:tcPr>
                  <w:tcW w:w="951" w:type="dxa"/>
                  <w:vAlign w:val="center"/>
                </w:tcPr>
                <w:p w14:paraId="32663AAB">
                  <w:pPr>
                    <w:pStyle w:val="30"/>
                    <w:rPr>
                      <w:color w:val="auto"/>
                      <w:highlight w:val="none"/>
                    </w:rPr>
                  </w:pPr>
                  <w:r>
                    <w:rPr>
                      <w:rFonts w:hint="eastAsia"/>
                      <w:color w:val="auto"/>
                      <w:highlight w:val="none"/>
                    </w:rPr>
                    <w:t>废焊丝S3</w:t>
                  </w:r>
                </w:p>
              </w:tc>
              <w:tc>
                <w:tcPr>
                  <w:tcW w:w="882" w:type="dxa"/>
                  <w:vAlign w:val="center"/>
                </w:tcPr>
                <w:p w14:paraId="5CCA8664">
                  <w:pPr>
                    <w:pStyle w:val="30"/>
                    <w:rPr>
                      <w:color w:val="auto"/>
                      <w:highlight w:val="none"/>
                    </w:rPr>
                  </w:pPr>
                  <w:r>
                    <w:rPr>
                      <w:rFonts w:hint="eastAsia"/>
                      <w:color w:val="auto"/>
                      <w:highlight w:val="none"/>
                    </w:rPr>
                    <w:t>0.001</w:t>
                  </w:r>
                </w:p>
              </w:tc>
              <w:tc>
                <w:tcPr>
                  <w:tcW w:w="1068" w:type="dxa"/>
                  <w:vAlign w:val="center"/>
                </w:tcPr>
                <w:p w14:paraId="0878BFD3">
                  <w:pPr>
                    <w:pStyle w:val="30"/>
                    <w:rPr>
                      <w:color w:val="auto"/>
                      <w:highlight w:val="none"/>
                    </w:rPr>
                  </w:pPr>
                  <w:r>
                    <w:rPr>
                      <w:rFonts w:hint="eastAsia"/>
                      <w:color w:val="auto"/>
                      <w:highlight w:val="none"/>
                    </w:rPr>
                    <w:t>一般固废</w:t>
                  </w:r>
                </w:p>
              </w:tc>
              <w:tc>
                <w:tcPr>
                  <w:tcW w:w="1103" w:type="dxa"/>
                  <w:vAlign w:val="center"/>
                </w:tcPr>
                <w:p w14:paraId="3F1205A9">
                  <w:pPr>
                    <w:pStyle w:val="30"/>
                    <w:rPr>
                      <w:color w:val="auto"/>
                      <w:highlight w:val="none"/>
                    </w:rPr>
                  </w:pPr>
                  <w:r>
                    <w:rPr>
                      <w:rFonts w:hint="eastAsia"/>
                      <w:color w:val="auto"/>
                      <w:highlight w:val="none"/>
                    </w:rPr>
                    <w:t>/</w:t>
                  </w:r>
                </w:p>
              </w:tc>
              <w:tc>
                <w:tcPr>
                  <w:tcW w:w="1018" w:type="dxa"/>
                  <w:vAlign w:val="center"/>
                </w:tcPr>
                <w:p w14:paraId="4ED3B7FB">
                  <w:pPr>
                    <w:pStyle w:val="30"/>
                    <w:rPr>
                      <w:color w:val="auto"/>
                      <w:highlight w:val="none"/>
                    </w:rPr>
                  </w:pPr>
                  <w:r>
                    <w:rPr>
                      <w:rFonts w:hint="eastAsia"/>
                      <w:color w:val="auto"/>
                      <w:highlight w:val="none"/>
                    </w:rPr>
                    <w:t>/</w:t>
                  </w:r>
                </w:p>
              </w:tc>
              <w:tc>
                <w:tcPr>
                  <w:tcW w:w="983" w:type="dxa"/>
                  <w:vMerge w:val="continue"/>
                  <w:vAlign w:val="center"/>
                </w:tcPr>
                <w:p w14:paraId="70CF8E29">
                  <w:pPr>
                    <w:pStyle w:val="30"/>
                    <w:rPr>
                      <w:color w:val="auto"/>
                      <w:highlight w:val="none"/>
                    </w:rPr>
                  </w:pPr>
                </w:p>
              </w:tc>
            </w:tr>
            <w:tr w14:paraId="23C3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64BAE629">
                  <w:pPr>
                    <w:pStyle w:val="30"/>
                    <w:rPr>
                      <w:color w:val="auto"/>
                      <w:highlight w:val="none"/>
                    </w:rPr>
                  </w:pPr>
                </w:p>
              </w:tc>
              <w:tc>
                <w:tcPr>
                  <w:tcW w:w="944" w:type="dxa"/>
                  <w:vMerge w:val="continue"/>
                  <w:vAlign w:val="center"/>
                </w:tcPr>
                <w:p w14:paraId="79F7E306">
                  <w:pPr>
                    <w:pStyle w:val="30"/>
                    <w:rPr>
                      <w:color w:val="auto"/>
                      <w:highlight w:val="none"/>
                    </w:rPr>
                  </w:pPr>
                </w:p>
              </w:tc>
              <w:tc>
                <w:tcPr>
                  <w:tcW w:w="951" w:type="dxa"/>
                  <w:vAlign w:val="center"/>
                </w:tcPr>
                <w:p w14:paraId="07BBF358">
                  <w:pPr>
                    <w:pStyle w:val="30"/>
                    <w:rPr>
                      <w:color w:val="auto"/>
                      <w:highlight w:val="none"/>
                    </w:rPr>
                  </w:pPr>
                  <w:r>
                    <w:rPr>
                      <w:rFonts w:hint="eastAsia"/>
                      <w:color w:val="auto"/>
                      <w:highlight w:val="none"/>
                    </w:rPr>
                    <w:t>废轮胎S4</w:t>
                  </w:r>
                </w:p>
              </w:tc>
              <w:tc>
                <w:tcPr>
                  <w:tcW w:w="882" w:type="dxa"/>
                  <w:vAlign w:val="center"/>
                </w:tcPr>
                <w:p w14:paraId="2E41D455">
                  <w:pPr>
                    <w:pStyle w:val="30"/>
                    <w:rPr>
                      <w:color w:val="auto"/>
                      <w:highlight w:val="none"/>
                    </w:rPr>
                  </w:pPr>
                  <w:r>
                    <w:rPr>
                      <w:rFonts w:hint="eastAsia"/>
                      <w:color w:val="auto"/>
                      <w:highlight w:val="none"/>
                    </w:rPr>
                    <w:t>8</w:t>
                  </w:r>
                </w:p>
              </w:tc>
              <w:tc>
                <w:tcPr>
                  <w:tcW w:w="1068" w:type="dxa"/>
                  <w:vAlign w:val="center"/>
                </w:tcPr>
                <w:p w14:paraId="296EB6F3">
                  <w:pPr>
                    <w:pStyle w:val="30"/>
                    <w:rPr>
                      <w:color w:val="auto"/>
                      <w:highlight w:val="none"/>
                    </w:rPr>
                  </w:pPr>
                  <w:r>
                    <w:rPr>
                      <w:rFonts w:hint="eastAsia"/>
                      <w:color w:val="auto"/>
                      <w:highlight w:val="none"/>
                    </w:rPr>
                    <w:t>一般固废</w:t>
                  </w:r>
                </w:p>
              </w:tc>
              <w:tc>
                <w:tcPr>
                  <w:tcW w:w="1103" w:type="dxa"/>
                  <w:vAlign w:val="center"/>
                </w:tcPr>
                <w:p w14:paraId="57097152">
                  <w:pPr>
                    <w:pStyle w:val="30"/>
                    <w:rPr>
                      <w:color w:val="auto"/>
                      <w:highlight w:val="none"/>
                    </w:rPr>
                  </w:pPr>
                  <w:r>
                    <w:rPr>
                      <w:rFonts w:hint="eastAsia"/>
                      <w:color w:val="auto"/>
                      <w:highlight w:val="none"/>
                    </w:rPr>
                    <w:t>/</w:t>
                  </w:r>
                </w:p>
              </w:tc>
              <w:tc>
                <w:tcPr>
                  <w:tcW w:w="1018" w:type="dxa"/>
                  <w:vAlign w:val="center"/>
                </w:tcPr>
                <w:p w14:paraId="35C5F566">
                  <w:pPr>
                    <w:pStyle w:val="30"/>
                    <w:rPr>
                      <w:color w:val="auto"/>
                      <w:highlight w:val="none"/>
                    </w:rPr>
                  </w:pPr>
                  <w:r>
                    <w:rPr>
                      <w:rFonts w:hint="eastAsia"/>
                      <w:color w:val="auto"/>
                      <w:highlight w:val="none"/>
                    </w:rPr>
                    <w:t>/</w:t>
                  </w:r>
                </w:p>
              </w:tc>
              <w:tc>
                <w:tcPr>
                  <w:tcW w:w="983" w:type="dxa"/>
                  <w:vMerge w:val="continue"/>
                  <w:vAlign w:val="center"/>
                </w:tcPr>
                <w:p w14:paraId="70758479">
                  <w:pPr>
                    <w:pStyle w:val="30"/>
                    <w:rPr>
                      <w:color w:val="auto"/>
                      <w:highlight w:val="none"/>
                    </w:rPr>
                  </w:pPr>
                </w:p>
              </w:tc>
            </w:tr>
            <w:tr w14:paraId="644A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215C9305">
                  <w:pPr>
                    <w:pStyle w:val="30"/>
                    <w:rPr>
                      <w:color w:val="auto"/>
                      <w:highlight w:val="none"/>
                    </w:rPr>
                  </w:pPr>
                </w:p>
              </w:tc>
              <w:tc>
                <w:tcPr>
                  <w:tcW w:w="944" w:type="dxa"/>
                  <w:vMerge w:val="continue"/>
                  <w:vAlign w:val="center"/>
                </w:tcPr>
                <w:p w14:paraId="06EE2CCE">
                  <w:pPr>
                    <w:pStyle w:val="30"/>
                    <w:rPr>
                      <w:color w:val="auto"/>
                      <w:highlight w:val="none"/>
                    </w:rPr>
                  </w:pPr>
                </w:p>
              </w:tc>
              <w:tc>
                <w:tcPr>
                  <w:tcW w:w="951" w:type="dxa"/>
                  <w:vAlign w:val="center"/>
                </w:tcPr>
                <w:p w14:paraId="68823800">
                  <w:pPr>
                    <w:pStyle w:val="30"/>
                    <w:rPr>
                      <w:color w:val="auto"/>
                      <w:highlight w:val="none"/>
                    </w:rPr>
                  </w:pPr>
                  <w:r>
                    <w:rPr>
                      <w:rFonts w:hint="eastAsia"/>
                      <w:color w:val="auto"/>
                      <w:highlight w:val="none"/>
                    </w:rPr>
                    <w:t>洗车污泥及泥沙S5</w:t>
                  </w:r>
                </w:p>
              </w:tc>
              <w:tc>
                <w:tcPr>
                  <w:tcW w:w="882" w:type="dxa"/>
                  <w:vAlign w:val="center"/>
                </w:tcPr>
                <w:p w14:paraId="2D6D06B8">
                  <w:pPr>
                    <w:pStyle w:val="30"/>
                    <w:rPr>
                      <w:rFonts w:hint="eastAsia" w:eastAsia="宋体"/>
                      <w:color w:val="auto"/>
                      <w:highlight w:val="none"/>
                      <w:lang w:eastAsia="zh-CN"/>
                    </w:rPr>
                  </w:pPr>
                  <w:r>
                    <w:rPr>
                      <w:rFonts w:hint="eastAsia"/>
                      <w:color w:val="auto"/>
                      <w:highlight w:val="none"/>
                      <w:lang w:val="en-US" w:eastAsia="zh-CN"/>
                    </w:rPr>
                    <w:t>5</w:t>
                  </w:r>
                </w:p>
              </w:tc>
              <w:tc>
                <w:tcPr>
                  <w:tcW w:w="1068" w:type="dxa"/>
                  <w:vAlign w:val="center"/>
                </w:tcPr>
                <w:p w14:paraId="238E58D2">
                  <w:pPr>
                    <w:pStyle w:val="30"/>
                    <w:rPr>
                      <w:color w:val="auto"/>
                      <w:highlight w:val="none"/>
                    </w:rPr>
                  </w:pPr>
                  <w:r>
                    <w:rPr>
                      <w:rFonts w:hint="eastAsia"/>
                      <w:color w:val="auto"/>
                      <w:highlight w:val="none"/>
                    </w:rPr>
                    <w:t>危险固废</w:t>
                  </w:r>
                </w:p>
              </w:tc>
              <w:tc>
                <w:tcPr>
                  <w:tcW w:w="1103" w:type="dxa"/>
                  <w:vAlign w:val="center"/>
                </w:tcPr>
                <w:p w14:paraId="1BB219DC">
                  <w:pPr>
                    <w:pStyle w:val="30"/>
                    <w:rPr>
                      <w:rFonts w:hint="default" w:eastAsia="宋体"/>
                      <w:color w:val="auto"/>
                      <w:highlight w:val="none"/>
                      <w:lang w:val="en-US" w:eastAsia="zh-CN"/>
                    </w:rPr>
                  </w:pPr>
                  <w:r>
                    <w:rPr>
                      <w:rFonts w:hint="eastAsia"/>
                      <w:color w:val="auto"/>
                      <w:highlight w:val="none"/>
                      <w:lang w:val="en-US" w:eastAsia="zh-CN"/>
                    </w:rPr>
                    <w:t>900-210-08</w:t>
                  </w:r>
                </w:p>
              </w:tc>
              <w:tc>
                <w:tcPr>
                  <w:tcW w:w="1018" w:type="dxa"/>
                  <w:vAlign w:val="center"/>
                </w:tcPr>
                <w:p w14:paraId="377F41A5">
                  <w:pPr>
                    <w:pStyle w:val="30"/>
                    <w:rPr>
                      <w:color w:val="auto"/>
                      <w:highlight w:val="none"/>
                    </w:rPr>
                  </w:pPr>
                  <w:r>
                    <w:rPr>
                      <w:color w:val="auto"/>
                      <w:highlight w:val="none"/>
                    </w:rPr>
                    <w:t>HW</w:t>
                  </w:r>
                  <w:r>
                    <w:rPr>
                      <w:rFonts w:hint="eastAsia"/>
                      <w:color w:val="auto"/>
                      <w:highlight w:val="none"/>
                    </w:rPr>
                    <w:t>08</w:t>
                  </w:r>
                </w:p>
              </w:tc>
              <w:tc>
                <w:tcPr>
                  <w:tcW w:w="983" w:type="dxa"/>
                  <w:vMerge w:val="restart"/>
                  <w:vAlign w:val="center"/>
                </w:tcPr>
                <w:p w14:paraId="3BB5A304">
                  <w:pPr>
                    <w:pStyle w:val="30"/>
                    <w:rPr>
                      <w:color w:val="auto"/>
                      <w:highlight w:val="none"/>
                    </w:rPr>
                  </w:pPr>
                  <w:r>
                    <w:rPr>
                      <w:rFonts w:hint="eastAsia"/>
                      <w:color w:val="auto"/>
                      <w:highlight w:val="none"/>
                      <w:lang w:eastAsia="zh-CN"/>
                    </w:rPr>
                    <w:t>交由</w:t>
                  </w:r>
                  <w:r>
                    <w:rPr>
                      <w:color w:val="auto"/>
                      <w:highlight w:val="none"/>
                    </w:rPr>
                    <w:t>有资质单位处置</w:t>
                  </w:r>
                </w:p>
              </w:tc>
            </w:tr>
            <w:tr w14:paraId="6EAA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65BB4A1C">
                  <w:pPr>
                    <w:pStyle w:val="30"/>
                    <w:rPr>
                      <w:color w:val="auto"/>
                      <w:highlight w:val="none"/>
                    </w:rPr>
                  </w:pPr>
                </w:p>
              </w:tc>
              <w:tc>
                <w:tcPr>
                  <w:tcW w:w="944" w:type="dxa"/>
                  <w:vMerge w:val="continue"/>
                  <w:vAlign w:val="center"/>
                </w:tcPr>
                <w:p w14:paraId="2F365D7D">
                  <w:pPr>
                    <w:pStyle w:val="30"/>
                    <w:rPr>
                      <w:color w:val="auto"/>
                      <w:highlight w:val="none"/>
                    </w:rPr>
                  </w:pPr>
                </w:p>
              </w:tc>
              <w:tc>
                <w:tcPr>
                  <w:tcW w:w="951" w:type="dxa"/>
                  <w:vAlign w:val="center"/>
                </w:tcPr>
                <w:p w14:paraId="3DEF628F">
                  <w:pPr>
                    <w:pStyle w:val="30"/>
                    <w:rPr>
                      <w:color w:val="auto"/>
                      <w:highlight w:val="none"/>
                    </w:rPr>
                  </w:pPr>
                  <w:r>
                    <w:rPr>
                      <w:rFonts w:hint="eastAsia"/>
                      <w:color w:val="auto"/>
                      <w:highlight w:val="none"/>
                    </w:rPr>
                    <w:t>废机油S10</w:t>
                  </w:r>
                </w:p>
              </w:tc>
              <w:tc>
                <w:tcPr>
                  <w:tcW w:w="882" w:type="dxa"/>
                  <w:vAlign w:val="center"/>
                </w:tcPr>
                <w:p w14:paraId="10F2F6E1">
                  <w:pPr>
                    <w:pStyle w:val="30"/>
                    <w:rPr>
                      <w:color w:val="auto"/>
                      <w:highlight w:val="none"/>
                    </w:rPr>
                  </w:pPr>
                  <w:r>
                    <w:rPr>
                      <w:rFonts w:hint="eastAsia"/>
                      <w:color w:val="auto"/>
                      <w:highlight w:val="none"/>
                    </w:rPr>
                    <w:t>1.5</w:t>
                  </w:r>
                </w:p>
              </w:tc>
              <w:tc>
                <w:tcPr>
                  <w:tcW w:w="1068" w:type="dxa"/>
                  <w:vAlign w:val="center"/>
                </w:tcPr>
                <w:p w14:paraId="4E7AB5F1">
                  <w:pPr>
                    <w:pStyle w:val="30"/>
                    <w:rPr>
                      <w:color w:val="auto"/>
                      <w:highlight w:val="none"/>
                    </w:rPr>
                  </w:pPr>
                  <w:r>
                    <w:rPr>
                      <w:rFonts w:hint="eastAsia"/>
                      <w:color w:val="auto"/>
                      <w:highlight w:val="none"/>
                      <w:lang w:eastAsia="zh-CN"/>
                    </w:rPr>
                    <w:t>危险</w:t>
                  </w:r>
                  <w:r>
                    <w:rPr>
                      <w:rFonts w:hint="eastAsia"/>
                      <w:color w:val="auto"/>
                      <w:highlight w:val="none"/>
                    </w:rPr>
                    <w:t>固废</w:t>
                  </w:r>
                </w:p>
              </w:tc>
              <w:tc>
                <w:tcPr>
                  <w:tcW w:w="1103" w:type="dxa"/>
                  <w:vAlign w:val="center"/>
                </w:tcPr>
                <w:p w14:paraId="1B5FAE69">
                  <w:pPr>
                    <w:pStyle w:val="30"/>
                    <w:rPr>
                      <w:color w:val="auto"/>
                      <w:highlight w:val="none"/>
                    </w:rPr>
                  </w:pPr>
                  <w:r>
                    <w:rPr>
                      <w:rFonts w:hint="eastAsia"/>
                      <w:color w:val="auto"/>
                      <w:highlight w:val="none"/>
                    </w:rPr>
                    <w:t>900-250-12</w:t>
                  </w:r>
                </w:p>
              </w:tc>
              <w:tc>
                <w:tcPr>
                  <w:tcW w:w="1018" w:type="dxa"/>
                  <w:vAlign w:val="center"/>
                </w:tcPr>
                <w:p w14:paraId="38395ED0">
                  <w:pPr>
                    <w:pStyle w:val="30"/>
                    <w:rPr>
                      <w:color w:val="auto"/>
                      <w:highlight w:val="none"/>
                    </w:rPr>
                  </w:pPr>
                  <w:r>
                    <w:rPr>
                      <w:rFonts w:hint="eastAsia"/>
                      <w:color w:val="auto"/>
                      <w:highlight w:val="none"/>
                    </w:rPr>
                    <w:t>HW12</w:t>
                  </w:r>
                </w:p>
              </w:tc>
              <w:tc>
                <w:tcPr>
                  <w:tcW w:w="983" w:type="dxa"/>
                  <w:vMerge w:val="continue"/>
                  <w:vAlign w:val="center"/>
                </w:tcPr>
                <w:p w14:paraId="5A13B498">
                  <w:pPr>
                    <w:pStyle w:val="30"/>
                    <w:rPr>
                      <w:color w:val="auto"/>
                      <w:highlight w:val="none"/>
                    </w:rPr>
                  </w:pPr>
                </w:p>
              </w:tc>
            </w:tr>
            <w:tr w14:paraId="5E07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7AF2E70B">
                  <w:pPr>
                    <w:pStyle w:val="30"/>
                    <w:rPr>
                      <w:color w:val="auto"/>
                      <w:highlight w:val="none"/>
                    </w:rPr>
                  </w:pPr>
                </w:p>
              </w:tc>
              <w:tc>
                <w:tcPr>
                  <w:tcW w:w="944" w:type="dxa"/>
                  <w:vMerge w:val="continue"/>
                  <w:vAlign w:val="center"/>
                </w:tcPr>
                <w:p w14:paraId="7C228BAB">
                  <w:pPr>
                    <w:pStyle w:val="30"/>
                    <w:rPr>
                      <w:color w:val="auto"/>
                      <w:highlight w:val="none"/>
                    </w:rPr>
                  </w:pPr>
                </w:p>
              </w:tc>
              <w:tc>
                <w:tcPr>
                  <w:tcW w:w="951" w:type="dxa"/>
                  <w:vAlign w:val="center"/>
                </w:tcPr>
                <w:p w14:paraId="2966CAE8">
                  <w:pPr>
                    <w:pStyle w:val="30"/>
                    <w:rPr>
                      <w:color w:val="auto"/>
                      <w:highlight w:val="none"/>
                    </w:rPr>
                  </w:pPr>
                  <w:r>
                    <w:rPr>
                      <w:rFonts w:hint="eastAsia"/>
                      <w:color w:val="auto"/>
                      <w:highlight w:val="none"/>
                    </w:rPr>
                    <w:t>废机油桶S11</w:t>
                  </w:r>
                </w:p>
              </w:tc>
              <w:tc>
                <w:tcPr>
                  <w:tcW w:w="882" w:type="dxa"/>
                  <w:vAlign w:val="center"/>
                </w:tcPr>
                <w:p w14:paraId="4F4E7C0D">
                  <w:pPr>
                    <w:pStyle w:val="30"/>
                    <w:rPr>
                      <w:color w:val="auto"/>
                      <w:highlight w:val="none"/>
                    </w:rPr>
                  </w:pPr>
                  <w:r>
                    <w:rPr>
                      <w:rFonts w:hint="eastAsia"/>
                      <w:color w:val="auto"/>
                      <w:highlight w:val="none"/>
                    </w:rPr>
                    <w:t>0.5</w:t>
                  </w:r>
                </w:p>
              </w:tc>
              <w:tc>
                <w:tcPr>
                  <w:tcW w:w="1068" w:type="dxa"/>
                  <w:vAlign w:val="center"/>
                </w:tcPr>
                <w:p w14:paraId="67D87333">
                  <w:pPr>
                    <w:pStyle w:val="30"/>
                    <w:rPr>
                      <w:color w:val="auto"/>
                      <w:highlight w:val="none"/>
                    </w:rPr>
                  </w:pPr>
                  <w:r>
                    <w:rPr>
                      <w:rFonts w:hint="eastAsia"/>
                      <w:color w:val="auto"/>
                      <w:highlight w:val="none"/>
                    </w:rPr>
                    <w:t>危险固废</w:t>
                  </w:r>
                </w:p>
              </w:tc>
              <w:tc>
                <w:tcPr>
                  <w:tcW w:w="1103" w:type="dxa"/>
                  <w:vAlign w:val="center"/>
                </w:tcPr>
                <w:p w14:paraId="0C2CC9BC">
                  <w:pPr>
                    <w:pStyle w:val="30"/>
                    <w:rPr>
                      <w:color w:val="auto"/>
                      <w:highlight w:val="none"/>
                    </w:rPr>
                  </w:pPr>
                  <w:r>
                    <w:rPr>
                      <w:rFonts w:hint="eastAsia"/>
                      <w:color w:val="auto"/>
                      <w:highlight w:val="none"/>
                    </w:rPr>
                    <w:t>900-044-49</w:t>
                  </w:r>
                </w:p>
              </w:tc>
              <w:tc>
                <w:tcPr>
                  <w:tcW w:w="1018" w:type="dxa"/>
                  <w:vAlign w:val="center"/>
                </w:tcPr>
                <w:p w14:paraId="03A989BE">
                  <w:pPr>
                    <w:pStyle w:val="30"/>
                    <w:rPr>
                      <w:color w:val="auto"/>
                      <w:highlight w:val="none"/>
                    </w:rPr>
                  </w:pPr>
                  <w:r>
                    <w:rPr>
                      <w:rFonts w:hint="eastAsia"/>
                      <w:color w:val="auto"/>
                      <w:highlight w:val="none"/>
                    </w:rPr>
                    <w:t>HW49</w:t>
                  </w:r>
                </w:p>
              </w:tc>
              <w:tc>
                <w:tcPr>
                  <w:tcW w:w="983" w:type="dxa"/>
                  <w:vMerge w:val="continue"/>
                  <w:vAlign w:val="center"/>
                </w:tcPr>
                <w:p w14:paraId="7F2297C4">
                  <w:pPr>
                    <w:pStyle w:val="30"/>
                    <w:rPr>
                      <w:color w:val="auto"/>
                      <w:highlight w:val="none"/>
                    </w:rPr>
                  </w:pPr>
                </w:p>
              </w:tc>
            </w:tr>
            <w:tr w14:paraId="7084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2E947919">
                  <w:pPr>
                    <w:pStyle w:val="30"/>
                    <w:rPr>
                      <w:color w:val="auto"/>
                      <w:highlight w:val="none"/>
                    </w:rPr>
                  </w:pPr>
                </w:p>
              </w:tc>
              <w:tc>
                <w:tcPr>
                  <w:tcW w:w="944" w:type="dxa"/>
                  <w:vMerge w:val="continue"/>
                  <w:vAlign w:val="center"/>
                </w:tcPr>
                <w:p w14:paraId="36A39C2E">
                  <w:pPr>
                    <w:pStyle w:val="30"/>
                    <w:rPr>
                      <w:color w:val="auto"/>
                      <w:highlight w:val="none"/>
                    </w:rPr>
                  </w:pPr>
                </w:p>
              </w:tc>
              <w:tc>
                <w:tcPr>
                  <w:tcW w:w="951" w:type="dxa"/>
                  <w:vAlign w:val="center"/>
                </w:tcPr>
                <w:p w14:paraId="04B42C15">
                  <w:pPr>
                    <w:pStyle w:val="30"/>
                    <w:rPr>
                      <w:color w:val="auto"/>
                      <w:highlight w:val="none"/>
                    </w:rPr>
                  </w:pPr>
                  <w:r>
                    <w:rPr>
                      <w:rFonts w:hint="eastAsia"/>
                      <w:color w:val="auto"/>
                      <w:highlight w:val="none"/>
                    </w:rPr>
                    <w:t>废电池S12</w:t>
                  </w:r>
                </w:p>
              </w:tc>
              <w:tc>
                <w:tcPr>
                  <w:tcW w:w="882" w:type="dxa"/>
                  <w:vAlign w:val="center"/>
                </w:tcPr>
                <w:p w14:paraId="02A86D9E">
                  <w:pPr>
                    <w:pStyle w:val="30"/>
                    <w:rPr>
                      <w:color w:val="auto"/>
                      <w:highlight w:val="none"/>
                    </w:rPr>
                  </w:pPr>
                  <w:r>
                    <w:rPr>
                      <w:rFonts w:hint="eastAsia"/>
                      <w:color w:val="auto"/>
                      <w:highlight w:val="none"/>
                    </w:rPr>
                    <w:t>0.4</w:t>
                  </w:r>
                </w:p>
              </w:tc>
              <w:tc>
                <w:tcPr>
                  <w:tcW w:w="1068" w:type="dxa"/>
                  <w:vAlign w:val="center"/>
                </w:tcPr>
                <w:p w14:paraId="290B3193">
                  <w:pPr>
                    <w:pStyle w:val="30"/>
                    <w:rPr>
                      <w:color w:val="auto"/>
                      <w:highlight w:val="none"/>
                    </w:rPr>
                  </w:pPr>
                  <w:r>
                    <w:rPr>
                      <w:rFonts w:hint="eastAsia"/>
                      <w:color w:val="auto"/>
                      <w:highlight w:val="none"/>
                    </w:rPr>
                    <w:t>危险固废</w:t>
                  </w:r>
                </w:p>
              </w:tc>
              <w:tc>
                <w:tcPr>
                  <w:tcW w:w="1103" w:type="dxa"/>
                  <w:vAlign w:val="center"/>
                </w:tcPr>
                <w:p w14:paraId="1CC992E1">
                  <w:pPr>
                    <w:pStyle w:val="30"/>
                    <w:rPr>
                      <w:color w:val="auto"/>
                      <w:highlight w:val="none"/>
                    </w:rPr>
                  </w:pPr>
                  <w:r>
                    <w:rPr>
                      <w:rFonts w:hint="eastAsia"/>
                      <w:color w:val="auto"/>
                      <w:highlight w:val="none"/>
                    </w:rPr>
                    <w:t>900-052-31</w:t>
                  </w:r>
                </w:p>
              </w:tc>
              <w:tc>
                <w:tcPr>
                  <w:tcW w:w="1018" w:type="dxa"/>
                  <w:vAlign w:val="center"/>
                </w:tcPr>
                <w:p w14:paraId="68DFE36A">
                  <w:pPr>
                    <w:pStyle w:val="30"/>
                    <w:rPr>
                      <w:color w:val="auto"/>
                      <w:highlight w:val="none"/>
                    </w:rPr>
                  </w:pPr>
                  <w:r>
                    <w:rPr>
                      <w:rFonts w:hint="eastAsia"/>
                      <w:color w:val="auto"/>
                      <w:highlight w:val="none"/>
                    </w:rPr>
                    <w:t>HW31</w:t>
                  </w:r>
                </w:p>
              </w:tc>
              <w:tc>
                <w:tcPr>
                  <w:tcW w:w="983" w:type="dxa"/>
                  <w:vMerge w:val="continue"/>
                  <w:vAlign w:val="center"/>
                </w:tcPr>
                <w:p w14:paraId="3617E47F">
                  <w:pPr>
                    <w:pStyle w:val="30"/>
                    <w:rPr>
                      <w:color w:val="auto"/>
                      <w:highlight w:val="none"/>
                    </w:rPr>
                  </w:pPr>
                </w:p>
              </w:tc>
            </w:tr>
          </w:tbl>
          <w:p w14:paraId="4522DF73">
            <w:pPr>
              <w:ind w:firstLine="480" w:firstLineChars="200"/>
              <w:rPr>
                <w:color w:val="auto"/>
                <w:highlight w:val="none"/>
              </w:rPr>
            </w:pPr>
            <w:r>
              <w:rPr>
                <w:color w:val="auto"/>
                <w:highlight w:val="none"/>
              </w:rPr>
              <w:t>根据上表可知，项目运行过程中产生的固体废弃物均能得到妥善处置，处置率100%。</w:t>
            </w:r>
          </w:p>
          <w:p w14:paraId="7CFC1CC5">
            <w:pPr>
              <w:rPr>
                <w:bCs/>
                <w:color w:val="auto"/>
                <w:highlight w:val="none"/>
              </w:rPr>
            </w:pPr>
            <w:r>
              <w:rPr>
                <w:rFonts w:hint="eastAsia"/>
                <w:bCs/>
                <w:snapToGrid w:val="0"/>
                <w:color w:val="auto"/>
                <w:highlight w:val="none"/>
              </w:rPr>
              <w:t>3</w:t>
            </w:r>
            <w:r>
              <w:rPr>
                <w:rFonts w:hint="eastAsia"/>
                <w:bCs/>
                <w:color w:val="auto"/>
                <w:highlight w:val="none"/>
              </w:rPr>
              <w:t>、</w:t>
            </w:r>
            <w:r>
              <w:rPr>
                <w:bCs/>
                <w:color w:val="auto"/>
                <w:highlight w:val="none"/>
              </w:rPr>
              <w:t>固体废物影响分析及其防治措施</w:t>
            </w:r>
          </w:p>
          <w:p w14:paraId="365970EC">
            <w:pPr>
              <w:ind w:firstLine="480" w:firstLineChars="200"/>
              <w:rPr>
                <w:color w:val="auto"/>
                <w:highlight w:val="none"/>
              </w:rPr>
            </w:pPr>
            <w:r>
              <w:rPr>
                <w:rFonts w:hint="eastAsia"/>
                <w:color w:val="auto"/>
                <w:highlight w:val="none"/>
              </w:rPr>
              <w:t>根据</w:t>
            </w:r>
            <w:r>
              <w:rPr>
                <w:color w:val="auto"/>
                <w:highlight w:val="none"/>
              </w:rPr>
              <w:t>《建设项目危险废物环境影响评价指南》要求</w:t>
            </w:r>
            <w:r>
              <w:rPr>
                <w:rFonts w:hint="eastAsia"/>
                <w:color w:val="auto"/>
                <w:highlight w:val="none"/>
              </w:rPr>
              <w:t>，危废暂存间</w:t>
            </w:r>
            <w:r>
              <w:rPr>
                <w:color w:val="auto"/>
                <w:highlight w:val="none"/>
              </w:rPr>
              <w:t>应关注</w:t>
            </w:r>
            <w:r>
              <w:rPr>
                <w:rFonts w:hint="eastAsia"/>
                <w:color w:val="auto"/>
                <w:highlight w:val="none"/>
              </w:rPr>
              <w:t>“</w:t>
            </w:r>
            <w:r>
              <w:rPr>
                <w:color w:val="auto"/>
                <w:highlight w:val="none"/>
              </w:rPr>
              <w:t>四防</w:t>
            </w:r>
            <w:r>
              <w:rPr>
                <w:rFonts w:hint="eastAsia"/>
                <w:color w:val="auto"/>
                <w:highlight w:val="none"/>
              </w:rPr>
              <w:t>”</w:t>
            </w:r>
            <w:r>
              <w:rPr>
                <w:color w:val="auto"/>
                <w:highlight w:val="none"/>
              </w:rPr>
              <w:t>（防风、防雨、防晒、防渗漏），明确防渗措施和渗漏收集措施，以及危险废物堆放方式、警示标识等方面内容。</w:t>
            </w:r>
            <w:r>
              <w:rPr>
                <w:rFonts w:hint="eastAsia"/>
                <w:color w:val="auto"/>
                <w:highlight w:val="none"/>
              </w:rPr>
              <w:t>危险废物收集和转运过程中，</w:t>
            </w:r>
            <w:r>
              <w:rPr>
                <w:rFonts w:hint="eastAsia"/>
                <w:color w:val="auto"/>
                <w:highlight w:val="none"/>
                <w:lang w:eastAsia="zh-CN"/>
              </w:rPr>
              <w:t>采用</w:t>
            </w:r>
            <w:r>
              <w:rPr>
                <w:rFonts w:hint="eastAsia"/>
                <w:color w:val="auto"/>
                <w:highlight w:val="none"/>
              </w:rPr>
              <w:t>专门车辆运输，合理规划运输方式及运输路线，确保运输过程中的安全性，防止污染事故的发生。</w:t>
            </w:r>
            <w:r>
              <w:rPr>
                <w:color w:val="auto"/>
                <w:highlight w:val="none"/>
              </w:rPr>
              <w:t>积极推行危险废物的无害化、减量化、资源化，提出合理、可行的措施，避免产生二次污染。</w:t>
            </w:r>
          </w:p>
          <w:p w14:paraId="07D13C43">
            <w:pPr>
              <w:ind w:firstLine="480" w:firstLineChars="200"/>
              <w:rPr>
                <w:color w:val="auto"/>
                <w:highlight w:val="none"/>
              </w:rPr>
            </w:pPr>
            <w:r>
              <w:rPr>
                <w:rFonts w:hint="eastAsia"/>
                <w:color w:val="auto"/>
                <w:highlight w:val="none"/>
              </w:rPr>
              <w:t>项目建设一般固废间和危废暂存间，位于</w:t>
            </w:r>
            <w:r>
              <w:rPr>
                <w:rFonts w:hint="eastAsia"/>
                <w:color w:val="auto"/>
                <w:highlight w:val="none"/>
                <w:lang w:eastAsia="zh-CN"/>
              </w:rPr>
              <w:t>智慧货运维修中心</w:t>
            </w:r>
            <w:r>
              <w:rPr>
                <w:rFonts w:hint="eastAsia"/>
                <w:color w:val="auto"/>
                <w:highlight w:val="none"/>
              </w:rPr>
              <w:t>东侧，面积均为1</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2</w:t>
            </w:r>
            <w:r>
              <w:rPr>
                <w:rFonts w:hint="eastAsia"/>
                <w:color w:val="auto"/>
                <w:highlight w:val="none"/>
              </w:rPr>
              <w:t>。危废暂存间应按照《危险废物贮存污染控制标准》</w:t>
            </w:r>
            <w:r>
              <w:rPr>
                <w:rFonts w:hint="eastAsia"/>
                <w:color w:val="auto"/>
                <w:highlight w:val="none"/>
                <w:lang w:eastAsia="zh-CN"/>
              </w:rPr>
              <w:t>（</w:t>
            </w:r>
            <w:r>
              <w:rPr>
                <w:rFonts w:hint="eastAsia"/>
                <w:color w:val="auto"/>
                <w:highlight w:val="none"/>
              </w:rPr>
              <w:t>GB18597-2023</w:t>
            </w:r>
            <w:r>
              <w:rPr>
                <w:rFonts w:hint="eastAsia"/>
                <w:color w:val="auto"/>
                <w:highlight w:val="none"/>
                <w:lang w:eastAsia="zh-CN"/>
              </w:rPr>
              <w:t>）</w:t>
            </w:r>
            <w:r>
              <w:rPr>
                <w:rFonts w:hint="eastAsia"/>
                <w:color w:val="auto"/>
                <w:highlight w:val="none"/>
              </w:rPr>
              <w:t>进行设置。所有危废必须分别装入容器内储存，应当使用符合标准的容器盛装危险废物。容器必须完好无损。禁止将不相容（相互反应）的危险废物在同一容器内混装。无法装入常用容器的危险废物可用防漏胶袋等盛装，盛装危险废物的容器材质和衬里要与危险废物相容（不相互反应）。危险废物贮存设施都必须按GB15562.2的规定设置警示标志。暂存</w:t>
            </w:r>
            <w:r>
              <w:rPr>
                <w:rFonts w:hint="eastAsia"/>
                <w:color w:val="auto"/>
                <w:highlight w:val="none"/>
                <w:lang w:eastAsia="zh-CN"/>
              </w:rPr>
              <w:t>场</w:t>
            </w:r>
            <w:r>
              <w:rPr>
                <w:rFonts w:hint="eastAsia"/>
                <w:color w:val="auto"/>
                <w:highlight w:val="none"/>
              </w:rPr>
              <w:t>所设施内要有安全照明设施和观察窗口。不相容的危险废物必须分开存放，并设有隔离间隔断。必须定期对所贮存的危险废物包装容器及贮存设施进行检查，发现破损，应及时采取措施清理更换。</w:t>
            </w:r>
          </w:p>
          <w:p w14:paraId="746C4577">
            <w:pPr>
              <w:ind w:firstLine="480" w:firstLineChars="200"/>
              <w:rPr>
                <w:rFonts w:hint="eastAsia" w:ascii="宋体" w:hAnsi="宋体" w:cs="宋体"/>
                <w:color w:val="auto"/>
                <w:kern w:val="0"/>
                <w:highlight w:val="none"/>
                <w:lang w:bidi="ar"/>
              </w:rPr>
            </w:pPr>
            <w:r>
              <w:rPr>
                <w:rFonts w:hint="eastAsia" w:ascii="宋体" w:hAnsi="宋体" w:cs="宋体"/>
                <w:color w:val="auto"/>
                <w:kern w:val="0"/>
                <w:highlight w:val="none"/>
                <w:lang w:bidi="ar"/>
              </w:rPr>
              <w:t>综上所述，本项目在做好防范措施情况下，产生的固体废物在采取上述措施分类收集后不会产生固废二次污染，不会对周边环境造成不利影响。</w:t>
            </w:r>
          </w:p>
          <w:p w14:paraId="7FB62773">
            <w:pPr>
              <w:rPr>
                <w:rFonts w:hint="eastAsia" w:ascii="宋体" w:hAnsi="宋体" w:cs="宋体"/>
                <w:b/>
                <w:bCs/>
                <w:color w:val="auto"/>
                <w:kern w:val="0"/>
                <w:highlight w:val="none"/>
                <w:lang w:bidi="ar"/>
              </w:rPr>
            </w:pPr>
            <w:r>
              <w:rPr>
                <w:rFonts w:hint="eastAsia" w:ascii="宋体" w:hAnsi="宋体" w:cs="宋体"/>
                <w:b/>
                <w:bCs/>
                <w:color w:val="auto"/>
                <w:kern w:val="0"/>
                <w:highlight w:val="none"/>
                <w:lang w:bidi="ar"/>
              </w:rPr>
              <w:t>五、环境风险</w:t>
            </w:r>
          </w:p>
          <w:p w14:paraId="224EA4D8">
            <w:pPr>
              <w:ind w:firstLine="480" w:firstLineChars="200"/>
              <w:rPr>
                <w:color w:val="auto"/>
                <w:highlight w:val="none"/>
              </w:rPr>
            </w:pPr>
            <w:r>
              <w:rPr>
                <w:rFonts w:hint="eastAsia"/>
                <w:color w:val="auto"/>
                <w:highlight w:val="none"/>
              </w:rPr>
              <w:t>环境风险评价的目的是通过分析建设项目运营期内可能发生的事故类型和对环境的影响程度和范围，以确定项目风险可承受程度，从而为工程设计提供参考依据。根据工程分析和原料特性知，项目具有一定的事故风险性，需要进行必要的环境事故风险分析，并在此基础上提出降低事故风险的措施，以确保事故时生产加油站内外的环境质量仍符合功能类别要求、职工及周边影响区内人群及生物的健康和生命安全有所保障。项目环境风险评价主要依据《建设项目环境风险评价技术导则》（HJ169-2018）的要求进行评价。</w:t>
            </w:r>
          </w:p>
          <w:p w14:paraId="27E3CDF7">
            <w:pPr>
              <w:snapToGrid w:val="0"/>
              <w:ind w:firstLine="480" w:firstLineChars="200"/>
              <w:rPr>
                <w:bCs/>
                <w:color w:val="auto"/>
                <w:highlight w:val="none"/>
              </w:rPr>
            </w:pPr>
            <w:r>
              <w:rPr>
                <w:rFonts w:hint="eastAsia"/>
                <w:bCs/>
                <w:color w:val="auto"/>
                <w:highlight w:val="none"/>
              </w:rPr>
              <w:t>1、环境风险评价</w:t>
            </w:r>
          </w:p>
          <w:p w14:paraId="417E72F0">
            <w:pPr>
              <w:snapToGrid w:val="0"/>
              <w:ind w:firstLine="480" w:firstLineChars="200"/>
              <w:rPr>
                <w:bCs/>
                <w:color w:val="auto"/>
                <w:highlight w:val="none"/>
              </w:rPr>
            </w:pPr>
            <w:r>
              <w:rPr>
                <w:rFonts w:hint="eastAsia"/>
                <w:bCs/>
                <w:color w:val="auto"/>
                <w:highlight w:val="none"/>
              </w:rPr>
              <w:t>（1）环境风险潜势初判</w:t>
            </w:r>
          </w:p>
          <w:p w14:paraId="653F2D39">
            <w:pPr>
              <w:ind w:firstLine="480" w:firstLineChars="200"/>
              <w:rPr>
                <w:bCs/>
                <w:snapToGrid w:val="0"/>
                <w:color w:val="auto"/>
                <w:kern w:val="0"/>
                <w:highlight w:val="none"/>
                <w:lang w:bidi="ar"/>
              </w:rPr>
            </w:pPr>
            <w:r>
              <w:rPr>
                <w:rFonts w:hint="eastAsia"/>
                <w:bCs/>
                <w:snapToGrid w:val="0"/>
                <w:color w:val="auto"/>
                <w:kern w:val="0"/>
                <w:highlight w:val="none"/>
                <w:lang w:bidi="ar"/>
              </w:rPr>
              <w:t>计算所涉及的每种危险物质在厂界内的最大存在总量与其临界值的比值</w:t>
            </w:r>
            <w:r>
              <w:rPr>
                <w:bCs/>
                <w:snapToGrid w:val="0"/>
                <w:color w:val="auto"/>
                <w:kern w:val="0"/>
                <w:highlight w:val="none"/>
                <w:lang w:bidi="ar"/>
              </w:rPr>
              <w:t>Q</w:t>
            </w:r>
            <w:r>
              <w:rPr>
                <w:rFonts w:hint="eastAsia"/>
                <w:bCs/>
                <w:snapToGrid w:val="0"/>
                <w:color w:val="auto"/>
                <w:kern w:val="0"/>
                <w:highlight w:val="none"/>
                <w:lang w:bidi="ar"/>
              </w:rPr>
              <w:t>。在不同厂区的同一种物质，按其在厂界内的最大存在总量计算。对于长输管线项目，按照两个截断阀室之间管段危险物质最大存在总量计算。</w:t>
            </w:r>
          </w:p>
          <w:p w14:paraId="3DE64D05">
            <w:pPr>
              <w:ind w:firstLine="480" w:firstLineChars="200"/>
              <w:rPr>
                <w:bCs/>
                <w:snapToGrid w:val="0"/>
                <w:color w:val="auto"/>
                <w:kern w:val="0"/>
                <w:highlight w:val="none"/>
                <w:lang w:bidi="ar"/>
              </w:rPr>
            </w:pPr>
            <w:r>
              <w:rPr>
                <w:rFonts w:hint="eastAsia"/>
                <w:bCs/>
                <w:snapToGrid w:val="0"/>
                <w:color w:val="auto"/>
                <w:kern w:val="0"/>
                <w:highlight w:val="none"/>
                <w:lang w:bidi="ar"/>
              </w:rPr>
              <w:t>当只涉及一种危险物质时，计算该物质的总量与其临界量比值，即为</w:t>
            </w:r>
            <w:r>
              <w:rPr>
                <w:bCs/>
                <w:snapToGrid w:val="0"/>
                <w:color w:val="auto"/>
                <w:kern w:val="0"/>
                <w:highlight w:val="none"/>
                <w:lang w:bidi="ar"/>
              </w:rPr>
              <w:t>Q</w:t>
            </w:r>
            <w:r>
              <w:rPr>
                <w:rFonts w:hint="eastAsia"/>
                <w:bCs/>
                <w:snapToGrid w:val="0"/>
                <w:color w:val="auto"/>
                <w:kern w:val="0"/>
                <w:highlight w:val="none"/>
                <w:lang w:bidi="ar"/>
              </w:rPr>
              <w:t>；</w:t>
            </w:r>
          </w:p>
          <w:p w14:paraId="354676D0">
            <w:pPr>
              <w:widowControl/>
              <w:ind w:firstLine="480" w:firstLineChars="200"/>
              <w:rPr>
                <w:bCs/>
                <w:snapToGrid w:val="0"/>
                <w:color w:val="auto"/>
                <w:kern w:val="0"/>
                <w:highlight w:val="none"/>
                <w:lang w:bidi="ar"/>
              </w:rPr>
            </w:pPr>
            <w:r>
              <w:rPr>
                <w:rFonts w:hint="eastAsia"/>
                <w:bCs/>
                <w:snapToGrid w:val="0"/>
                <w:color w:val="auto"/>
                <w:kern w:val="0"/>
                <w:highlight w:val="none"/>
                <w:lang w:bidi="ar"/>
              </w:rPr>
              <w:t>当存在多种危险物质时，则按下式计算物质总量与其临界量比值（</w:t>
            </w:r>
            <w:r>
              <w:rPr>
                <w:bCs/>
                <w:snapToGrid w:val="0"/>
                <w:color w:val="auto"/>
                <w:kern w:val="0"/>
                <w:highlight w:val="none"/>
                <w:lang w:bidi="ar"/>
              </w:rPr>
              <w:t>Q</w:t>
            </w:r>
            <w:r>
              <w:rPr>
                <w:rFonts w:hint="eastAsia"/>
                <w:bCs/>
                <w:snapToGrid w:val="0"/>
                <w:color w:val="auto"/>
                <w:kern w:val="0"/>
                <w:highlight w:val="none"/>
                <w:lang w:bidi="ar"/>
              </w:rPr>
              <w:t>）：</w:t>
            </w:r>
          </w:p>
          <w:p w14:paraId="132E3284">
            <w:pPr>
              <w:ind w:firstLine="480"/>
              <w:jc w:val="center"/>
              <w:rPr>
                <w:color w:val="auto"/>
                <w:highlight w:val="none"/>
              </w:rPr>
            </w:pPr>
            <w:r>
              <w:rPr>
                <w:color w:val="auto"/>
                <w:highlight w:val="none"/>
              </w:rPr>
              <w:t>Q=q</w:t>
            </w:r>
            <w:r>
              <w:rPr>
                <w:color w:val="auto"/>
                <w:highlight w:val="none"/>
                <w:vertAlign w:val="subscript"/>
              </w:rPr>
              <w:t>1</w:t>
            </w: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3</w:t>
            </w:r>
            <w:r>
              <w:rPr>
                <w:color w:val="auto"/>
                <w:highlight w:val="none"/>
              </w:rPr>
              <w:t>/Q</w:t>
            </w:r>
            <w:r>
              <w:rPr>
                <w:color w:val="auto"/>
                <w:highlight w:val="none"/>
                <w:vertAlign w:val="subscript"/>
              </w:rPr>
              <w:t>3</w:t>
            </w:r>
            <w:r>
              <w:rPr>
                <w:color w:val="auto"/>
                <w:highlight w:val="none"/>
              </w:rPr>
              <w:t>+…+q</w:t>
            </w:r>
            <w:r>
              <w:rPr>
                <w:color w:val="auto"/>
                <w:highlight w:val="none"/>
                <w:vertAlign w:val="subscript"/>
              </w:rPr>
              <w:t>n</w:t>
            </w:r>
            <w:r>
              <w:rPr>
                <w:color w:val="auto"/>
                <w:highlight w:val="none"/>
              </w:rPr>
              <w:t>/Q</w:t>
            </w:r>
            <w:r>
              <w:rPr>
                <w:color w:val="auto"/>
                <w:highlight w:val="none"/>
                <w:vertAlign w:val="subscript"/>
              </w:rPr>
              <w:t>n</w:t>
            </w:r>
          </w:p>
          <w:p w14:paraId="1AEFCB79">
            <w:pPr>
              <w:ind w:firstLine="480"/>
              <w:rPr>
                <w:color w:val="auto"/>
                <w:highlight w:val="none"/>
              </w:rPr>
            </w:pPr>
            <w:r>
              <w:rPr>
                <w:rFonts w:hint="eastAsia"/>
                <w:color w:val="auto"/>
                <w:highlight w:val="none"/>
              </w:rPr>
              <w:t>式中：</w:t>
            </w:r>
          </w:p>
          <w:p w14:paraId="40EB2769">
            <w:pPr>
              <w:ind w:firstLine="960" w:firstLineChars="400"/>
              <w:rPr>
                <w:color w:val="auto"/>
                <w:highlight w:val="none"/>
              </w:rPr>
            </w:pP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3</w:t>
            </w:r>
            <w:r>
              <w:rPr>
                <w:color w:val="auto"/>
                <w:highlight w:val="none"/>
              </w:rPr>
              <w:t>，…，q</w:t>
            </w:r>
            <w:r>
              <w:rPr>
                <w:color w:val="auto"/>
                <w:highlight w:val="none"/>
                <w:vertAlign w:val="subscript"/>
              </w:rPr>
              <w:t>n</w:t>
            </w:r>
            <w:r>
              <w:rPr>
                <w:color w:val="auto"/>
                <w:highlight w:val="none"/>
              </w:rPr>
              <w:t>——每种危险物质</w:t>
            </w:r>
            <w:r>
              <w:rPr>
                <w:rFonts w:hint="eastAsia"/>
                <w:color w:val="auto"/>
                <w:highlight w:val="none"/>
              </w:rPr>
              <w:t>的最大存在总量</w:t>
            </w:r>
            <w:r>
              <w:rPr>
                <w:color w:val="auto"/>
                <w:highlight w:val="none"/>
              </w:rPr>
              <w:t>，t；</w:t>
            </w:r>
          </w:p>
          <w:p w14:paraId="4A3C21BF">
            <w:pPr>
              <w:ind w:firstLine="960" w:firstLineChars="400"/>
              <w:rPr>
                <w:color w:val="auto"/>
                <w:highlight w:val="none"/>
              </w:rPr>
            </w:pP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3</w:t>
            </w:r>
            <w:r>
              <w:rPr>
                <w:color w:val="auto"/>
                <w:highlight w:val="none"/>
              </w:rPr>
              <w:t>，…，Q</w:t>
            </w:r>
            <w:r>
              <w:rPr>
                <w:color w:val="auto"/>
                <w:highlight w:val="none"/>
                <w:vertAlign w:val="subscript"/>
              </w:rPr>
              <w:t>n</w:t>
            </w:r>
            <w:r>
              <w:rPr>
                <w:color w:val="auto"/>
                <w:highlight w:val="none"/>
              </w:rPr>
              <w:t>——</w:t>
            </w:r>
            <w:r>
              <w:rPr>
                <w:rFonts w:hint="eastAsia"/>
                <w:color w:val="auto"/>
                <w:highlight w:val="none"/>
              </w:rPr>
              <w:t>每种危险物质的</w:t>
            </w:r>
            <w:r>
              <w:rPr>
                <w:color w:val="auto"/>
                <w:highlight w:val="none"/>
              </w:rPr>
              <w:t>临界量，t。</w:t>
            </w:r>
          </w:p>
          <w:p w14:paraId="2E538304">
            <w:pPr>
              <w:ind w:firstLine="960" w:firstLineChars="400"/>
              <w:rPr>
                <w:color w:val="auto"/>
                <w:highlight w:val="none"/>
              </w:rPr>
            </w:pPr>
            <w:r>
              <w:rPr>
                <w:rFonts w:hint="eastAsia"/>
                <w:color w:val="auto"/>
                <w:highlight w:val="none"/>
              </w:rPr>
              <w:t>当Q＜1时，该项目环境风险潜势为</w:t>
            </w:r>
            <w:r>
              <w:rPr>
                <w:color w:val="auto"/>
                <w:highlight w:val="none"/>
              </w:rPr>
              <w:t>Ⅰ</w:t>
            </w:r>
            <w:r>
              <w:rPr>
                <w:rFonts w:hint="eastAsia"/>
                <w:color w:val="auto"/>
                <w:highlight w:val="none"/>
              </w:rPr>
              <w:t>。</w:t>
            </w:r>
          </w:p>
          <w:p w14:paraId="0A168E56">
            <w:pPr>
              <w:ind w:firstLine="960" w:firstLineChars="400"/>
              <w:rPr>
                <w:color w:val="auto"/>
                <w:highlight w:val="none"/>
              </w:rPr>
            </w:pPr>
            <w:r>
              <w:rPr>
                <w:rFonts w:hint="eastAsia"/>
                <w:color w:val="auto"/>
                <w:highlight w:val="none"/>
              </w:rPr>
              <w:t>当Q≥1时，讲Q值划分为：（1）1≤Q＜10；（2）10≤Q＜100；（3）Q≥100。</w:t>
            </w:r>
          </w:p>
          <w:p w14:paraId="47D11BB6">
            <w:pPr>
              <w:widowControl/>
              <w:ind w:firstLine="480" w:firstLineChars="200"/>
              <w:jc w:val="left"/>
              <w:rPr>
                <w:color w:val="auto"/>
                <w:highlight w:val="none"/>
              </w:rPr>
            </w:pPr>
            <w:r>
              <w:rPr>
                <w:color w:val="auto"/>
                <w:highlight w:val="none"/>
              </w:rPr>
              <w:t>本项目</w:t>
            </w:r>
            <w:r>
              <w:rPr>
                <w:rFonts w:hint="eastAsia"/>
                <w:color w:val="auto"/>
                <w:highlight w:val="none"/>
              </w:rPr>
              <w:t>使用3个5</w:t>
            </w:r>
            <w:r>
              <w:rPr>
                <w:color w:val="auto"/>
                <w:highlight w:val="none"/>
              </w:rPr>
              <w:t>0m</w:t>
            </w:r>
            <w:r>
              <w:rPr>
                <w:color w:val="auto"/>
                <w:highlight w:val="none"/>
                <w:vertAlign w:val="superscript"/>
              </w:rPr>
              <w:t>3</w:t>
            </w:r>
            <w:r>
              <w:rPr>
                <w:rFonts w:hint="eastAsia"/>
                <w:color w:val="auto"/>
                <w:highlight w:val="none"/>
              </w:rPr>
              <w:t>柴油罐、2个</w:t>
            </w:r>
            <w:r>
              <w:rPr>
                <w:color w:val="auto"/>
                <w:highlight w:val="none"/>
              </w:rPr>
              <w:t>30m</w:t>
            </w:r>
            <w:r>
              <w:rPr>
                <w:color w:val="auto"/>
                <w:highlight w:val="none"/>
                <w:vertAlign w:val="superscript"/>
              </w:rPr>
              <w:t>3</w:t>
            </w:r>
            <w:r>
              <w:rPr>
                <w:rFonts w:hint="eastAsia"/>
                <w:color w:val="auto"/>
                <w:highlight w:val="none"/>
              </w:rPr>
              <w:t>汽油罐。</w:t>
            </w:r>
            <w:r>
              <w:rPr>
                <w:rFonts w:hint="eastAsia" w:ascii="宋体" w:hAnsi="宋体" w:cs="宋体"/>
                <w:color w:val="auto"/>
                <w:kern w:val="0"/>
                <w:highlight w:val="none"/>
                <w:lang w:bidi="ar"/>
              </w:rPr>
              <w:t>汽油、柴油单个储罐最大储存量以</w:t>
            </w:r>
            <w:r>
              <w:rPr>
                <w:color w:val="auto"/>
                <w:kern w:val="0"/>
                <w:highlight w:val="none"/>
                <w:lang w:bidi="ar"/>
              </w:rPr>
              <w:t>90%</w:t>
            </w:r>
            <w:r>
              <w:rPr>
                <w:rFonts w:hint="eastAsia" w:ascii="宋体" w:hAnsi="宋体" w:cs="宋体"/>
                <w:color w:val="auto"/>
                <w:kern w:val="0"/>
                <w:highlight w:val="none"/>
                <w:lang w:bidi="ar"/>
              </w:rPr>
              <w:t>计。其中</w:t>
            </w:r>
            <w:r>
              <w:rPr>
                <w:rFonts w:hint="eastAsia"/>
                <w:color w:val="auto"/>
                <w:highlight w:val="none"/>
              </w:rPr>
              <w:t>汽油密度以</w:t>
            </w:r>
            <w:r>
              <w:rPr>
                <w:color w:val="auto"/>
                <w:highlight w:val="none"/>
              </w:rPr>
              <w:t>0.74t/m</w:t>
            </w:r>
            <w:r>
              <w:rPr>
                <w:color w:val="auto"/>
                <w:highlight w:val="none"/>
                <w:vertAlign w:val="superscript"/>
              </w:rPr>
              <w:t>3</w:t>
            </w:r>
            <w:r>
              <w:rPr>
                <w:rFonts w:hint="eastAsia" w:ascii="宋体" w:hAnsi="宋体" w:cs="宋体"/>
                <w:color w:val="auto"/>
                <w:kern w:val="0"/>
                <w:highlight w:val="none"/>
                <w:lang w:bidi="ar"/>
              </w:rPr>
              <w:t>计，则汽油</w:t>
            </w:r>
            <w:r>
              <w:rPr>
                <w:rFonts w:hint="eastAsia"/>
                <w:color w:val="auto"/>
                <w:highlight w:val="none"/>
              </w:rPr>
              <w:t>最大储量为39.96</w:t>
            </w:r>
            <w:r>
              <w:rPr>
                <w:color w:val="auto"/>
                <w:highlight w:val="none"/>
              </w:rPr>
              <w:t>t</w:t>
            </w:r>
            <w:r>
              <w:rPr>
                <w:rFonts w:hint="eastAsia"/>
                <w:color w:val="auto"/>
                <w:highlight w:val="none"/>
              </w:rPr>
              <w:t>。柴油的</w:t>
            </w:r>
            <w:r>
              <w:rPr>
                <w:rFonts w:hint="eastAsia" w:ascii="宋体" w:hAnsi="宋体" w:cs="宋体"/>
                <w:color w:val="auto"/>
                <w:kern w:val="0"/>
                <w:highlight w:val="none"/>
                <w:lang w:bidi="ar"/>
              </w:rPr>
              <w:t>密度以</w:t>
            </w:r>
            <w:r>
              <w:rPr>
                <w:color w:val="auto"/>
                <w:kern w:val="0"/>
                <w:highlight w:val="none"/>
                <w:lang w:bidi="ar"/>
              </w:rPr>
              <w:t>0.84t/m</w:t>
            </w:r>
            <w:r>
              <w:rPr>
                <w:color w:val="auto"/>
                <w:kern w:val="0"/>
                <w:highlight w:val="none"/>
                <w:vertAlign w:val="superscript"/>
                <w:lang w:bidi="ar"/>
              </w:rPr>
              <w:t>3</w:t>
            </w:r>
            <w:r>
              <w:rPr>
                <w:rFonts w:hint="eastAsia" w:ascii="宋体" w:hAnsi="宋体" w:cs="宋体"/>
                <w:color w:val="auto"/>
                <w:kern w:val="0"/>
                <w:highlight w:val="none"/>
                <w:lang w:bidi="ar"/>
              </w:rPr>
              <w:t>计，则柴</w:t>
            </w:r>
            <w:r>
              <w:rPr>
                <w:rFonts w:hint="eastAsia"/>
                <w:color w:val="auto"/>
                <w:highlight w:val="none"/>
              </w:rPr>
              <w:t>油最大储量为113.4</w:t>
            </w:r>
            <w:r>
              <w:rPr>
                <w:color w:val="auto"/>
                <w:highlight w:val="none"/>
              </w:rPr>
              <w:t>t</w:t>
            </w:r>
            <w:r>
              <w:rPr>
                <w:rFonts w:hint="eastAsia"/>
                <w:color w:val="auto"/>
                <w:highlight w:val="none"/>
              </w:rPr>
              <w:t>。</w:t>
            </w:r>
          </w:p>
          <w:p w14:paraId="6D97F49B">
            <w:pPr>
              <w:widowControl/>
              <w:ind w:firstLine="480" w:firstLineChars="200"/>
              <w:rPr>
                <w:b/>
                <w:bCs/>
                <w:color w:val="auto"/>
                <w:spacing w:val="6"/>
                <w:highlight w:val="none"/>
              </w:rPr>
            </w:pPr>
            <w:r>
              <w:rPr>
                <w:rFonts w:hint="eastAsia"/>
                <w:color w:val="auto"/>
                <w:highlight w:val="none"/>
              </w:rPr>
              <w:t>本项目汽油、柴油临界量参照《建设项目的环境风险评价技术导则》（</w:t>
            </w:r>
            <w:r>
              <w:rPr>
                <w:color w:val="auto"/>
                <w:highlight w:val="none"/>
              </w:rPr>
              <w:t>HJ169-2018</w:t>
            </w:r>
            <w:r>
              <w:rPr>
                <w:rFonts w:hint="eastAsia"/>
                <w:color w:val="auto"/>
                <w:highlight w:val="none"/>
              </w:rPr>
              <w:t>）中附录</w:t>
            </w:r>
            <w:r>
              <w:rPr>
                <w:color w:val="auto"/>
                <w:highlight w:val="none"/>
              </w:rPr>
              <w:t>B</w:t>
            </w:r>
            <w:r>
              <w:rPr>
                <w:rFonts w:hint="eastAsia"/>
                <w:color w:val="auto"/>
                <w:highlight w:val="none"/>
              </w:rPr>
              <w:t>“油类物质”，其</w:t>
            </w:r>
            <w:r>
              <w:rPr>
                <w:color w:val="auto"/>
                <w:highlight w:val="none"/>
              </w:rPr>
              <w:t>Q</w:t>
            </w:r>
            <w:r>
              <w:rPr>
                <w:rFonts w:hint="eastAsia"/>
                <w:color w:val="auto"/>
                <w:highlight w:val="none"/>
              </w:rPr>
              <w:t>值确定见下表。</w:t>
            </w:r>
          </w:p>
          <w:p w14:paraId="72D25924">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t xml:space="preserve"> </w:t>
            </w:r>
            <w:r>
              <w:rPr>
                <w:color w:val="auto"/>
                <w:highlight w:val="none"/>
              </w:rPr>
              <w:t>物质的种类、特性及最大贮存量</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837"/>
              <w:gridCol w:w="2100"/>
              <w:gridCol w:w="1827"/>
              <w:gridCol w:w="1163"/>
              <w:gridCol w:w="1664"/>
            </w:tblGrid>
            <w:tr w14:paraId="1DBD9E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603" w:hRule="exact"/>
                <w:jc w:val="center"/>
              </w:trPr>
              <w:tc>
                <w:tcPr>
                  <w:tcW w:w="551" w:type="pct"/>
                  <w:tcBorders>
                    <w:top w:val="single" w:color="auto" w:sz="4" w:space="0"/>
                    <w:left w:val="single" w:color="auto" w:sz="4" w:space="0"/>
                  </w:tcBorders>
                  <w:vAlign w:val="center"/>
                </w:tcPr>
                <w:p w14:paraId="74101DDA">
                  <w:pPr>
                    <w:pStyle w:val="30"/>
                    <w:rPr>
                      <w:b/>
                      <w:bCs/>
                      <w:color w:val="auto"/>
                      <w:highlight w:val="none"/>
                    </w:rPr>
                  </w:pPr>
                  <w:r>
                    <w:rPr>
                      <w:b/>
                      <w:bCs/>
                      <w:color w:val="auto"/>
                      <w:highlight w:val="none"/>
                    </w:rPr>
                    <w:t>序号</w:t>
                  </w:r>
                </w:p>
              </w:tc>
              <w:tc>
                <w:tcPr>
                  <w:tcW w:w="1383" w:type="pct"/>
                  <w:tcBorders>
                    <w:top w:val="single" w:color="auto" w:sz="4" w:space="0"/>
                  </w:tcBorders>
                  <w:vAlign w:val="center"/>
                </w:tcPr>
                <w:p w14:paraId="50AEB209">
                  <w:pPr>
                    <w:pStyle w:val="30"/>
                    <w:rPr>
                      <w:b/>
                      <w:bCs/>
                      <w:color w:val="auto"/>
                      <w:highlight w:val="none"/>
                    </w:rPr>
                  </w:pPr>
                  <w:r>
                    <w:rPr>
                      <w:b/>
                      <w:bCs/>
                      <w:color w:val="auto"/>
                      <w:highlight w:val="none"/>
                    </w:rPr>
                    <w:t>危险物质名称</w:t>
                  </w:r>
                </w:p>
              </w:tc>
              <w:tc>
                <w:tcPr>
                  <w:tcW w:w="1203" w:type="pct"/>
                  <w:tcBorders>
                    <w:top w:val="single" w:color="auto" w:sz="4" w:space="0"/>
                  </w:tcBorders>
                  <w:vAlign w:val="center"/>
                </w:tcPr>
                <w:p w14:paraId="3DA19440">
                  <w:pPr>
                    <w:pStyle w:val="30"/>
                    <w:rPr>
                      <w:rFonts w:hint="eastAsia" w:eastAsia="宋体"/>
                      <w:b/>
                      <w:bCs/>
                      <w:color w:val="auto"/>
                      <w:highlight w:val="none"/>
                      <w:lang w:eastAsia="zh-CN"/>
                    </w:rPr>
                  </w:pPr>
                  <w:r>
                    <w:rPr>
                      <w:b/>
                      <w:bCs/>
                      <w:color w:val="auto"/>
                      <w:highlight w:val="none"/>
                    </w:rPr>
                    <w:t>最大存在总量</w:t>
                  </w:r>
                  <w:r>
                    <w:rPr>
                      <w:rFonts w:hint="eastAsia"/>
                      <w:b/>
                      <w:bCs/>
                      <w:color w:val="auto"/>
                      <w:highlight w:val="none"/>
                      <w:lang w:eastAsia="zh-CN"/>
                    </w:rPr>
                    <w:t>（</w:t>
                  </w:r>
                  <w:r>
                    <w:rPr>
                      <w:b/>
                      <w:bCs/>
                      <w:color w:val="auto"/>
                      <w:highlight w:val="none"/>
                    </w:rPr>
                    <w:t>t</w:t>
                  </w:r>
                  <w:r>
                    <w:rPr>
                      <w:rFonts w:hint="eastAsia"/>
                      <w:b/>
                      <w:bCs/>
                      <w:color w:val="auto"/>
                      <w:highlight w:val="none"/>
                      <w:lang w:eastAsia="zh-CN"/>
                    </w:rPr>
                    <w:t>）</w:t>
                  </w:r>
                </w:p>
              </w:tc>
              <w:tc>
                <w:tcPr>
                  <w:tcW w:w="766" w:type="pct"/>
                  <w:tcBorders>
                    <w:top w:val="single" w:color="auto" w:sz="4" w:space="0"/>
                  </w:tcBorders>
                  <w:vAlign w:val="center"/>
                </w:tcPr>
                <w:p w14:paraId="50F0261C">
                  <w:pPr>
                    <w:pStyle w:val="30"/>
                    <w:rPr>
                      <w:rFonts w:hint="eastAsia" w:eastAsia="宋体"/>
                      <w:b/>
                      <w:bCs/>
                      <w:color w:val="auto"/>
                      <w:highlight w:val="none"/>
                      <w:lang w:eastAsia="zh-CN"/>
                    </w:rPr>
                  </w:pPr>
                  <w:r>
                    <w:rPr>
                      <w:b/>
                      <w:bCs/>
                      <w:color w:val="auto"/>
                      <w:highlight w:val="none"/>
                    </w:rPr>
                    <w:t>临界量</w:t>
                  </w:r>
                  <w:r>
                    <w:rPr>
                      <w:rFonts w:hint="eastAsia"/>
                      <w:b/>
                      <w:bCs/>
                      <w:color w:val="auto"/>
                      <w:highlight w:val="none"/>
                      <w:lang w:eastAsia="zh-CN"/>
                    </w:rPr>
                    <w:t>（</w:t>
                  </w:r>
                  <w:r>
                    <w:rPr>
                      <w:b/>
                      <w:bCs/>
                      <w:color w:val="auto"/>
                      <w:highlight w:val="none"/>
                    </w:rPr>
                    <w:t>t</w:t>
                  </w:r>
                  <w:r>
                    <w:rPr>
                      <w:rFonts w:hint="eastAsia"/>
                      <w:b/>
                      <w:bCs/>
                      <w:color w:val="auto"/>
                      <w:highlight w:val="none"/>
                      <w:lang w:eastAsia="zh-CN"/>
                    </w:rPr>
                    <w:t>）</w:t>
                  </w:r>
                </w:p>
              </w:tc>
              <w:tc>
                <w:tcPr>
                  <w:tcW w:w="1096" w:type="pct"/>
                  <w:tcBorders>
                    <w:top w:val="single" w:color="auto" w:sz="4" w:space="0"/>
                    <w:right w:val="single" w:color="auto" w:sz="4" w:space="0"/>
                  </w:tcBorders>
                  <w:vAlign w:val="center"/>
                </w:tcPr>
                <w:p w14:paraId="528AD7BE">
                  <w:pPr>
                    <w:pStyle w:val="30"/>
                    <w:rPr>
                      <w:b/>
                      <w:bCs/>
                      <w:color w:val="auto"/>
                      <w:highlight w:val="none"/>
                    </w:rPr>
                  </w:pPr>
                  <w:r>
                    <w:rPr>
                      <w:b/>
                      <w:bCs/>
                      <w:color w:val="auto"/>
                      <w:highlight w:val="none"/>
                    </w:rPr>
                    <w:t>该种危险物质Q值</w:t>
                  </w:r>
                </w:p>
              </w:tc>
            </w:tr>
            <w:tr w14:paraId="5A0008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551" w:type="pct"/>
                  <w:tcBorders>
                    <w:left w:val="single" w:color="auto" w:sz="4" w:space="0"/>
                  </w:tcBorders>
                  <w:vAlign w:val="center"/>
                </w:tcPr>
                <w:p w14:paraId="7AEAAD8B">
                  <w:pPr>
                    <w:pStyle w:val="30"/>
                    <w:rPr>
                      <w:color w:val="auto"/>
                      <w:highlight w:val="none"/>
                    </w:rPr>
                  </w:pPr>
                  <w:r>
                    <w:rPr>
                      <w:color w:val="auto"/>
                      <w:highlight w:val="none"/>
                    </w:rPr>
                    <w:t>1</w:t>
                  </w:r>
                </w:p>
              </w:tc>
              <w:tc>
                <w:tcPr>
                  <w:tcW w:w="1383" w:type="pct"/>
                  <w:vAlign w:val="center"/>
                </w:tcPr>
                <w:p w14:paraId="30BD1DE3">
                  <w:pPr>
                    <w:pStyle w:val="30"/>
                    <w:rPr>
                      <w:color w:val="auto"/>
                      <w:highlight w:val="none"/>
                    </w:rPr>
                  </w:pPr>
                  <w:r>
                    <w:rPr>
                      <w:color w:val="auto"/>
                      <w:highlight w:val="none"/>
                    </w:rPr>
                    <w:t>汽油</w:t>
                  </w:r>
                </w:p>
              </w:tc>
              <w:tc>
                <w:tcPr>
                  <w:tcW w:w="1203" w:type="pct"/>
                  <w:vAlign w:val="center"/>
                </w:tcPr>
                <w:p w14:paraId="5339568E">
                  <w:pPr>
                    <w:pStyle w:val="30"/>
                    <w:rPr>
                      <w:color w:val="auto"/>
                      <w:highlight w:val="none"/>
                    </w:rPr>
                  </w:pPr>
                  <w:r>
                    <w:rPr>
                      <w:rFonts w:hint="eastAsia"/>
                      <w:color w:val="auto"/>
                      <w:highlight w:val="none"/>
                    </w:rPr>
                    <w:t>39.96</w:t>
                  </w:r>
                </w:p>
              </w:tc>
              <w:tc>
                <w:tcPr>
                  <w:tcW w:w="766" w:type="pct"/>
                  <w:vAlign w:val="center"/>
                </w:tcPr>
                <w:p w14:paraId="72426571">
                  <w:pPr>
                    <w:pStyle w:val="30"/>
                    <w:rPr>
                      <w:color w:val="auto"/>
                      <w:highlight w:val="none"/>
                    </w:rPr>
                  </w:pPr>
                  <w:r>
                    <w:rPr>
                      <w:rFonts w:hint="eastAsia"/>
                      <w:color w:val="auto"/>
                      <w:highlight w:val="none"/>
                    </w:rPr>
                    <w:t>2500</w:t>
                  </w:r>
                </w:p>
              </w:tc>
              <w:tc>
                <w:tcPr>
                  <w:tcW w:w="1096" w:type="pct"/>
                  <w:tcBorders>
                    <w:right w:val="single" w:color="auto" w:sz="4" w:space="0"/>
                  </w:tcBorders>
                  <w:vAlign w:val="center"/>
                </w:tcPr>
                <w:p w14:paraId="68E214CE">
                  <w:pPr>
                    <w:pStyle w:val="30"/>
                    <w:rPr>
                      <w:color w:val="auto"/>
                      <w:highlight w:val="none"/>
                    </w:rPr>
                  </w:pPr>
                  <w:r>
                    <w:rPr>
                      <w:rFonts w:hint="eastAsia"/>
                      <w:color w:val="auto"/>
                      <w:highlight w:val="none"/>
                    </w:rPr>
                    <w:t>0.016</w:t>
                  </w:r>
                </w:p>
              </w:tc>
            </w:tr>
            <w:tr w14:paraId="0B687F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551" w:type="pct"/>
                  <w:tcBorders>
                    <w:left w:val="single" w:color="auto" w:sz="4" w:space="0"/>
                  </w:tcBorders>
                  <w:vAlign w:val="center"/>
                </w:tcPr>
                <w:p w14:paraId="590131F1">
                  <w:pPr>
                    <w:pStyle w:val="30"/>
                    <w:rPr>
                      <w:color w:val="auto"/>
                      <w:highlight w:val="none"/>
                    </w:rPr>
                  </w:pPr>
                  <w:r>
                    <w:rPr>
                      <w:rFonts w:hint="eastAsia"/>
                      <w:color w:val="auto"/>
                      <w:highlight w:val="none"/>
                    </w:rPr>
                    <w:t>2</w:t>
                  </w:r>
                </w:p>
              </w:tc>
              <w:tc>
                <w:tcPr>
                  <w:tcW w:w="1383" w:type="pct"/>
                  <w:vAlign w:val="center"/>
                </w:tcPr>
                <w:p w14:paraId="5B045C78">
                  <w:pPr>
                    <w:pStyle w:val="30"/>
                    <w:rPr>
                      <w:color w:val="auto"/>
                      <w:highlight w:val="none"/>
                    </w:rPr>
                  </w:pPr>
                  <w:r>
                    <w:rPr>
                      <w:rFonts w:hint="eastAsia"/>
                      <w:color w:val="auto"/>
                      <w:highlight w:val="none"/>
                    </w:rPr>
                    <w:t>柴油</w:t>
                  </w:r>
                </w:p>
              </w:tc>
              <w:tc>
                <w:tcPr>
                  <w:tcW w:w="1203" w:type="pct"/>
                  <w:vAlign w:val="center"/>
                </w:tcPr>
                <w:p w14:paraId="222E082C">
                  <w:pPr>
                    <w:pStyle w:val="30"/>
                    <w:rPr>
                      <w:color w:val="auto"/>
                      <w:highlight w:val="none"/>
                    </w:rPr>
                  </w:pPr>
                  <w:r>
                    <w:rPr>
                      <w:rFonts w:hint="eastAsia"/>
                      <w:color w:val="auto"/>
                      <w:highlight w:val="none"/>
                    </w:rPr>
                    <w:t>113.4</w:t>
                  </w:r>
                </w:p>
              </w:tc>
              <w:tc>
                <w:tcPr>
                  <w:tcW w:w="766" w:type="pct"/>
                  <w:vAlign w:val="center"/>
                </w:tcPr>
                <w:p w14:paraId="118EE0EF">
                  <w:pPr>
                    <w:pStyle w:val="30"/>
                    <w:rPr>
                      <w:color w:val="auto"/>
                      <w:highlight w:val="none"/>
                    </w:rPr>
                  </w:pPr>
                  <w:r>
                    <w:rPr>
                      <w:rFonts w:hint="eastAsia"/>
                      <w:color w:val="auto"/>
                      <w:highlight w:val="none"/>
                    </w:rPr>
                    <w:t>2500</w:t>
                  </w:r>
                </w:p>
              </w:tc>
              <w:tc>
                <w:tcPr>
                  <w:tcW w:w="1096" w:type="pct"/>
                  <w:tcBorders>
                    <w:right w:val="single" w:color="auto" w:sz="4" w:space="0"/>
                  </w:tcBorders>
                  <w:vAlign w:val="center"/>
                </w:tcPr>
                <w:p w14:paraId="060C219F">
                  <w:pPr>
                    <w:pStyle w:val="30"/>
                    <w:rPr>
                      <w:color w:val="auto"/>
                      <w:highlight w:val="none"/>
                    </w:rPr>
                  </w:pPr>
                  <w:r>
                    <w:rPr>
                      <w:rFonts w:hint="eastAsia"/>
                      <w:color w:val="auto"/>
                      <w:highlight w:val="none"/>
                    </w:rPr>
                    <w:t>0.045</w:t>
                  </w:r>
                </w:p>
              </w:tc>
            </w:tr>
            <w:tr w14:paraId="471067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551" w:type="pct"/>
                  <w:tcBorders>
                    <w:left w:val="single" w:color="auto" w:sz="4" w:space="0"/>
                  </w:tcBorders>
                  <w:vAlign w:val="center"/>
                </w:tcPr>
                <w:p w14:paraId="5514C805">
                  <w:pPr>
                    <w:pStyle w:val="30"/>
                    <w:rPr>
                      <w:rFonts w:hint="eastAsia" w:eastAsia="宋体"/>
                      <w:color w:val="auto"/>
                      <w:highlight w:val="none"/>
                      <w:lang w:val="en-US" w:eastAsia="zh-CN"/>
                    </w:rPr>
                  </w:pPr>
                  <w:r>
                    <w:rPr>
                      <w:rFonts w:hint="eastAsia"/>
                      <w:color w:val="auto"/>
                      <w:highlight w:val="none"/>
                      <w:lang w:val="en-US" w:eastAsia="zh-CN"/>
                    </w:rPr>
                    <w:t>3</w:t>
                  </w:r>
                </w:p>
              </w:tc>
              <w:tc>
                <w:tcPr>
                  <w:tcW w:w="1383" w:type="pct"/>
                  <w:vAlign w:val="center"/>
                </w:tcPr>
                <w:p w14:paraId="5ED73095">
                  <w:pPr>
                    <w:pStyle w:val="30"/>
                    <w:rPr>
                      <w:rFonts w:hint="eastAsia" w:eastAsia="宋体"/>
                      <w:color w:val="auto"/>
                      <w:highlight w:val="none"/>
                      <w:lang w:eastAsia="zh-CN"/>
                    </w:rPr>
                  </w:pPr>
                  <w:r>
                    <w:rPr>
                      <w:rFonts w:hint="eastAsia"/>
                      <w:color w:val="auto"/>
                      <w:szCs w:val="21"/>
                      <w:highlight w:val="none"/>
                    </w:rPr>
                    <w:t>32.5%车用尿素（氨）</w:t>
                  </w:r>
                </w:p>
              </w:tc>
              <w:tc>
                <w:tcPr>
                  <w:tcW w:w="1203" w:type="pct"/>
                  <w:vAlign w:val="center"/>
                </w:tcPr>
                <w:p w14:paraId="69C845ED">
                  <w:pPr>
                    <w:pStyle w:val="30"/>
                    <w:rPr>
                      <w:rFonts w:hint="default" w:eastAsia="宋体"/>
                      <w:color w:val="auto"/>
                      <w:highlight w:val="none"/>
                      <w:lang w:val="en-US" w:eastAsia="zh-CN"/>
                    </w:rPr>
                  </w:pPr>
                  <w:r>
                    <w:rPr>
                      <w:rFonts w:hint="eastAsia"/>
                      <w:color w:val="auto"/>
                      <w:highlight w:val="none"/>
                      <w:lang w:val="en-US" w:eastAsia="zh-CN"/>
                    </w:rPr>
                    <w:t>0.137</w:t>
                  </w:r>
                </w:p>
              </w:tc>
              <w:tc>
                <w:tcPr>
                  <w:tcW w:w="766" w:type="pct"/>
                  <w:vAlign w:val="center"/>
                </w:tcPr>
                <w:p w14:paraId="20EF4081">
                  <w:pPr>
                    <w:pStyle w:val="30"/>
                    <w:rPr>
                      <w:rFonts w:hint="default" w:eastAsia="宋体"/>
                      <w:color w:val="auto"/>
                      <w:highlight w:val="none"/>
                      <w:lang w:val="en-US" w:eastAsia="zh-CN"/>
                    </w:rPr>
                  </w:pPr>
                  <w:r>
                    <w:rPr>
                      <w:rFonts w:hint="eastAsia"/>
                      <w:color w:val="auto"/>
                      <w:highlight w:val="none"/>
                      <w:lang w:val="en-US" w:eastAsia="zh-CN"/>
                    </w:rPr>
                    <w:t>10</w:t>
                  </w:r>
                </w:p>
              </w:tc>
              <w:tc>
                <w:tcPr>
                  <w:tcW w:w="1096" w:type="pct"/>
                  <w:tcBorders>
                    <w:right w:val="single" w:color="auto" w:sz="4" w:space="0"/>
                  </w:tcBorders>
                  <w:vAlign w:val="center"/>
                </w:tcPr>
                <w:p w14:paraId="350F5173">
                  <w:pPr>
                    <w:pStyle w:val="30"/>
                    <w:rPr>
                      <w:rFonts w:hint="default" w:eastAsia="宋体"/>
                      <w:color w:val="auto"/>
                      <w:highlight w:val="none"/>
                      <w:lang w:val="en-US" w:eastAsia="zh-CN"/>
                    </w:rPr>
                  </w:pPr>
                  <w:r>
                    <w:rPr>
                      <w:rFonts w:hint="eastAsia"/>
                      <w:color w:val="auto"/>
                      <w:highlight w:val="none"/>
                      <w:lang w:val="en-US" w:eastAsia="zh-CN"/>
                    </w:rPr>
                    <w:t>0.0137</w:t>
                  </w:r>
                </w:p>
              </w:tc>
            </w:tr>
            <w:tr w14:paraId="3E70BD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551" w:type="pct"/>
                  <w:tcBorders>
                    <w:left w:val="single" w:color="auto" w:sz="4" w:space="0"/>
                  </w:tcBorders>
                  <w:shd w:val="clear" w:color="auto" w:fill="auto"/>
                  <w:vAlign w:val="center"/>
                </w:tcPr>
                <w:p w14:paraId="0A49597B">
                  <w:pPr>
                    <w:pStyle w:val="30"/>
                    <w:rPr>
                      <w:rFonts w:hint="eastAsia" w:eastAsia="宋体"/>
                      <w:color w:val="auto"/>
                      <w:highlight w:val="none"/>
                      <w:lang w:eastAsia="zh-CN"/>
                    </w:rPr>
                  </w:pPr>
                  <w:r>
                    <w:rPr>
                      <w:rFonts w:hint="eastAsia"/>
                      <w:color w:val="auto"/>
                      <w:highlight w:val="none"/>
                      <w:lang w:val="en-US" w:eastAsia="zh-CN"/>
                    </w:rPr>
                    <w:t>4</w:t>
                  </w:r>
                </w:p>
              </w:tc>
              <w:tc>
                <w:tcPr>
                  <w:tcW w:w="1383" w:type="pct"/>
                  <w:shd w:val="clear" w:color="auto" w:fill="auto"/>
                  <w:vAlign w:val="center"/>
                </w:tcPr>
                <w:p w14:paraId="6B94FB5A">
                  <w:pPr>
                    <w:pStyle w:val="30"/>
                    <w:rPr>
                      <w:color w:val="auto"/>
                      <w:highlight w:val="none"/>
                    </w:rPr>
                  </w:pPr>
                  <w:r>
                    <w:rPr>
                      <w:rFonts w:hint="eastAsia"/>
                      <w:color w:val="auto"/>
                      <w:highlight w:val="none"/>
                    </w:rPr>
                    <w:t>危险废物</w:t>
                  </w:r>
                </w:p>
              </w:tc>
              <w:tc>
                <w:tcPr>
                  <w:tcW w:w="1203" w:type="pct"/>
                  <w:shd w:val="clear" w:color="auto" w:fill="auto"/>
                  <w:vAlign w:val="center"/>
                </w:tcPr>
                <w:p w14:paraId="6E55E602">
                  <w:pPr>
                    <w:pStyle w:val="30"/>
                    <w:rPr>
                      <w:rFonts w:hint="default" w:eastAsia="宋体"/>
                      <w:color w:val="auto"/>
                      <w:highlight w:val="none"/>
                      <w:lang w:val="en-US" w:eastAsia="zh-CN"/>
                    </w:rPr>
                  </w:pPr>
                  <w:r>
                    <w:rPr>
                      <w:rFonts w:hint="eastAsia"/>
                      <w:color w:val="auto"/>
                      <w:highlight w:val="none"/>
                      <w:lang w:val="en-US" w:eastAsia="zh-CN"/>
                    </w:rPr>
                    <w:t>20.15</w:t>
                  </w:r>
                </w:p>
              </w:tc>
              <w:tc>
                <w:tcPr>
                  <w:tcW w:w="766" w:type="pct"/>
                  <w:shd w:val="clear" w:color="auto" w:fill="auto"/>
                  <w:vAlign w:val="center"/>
                </w:tcPr>
                <w:p w14:paraId="1B7E08F7">
                  <w:pPr>
                    <w:pStyle w:val="30"/>
                    <w:rPr>
                      <w:color w:val="auto"/>
                      <w:highlight w:val="none"/>
                    </w:rPr>
                  </w:pPr>
                  <w:r>
                    <w:rPr>
                      <w:rFonts w:hint="eastAsia"/>
                      <w:color w:val="auto"/>
                      <w:highlight w:val="none"/>
                    </w:rPr>
                    <w:t>50</w:t>
                  </w:r>
                </w:p>
              </w:tc>
              <w:tc>
                <w:tcPr>
                  <w:tcW w:w="1096" w:type="pct"/>
                  <w:tcBorders>
                    <w:right w:val="single" w:color="auto" w:sz="4" w:space="0"/>
                  </w:tcBorders>
                  <w:shd w:val="clear" w:color="auto" w:fill="auto"/>
                  <w:vAlign w:val="center"/>
                </w:tcPr>
                <w:p w14:paraId="7DBEEFF3">
                  <w:pPr>
                    <w:pStyle w:val="3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403</w:t>
                  </w:r>
                </w:p>
              </w:tc>
            </w:tr>
            <w:tr w14:paraId="7B4398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3903" w:type="pct"/>
                  <w:gridSpan w:val="4"/>
                  <w:tcBorders>
                    <w:left w:val="single" w:color="auto" w:sz="4" w:space="0"/>
                    <w:bottom w:val="single" w:color="auto" w:sz="4" w:space="0"/>
                  </w:tcBorders>
                  <w:vAlign w:val="center"/>
                </w:tcPr>
                <w:p w14:paraId="337C1C55">
                  <w:pPr>
                    <w:pStyle w:val="30"/>
                    <w:rPr>
                      <w:color w:val="auto"/>
                      <w:highlight w:val="none"/>
                    </w:rPr>
                  </w:pPr>
                  <w:r>
                    <w:rPr>
                      <w:color w:val="auto"/>
                      <w:highlight w:val="none"/>
                    </w:rPr>
                    <w:t>项目Q值Σ</w:t>
                  </w:r>
                </w:p>
              </w:tc>
              <w:tc>
                <w:tcPr>
                  <w:tcW w:w="1096" w:type="pct"/>
                  <w:tcBorders>
                    <w:bottom w:val="single" w:color="auto" w:sz="4" w:space="0"/>
                    <w:right w:val="single" w:color="auto" w:sz="4" w:space="0"/>
                  </w:tcBorders>
                  <w:vAlign w:val="center"/>
                </w:tcPr>
                <w:p w14:paraId="1B3854F8">
                  <w:pPr>
                    <w:pStyle w:val="30"/>
                    <w:rPr>
                      <w:rFonts w:hint="default" w:eastAsia="宋体"/>
                      <w:color w:val="auto"/>
                      <w:highlight w:val="none"/>
                      <w:lang w:val="en-US" w:eastAsia="zh-CN"/>
                    </w:rPr>
                  </w:pPr>
                  <w:r>
                    <w:rPr>
                      <w:rFonts w:hint="eastAsia"/>
                      <w:color w:val="auto"/>
                      <w:highlight w:val="none"/>
                      <w:lang w:val="en-US" w:eastAsia="zh-CN"/>
                    </w:rPr>
                    <w:t>0.504</w:t>
                  </w:r>
                </w:p>
              </w:tc>
            </w:tr>
          </w:tbl>
          <w:p w14:paraId="12C5ED1E">
            <w:pPr>
              <w:ind w:firstLine="480" w:firstLineChars="200"/>
              <w:rPr>
                <w:color w:val="auto"/>
                <w:highlight w:val="none"/>
              </w:rPr>
            </w:pPr>
            <w:r>
              <w:rPr>
                <w:rFonts w:hint="eastAsia"/>
                <w:color w:val="auto"/>
                <w:highlight w:val="none"/>
              </w:rPr>
              <w:t>由于</w:t>
            </w:r>
            <w:r>
              <w:rPr>
                <w:color w:val="auto"/>
                <w:highlight w:val="none"/>
              </w:rPr>
              <w:t>Q=0.</w:t>
            </w:r>
            <w:r>
              <w:rPr>
                <w:rFonts w:hint="eastAsia"/>
                <w:color w:val="auto"/>
                <w:highlight w:val="none"/>
                <w:lang w:val="en-US" w:eastAsia="zh-CN"/>
              </w:rPr>
              <w:t>504</w:t>
            </w:r>
            <w:r>
              <w:rPr>
                <w:color w:val="auto"/>
                <w:highlight w:val="none"/>
              </w:rPr>
              <w:t>＜1</w:t>
            </w:r>
            <w:r>
              <w:rPr>
                <w:rFonts w:hint="eastAsia"/>
                <w:color w:val="auto"/>
                <w:highlight w:val="none"/>
              </w:rPr>
              <w:t>，因此本项目的环境风险潜势等级为Ⅰ</w:t>
            </w:r>
            <w:r>
              <w:rPr>
                <w:color w:val="auto"/>
                <w:highlight w:val="none"/>
              </w:rPr>
              <w:t>，对比评价等级判定表可知，本项目环境风险评价工作等级为简单分析</w:t>
            </w:r>
            <w:r>
              <w:rPr>
                <w:rFonts w:hint="eastAsia"/>
                <w:color w:val="auto"/>
                <w:highlight w:val="none"/>
              </w:rPr>
              <w:t>。</w:t>
            </w:r>
          </w:p>
          <w:p w14:paraId="4AE00987">
            <w:pPr>
              <w:ind w:firstLine="480" w:firstLineChars="200"/>
              <w:rPr>
                <w:snapToGrid w:val="0"/>
                <w:color w:val="auto"/>
                <w:kern w:val="0"/>
                <w:highlight w:val="none"/>
                <w:lang w:bidi="ar"/>
              </w:rPr>
            </w:pPr>
            <w:r>
              <w:rPr>
                <w:rFonts w:hint="eastAsia"/>
                <w:snapToGrid w:val="0"/>
                <w:color w:val="auto"/>
                <w:kern w:val="0"/>
                <w:highlight w:val="none"/>
                <w:lang w:bidi="ar"/>
              </w:rPr>
              <w:t>2、环境</w:t>
            </w:r>
            <w:r>
              <w:rPr>
                <w:snapToGrid w:val="0"/>
                <w:color w:val="auto"/>
                <w:kern w:val="0"/>
                <w:highlight w:val="none"/>
                <w:lang w:bidi="ar"/>
              </w:rPr>
              <w:t>风险识别</w:t>
            </w:r>
          </w:p>
          <w:p w14:paraId="72512EEC">
            <w:pPr>
              <w:widowControl/>
              <w:ind w:firstLine="480" w:firstLineChars="200"/>
              <w:rPr>
                <w:snapToGrid w:val="0"/>
                <w:color w:val="auto"/>
                <w:kern w:val="0"/>
                <w:highlight w:val="none"/>
                <w:lang w:bidi="ar"/>
              </w:rPr>
            </w:pPr>
            <w:r>
              <w:rPr>
                <w:rFonts w:hint="eastAsia"/>
                <w:snapToGrid w:val="0"/>
                <w:color w:val="auto"/>
                <w:kern w:val="0"/>
                <w:highlight w:val="none"/>
                <w:lang w:bidi="ar"/>
              </w:rPr>
              <w:t>（1）物质危险性识别</w:t>
            </w:r>
          </w:p>
          <w:p w14:paraId="2EC1510A">
            <w:pPr>
              <w:widowControl/>
              <w:ind w:firstLine="480" w:firstLineChars="200"/>
              <w:rPr>
                <w:snapToGrid w:val="0"/>
                <w:color w:val="auto"/>
                <w:kern w:val="0"/>
                <w:highlight w:val="none"/>
                <w:lang w:bidi="ar"/>
              </w:rPr>
            </w:pPr>
            <w:r>
              <w:rPr>
                <w:snapToGrid w:val="0"/>
                <w:color w:val="auto"/>
                <w:kern w:val="0"/>
                <w:highlight w:val="none"/>
                <w:lang w:bidi="ar"/>
              </w:rPr>
              <w:t>根据上述分析，本项目所涉及的原料为汽油、柴油。</w:t>
            </w:r>
            <w:r>
              <w:rPr>
                <w:color w:val="auto"/>
                <w:kern w:val="0"/>
                <w:highlight w:val="none"/>
                <w:lang w:bidi="ar"/>
              </w:rPr>
              <w:t>此类易燃易爆物体，与空气混合能形成爆炸性混合物，遇静电、明火、高温极易燃烧爆炸。若遇高温高热，容器内压力增大后有开裂和爆炸的危险。根据《常用危险化学品的分类及标志》（GB13690—2009）和其它与本项目有关化学品危险特性的资料，将其理化性质以及危险特性分别列于如下</w:t>
            </w:r>
            <w:r>
              <w:rPr>
                <w:snapToGrid w:val="0"/>
                <w:color w:val="auto"/>
                <w:kern w:val="0"/>
                <w:highlight w:val="none"/>
                <w:lang w:bidi="ar"/>
              </w:rPr>
              <w:t>：</w:t>
            </w:r>
          </w:p>
          <w:p w14:paraId="152B1358">
            <w:pPr>
              <w:ind w:firstLine="480" w:firstLineChars="200"/>
              <w:rPr>
                <w:b/>
                <w:bCs/>
                <w:color w:val="auto"/>
                <w:spacing w:val="6"/>
                <w:highlight w:val="none"/>
              </w:rPr>
            </w:pPr>
            <w:r>
              <w:rPr>
                <w:rFonts w:hint="eastAsia"/>
                <w:snapToGrid w:val="0"/>
                <w:color w:val="auto"/>
                <w:kern w:val="0"/>
                <w:highlight w:val="none"/>
                <w:lang w:bidi="ar"/>
              </w:rPr>
              <w:t>a、</w:t>
            </w:r>
            <w:r>
              <w:rPr>
                <w:snapToGrid w:val="0"/>
                <w:color w:val="auto"/>
                <w:kern w:val="0"/>
                <w:highlight w:val="none"/>
                <w:lang w:bidi="ar"/>
              </w:rPr>
              <w:t>汽油</w:t>
            </w:r>
          </w:p>
          <w:p w14:paraId="7FE48A8A">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16</w:t>
            </w:r>
            <w:r>
              <w:rPr>
                <w:color w:val="auto"/>
                <w:highlight w:val="none"/>
              </w:rPr>
              <w:fldChar w:fldCharType="end"/>
            </w:r>
            <w:r>
              <w:rPr>
                <w:rFonts w:hint="eastAsia"/>
                <w:color w:val="auto"/>
                <w:highlight w:val="none"/>
              </w:rPr>
              <w:t xml:space="preserve"> 汽油安全技术特征及危险、有害因素识别表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565"/>
              <w:gridCol w:w="1712"/>
              <w:gridCol w:w="1717"/>
              <w:gridCol w:w="1806"/>
            </w:tblGrid>
            <w:tr w14:paraId="00C9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tcBorders>
                    <w:tl2br w:val="nil"/>
                    <w:tr2bl w:val="nil"/>
                  </w:tcBorders>
                  <w:vAlign w:val="center"/>
                </w:tcPr>
                <w:p w14:paraId="05A6842E">
                  <w:pPr>
                    <w:pStyle w:val="30"/>
                    <w:rPr>
                      <w:b/>
                      <w:bCs/>
                      <w:color w:val="auto"/>
                      <w:highlight w:val="none"/>
                    </w:rPr>
                  </w:pPr>
                  <w:r>
                    <w:rPr>
                      <w:b/>
                      <w:bCs/>
                      <w:color w:val="auto"/>
                      <w:highlight w:val="none"/>
                    </w:rPr>
                    <w:t>标识</w:t>
                  </w:r>
                </w:p>
              </w:tc>
              <w:tc>
                <w:tcPr>
                  <w:tcW w:w="1029" w:type="pct"/>
                  <w:tcBorders>
                    <w:tl2br w:val="nil"/>
                    <w:tr2bl w:val="nil"/>
                  </w:tcBorders>
                  <w:vAlign w:val="center"/>
                </w:tcPr>
                <w:p w14:paraId="74DD46EC">
                  <w:pPr>
                    <w:pStyle w:val="30"/>
                    <w:rPr>
                      <w:b/>
                      <w:bCs/>
                      <w:color w:val="auto"/>
                      <w:highlight w:val="none"/>
                    </w:rPr>
                  </w:pPr>
                  <w:r>
                    <w:rPr>
                      <w:b/>
                      <w:bCs/>
                      <w:color w:val="auto"/>
                      <w:highlight w:val="none"/>
                    </w:rPr>
                    <w:t>中文名</w:t>
                  </w:r>
                </w:p>
              </w:tc>
              <w:tc>
                <w:tcPr>
                  <w:tcW w:w="1126" w:type="pct"/>
                  <w:tcBorders>
                    <w:tl2br w:val="nil"/>
                    <w:tr2bl w:val="nil"/>
                  </w:tcBorders>
                  <w:vAlign w:val="center"/>
                </w:tcPr>
                <w:p w14:paraId="45FE67E3">
                  <w:pPr>
                    <w:pStyle w:val="30"/>
                    <w:rPr>
                      <w:b/>
                      <w:bCs/>
                      <w:color w:val="auto"/>
                      <w:highlight w:val="none"/>
                    </w:rPr>
                  </w:pPr>
                  <w:r>
                    <w:rPr>
                      <w:b/>
                      <w:bCs/>
                      <w:color w:val="auto"/>
                      <w:highlight w:val="none"/>
                    </w:rPr>
                    <w:t>汽油</w:t>
                  </w:r>
                </w:p>
              </w:tc>
              <w:tc>
                <w:tcPr>
                  <w:tcW w:w="1129" w:type="pct"/>
                  <w:tcBorders>
                    <w:tl2br w:val="nil"/>
                    <w:tr2bl w:val="nil"/>
                  </w:tcBorders>
                  <w:vAlign w:val="center"/>
                </w:tcPr>
                <w:p w14:paraId="6219F863">
                  <w:pPr>
                    <w:pStyle w:val="30"/>
                    <w:rPr>
                      <w:b/>
                      <w:bCs/>
                      <w:color w:val="auto"/>
                      <w:highlight w:val="none"/>
                    </w:rPr>
                  </w:pPr>
                  <w:r>
                    <w:rPr>
                      <w:b/>
                      <w:bCs/>
                      <w:color w:val="auto"/>
                      <w:highlight w:val="none"/>
                    </w:rPr>
                    <w:t>英文名</w:t>
                  </w:r>
                </w:p>
              </w:tc>
              <w:tc>
                <w:tcPr>
                  <w:tcW w:w="1186" w:type="pct"/>
                  <w:tcBorders>
                    <w:tl2br w:val="nil"/>
                    <w:tr2bl w:val="nil"/>
                  </w:tcBorders>
                  <w:vAlign w:val="center"/>
                </w:tcPr>
                <w:p w14:paraId="1F0D58C4">
                  <w:pPr>
                    <w:pStyle w:val="30"/>
                    <w:rPr>
                      <w:b/>
                      <w:bCs/>
                      <w:color w:val="auto"/>
                      <w:highlight w:val="none"/>
                    </w:rPr>
                  </w:pPr>
                  <w:r>
                    <w:rPr>
                      <w:b/>
                      <w:bCs/>
                      <w:color w:val="auto"/>
                      <w:highlight w:val="none"/>
                    </w:rPr>
                    <w:t>Gasoline；petrol</w:t>
                  </w:r>
                </w:p>
              </w:tc>
            </w:tr>
            <w:tr w14:paraId="7554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vAlign w:val="center"/>
                </w:tcPr>
                <w:p w14:paraId="5B843618">
                  <w:pPr>
                    <w:pStyle w:val="30"/>
                    <w:rPr>
                      <w:color w:val="auto"/>
                      <w:highlight w:val="none"/>
                    </w:rPr>
                  </w:pPr>
                </w:p>
              </w:tc>
              <w:tc>
                <w:tcPr>
                  <w:tcW w:w="1029" w:type="pct"/>
                  <w:tcBorders>
                    <w:tl2br w:val="nil"/>
                    <w:tr2bl w:val="nil"/>
                  </w:tcBorders>
                  <w:vAlign w:val="center"/>
                </w:tcPr>
                <w:p w14:paraId="40DF6865">
                  <w:pPr>
                    <w:pStyle w:val="30"/>
                    <w:rPr>
                      <w:color w:val="auto"/>
                      <w:highlight w:val="none"/>
                    </w:rPr>
                  </w:pPr>
                  <w:r>
                    <w:rPr>
                      <w:color w:val="auto"/>
                      <w:highlight w:val="none"/>
                    </w:rPr>
                    <w:t>分子式</w:t>
                  </w:r>
                </w:p>
              </w:tc>
              <w:tc>
                <w:tcPr>
                  <w:tcW w:w="1126" w:type="pct"/>
                  <w:tcBorders>
                    <w:tl2br w:val="nil"/>
                    <w:tr2bl w:val="nil"/>
                  </w:tcBorders>
                  <w:vAlign w:val="center"/>
                </w:tcPr>
                <w:p w14:paraId="2A4E76A8">
                  <w:pPr>
                    <w:pStyle w:val="30"/>
                    <w:rPr>
                      <w:color w:val="auto"/>
                      <w:highlight w:val="none"/>
                    </w:rPr>
                  </w:pPr>
                  <w:r>
                    <w:rPr>
                      <w:color w:val="auto"/>
                      <w:highlight w:val="none"/>
                    </w:rPr>
                    <w:t>C5H12～C12H26</w:t>
                  </w:r>
                </w:p>
              </w:tc>
              <w:tc>
                <w:tcPr>
                  <w:tcW w:w="1129" w:type="pct"/>
                  <w:tcBorders>
                    <w:tl2br w:val="nil"/>
                    <w:tr2bl w:val="nil"/>
                  </w:tcBorders>
                  <w:vAlign w:val="center"/>
                </w:tcPr>
                <w:p w14:paraId="60775981">
                  <w:pPr>
                    <w:pStyle w:val="30"/>
                    <w:rPr>
                      <w:color w:val="auto"/>
                      <w:highlight w:val="none"/>
                    </w:rPr>
                  </w:pPr>
                  <w:r>
                    <w:rPr>
                      <w:color w:val="auto"/>
                      <w:highlight w:val="none"/>
                    </w:rPr>
                    <w:t>危货及UN编号</w:t>
                  </w:r>
                </w:p>
              </w:tc>
              <w:tc>
                <w:tcPr>
                  <w:tcW w:w="1186" w:type="pct"/>
                  <w:tcBorders>
                    <w:tl2br w:val="nil"/>
                    <w:tr2bl w:val="nil"/>
                  </w:tcBorders>
                  <w:vAlign w:val="center"/>
                </w:tcPr>
                <w:p w14:paraId="46136889">
                  <w:pPr>
                    <w:pStyle w:val="30"/>
                    <w:rPr>
                      <w:color w:val="auto"/>
                      <w:highlight w:val="none"/>
                    </w:rPr>
                  </w:pPr>
                  <w:r>
                    <w:rPr>
                      <w:color w:val="auto"/>
                      <w:highlight w:val="none"/>
                    </w:rPr>
                    <w:t>31001；1203</w:t>
                  </w:r>
                </w:p>
              </w:tc>
            </w:tr>
            <w:tr w14:paraId="1C73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tcBorders>
                    <w:tl2br w:val="nil"/>
                    <w:tr2bl w:val="nil"/>
                  </w:tcBorders>
                  <w:vAlign w:val="center"/>
                </w:tcPr>
                <w:p w14:paraId="72537B22">
                  <w:pPr>
                    <w:pStyle w:val="30"/>
                    <w:rPr>
                      <w:color w:val="auto"/>
                      <w:highlight w:val="none"/>
                    </w:rPr>
                  </w:pPr>
                  <w:r>
                    <w:rPr>
                      <w:color w:val="auto"/>
                      <w:highlight w:val="none"/>
                    </w:rPr>
                    <w:t>理化性质</w:t>
                  </w:r>
                </w:p>
              </w:tc>
              <w:tc>
                <w:tcPr>
                  <w:tcW w:w="1029" w:type="pct"/>
                  <w:tcBorders>
                    <w:tl2br w:val="nil"/>
                    <w:tr2bl w:val="nil"/>
                  </w:tcBorders>
                  <w:vAlign w:val="bottom"/>
                </w:tcPr>
                <w:p w14:paraId="1AF49DD7">
                  <w:pPr>
                    <w:pStyle w:val="30"/>
                    <w:rPr>
                      <w:color w:val="auto"/>
                      <w:highlight w:val="none"/>
                    </w:rPr>
                  </w:pPr>
                  <w:r>
                    <w:rPr>
                      <w:color w:val="auto"/>
                      <w:highlight w:val="none"/>
                    </w:rPr>
                    <w:t>沸点</w:t>
                  </w:r>
                </w:p>
              </w:tc>
              <w:tc>
                <w:tcPr>
                  <w:tcW w:w="1126" w:type="pct"/>
                  <w:tcBorders>
                    <w:tl2br w:val="nil"/>
                    <w:tr2bl w:val="nil"/>
                  </w:tcBorders>
                  <w:vAlign w:val="bottom"/>
                </w:tcPr>
                <w:p w14:paraId="6E2A7262">
                  <w:pPr>
                    <w:pStyle w:val="30"/>
                    <w:rPr>
                      <w:color w:val="auto"/>
                      <w:highlight w:val="none"/>
                    </w:rPr>
                  </w:pPr>
                  <w:r>
                    <w:rPr>
                      <w:color w:val="auto"/>
                      <w:highlight w:val="none"/>
                    </w:rPr>
                    <w:t>40～200℃</w:t>
                  </w:r>
                </w:p>
              </w:tc>
              <w:tc>
                <w:tcPr>
                  <w:tcW w:w="1129" w:type="pct"/>
                  <w:tcBorders>
                    <w:tl2br w:val="nil"/>
                    <w:tr2bl w:val="nil"/>
                  </w:tcBorders>
                  <w:vAlign w:val="bottom"/>
                </w:tcPr>
                <w:p w14:paraId="37F8E192">
                  <w:pPr>
                    <w:pStyle w:val="30"/>
                    <w:rPr>
                      <w:color w:val="auto"/>
                      <w:highlight w:val="none"/>
                    </w:rPr>
                  </w:pPr>
                  <w:r>
                    <w:rPr>
                      <w:color w:val="auto"/>
                      <w:highlight w:val="none"/>
                    </w:rPr>
                    <w:t>凝固点</w:t>
                  </w:r>
                </w:p>
              </w:tc>
              <w:tc>
                <w:tcPr>
                  <w:tcW w:w="1186" w:type="pct"/>
                  <w:tcBorders>
                    <w:tl2br w:val="nil"/>
                    <w:tr2bl w:val="nil"/>
                  </w:tcBorders>
                  <w:vAlign w:val="bottom"/>
                </w:tcPr>
                <w:p w14:paraId="0D020F06">
                  <w:pPr>
                    <w:pStyle w:val="30"/>
                    <w:rPr>
                      <w:color w:val="auto"/>
                      <w:highlight w:val="none"/>
                    </w:rPr>
                  </w:pPr>
                  <w:r>
                    <w:rPr>
                      <w:color w:val="auto"/>
                      <w:highlight w:val="none"/>
                    </w:rPr>
                    <w:t>＜-60℃</w:t>
                  </w:r>
                </w:p>
              </w:tc>
            </w:tr>
            <w:tr w14:paraId="1BA1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vAlign w:val="center"/>
                </w:tcPr>
                <w:p w14:paraId="0264C73A">
                  <w:pPr>
                    <w:pStyle w:val="30"/>
                    <w:rPr>
                      <w:color w:val="auto"/>
                      <w:highlight w:val="none"/>
                    </w:rPr>
                  </w:pPr>
                </w:p>
              </w:tc>
              <w:tc>
                <w:tcPr>
                  <w:tcW w:w="1029" w:type="pct"/>
                  <w:tcBorders>
                    <w:tl2br w:val="nil"/>
                    <w:tr2bl w:val="nil"/>
                  </w:tcBorders>
                  <w:vAlign w:val="center"/>
                </w:tcPr>
                <w:p w14:paraId="4AAEDAD5">
                  <w:pPr>
                    <w:pStyle w:val="30"/>
                    <w:rPr>
                      <w:color w:val="auto"/>
                      <w:highlight w:val="none"/>
                    </w:rPr>
                  </w:pPr>
                  <w:r>
                    <w:rPr>
                      <w:color w:val="auto"/>
                      <w:highlight w:val="none"/>
                    </w:rPr>
                    <w:t>相对密度（水＝1）</w:t>
                  </w:r>
                </w:p>
              </w:tc>
              <w:tc>
                <w:tcPr>
                  <w:tcW w:w="1126" w:type="pct"/>
                  <w:tcBorders>
                    <w:tl2br w:val="nil"/>
                    <w:tr2bl w:val="nil"/>
                  </w:tcBorders>
                  <w:vAlign w:val="center"/>
                </w:tcPr>
                <w:p w14:paraId="4866956C">
                  <w:pPr>
                    <w:pStyle w:val="30"/>
                    <w:rPr>
                      <w:color w:val="auto"/>
                      <w:highlight w:val="none"/>
                    </w:rPr>
                  </w:pPr>
                  <w:r>
                    <w:rPr>
                      <w:color w:val="auto"/>
                      <w:highlight w:val="none"/>
                    </w:rPr>
                    <w:t>0.70～0.79</w:t>
                  </w:r>
                </w:p>
              </w:tc>
              <w:tc>
                <w:tcPr>
                  <w:tcW w:w="1129" w:type="pct"/>
                  <w:tcBorders>
                    <w:tl2br w:val="nil"/>
                    <w:tr2bl w:val="nil"/>
                  </w:tcBorders>
                  <w:vAlign w:val="center"/>
                </w:tcPr>
                <w:p w14:paraId="76113ED1">
                  <w:pPr>
                    <w:pStyle w:val="30"/>
                    <w:rPr>
                      <w:color w:val="auto"/>
                      <w:highlight w:val="none"/>
                    </w:rPr>
                  </w:pPr>
                  <w:r>
                    <w:rPr>
                      <w:color w:val="auto"/>
                      <w:highlight w:val="none"/>
                    </w:rPr>
                    <w:t>相对密度</w:t>
                  </w:r>
                </w:p>
                <w:p w14:paraId="3625BBF6">
                  <w:pPr>
                    <w:pStyle w:val="30"/>
                    <w:rPr>
                      <w:color w:val="auto"/>
                      <w:highlight w:val="none"/>
                    </w:rPr>
                  </w:pPr>
                  <w:r>
                    <w:rPr>
                      <w:color w:val="auto"/>
                      <w:highlight w:val="none"/>
                    </w:rPr>
                    <w:t>（空气＝1）</w:t>
                  </w:r>
                </w:p>
              </w:tc>
              <w:tc>
                <w:tcPr>
                  <w:tcW w:w="1186" w:type="pct"/>
                  <w:tcBorders>
                    <w:tl2br w:val="nil"/>
                    <w:tr2bl w:val="nil"/>
                  </w:tcBorders>
                  <w:vAlign w:val="center"/>
                </w:tcPr>
                <w:p w14:paraId="152DD515">
                  <w:pPr>
                    <w:pStyle w:val="30"/>
                    <w:rPr>
                      <w:color w:val="auto"/>
                      <w:highlight w:val="none"/>
                    </w:rPr>
                  </w:pPr>
                  <w:r>
                    <w:rPr>
                      <w:color w:val="auto"/>
                      <w:highlight w:val="none"/>
                    </w:rPr>
                    <w:t>3.5</w:t>
                  </w:r>
                </w:p>
              </w:tc>
            </w:tr>
            <w:tr w14:paraId="7022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vAlign w:val="center"/>
                </w:tcPr>
                <w:p w14:paraId="578B8497">
                  <w:pPr>
                    <w:pStyle w:val="30"/>
                    <w:rPr>
                      <w:color w:val="auto"/>
                      <w:highlight w:val="none"/>
                    </w:rPr>
                  </w:pPr>
                </w:p>
              </w:tc>
              <w:tc>
                <w:tcPr>
                  <w:tcW w:w="1029" w:type="pct"/>
                  <w:tcBorders>
                    <w:tl2br w:val="nil"/>
                    <w:tr2bl w:val="nil"/>
                  </w:tcBorders>
                  <w:vAlign w:val="center"/>
                </w:tcPr>
                <w:p w14:paraId="55C18004">
                  <w:pPr>
                    <w:pStyle w:val="30"/>
                    <w:rPr>
                      <w:color w:val="auto"/>
                      <w:highlight w:val="none"/>
                    </w:rPr>
                  </w:pPr>
                  <w:r>
                    <w:rPr>
                      <w:color w:val="auto"/>
                      <w:highlight w:val="none"/>
                    </w:rPr>
                    <w:t>外观性状</w:t>
                  </w:r>
                </w:p>
              </w:tc>
              <w:tc>
                <w:tcPr>
                  <w:tcW w:w="1126" w:type="pct"/>
                  <w:tcBorders>
                    <w:tl2br w:val="nil"/>
                    <w:tr2bl w:val="nil"/>
                  </w:tcBorders>
                  <w:vAlign w:val="center"/>
                </w:tcPr>
                <w:p w14:paraId="0C1891AF">
                  <w:pPr>
                    <w:pStyle w:val="30"/>
                    <w:rPr>
                      <w:color w:val="auto"/>
                      <w:highlight w:val="none"/>
                    </w:rPr>
                  </w:pPr>
                  <w:r>
                    <w:rPr>
                      <w:color w:val="auto"/>
                      <w:highlight w:val="none"/>
                    </w:rPr>
                    <w:t>无色或淡黄色液体，具有挥发性和易燃性，有特殊气味</w:t>
                  </w:r>
                </w:p>
              </w:tc>
              <w:tc>
                <w:tcPr>
                  <w:tcW w:w="1129" w:type="pct"/>
                  <w:tcBorders>
                    <w:tl2br w:val="nil"/>
                    <w:tr2bl w:val="nil"/>
                  </w:tcBorders>
                  <w:vAlign w:val="center"/>
                </w:tcPr>
                <w:p w14:paraId="5EE61243">
                  <w:pPr>
                    <w:pStyle w:val="30"/>
                    <w:rPr>
                      <w:color w:val="auto"/>
                      <w:highlight w:val="none"/>
                    </w:rPr>
                  </w:pPr>
                  <w:r>
                    <w:rPr>
                      <w:color w:val="auto"/>
                      <w:highlight w:val="none"/>
                    </w:rPr>
                    <w:t>溶解性</w:t>
                  </w:r>
                </w:p>
              </w:tc>
              <w:tc>
                <w:tcPr>
                  <w:tcW w:w="1186" w:type="pct"/>
                  <w:tcBorders>
                    <w:tl2br w:val="nil"/>
                    <w:tr2bl w:val="nil"/>
                  </w:tcBorders>
                  <w:vAlign w:val="center"/>
                </w:tcPr>
                <w:p w14:paraId="29EA81AE">
                  <w:pPr>
                    <w:pStyle w:val="30"/>
                    <w:rPr>
                      <w:color w:val="auto"/>
                      <w:highlight w:val="none"/>
                    </w:rPr>
                  </w:pPr>
                  <w:r>
                    <w:rPr>
                      <w:color w:val="auto"/>
                      <w:highlight w:val="none"/>
                    </w:rPr>
                    <w:t>不溶于水，易溶于苯、二硫化碳、醇、极易溶于脂肪</w:t>
                  </w:r>
                </w:p>
              </w:tc>
            </w:tr>
            <w:tr w14:paraId="2D5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vAlign w:val="center"/>
                </w:tcPr>
                <w:p w14:paraId="6731E4A8">
                  <w:pPr>
                    <w:pStyle w:val="30"/>
                    <w:rPr>
                      <w:color w:val="auto"/>
                      <w:highlight w:val="none"/>
                    </w:rPr>
                  </w:pPr>
                </w:p>
              </w:tc>
              <w:tc>
                <w:tcPr>
                  <w:tcW w:w="1029" w:type="pct"/>
                  <w:tcBorders>
                    <w:tl2br w:val="nil"/>
                    <w:tr2bl w:val="nil"/>
                  </w:tcBorders>
                  <w:vAlign w:val="center"/>
                </w:tcPr>
                <w:p w14:paraId="12F47D85">
                  <w:pPr>
                    <w:pStyle w:val="30"/>
                    <w:rPr>
                      <w:color w:val="auto"/>
                      <w:highlight w:val="none"/>
                    </w:rPr>
                  </w:pPr>
                  <w:r>
                    <w:rPr>
                      <w:color w:val="auto"/>
                      <w:highlight w:val="none"/>
                    </w:rPr>
                    <w:t>稳定性</w:t>
                  </w:r>
                </w:p>
              </w:tc>
              <w:tc>
                <w:tcPr>
                  <w:tcW w:w="1126" w:type="pct"/>
                  <w:tcBorders>
                    <w:tl2br w:val="nil"/>
                    <w:tr2bl w:val="nil"/>
                  </w:tcBorders>
                  <w:vAlign w:val="center"/>
                </w:tcPr>
                <w:p w14:paraId="2CE34360">
                  <w:pPr>
                    <w:pStyle w:val="30"/>
                    <w:rPr>
                      <w:color w:val="auto"/>
                      <w:highlight w:val="none"/>
                    </w:rPr>
                  </w:pPr>
                  <w:r>
                    <w:rPr>
                      <w:color w:val="auto"/>
                      <w:highlight w:val="none"/>
                    </w:rPr>
                    <w:t>稳定</w:t>
                  </w:r>
                </w:p>
              </w:tc>
              <w:tc>
                <w:tcPr>
                  <w:tcW w:w="1129" w:type="pct"/>
                  <w:tcBorders>
                    <w:tl2br w:val="nil"/>
                    <w:tr2bl w:val="nil"/>
                  </w:tcBorders>
                  <w:vAlign w:val="center"/>
                </w:tcPr>
                <w:p w14:paraId="58B99B6A">
                  <w:pPr>
                    <w:pStyle w:val="30"/>
                    <w:rPr>
                      <w:color w:val="auto"/>
                      <w:highlight w:val="none"/>
                    </w:rPr>
                  </w:pPr>
                  <w:r>
                    <w:rPr>
                      <w:rFonts w:hint="eastAsia"/>
                      <w:color w:val="auto"/>
                      <w:highlight w:val="none"/>
                    </w:rPr>
                    <w:t>/</w:t>
                  </w:r>
                </w:p>
              </w:tc>
              <w:tc>
                <w:tcPr>
                  <w:tcW w:w="1186" w:type="pct"/>
                  <w:tcBorders>
                    <w:tl2br w:val="nil"/>
                    <w:tr2bl w:val="nil"/>
                  </w:tcBorders>
                  <w:vAlign w:val="center"/>
                </w:tcPr>
                <w:p w14:paraId="11F8A7D4">
                  <w:pPr>
                    <w:pStyle w:val="30"/>
                    <w:rPr>
                      <w:color w:val="auto"/>
                      <w:highlight w:val="none"/>
                    </w:rPr>
                  </w:pPr>
                  <w:r>
                    <w:rPr>
                      <w:rFonts w:hint="eastAsia"/>
                      <w:color w:val="auto"/>
                      <w:highlight w:val="none"/>
                    </w:rPr>
                    <w:t>/</w:t>
                  </w:r>
                </w:p>
              </w:tc>
            </w:tr>
            <w:tr w14:paraId="5C4F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vAlign w:val="center"/>
                </w:tcPr>
                <w:p w14:paraId="3985520D">
                  <w:pPr>
                    <w:pStyle w:val="30"/>
                    <w:rPr>
                      <w:color w:val="auto"/>
                      <w:highlight w:val="none"/>
                    </w:rPr>
                  </w:pPr>
                </w:p>
              </w:tc>
              <w:tc>
                <w:tcPr>
                  <w:tcW w:w="1029" w:type="pct"/>
                  <w:tcBorders>
                    <w:tl2br w:val="nil"/>
                    <w:tr2bl w:val="nil"/>
                  </w:tcBorders>
                  <w:vAlign w:val="center"/>
                </w:tcPr>
                <w:p w14:paraId="03F87060">
                  <w:pPr>
                    <w:pStyle w:val="30"/>
                    <w:rPr>
                      <w:color w:val="auto"/>
                      <w:highlight w:val="none"/>
                    </w:rPr>
                  </w:pPr>
                  <w:r>
                    <w:rPr>
                      <w:color w:val="auto"/>
                      <w:highlight w:val="none"/>
                    </w:rPr>
                    <w:t>闪点</w:t>
                  </w:r>
                </w:p>
              </w:tc>
              <w:tc>
                <w:tcPr>
                  <w:tcW w:w="1126" w:type="pct"/>
                  <w:tcBorders>
                    <w:tl2br w:val="nil"/>
                    <w:tr2bl w:val="nil"/>
                  </w:tcBorders>
                  <w:vAlign w:val="center"/>
                </w:tcPr>
                <w:p w14:paraId="715F4234">
                  <w:pPr>
                    <w:pStyle w:val="30"/>
                    <w:rPr>
                      <w:color w:val="auto"/>
                      <w:highlight w:val="none"/>
                    </w:rPr>
                  </w:pPr>
                  <w:r>
                    <w:rPr>
                      <w:color w:val="auto"/>
                      <w:highlight w:val="none"/>
                    </w:rPr>
                    <w:t>-50℃</w:t>
                  </w:r>
                </w:p>
              </w:tc>
              <w:tc>
                <w:tcPr>
                  <w:tcW w:w="1129" w:type="pct"/>
                  <w:tcBorders>
                    <w:tl2br w:val="nil"/>
                    <w:tr2bl w:val="nil"/>
                  </w:tcBorders>
                  <w:vAlign w:val="center"/>
                </w:tcPr>
                <w:p w14:paraId="06C94C00">
                  <w:pPr>
                    <w:pStyle w:val="30"/>
                    <w:rPr>
                      <w:color w:val="auto"/>
                      <w:highlight w:val="none"/>
                    </w:rPr>
                  </w:pPr>
                  <w:r>
                    <w:rPr>
                      <w:color w:val="auto"/>
                      <w:highlight w:val="none"/>
                    </w:rPr>
                    <w:t>爆炸极限</w:t>
                  </w:r>
                </w:p>
              </w:tc>
              <w:tc>
                <w:tcPr>
                  <w:tcW w:w="1186" w:type="pct"/>
                  <w:tcBorders>
                    <w:tl2br w:val="nil"/>
                    <w:tr2bl w:val="nil"/>
                  </w:tcBorders>
                  <w:vAlign w:val="center"/>
                </w:tcPr>
                <w:p w14:paraId="21EEE16F">
                  <w:pPr>
                    <w:pStyle w:val="30"/>
                    <w:rPr>
                      <w:color w:val="auto"/>
                      <w:highlight w:val="none"/>
                    </w:rPr>
                  </w:pPr>
                  <w:r>
                    <w:rPr>
                      <w:color w:val="auto"/>
                      <w:highlight w:val="none"/>
                    </w:rPr>
                    <w:t>1.3～6.0％</w:t>
                  </w:r>
                </w:p>
              </w:tc>
            </w:tr>
            <w:tr w14:paraId="20A4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vAlign w:val="center"/>
                </w:tcPr>
                <w:p w14:paraId="7B01E1CD">
                  <w:pPr>
                    <w:pStyle w:val="30"/>
                    <w:rPr>
                      <w:color w:val="auto"/>
                      <w:highlight w:val="none"/>
                    </w:rPr>
                  </w:pPr>
                </w:p>
              </w:tc>
              <w:tc>
                <w:tcPr>
                  <w:tcW w:w="1029" w:type="pct"/>
                  <w:tcBorders>
                    <w:tl2br w:val="nil"/>
                    <w:tr2bl w:val="nil"/>
                  </w:tcBorders>
                  <w:vAlign w:val="center"/>
                </w:tcPr>
                <w:p w14:paraId="181D0428">
                  <w:pPr>
                    <w:pStyle w:val="30"/>
                    <w:rPr>
                      <w:color w:val="auto"/>
                      <w:highlight w:val="none"/>
                    </w:rPr>
                  </w:pPr>
                  <w:r>
                    <w:rPr>
                      <w:color w:val="auto"/>
                      <w:highlight w:val="none"/>
                    </w:rPr>
                    <w:t>自燃点</w:t>
                  </w:r>
                </w:p>
              </w:tc>
              <w:tc>
                <w:tcPr>
                  <w:tcW w:w="1126" w:type="pct"/>
                  <w:tcBorders>
                    <w:tl2br w:val="nil"/>
                    <w:tr2bl w:val="nil"/>
                  </w:tcBorders>
                  <w:vAlign w:val="center"/>
                </w:tcPr>
                <w:p w14:paraId="69FB75B8">
                  <w:pPr>
                    <w:pStyle w:val="30"/>
                    <w:rPr>
                      <w:color w:val="auto"/>
                      <w:highlight w:val="none"/>
                    </w:rPr>
                  </w:pPr>
                  <w:r>
                    <w:rPr>
                      <w:color w:val="auto"/>
                      <w:highlight w:val="none"/>
                    </w:rPr>
                    <w:t>415～530℃</w:t>
                  </w:r>
                </w:p>
              </w:tc>
              <w:tc>
                <w:tcPr>
                  <w:tcW w:w="1129" w:type="pct"/>
                  <w:tcBorders>
                    <w:tl2br w:val="nil"/>
                    <w:tr2bl w:val="nil"/>
                  </w:tcBorders>
                  <w:vAlign w:val="center"/>
                </w:tcPr>
                <w:p w14:paraId="66D7BDEC">
                  <w:pPr>
                    <w:pStyle w:val="30"/>
                    <w:rPr>
                      <w:color w:val="auto"/>
                      <w:highlight w:val="none"/>
                    </w:rPr>
                  </w:pPr>
                  <w:r>
                    <w:rPr>
                      <w:color w:val="auto"/>
                      <w:highlight w:val="none"/>
                    </w:rPr>
                    <w:t>最大爆炸压力</w:t>
                  </w:r>
                </w:p>
              </w:tc>
              <w:tc>
                <w:tcPr>
                  <w:tcW w:w="1186" w:type="pct"/>
                  <w:tcBorders>
                    <w:tl2br w:val="nil"/>
                    <w:tr2bl w:val="nil"/>
                  </w:tcBorders>
                  <w:vAlign w:val="center"/>
                </w:tcPr>
                <w:p w14:paraId="42BE0807">
                  <w:pPr>
                    <w:pStyle w:val="30"/>
                    <w:rPr>
                      <w:color w:val="auto"/>
                      <w:highlight w:val="none"/>
                    </w:rPr>
                  </w:pPr>
                  <w:r>
                    <w:rPr>
                      <w:color w:val="auto"/>
                      <w:highlight w:val="none"/>
                    </w:rPr>
                    <w:t>0.813MPa</w:t>
                  </w:r>
                </w:p>
              </w:tc>
            </w:tr>
            <w:tr w14:paraId="5913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vAlign w:val="center"/>
                </w:tcPr>
                <w:p w14:paraId="59E75424">
                  <w:pPr>
                    <w:pStyle w:val="30"/>
                    <w:rPr>
                      <w:color w:val="auto"/>
                      <w:highlight w:val="none"/>
                    </w:rPr>
                  </w:pPr>
                </w:p>
              </w:tc>
              <w:tc>
                <w:tcPr>
                  <w:tcW w:w="1029" w:type="pct"/>
                  <w:tcBorders>
                    <w:tl2br w:val="nil"/>
                    <w:tr2bl w:val="nil"/>
                  </w:tcBorders>
                  <w:vAlign w:val="center"/>
                </w:tcPr>
                <w:p w14:paraId="6BF58A1A">
                  <w:pPr>
                    <w:pStyle w:val="30"/>
                    <w:rPr>
                      <w:color w:val="auto"/>
                      <w:highlight w:val="none"/>
                    </w:rPr>
                  </w:pPr>
                  <w:r>
                    <w:rPr>
                      <w:color w:val="auto"/>
                      <w:highlight w:val="none"/>
                    </w:rPr>
                    <w:t>火灾危险类别</w:t>
                  </w:r>
                </w:p>
              </w:tc>
              <w:tc>
                <w:tcPr>
                  <w:tcW w:w="1126" w:type="pct"/>
                  <w:tcBorders>
                    <w:tl2br w:val="nil"/>
                    <w:tr2bl w:val="nil"/>
                  </w:tcBorders>
                  <w:vAlign w:val="center"/>
                </w:tcPr>
                <w:p w14:paraId="53E001F5">
                  <w:pPr>
                    <w:pStyle w:val="30"/>
                    <w:rPr>
                      <w:color w:val="auto"/>
                      <w:highlight w:val="none"/>
                    </w:rPr>
                  </w:pPr>
                  <w:r>
                    <w:rPr>
                      <w:color w:val="auto"/>
                      <w:highlight w:val="none"/>
                    </w:rPr>
                    <w:t>甲B</w:t>
                  </w:r>
                </w:p>
              </w:tc>
              <w:tc>
                <w:tcPr>
                  <w:tcW w:w="1129" w:type="pct"/>
                  <w:tcBorders>
                    <w:tl2br w:val="nil"/>
                    <w:tr2bl w:val="nil"/>
                  </w:tcBorders>
                  <w:vAlign w:val="center"/>
                </w:tcPr>
                <w:p w14:paraId="147AD3F6">
                  <w:pPr>
                    <w:pStyle w:val="30"/>
                    <w:rPr>
                      <w:color w:val="auto"/>
                      <w:highlight w:val="none"/>
                    </w:rPr>
                  </w:pPr>
                  <w:r>
                    <w:rPr>
                      <w:color w:val="auto"/>
                      <w:highlight w:val="none"/>
                    </w:rPr>
                    <w:t>爆炸危险组别类别</w:t>
                  </w:r>
                </w:p>
              </w:tc>
              <w:tc>
                <w:tcPr>
                  <w:tcW w:w="1186" w:type="pct"/>
                  <w:tcBorders>
                    <w:tl2br w:val="nil"/>
                    <w:tr2bl w:val="nil"/>
                  </w:tcBorders>
                  <w:vAlign w:val="center"/>
                </w:tcPr>
                <w:p w14:paraId="69F2B4E6">
                  <w:pPr>
                    <w:pStyle w:val="30"/>
                    <w:rPr>
                      <w:color w:val="auto"/>
                      <w:highlight w:val="none"/>
                    </w:rPr>
                  </w:pPr>
                  <w:r>
                    <w:rPr>
                      <w:color w:val="auto"/>
                      <w:highlight w:val="none"/>
                    </w:rPr>
                    <w:t>T3/ⅡA</w:t>
                  </w:r>
                </w:p>
              </w:tc>
            </w:tr>
            <w:tr w14:paraId="3C95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tcBorders>
                    <w:tl2br w:val="nil"/>
                    <w:tr2bl w:val="nil"/>
                  </w:tcBorders>
                  <w:vAlign w:val="center"/>
                </w:tcPr>
                <w:p w14:paraId="64623A77">
                  <w:pPr>
                    <w:pStyle w:val="30"/>
                    <w:rPr>
                      <w:color w:val="auto"/>
                      <w:highlight w:val="none"/>
                    </w:rPr>
                  </w:pPr>
                  <w:r>
                    <w:rPr>
                      <w:color w:val="auto"/>
                      <w:highlight w:val="none"/>
                    </w:rPr>
                    <w:t>燃爆特性</w:t>
                  </w:r>
                </w:p>
              </w:tc>
              <w:tc>
                <w:tcPr>
                  <w:tcW w:w="1029" w:type="pct"/>
                  <w:tcBorders>
                    <w:tl2br w:val="nil"/>
                    <w:tr2bl w:val="nil"/>
                  </w:tcBorders>
                  <w:vAlign w:val="center"/>
                </w:tcPr>
                <w:p w14:paraId="5378077A">
                  <w:pPr>
                    <w:pStyle w:val="30"/>
                    <w:rPr>
                      <w:color w:val="auto"/>
                      <w:highlight w:val="none"/>
                    </w:rPr>
                  </w:pPr>
                  <w:r>
                    <w:rPr>
                      <w:color w:val="auto"/>
                      <w:highlight w:val="none"/>
                    </w:rPr>
                    <w:t>危险特性</w:t>
                  </w:r>
                </w:p>
              </w:tc>
              <w:tc>
                <w:tcPr>
                  <w:tcW w:w="3442" w:type="pct"/>
                  <w:gridSpan w:val="3"/>
                  <w:tcBorders>
                    <w:tl2br w:val="nil"/>
                    <w:tr2bl w:val="nil"/>
                  </w:tcBorders>
                  <w:vAlign w:val="center"/>
                </w:tcPr>
                <w:p w14:paraId="554BA9E6">
                  <w:pPr>
                    <w:pStyle w:val="30"/>
                    <w:rPr>
                      <w:color w:val="auto"/>
                      <w:highlight w:val="none"/>
                    </w:rPr>
                  </w:pPr>
                  <w:r>
                    <w:rPr>
                      <w:color w:val="auto"/>
                      <w:highlight w:val="none"/>
                    </w:rPr>
                    <w:t>其蒸气与空气能形成爆炸性混合物，遇明火、高热易引起燃烧爆炸，与氧化剂接触能发生强烈反应。蒸气比空气重，能在较低处扩散到相当远的地方，遇明火会引起回燃。若遇高热，容器内压增大，有开裂和爆炸的危险。</w:t>
                  </w:r>
                </w:p>
              </w:tc>
            </w:tr>
            <w:tr w14:paraId="7505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tcPr>
                <w:p w14:paraId="092CBC5E">
                  <w:pPr>
                    <w:pStyle w:val="30"/>
                    <w:rPr>
                      <w:color w:val="auto"/>
                      <w:highlight w:val="none"/>
                    </w:rPr>
                  </w:pPr>
                </w:p>
              </w:tc>
              <w:tc>
                <w:tcPr>
                  <w:tcW w:w="1029" w:type="pct"/>
                  <w:tcBorders>
                    <w:tl2br w:val="nil"/>
                    <w:tr2bl w:val="nil"/>
                  </w:tcBorders>
                </w:tcPr>
                <w:p w14:paraId="0AF026D4">
                  <w:pPr>
                    <w:pStyle w:val="30"/>
                    <w:rPr>
                      <w:color w:val="auto"/>
                      <w:highlight w:val="none"/>
                    </w:rPr>
                  </w:pPr>
                  <w:r>
                    <w:rPr>
                      <w:color w:val="auto"/>
                      <w:highlight w:val="none"/>
                    </w:rPr>
                    <w:t>灭火剂种类</w:t>
                  </w:r>
                </w:p>
              </w:tc>
              <w:tc>
                <w:tcPr>
                  <w:tcW w:w="3442" w:type="pct"/>
                  <w:gridSpan w:val="3"/>
                  <w:tcBorders>
                    <w:tl2br w:val="nil"/>
                    <w:tr2bl w:val="nil"/>
                  </w:tcBorders>
                  <w:vAlign w:val="center"/>
                </w:tcPr>
                <w:p w14:paraId="56F4FDC4">
                  <w:pPr>
                    <w:pStyle w:val="30"/>
                    <w:rPr>
                      <w:color w:val="auto"/>
                      <w:highlight w:val="none"/>
                    </w:rPr>
                  </w:pPr>
                  <w:r>
                    <w:rPr>
                      <w:color w:val="auto"/>
                      <w:highlight w:val="none"/>
                    </w:rPr>
                    <w:t>泡沫、干粉、沙土、CO</w:t>
                  </w:r>
                  <w:r>
                    <w:rPr>
                      <w:color w:val="auto"/>
                      <w:highlight w:val="none"/>
                      <w:vertAlign w:val="subscript"/>
                    </w:rPr>
                    <w:t>2</w:t>
                  </w:r>
                  <w:r>
                    <w:rPr>
                      <w:color w:val="auto"/>
                      <w:highlight w:val="none"/>
                    </w:rPr>
                    <w:t>。用水灭火无效。</w:t>
                  </w:r>
                </w:p>
              </w:tc>
            </w:tr>
            <w:tr w14:paraId="392B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tcBorders>
                    <w:tl2br w:val="nil"/>
                    <w:tr2bl w:val="nil"/>
                  </w:tcBorders>
                  <w:vAlign w:val="center"/>
                </w:tcPr>
                <w:p w14:paraId="4166B1FC">
                  <w:pPr>
                    <w:pStyle w:val="30"/>
                    <w:rPr>
                      <w:color w:val="auto"/>
                      <w:highlight w:val="none"/>
                    </w:rPr>
                  </w:pPr>
                  <w:r>
                    <w:rPr>
                      <w:color w:val="auto"/>
                      <w:highlight w:val="none"/>
                    </w:rPr>
                    <w:t>毒性及健康危害</w:t>
                  </w:r>
                </w:p>
              </w:tc>
              <w:tc>
                <w:tcPr>
                  <w:tcW w:w="1029" w:type="pct"/>
                  <w:tcBorders>
                    <w:tl2br w:val="nil"/>
                    <w:tr2bl w:val="nil"/>
                  </w:tcBorders>
                  <w:vAlign w:val="center"/>
                </w:tcPr>
                <w:p w14:paraId="19E0E1B8">
                  <w:pPr>
                    <w:pStyle w:val="30"/>
                    <w:rPr>
                      <w:color w:val="auto"/>
                      <w:highlight w:val="none"/>
                    </w:rPr>
                  </w:pPr>
                  <w:r>
                    <w:rPr>
                      <w:color w:val="auto"/>
                      <w:highlight w:val="none"/>
                    </w:rPr>
                    <w:t>健康危害</w:t>
                  </w:r>
                </w:p>
              </w:tc>
              <w:tc>
                <w:tcPr>
                  <w:tcW w:w="3442" w:type="pct"/>
                  <w:gridSpan w:val="3"/>
                  <w:tcBorders>
                    <w:tl2br w:val="nil"/>
                    <w:tr2bl w:val="nil"/>
                  </w:tcBorders>
                </w:tcPr>
                <w:p w14:paraId="084C4093">
                  <w:pPr>
                    <w:pStyle w:val="30"/>
                    <w:rPr>
                      <w:color w:val="auto"/>
                      <w:highlight w:val="none"/>
                    </w:rPr>
                  </w:pPr>
                  <w:r>
                    <w:rPr>
                      <w:color w:val="auto"/>
                      <w:highlight w:val="none"/>
                    </w:rPr>
                    <w:t>主要是引起中枢神经系统功能障碍。高浓度时引起呼吸中枢麻痹。轻度中毒的表现有：头痛、头晕。四肢无力、恶心等症状。重度中毒的表现有；高浓度汽油蒸气可能引起中毒性脑病，出现中毒性精神病症状。汽油直接吸入呼吸道可引起吸入性肺炎。</w:t>
                  </w:r>
                </w:p>
              </w:tc>
            </w:tr>
            <w:tr w14:paraId="45AA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tcPr>
                <w:p w14:paraId="7D41E4DF">
                  <w:pPr>
                    <w:pStyle w:val="30"/>
                    <w:rPr>
                      <w:color w:val="auto"/>
                      <w:highlight w:val="none"/>
                    </w:rPr>
                  </w:pPr>
                </w:p>
              </w:tc>
              <w:tc>
                <w:tcPr>
                  <w:tcW w:w="1029" w:type="pct"/>
                  <w:tcBorders>
                    <w:tl2br w:val="nil"/>
                    <w:tr2bl w:val="nil"/>
                  </w:tcBorders>
                </w:tcPr>
                <w:p w14:paraId="74853C6A">
                  <w:pPr>
                    <w:pStyle w:val="30"/>
                    <w:rPr>
                      <w:color w:val="auto"/>
                      <w:highlight w:val="none"/>
                    </w:rPr>
                  </w:pPr>
                  <w:r>
                    <w:rPr>
                      <w:color w:val="auto"/>
                      <w:highlight w:val="none"/>
                    </w:rPr>
                    <w:t>皮肤接触</w:t>
                  </w:r>
                </w:p>
              </w:tc>
              <w:tc>
                <w:tcPr>
                  <w:tcW w:w="3442" w:type="pct"/>
                  <w:gridSpan w:val="3"/>
                  <w:tcBorders>
                    <w:tl2br w:val="nil"/>
                    <w:tr2bl w:val="nil"/>
                  </w:tcBorders>
                </w:tcPr>
                <w:p w14:paraId="33B6FB69">
                  <w:pPr>
                    <w:pStyle w:val="30"/>
                    <w:rPr>
                      <w:color w:val="auto"/>
                      <w:highlight w:val="none"/>
                    </w:rPr>
                  </w:pPr>
                  <w:r>
                    <w:rPr>
                      <w:color w:val="auto"/>
                      <w:highlight w:val="none"/>
                    </w:rPr>
                    <w:t>脱去污染的衣物，用肥皂及清水彻底冲洗。</w:t>
                  </w:r>
                </w:p>
              </w:tc>
            </w:tr>
            <w:tr w14:paraId="5DAF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tcPr>
                <w:p w14:paraId="1988A683">
                  <w:pPr>
                    <w:pStyle w:val="30"/>
                    <w:rPr>
                      <w:color w:val="auto"/>
                      <w:highlight w:val="none"/>
                    </w:rPr>
                  </w:pPr>
                </w:p>
              </w:tc>
              <w:tc>
                <w:tcPr>
                  <w:tcW w:w="1029" w:type="pct"/>
                  <w:tcBorders>
                    <w:tl2br w:val="nil"/>
                    <w:tr2bl w:val="nil"/>
                  </w:tcBorders>
                  <w:vAlign w:val="center"/>
                </w:tcPr>
                <w:p w14:paraId="5F315AAB">
                  <w:pPr>
                    <w:pStyle w:val="30"/>
                    <w:rPr>
                      <w:color w:val="auto"/>
                      <w:highlight w:val="none"/>
                    </w:rPr>
                  </w:pPr>
                  <w:r>
                    <w:rPr>
                      <w:color w:val="auto"/>
                      <w:highlight w:val="none"/>
                    </w:rPr>
                    <w:t>眼睛接触</w:t>
                  </w:r>
                </w:p>
              </w:tc>
              <w:tc>
                <w:tcPr>
                  <w:tcW w:w="3442" w:type="pct"/>
                  <w:gridSpan w:val="3"/>
                  <w:tcBorders>
                    <w:tl2br w:val="nil"/>
                    <w:tr2bl w:val="nil"/>
                  </w:tcBorders>
                </w:tcPr>
                <w:p w14:paraId="0F747B12">
                  <w:pPr>
                    <w:pStyle w:val="30"/>
                    <w:rPr>
                      <w:color w:val="auto"/>
                      <w:highlight w:val="none"/>
                    </w:rPr>
                  </w:pPr>
                  <w:r>
                    <w:rPr>
                      <w:color w:val="auto"/>
                      <w:highlight w:val="none"/>
                    </w:rPr>
                    <w:t>立即翻开上下眼睑，用流动清水冲洗10分钟或用 2％碳酸氢钠溶液冲洗并敷硼酸眼膏。就医。</w:t>
                  </w:r>
                </w:p>
              </w:tc>
            </w:tr>
            <w:tr w14:paraId="2057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tcPr>
                <w:p w14:paraId="2C45CC7B">
                  <w:pPr>
                    <w:pStyle w:val="30"/>
                    <w:rPr>
                      <w:color w:val="auto"/>
                      <w:highlight w:val="none"/>
                    </w:rPr>
                  </w:pPr>
                </w:p>
              </w:tc>
              <w:tc>
                <w:tcPr>
                  <w:tcW w:w="1029" w:type="pct"/>
                  <w:tcBorders>
                    <w:tl2br w:val="nil"/>
                    <w:tr2bl w:val="nil"/>
                  </w:tcBorders>
                  <w:vAlign w:val="center"/>
                </w:tcPr>
                <w:p w14:paraId="19B4DE6B">
                  <w:pPr>
                    <w:pStyle w:val="30"/>
                    <w:rPr>
                      <w:color w:val="auto"/>
                      <w:highlight w:val="none"/>
                    </w:rPr>
                  </w:pPr>
                  <w:r>
                    <w:rPr>
                      <w:color w:val="auto"/>
                      <w:highlight w:val="none"/>
                    </w:rPr>
                    <w:t>吸入</w:t>
                  </w:r>
                </w:p>
              </w:tc>
              <w:tc>
                <w:tcPr>
                  <w:tcW w:w="3442" w:type="pct"/>
                  <w:gridSpan w:val="3"/>
                  <w:tcBorders>
                    <w:tl2br w:val="nil"/>
                    <w:tr2bl w:val="nil"/>
                  </w:tcBorders>
                </w:tcPr>
                <w:p w14:paraId="2069F08C">
                  <w:pPr>
                    <w:pStyle w:val="30"/>
                    <w:rPr>
                      <w:color w:val="auto"/>
                      <w:highlight w:val="none"/>
                    </w:rPr>
                  </w:pPr>
                  <w:r>
                    <w:rPr>
                      <w:color w:val="auto"/>
                      <w:highlight w:val="none"/>
                    </w:rPr>
                    <w:t>迅速脱离现场至空气新鲜处，保暖并休息。呼吸困难时给予输氧。呼吸停止时，立即进行人工呼吸。就医。</w:t>
                  </w:r>
                </w:p>
              </w:tc>
            </w:tr>
            <w:tr w14:paraId="7A57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tcBorders>
                    <w:tl2br w:val="nil"/>
                    <w:tr2bl w:val="nil"/>
                  </w:tcBorders>
                </w:tcPr>
                <w:p w14:paraId="08AA6A96">
                  <w:pPr>
                    <w:pStyle w:val="30"/>
                    <w:rPr>
                      <w:color w:val="auto"/>
                      <w:highlight w:val="none"/>
                    </w:rPr>
                  </w:pPr>
                </w:p>
              </w:tc>
              <w:tc>
                <w:tcPr>
                  <w:tcW w:w="1029" w:type="pct"/>
                  <w:tcBorders>
                    <w:tl2br w:val="nil"/>
                    <w:tr2bl w:val="nil"/>
                  </w:tcBorders>
                </w:tcPr>
                <w:p w14:paraId="16EF23BF">
                  <w:pPr>
                    <w:pStyle w:val="30"/>
                    <w:rPr>
                      <w:color w:val="auto"/>
                      <w:highlight w:val="none"/>
                    </w:rPr>
                  </w:pPr>
                  <w:r>
                    <w:rPr>
                      <w:color w:val="auto"/>
                      <w:highlight w:val="none"/>
                    </w:rPr>
                    <w:t>食入</w:t>
                  </w:r>
                </w:p>
              </w:tc>
              <w:tc>
                <w:tcPr>
                  <w:tcW w:w="3442" w:type="pct"/>
                  <w:gridSpan w:val="3"/>
                  <w:tcBorders>
                    <w:tl2br w:val="nil"/>
                    <w:tr2bl w:val="nil"/>
                  </w:tcBorders>
                </w:tcPr>
                <w:p w14:paraId="7613C853">
                  <w:pPr>
                    <w:pStyle w:val="30"/>
                    <w:rPr>
                      <w:color w:val="auto"/>
                      <w:highlight w:val="none"/>
                    </w:rPr>
                  </w:pPr>
                  <w:r>
                    <w:rPr>
                      <w:color w:val="auto"/>
                      <w:highlight w:val="none"/>
                    </w:rPr>
                    <w:t>误食者立即漱口，饮牛奶或植物油，洗胃并灌肠。就医。</w:t>
                  </w:r>
                </w:p>
              </w:tc>
            </w:tr>
            <w:tr w14:paraId="444F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tcBorders>
                    <w:tl2br w:val="nil"/>
                    <w:tr2bl w:val="nil"/>
                  </w:tcBorders>
                  <w:vAlign w:val="center"/>
                </w:tcPr>
                <w:p w14:paraId="57603DCC">
                  <w:pPr>
                    <w:pStyle w:val="30"/>
                    <w:rPr>
                      <w:color w:val="auto"/>
                      <w:highlight w:val="none"/>
                    </w:rPr>
                  </w:pPr>
                  <w:r>
                    <w:rPr>
                      <w:color w:val="auto"/>
                      <w:highlight w:val="none"/>
                    </w:rPr>
                    <w:t>泄漏处理</w:t>
                  </w:r>
                </w:p>
              </w:tc>
              <w:tc>
                <w:tcPr>
                  <w:tcW w:w="4472" w:type="pct"/>
                  <w:gridSpan w:val="4"/>
                  <w:tcBorders>
                    <w:tl2br w:val="nil"/>
                    <w:tr2bl w:val="nil"/>
                  </w:tcBorders>
                </w:tcPr>
                <w:p w14:paraId="35CC92CF">
                  <w:pPr>
                    <w:pStyle w:val="30"/>
                    <w:rPr>
                      <w:color w:val="auto"/>
                      <w:highlight w:val="none"/>
                    </w:rPr>
                  </w:pPr>
                  <w:r>
                    <w:rPr>
                      <w:color w:val="auto"/>
                      <w:highlight w:val="none"/>
                    </w:rPr>
                    <w:t>疏散泄漏污染区人员至安全区，禁止物管人员进入污染区，切断火源。应急处理人员戴自给式呼吸器，穿一般消防防护服。在确保安全的情况下堵漏。用吸油毡吸收油料，然后收集于干燥洁净有盖的容器中，运至废物处理场所。若大量泄漏，则利用围堤收集、转移、回收或无害处理后废弃。</w:t>
                  </w:r>
                </w:p>
              </w:tc>
            </w:tr>
          </w:tbl>
          <w:p w14:paraId="46BA5D64">
            <w:pPr>
              <w:ind w:firstLine="480"/>
              <w:rPr>
                <w:snapToGrid w:val="0"/>
                <w:color w:val="auto"/>
                <w:kern w:val="0"/>
                <w:highlight w:val="none"/>
                <w:lang w:bidi="ar"/>
              </w:rPr>
            </w:pPr>
            <w:r>
              <w:rPr>
                <w:rFonts w:hint="eastAsia"/>
                <w:snapToGrid w:val="0"/>
                <w:color w:val="auto"/>
                <w:kern w:val="0"/>
                <w:highlight w:val="none"/>
                <w:lang w:bidi="ar"/>
              </w:rPr>
              <w:t>b、柴油</w:t>
            </w:r>
          </w:p>
          <w:p w14:paraId="08EB9A64">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17</w:t>
            </w:r>
            <w:r>
              <w:rPr>
                <w:color w:val="auto"/>
                <w:highlight w:val="none"/>
              </w:rPr>
              <w:fldChar w:fldCharType="end"/>
            </w:r>
            <w:r>
              <w:rPr>
                <w:rFonts w:hint="eastAsia"/>
                <w:color w:val="auto"/>
                <w:highlight w:val="none"/>
              </w:rPr>
              <w:t xml:space="preserve"> 柴油安全技术特征及危险、有害因素识别表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0" w:type="dxa"/>
              </w:tblCellMar>
            </w:tblPr>
            <w:tblGrid>
              <w:gridCol w:w="695"/>
              <w:gridCol w:w="2176"/>
              <w:gridCol w:w="1437"/>
              <w:gridCol w:w="271"/>
              <w:gridCol w:w="1784"/>
              <w:gridCol w:w="164"/>
              <w:gridCol w:w="1077"/>
            </w:tblGrid>
            <w:tr w14:paraId="6BBB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tcBorders>
                    <w:tl2br w:val="nil"/>
                    <w:tr2bl w:val="nil"/>
                  </w:tcBorders>
                  <w:vAlign w:val="center"/>
                </w:tcPr>
                <w:p w14:paraId="2B656112">
                  <w:pPr>
                    <w:pStyle w:val="30"/>
                    <w:rPr>
                      <w:b/>
                      <w:bCs/>
                      <w:color w:val="auto"/>
                      <w:highlight w:val="none"/>
                    </w:rPr>
                  </w:pPr>
                  <w:r>
                    <w:rPr>
                      <w:b/>
                      <w:bCs/>
                      <w:color w:val="auto"/>
                      <w:highlight w:val="none"/>
                    </w:rPr>
                    <w:t>标识</w:t>
                  </w:r>
                </w:p>
              </w:tc>
              <w:tc>
                <w:tcPr>
                  <w:tcW w:w="2623" w:type="dxa"/>
                  <w:tcBorders>
                    <w:tl2br w:val="nil"/>
                    <w:tr2bl w:val="nil"/>
                  </w:tcBorders>
                  <w:vAlign w:val="center"/>
                </w:tcPr>
                <w:p w14:paraId="51285738">
                  <w:pPr>
                    <w:pStyle w:val="30"/>
                    <w:rPr>
                      <w:b/>
                      <w:bCs/>
                      <w:color w:val="auto"/>
                      <w:highlight w:val="none"/>
                    </w:rPr>
                  </w:pPr>
                  <w:r>
                    <w:rPr>
                      <w:b/>
                      <w:bCs/>
                      <w:color w:val="auto"/>
                      <w:highlight w:val="none"/>
                    </w:rPr>
                    <w:t>中文名</w:t>
                  </w:r>
                </w:p>
              </w:tc>
              <w:tc>
                <w:tcPr>
                  <w:tcW w:w="1741" w:type="dxa"/>
                  <w:tcBorders>
                    <w:tl2br w:val="nil"/>
                    <w:tr2bl w:val="nil"/>
                  </w:tcBorders>
                  <w:vAlign w:val="center"/>
                </w:tcPr>
                <w:p w14:paraId="7D45FA20">
                  <w:pPr>
                    <w:pStyle w:val="30"/>
                    <w:rPr>
                      <w:b/>
                      <w:bCs/>
                      <w:color w:val="auto"/>
                      <w:highlight w:val="none"/>
                    </w:rPr>
                  </w:pPr>
                  <w:r>
                    <w:rPr>
                      <w:b/>
                      <w:bCs/>
                      <w:color w:val="auto"/>
                      <w:highlight w:val="none"/>
                    </w:rPr>
                    <w:t>柴油</w:t>
                  </w:r>
                </w:p>
              </w:tc>
              <w:tc>
                <w:tcPr>
                  <w:tcW w:w="2449" w:type="dxa"/>
                  <w:gridSpan w:val="2"/>
                  <w:tcBorders>
                    <w:tl2br w:val="nil"/>
                    <w:tr2bl w:val="nil"/>
                  </w:tcBorders>
                  <w:vAlign w:val="center"/>
                </w:tcPr>
                <w:p w14:paraId="1BAD4A43">
                  <w:pPr>
                    <w:pStyle w:val="30"/>
                    <w:rPr>
                      <w:b/>
                      <w:bCs/>
                      <w:color w:val="auto"/>
                      <w:highlight w:val="none"/>
                    </w:rPr>
                  </w:pPr>
                  <w:r>
                    <w:rPr>
                      <w:b/>
                      <w:bCs/>
                      <w:color w:val="auto"/>
                      <w:highlight w:val="none"/>
                    </w:rPr>
                    <w:t>英文名</w:t>
                  </w:r>
                </w:p>
              </w:tc>
              <w:tc>
                <w:tcPr>
                  <w:tcW w:w="1490" w:type="dxa"/>
                  <w:gridSpan w:val="2"/>
                  <w:tcBorders>
                    <w:tl2br w:val="nil"/>
                    <w:tr2bl w:val="nil"/>
                  </w:tcBorders>
                  <w:vAlign w:val="center"/>
                </w:tcPr>
                <w:p w14:paraId="7B3AEAD5">
                  <w:pPr>
                    <w:pStyle w:val="30"/>
                    <w:rPr>
                      <w:b/>
                      <w:bCs/>
                      <w:color w:val="auto"/>
                      <w:highlight w:val="none"/>
                    </w:rPr>
                  </w:pPr>
                  <w:r>
                    <w:rPr>
                      <w:b/>
                      <w:bCs/>
                      <w:color w:val="auto"/>
                      <w:highlight w:val="none"/>
                    </w:rPr>
                    <w:t>Diesel Oil</w:t>
                  </w:r>
                </w:p>
              </w:tc>
            </w:tr>
            <w:tr w14:paraId="43AE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restart"/>
                  <w:tcBorders>
                    <w:tl2br w:val="nil"/>
                    <w:tr2bl w:val="nil"/>
                  </w:tcBorders>
                  <w:vAlign w:val="center"/>
                </w:tcPr>
                <w:p w14:paraId="2D6E9525">
                  <w:pPr>
                    <w:pStyle w:val="30"/>
                    <w:rPr>
                      <w:color w:val="auto"/>
                      <w:highlight w:val="none"/>
                    </w:rPr>
                  </w:pPr>
                  <w:r>
                    <w:rPr>
                      <w:color w:val="auto"/>
                      <w:highlight w:val="none"/>
                    </w:rPr>
                    <w:t>理化特性</w:t>
                  </w:r>
                </w:p>
              </w:tc>
              <w:tc>
                <w:tcPr>
                  <w:tcW w:w="2623" w:type="dxa"/>
                  <w:tcBorders>
                    <w:tl2br w:val="nil"/>
                    <w:tr2bl w:val="nil"/>
                  </w:tcBorders>
                  <w:vAlign w:val="center"/>
                </w:tcPr>
                <w:p w14:paraId="3D9BCB00">
                  <w:pPr>
                    <w:pStyle w:val="30"/>
                    <w:rPr>
                      <w:color w:val="auto"/>
                      <w:highlight w:val="none"/>
                    </w:rPr>
                  </w:pPr>
                  <w:r>
                    <w:rPr>
                      <w:color w:val="auto"/>
                      <w:highlight w:val="none"/>
                    </w:rPr>
                    <w:t>沸点（℃）</w:t>
                  </w:r>
                </w:p>
              </w:tc>
              <w:tc>
                <w:tcPr>
                  <w:tcW w:w="1741" w:type="dxa"/>
                  <w:tcBorders>
                    <w:tl2br w:val="nil"/>
                    <w:tr2bl w:val="nil"/>
                  </w:tcBorders>
                  <w:vAlign w:val="center"/>
                </w:tcPr>
                <w:p w14:paraId="60BFBF4D">
                  <w:pPr>
                    <w:pStyle w:val="30"/>
                    <w:rPr>
                      <w:color w:val="auto"/>
                      <w:highlight w:val="none"/>
                    </w:rPr>
                  </w:pPr>
                  <w:r>
                    <w:rPr>
                      <w:color w:val="auto"/>
                      <w:highlight w:val="none"/>
                    </w:rPr>
                    <w:t>282～365</w:t>
                  </w:r>
                </w:p>
              </w:tc>
              <w:tc>
                <w:tcPr>
                  <w:tcW w:w="2449" w:type="dxa"/>
                  <w:gridSpan w:val="2"/>
                  <w:tcBorders>
                    <w:tl2br w:val="nil"/>
                    <w:tr2bl w:val="nil"/>
                  </w:tcBorders>
                  <w:vAlign w:val="center"/>
                </w:tcPr>
                <w:p w14:paraId="38F6A333">
                  <w:pPr>
                    <w:pStyle w:val="30"/>
                    <w:rPr>
                      <w:color w:val="auto"/>
                      <w:highlight w:val="none"/>
                    </w:rPr>
                  </w:pPr>
                  <w:r>
                    <w:rPr>
                      <w:color w:val="auto"/>
                      <w:highlight w:val="none"/>
                    </w:rPr>
                    <w:t>熔点（℃）</w:t>
                  </w:r>
                </w:p>
              </w:tc>
              <w:tc>
                <w:tcPr>
                  <w:tcW w:w="1490" w:type="dxa"/>
                  <w:gridSpan w:val="2"/>
                  <w:tcBorders>
                    <w:tl2br w:val="nil"/>
                    <w:tr2bl w:val="nil"/>
                  </w:tcBorders>
                  <w:vAlign w:val="center"/>
                </w:tcPr>
                <w:p w14:paraId="386D2F32">
                  <w:pPr>
                    <w:pStyle w:val="30"/>
                    <w:rPr>
                      <w:color w:val="auto"/>
                      <w:highlight w:val="none"/>
                    </w:rPr>
                  </w:pPr>
                  <w:r>
                    <w:rPr>
                      <w:color w:val="auto"/>
                      <w:highlight w:val="none"/>
                    </w:rPr>
                    <w:t>-18</w:t>
                  </w:r>
                </w:p>
              </w:tc>
            </w:tr>
            <w:tr w14:paraId="2F32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221161CE">
                  <w:pPr>
                    <w:pStyle w:val="30"/>
                    <w:rPr>
                      <w:color w:val="auto"/>
                      <w:highlight w:val="none"/>
                    </w:rPr>
                  </w:pPr>
                </w:p>
              </w:tc>
              <w:tc>
                <w:tcPr>
                  <w:tcW w:w="2623" w:type="dxa"/>
                  <w:tcBorders>
                    <w:tl2br w:val="nil"/>
                    <w:tr2bl w:val="nil"/>
                  </w:tcBorders>
                  <w:vAlign w:val="center"/>
                </w:tcPr>
                <w:p w14:paraId="6E66EB37">
                  <w:pPr>
                    <w:pStyle w:val="30"/>
                    <w:rPr>
                      <w:color w:val="auto"/>
                      <w:highlight w:val="none"/>
                    </w:rPr>
                  </w:pPr>
                  <w:r>
                    <w:rPr>
                      <w:color w:val="auto"/>
                      <w:highlight w:val="none"/>
                    </w:rPr>
                    <w:t>相对密度（水=1）</w:t>
                  </w:r>
                </w:p>
              </w:tc>
              <w:tc>
                <w:tcPr>
                  <w:tcW w:w="1741" w:type="dxa"/>
                  <w:tcBorders>
                    <w:tl2br w:val="nil"/>
                    <w:tr2bl w:val="nil"/>
                  </w:tcBorders>
                  <w:vAlign w:val="center"/>
                </w:tcPr>
                <w:p w14:paraId="6A984E90">
                  <w:pPr>
                    <w:pStyle w:val="30"/>
                    <w:rPr>
                      <w:color w:val="auto"/>
                      <w:highlight w:val="none"/>
                    </w:rPr>
                  </w:pPr>
                  <w:r>
                    <w:rPr>
                      <w:color w:val="auto"/>
                      <w:highlight w:val="none"/>
                    </w:rPr>
                    <w:t>0.87～0.9</w:t>
                  </w:r>
                </w:p>
              </w:tc>
              <w:tc>
                <w:tcPr>
                  <w:tcW w:w="2449" w:type="dxa"/>
                  <w:gridSpan w:val="2"/>
                  <w:tcBorders>
                    <w:tl2br w:val="nil"/>
                    <w:tr2bl w:val="nil"/>
                  </w:tcBorders>
                  <w:vAlign w:val="center"/>
                </w:tcPr>
                <w:p w14:paraId="4C2C6127">
                  <w:pPr>
                    <w:pStyle w:val="30"/>
                    <w:rPr>
                      <w:color w:val="auto"/>
                      <w:highlight w:val="none"/>
                    </w:rPr>
                  </w:pPr>
                  <w:r>
                    <w:rPr>
                      <w:color w:val="auto"/>
                      <w:highlight w:val="none"/>
                    </w:rPr>
                    <w:t>相对密度（空气=1）</w:t>
                  </w:r>
                </w:p>
              </w:tc>
              <w:tc>
                <w:tcPr>
                  <w:tcW w:w="1490" w:type="dxa"/>
                  <w:gridSpan w:val="2"/>
                  <w:tcBorders>
                    <w:tl2br w:val="nil"/>
                    <w:tr2bl w:val="nil"/>
                  </w:tcBorders>
                  <w:vAlign w:val="center"/>
                </w:tcPr>
                <w:p w14:paraId="68AAC934">
                  <w:pPr>
                    <w:pStyle w:val="30"/>
                    <w:rPr>
                      <w:color w:val="auto"/>
                      <w:highlight w:val="none"/>
                    </w:rPr>
                  </w:pPr>
                  <w:r>
                    <w:rPr>
                      <w:color w:val="auto"/>
                      <w:highlight w:val="none"/>
                    </w:rPr>
                    <w:t>无资料</w:t>
                  </w:r>
                </w:p>
              </w:tc>
            </w:tr>
            <w:tr w14:paraId="616A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574AC3A6">
                  <w:pPr>
                    <w:pStyle w:val="30"/>
                    <w:rPr>
                      <w:color w:val="auto"/>
                      <w:highlight w:val="none"/>
                    </w:rPr>
                  </w:pPr>
                </w:p>
              </w:tc>
              <w:tc>
                <w:tcPr>
                  <w:tcW w:w="2623" w:type="dxa"/>
                  <w:tcBorders>
                    <w:tl2br w:val="nil"/>
                    <w:tr2bl w:val="nil"/>
                  </w:tcBorders>
                  <w:vAlign w:val="center"/>
                </w:tcPr>
                <w:p w14:paraId="78893175">
                  <w:pPr>
                    <w:pStyle w:val="30"/>
                    <w:rPr>
                      <w:color w:val="auto"/>
                      <w:highlight w:val="none"/>
                    </w:rPr>
                  </w:pPr>
                  <w:r>
                    <w:rPr>
                      <w:color w:val="auto"/>
                      <w:highlight w:val="none"/>
                    </w:rPr>
                    <w:t>外观性状</w:t>
                  </w:r>
                </w:p>
              </w:tc>
              <w:tc>
                <w:tcPr>
                  <w:tcW w:w="5680" w:type="dxa"/>
                  <w:gridSpan w:val="5"/>
                  <w:tcBorders>
                    <w:tl2br w:val="nil"/>
                    <w:tr2bl w:val="nil"/>
                  </w:tcBorders>
                  <w:vAlign w:val="center"/>
                </w:tcPr>
                <w:p w14:paraId="7E39FAE0">
                  <w:pPr>
                    <w:pStyle w:val="30"/>
                    <w:rPr>
                      <w:color w:val="auto"/>
                      <w:highlight w:val="none"/>
                    </w:rPr>
                  </w:pPr>
                  <w:r>
                    <w:rPr>
                      <w:color w:val="auto"/>
                      <w:highlight w:val="none"/>
                    </w:rPr>
                    <w:t>稍有粘性的棕色液体</w:t>
                  </w:r>
                </w:p>
              </w:tc>
            </w:tr>
            <w:tr w14:paraId="5AEF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5E606736">
                  <w:pPr>
                    <w:pStyle w:val="30"/>
                    <w:rPr>
                      <w:color w:val="auto"/>
                      <w:highlight w:val="none"/>
                    </w:rPr>
                  </w:pPr>
                </w:p>
              </w:tc>
              <w:tc>
                <w:tcPr>
                  <w:tcW w:w="2623" w:type="dxa"/>
                  <w:tcBorders>
                    <w:tl2br w:val="nil"/>
                    <w:tr2bl w:val="nil"/>
                  </w:tcBorders>
                  <w:vAlign w:val="center"/>
                </w:tcPr>
                <w:p w14:paraId="6C59C3D3">
                  <w:pPr>
                    <w:pStyle w:val="30"/>
                    <w:rPr>
                      <w:color w:val="auto"/>
                      <w:highlight w:val="none"/>
                    </w:rPr>
                  </w:pPr>
                  <w:r>
                    <w:rPr>
                      <w:color w:val="auto"/>
                      <w:highlight w:val="none"/>
                    </w:rPr>
                    <w:t>稳定性</w:t>
                  </w:r>
                </w:p>
              </w:tc>
              <w:tc>
                <w:tcPr>
                  <w:tcW w:w="5680" w:type="dxa"/>
                  <w:gridSpan w:val="5"/>
                  <w:tcBorders>
                    <w:tl2br w:val="nil"/>
                    <w:tr2bl w:val="nil"/>
                  </w:tcBorders>
                  <w:vAlign w:val="center"/>
                </w:tcPr>
                <w:p w14:paraId="7414C924">
                  <w:pPr>
                    <w:pStyle w:val="30"/>
                    <w:rPr>
                      <w:color w:val="auto"/>
                      <w:highlight w:val="none"/>
                    </w:rPr>
                  </w:pPr>
                  <w:r>
                    <w:rPr>
                      <w:color w:val="auto"/>
                      <w:highlight w:val="none"/>
                    </w:rPr>
                    <w:t>稳定聚合危害不聚合</w:t>
                  </w:r>
                </w:p>
              </w:tc>
            </w:tr>
            <w:tr w14:paraId="4FF9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0F146392">
                  <w:pPr>
                    <w:pStyle w:val="30"/>
                    <w:rPr>
                      <w:color w:val="auto"/>
                      <w:highlight w:val="none"/>
                    </w:rPr>
                  </w:pPr>
                </w:p>
              </w:tc>
              <w:tc>
                <w:tcPr>
                  <w:tcW w:w="2623" w:type="dxa"/>
                  <w:tcBorders>
                    <w:tl2br w:val="nil"/>
                    <w:tr2bl w:val="nil"/>
                  </w:tcBorders>
                  <w:vAlign w:val="center"/>
                </w:tcPr>
                <w:p w14:paraId="21E1F55C">
                  <w:pPr>
                    <w:pStyle w:val="30"/>
                    <w:rPr>
                      <w:color w:val="auto"/>
                      <w:highlight w:val="none"/>
                    </w:rPr>
                  </w:pPr>
                  <w:r>
                    <w:rPr>
                      <w:color w:val="auto"/>
                      <w:highlight w:val="none"/>
                    </w:rPr>
                    <w:t>主要用途</w:t>
                  </w:r>
                </w:p>
              </w:tc>
              <w:tc>
                <w:tcPr>
                  <w:tcW w:w="5680" w:type="dxa"/>
                  <w:gridSpan w:val="5"/>
                  <w:tcBorders>
                    <w:tl2br w:val="nil"/>
                    <w:tr2bl w:val="nil"/>
                  </w:tcBorders>
                  <w:vAlign w:val="center"/>
                </w:tcPr>
                <w:p w14:paraId="51F907FD">
                  <w:pPr>
                    <w:pStyle w:val="30"/>
                    <w:rPr>
                      <w:color w:val="auto"/>
                      <w:highlight w:val="none"/>
                    </w:rPr>
                  </w:pPr>
                  <w:r>
                    <w:rPr>
                      <w:color w:val="auto"/>
                      <w:highlight w:val="none"/>
                    </w:rPr>
                    <w:t>主要用作柴油机的燃料</w:t>
                  </w:r>
                </w:p>
              </w:tc>
            </w:tr>
            <w:tr w14:paraId="45C1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restart"/>
                  <w:tcBorders>
                    <w:tl2br w:val="nil"/>
                    <w:tr2bl w:val="nil"/>
                  </w:tcBorders>
                  <w:vAlign w:val="center"/>
                </w:tcPr>
                <w:p w14:paraId="161D8ADC">
                  <w:pPr>
                    <w:pStyle w:val="30"/>
                    <w:rPr>
                      <w:color w:val="auto"/>
                      <w:highlight w:val="none"/>
                    </w:rPr>
                  </w:pPr>
                  <w:r>
                    <w:rPr>
                      <w:color w:val="auto"/>
                      <w:highlight w:val="none"/>
                    </w:rPr>
                    <w:t>燃爆性</w:t>
                  </w:r>
                </w:p>
              </w:tc>
              <w:tc>
                <w:tcPr>
                  <w:tcW w:w="2623" w:type="dxa"/>
                  <w:tcBorders>
                    <w:tl2br w:val="nil"/>
                    <w:tr2bl w:val="nil"/>
                  </w:tcBorders>
                  <w:vAlign w:val="center"/>
                </w:tcPr>
                <w:p w14:paraId="1C5CDDE1">
                  <w:pPr>
                    <w:pStyle w:val="30"/>
                    <w:rPr>
                      <w:color w:val="auto"/>
                      <w:highlight w:val="none"/>
                    </w:rPr>
                  </w:pPr>
                  <w:r>
                    <w:rPr>
                      <w:color w:val="auto"/>
                      <w:highlight w:val="none"/>
                    </w:rPr>
                    <w:t>闪点（℃）</w:t>
                  </w:r>
                </w:p>
              </w:tc>
              <w:tc>
                <w:tcPr>
                  <w:tcW w:w="2064" w:type="dxa"/>
                  <w:gridSpan w:val="2"/>
                  <w:tcBorders>
                    <w:tl2br w:val="nil"/>
                    <w:tr2bl w:val="nil"/>
                  </w:tcBorders>
                  <w:vAlign w:val="center"/>
                </w:tcPr>
                <w:p w14:paraId="577505A7">
                  <w:pPr>
                    <w:pStyle w:val="30"/>
                    <w:rPr>
                      <w:color w:val="auto"/>
                      <w:highlight w:val="none"/>
                    </w:rPr>
                  </w:pPr>
                  <w:r>
                    <w:rPr>
                      <w:color w:val="auto"/>
                      <w:highlight w:val="none"/>
                    </w:rPr>
                    <w:t>≥55</w:t>
                  </w:r>
                </w:p>
              </w:tc>
              <w:tc>
                <w:tcPr>
                  <w:tcW w:w="2322" w:type="dxa"/>
                  <w:gridSpan w:val="2"/>
                  <w:tcBorders>
                    <w:tl2br w:val="nil"/>
                    <w:tr2bl w:val="nil"/>
                  </w:tcBorders>
                  <w:vAlign w:val="center"/>
                </w:tcPr>
                <w:p w14:paraId="6C06C433">
                  <w:pPr>
                    <w:pStyle w:val="30"/>
                    <w:rPr>
                      <w:color w:val="auto"/>
                      <w:highlight w:val="none"/>
                    </w:rPr>
                  </w:pPr>
                  <w:r>
                    <w:rPr>
                      <w:color w:val="auto"/>
                      <w:highlight w:val="none"/>
                    </w:rPr>
                    <w:t>爆炸极限（%V/V）</w:t>
                  </w:r>
                </w:p>
              </w:tc>
              <w:tc>
                <w:tcPr>
                  <w:tcW w:w="1294" w:type="dxa"/>
                  <w:tcBorders>
                    <w:tl2br w:val="nil"/>
                    <w:tr2bl w:val="nil"/>
                  </w:tcBorders>
                  <w:vAlign w:val="center"/>
                </w:tcPr>
                <w:p w14:paraId="31C6BD56">
                  <w:pPr>
                    <w:pStyle w:val="30"/>
                    <w:rPr>
                      <w:color w:val="auto"/>
                      <w:highlight w:val="none"/>
                    </w:rPr>
                  </w:pPr>
                  <w:r>
                    <w:rPr>
                      <w:color w:val="auto"/>
                      <w:highlight w:val="none"/>
                    </w:rPr>
                    <w:t>无资料</w:t>
                  </w:r>
                </w:p>
              </w:tc>
            </w:tr>
            <w:tr w14:paraId="3E62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589584CC">
                  <w:pPr>
                    <w:pStyle w:val="30"/>
                    <w:rPr>
                      <w:color w:val="auto"/>
                      <w:highlight w:val="none"/>
                    </w:rPr>
                  </w:pPr>
                </w:p>
              </w:tc>
              <w:tc>
                <w:tcPr>
                  <w:tcW w:w="2623" w:type="dxa"/>
                  <w:tcBorders>
                    <w:tl2br w:val="nil"/>
                    <w:tr2bl w:val="nil"/>
                  </w:tcBorders>
                  <w:vAlign w:val="center"/>
                </w:tcPr>
                <w:p w14:paraId="49AB61EB">
                  <w:pPr>
                    <w:pStyle w:val="30"/>
                    <w:rPr>
                      <w:color w:val="auto"/>
                      <w:highlight w:val="none"/>
                    </w:rPr>
                  </w:pPr>
                  <w:r>
                    <w:rPr>
                      <w:color w:val="auto"/>
                      <w:highlight w:val="none"/>
                    </w:rPr>
                    <w:t>自燃温度（℃）</w:t>
                  </w:r>
                </w:p>
              </w:tc>
              <w:tc>
                <w:tcPr>
                  <w:tcW w:w="2064" w:type="dxa"/>
                  <w:gridSpan w:val="2"/>
                  <w:tcBorders>
                    <w:tl2br w:val="nil"/>
                    <w:tr2bl w:val="nil"/>
                  </w:tcBorders>
                  <w:vAlign w:val="center"/>
                </w:tcPr>
                <w:p w14:paraId="1B11BC5D">
                  <w:pPr>
                    <w:pStyle w:val="30"/>
                    <w:rPr>
                      <w:color w:val="auto"/>
                      <w:highlight w:val="none"/>
                    </w:rPr>
                  </w:pPr>
                  <w:r>
                    <w:rPr>
                      <w:color w:val="auto"/>
                      <w:highlight w:val="none"/>
                    </w:rPr>
                    <w:t>350~380</w:t>
                  </w:r>
                </w:p>
              </w:tc>
              <w:tc>
                <w:tcPr>
                  <w:tcW w:w="2322" w:type="dxa"/>
                  <w:gridSpan w:val="2"/>
                  <w:tcBorders>
                    <w:tl2br w:val="nil"/>
                    <w:tr2bl w:val="nil"/>
                  </w:tcBorders>
                  <w:vAlign w:val="center"/>
                </w:tcPr>
                <w:p w14:paraId="408A4C6B">
                  <w:pPr>
                    <w:pStyle w:val="30"/>
                    <w:rPr>
                      <w:color w:val="auto"/>
                      <w:highlight w:val="none"/>
                    </w:rPr>
                  </w:pPr>
                  <w:r>
                    <w:rPr>
                      <w:color w:val="auto"/>
                      <w:highlight w:val="none"/>
                    </w:rPr>
                    <w:t>最大爆炸压力（Mpa）</w:t>
                  </w:r>
                </w:p>
              </w:tc>
              <w:tc>
                <w:tcPr>
                  <w:tcW w:w="1294" w:type="dxa"/>
                  <w:vMerge w:val="restart"/>
                  <w:tcBorders>
                    <w:tl2br w:val="nil"/>
                    <w:tr2bl w:val="nil"/>
                  </w:tcBorders>
                  <w:vAlign w:val="center"/>
                </w:tcPr>
                <w:p w14:paraId="6C5D2447">
                  <w:pPr>
                    <w:pStyle w:val="30"/>
                    <w:rPr>
                      <w:color w:val="auto"/>
                      <w:highlight w:val="none"/>
                    </w:rPr>
                  </w:pPr>
                  <w:r>
                    <w:rPr>
                      <w:color w:val="auto"/>
                      <w:highlight w:val="none"/>
                    </w:rPr>
                    <w:t>无资料</w:t>
                  </w:r>
                </w:p>
              </w:tc>
            </w:tr>
            <w:tr w14:paraId="4651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0A49CC08">
                  <w:pPr>
                    <w:pStyle w:val="30"/>
                    <w:rPr>
                      <w:color w:val="auto"/>
                      <w:highlight w:val="none"/>
                    </w:rPr>
                  </w:pPr>
                </w:p>
              </w:tc>
              <w:tc>
                <w:tcPr>
                  <w:tcW w:w="2623" w:type="dxa"/>
                  <w:tcBorders>
                    <w:tl2br w:val="nil"/>
                    <w:tr2bl w:val="nil"/>
                  </w:tcBorders>
                  <w:vAlign w:val="center"/>
                </w:tcPr>
                <w:p w14:paraId="0F021B1C">
                  <w:pPr>
                    <w:pStyle w:val="30"/>
                    <w:rPr>
                      <w:color w:val="auto"/>
                      <w:highlight w:val="none"/>
                    </w:rPr>
                  </w:pPr>
                  <w:r>
                    <w:rPr>
                      <w:color w:val="auto"/>
                      <w:highlight w:val="none"/>
                    </w:rPr>
                    <w:t>危险特性</w:t>
                  </w:r>
                </w:p>
              </w:tc>
              <w:tc>
                <w:tcPr>
                  <w:tcW w:w="5680" w:type="dxa"/>
                  <w:gridSpan w:val="5"/>
                  <w:tcBorders>
                    <w:tl2br w:val="nil"/>
                    <w:tr2bl w:val="nil"/>
                  </w:tcBorders>
                  <w:vAlign w:val="center"/>
                </w:tcPr>
                <w:p w14:paraId="4B462358">
                  <w:pPr>
                    <w:pStyle w:val="30"/>
                    <w:rPr>
                      <w:color w:val="auto"/>
                      <w:highlight w:val="none"/>
                    </w:rPr>
                  </w:pPr>
                  <w:r>
                    <w:rPr>
                      <w:color w:val="auto"/>
                      <w:highlight w:val="none"/>
                    </w:rPr>
                    <w:t>遇明火、高热或与氧化剂有引起燃烧爆炸的危险</w:t>
                  </w:r>
                </w:p>
              </w:tc>
            </w:tr>
            <w:tr w14:paraId="0EAA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1F18871D">
                  <w:pPr>
                    <w:pStyle w:val="30"/>
                    <w:rPr>
                      <w:color w:val="auto"/>
                      <w:highlight w:val="none"/>
                    </w:rPr>
                  </w:pPr>
                </w:p>
              </w:tc>
              <w:tc>
                <w:tcPr>
                  <w:tcW w:w="2623" w:type="dxa"/>
                  <w:tcBorders>
                    <w:tl2br w:val="nil"/>
                    <w:tr2bl w:val="nil"/>
                  </w:tcBorders>
                  <w:vAlign w:val="center"/>
                </w:tcPr>
                <w:p w14:paraId="5EAEBDCB">
                  <w:pPr>
                    <w:pStyle w:val="30"/>
                    <w:rPr>
                      <w:color w:val="auto"/>
                      <w:highlight w:val="none"/>
                    </w:rPr>
                  </w:pPr>
                  <w:r>
                    <w:rPr>
                      <w:color w:val="auto"/>
                      <w:highlight w:val="none"/>
                    </w:rPr>
                    <w:t>灭火方法</w:t>
                  </w:r>
                </w:p>
              </w:tc>
              <w:tc>
                <w:tcPr>
                  <w:tcW w:w="5680" w:type="dxa"/>
                  <w:gridSpan w:val="5"/>
                  <w:vMerge w:val="restart"/>
                  <w:tcBorders>
                    <w:tl2br w:val="nil"/>
                    <w:tr2bl w:val="nil"/>
                  </w:tcBorders>
                  <w:vAlign w:val="center"/>
                </w:tcPr>
                <w:p w14:paraId="47D1336D">
                  <w:pPr>
                    <w:pStyle w:val="30"/>
                    <w:rPr>
                      <w:color w:val="auto"/>
                      <w:highlight w:val="none"/>
                    </w:rPr>
                  </w:pPr>
                  <w:r>
                    <w:rPr>
                      <w:color w:val="auto"/>
                      <w:highlight w:val="none"/>
                    </w:rPr>
                    <w:t>喷水冷却容器，尽可能将容器从火场移至空旷处。</w:t>
                  </w:r>
                </w:p>
              </w:tc>
            </w:tr>
            <w:tr w14:paraId="5230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0178BE7F">
                  <w:pPr>
                    <w:pStyle w:val="30"/>
                    <w:rPr>
                      <w:color w:val="auto"/>
                      <w:highlight w:val="none"/>
                    </w:rPr>
                  </w:pPr>
                </w:p>
              </w:tc>
              <w:tc>
                <w:tcPr>
                  <w:tcW w:w="2623" w:type="dxa"/>
                  <w:tcBorders>
                    <w:tl2br w:val="nil"/>
                    <w:tr2bl w:val="nil"/>
                  </w:tcBorders>
                  <w:vAlign w:val="center"/>
                </w:tcPr>
                <w:p w14:paraId="143109C4">
                  <w:pPr>
                    <w:pStyle w:val="30"/>
                    <w:rPr>
                      <w:color w:val="auto"/>
                      <w:highlight w:val="none"/>
                    </w:rPr>
                  </w:pPr>
                  <w:r>
                    <w:rPr>
                      <w:color w:val="auto"/>
                      <w:highlight w:val="none"/>
                    </w:rPr>
                    <w:t>灭火剂</w:t>
                  </w:r>
                </w:p>
              </w:tc>
              <w:tc>
                <w:tcPr>
                  <w:tcW w:w="5680" w:type="dxa"/>
                  <w:gridSpan w:val="5"/>
                  <w:tcBorders>
                    <w:tl2br w:val="nil"/>
                    <w:tr2bl w:val="nil"/>
                  </w:tcBorders>
                  <w:vAlign w:val="center"/>
                </w:tcPr>
                <w:p w14:paraId="3BF9DC28">
                  <w:pPr>
                    <w:pStyle w:val="30"/>
                    <w:rPr>
                      <w:color w:val="auto"/>
                      <w:highlight w:val="none"/>
                    </w:rPr>
                  </w:pPr>
                  <w:r>
                    <w:rPr>
                      <w:color w:val="auto"/>
                      <w:highlight w:val="none"/>
                    </w:rPr>
                    <w:t>雾状水、泡沫、干粉、砂土、二氧化碳</w:t>
                  </w:r>
                </w:p>
              </w:tc>
            </w:tr>
            <w:tr w14:paraId="5AA4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restart"/>
                  <w:tcBorders>
                    <w:tl2br w:val="nil"/>
                    <w:tr2bl w:val="nil"/>
                  </w:tcBorders>
                  <w:vAlign w:val="center"/>
                </w:tcPr>
                <w:p w14:paraId="357B8E7B">
                  <w:pPr>
                    <w:pStyle w:val="30"/>
                    <w:rPr>
                      <w:color w:val="auto"/>
                      <w:highlight w:val="none"/>
                    </w:rPr>
                  </w:pPr>
                  <w:r>
                    <w:rPr>
                      <w:color w:val="auto"/>
                      <w:highlight w:val="none"/>
                    </w:rPr>
                    <w:t>毒性及健康危</w:t>
                  </w:r>
                </w:p>
                <w:p w14:paraId="430E97EB">
                  <w:pPr>
                    <w:pStyle w:val="30"/>
                    <w:rPr>
                      <w:color w:val="auto"/>
                      <w:highlight w:val="none"/>
                    </w:rPr>
                  </w:pPr>
                  <w:r>
                    <w:rPr>
                      <w:color w:val="auto"/>
                      <w:highlight w:val="none"/>
                    </w:rPr>
                    <w:t>害</w:t>
                  </w:r>
                </w:p>
              </w:tc>
              <w:tc>
                <w:tcPr>
                  <w:tcW w:w="2623" w:type="dxa"/>
                  <w:tcBorders>
                    <w:tl2br w:val="nil"/>
                    <w:tr2bl w:val="nil"/>
                  </w:tcBorders>
                  <w:vAlign w:val="center"/>
                </w:tcPr>
                <w:p w14:paraId="29F19B42">
                  <w:pPr>
                    <w:pStyle w:val="30"/>
                    <w:rPr>
                      <w:color w:val="auto"/>
                      <w:highlight w:val="none"/>
                    </w:rPr>
                  </w:pPr>
                  <w:r>
                    <w:rPr>
                      <w:color w:val="auto"/>
                      <w:highlight w:val="none"/>
                    </w:rPr>
                    <w:t>急性毒性</w:t>
                  </w:r>
                </w:p>
              </w:tc>
              <w:tc>
                <w:tcPr>
                  <w:tcW w:w="5680" w:type="dxa"/>
                  <w:gridSpan w:val="5"/>
                  <w:tcBorders>
                    <w:tl2br w:val="nil"/>
                    <w:tr2bl w:val="nil"/>
                  </w:tcBorders>
                  <w:vAlign w:val="center"/>
                </w:tcPr>
                <w:p w14:paraId="61900EE9">
                  <w:pPr>
                    <w:pStyle w:val="30"/>
                    <w:rPr>
                      <w:color w:val="auto"/>
                      <w:highlight w:val="none"/>
                    </w:rPr>
                  </w:pPr>
                  <w:r>
                    <w:rPr>
                      <w:color w:val="auto"/>
                      <w:highlight w:val="none"/>
                    </w:rPr>
                    <w:t>无资料</w:t>
                  </w:r>
                </w:p>
              </w:tc>
            </w:tr>
            <w:tr w14:paraId="218A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4ED5B6B8">
                  <w:pPr>
                    <w:pStyle w:val="30"/>
                    <w:rPr>
                      <w:color w:val="auto"/>
                      <w:highlight w:val="none"/>
                    </w:rPr>
                  </w:pPr>
                </w:p>
              </w:tc>
              <w:tc>
                <w:tcPr>
                  <w:tcW w:w="2623" w:type="dxa"/>
                  <w:tcBorders>
                    <w:tl2br w:val="nil"/>
                    <w:tr2bl w:val="nil"/>
                  </w:tcBorders>
                  <w:vAlign w:val="center"/>
                </w:tcPr>
                <w:p w14:paraId="7F4433F6">
                  <w:pPr>
                    <w:pStyle w:val="30"/>
                    <w:rPr>
                      <w:color w:val="auto"/>
                      <w:highlight w:val="none"/>
                    </w:rPr>
                  </w:pPr>
                  <w:r>
                    <w:rPr>
                      <w:color w:val="auto"/>
                      <w:highlight w:val="none"/>
                    </w:rPr>
                    <w:t>最高容许浓度（mg/m</w:t>
                  </w:r>
                  <w:r>
                    <w:rPr>
                      <w:color w:val="auto"/>
                      <w:highlight w:val="none"/>
                      <w:vertAlign w:val="superscript"/>
                    </w:rPr>
                    <w:t>3</w:t>
                  </w:r>
                  <w:r>
                    <w:rPr>
                      <w:color w:val="auto"/>
                      <w:highlight w:val="none"/>
                    </w:rPr>
                    <w:t>）</w:t>
                  </w:r>
                </w:p>
              </w:tc>
              <w:tc>
                <w:tcPr>
                  <w:tcW w:w="5680" w:type="dxa"/>
                  <w:gridSpan w:val="5"/>
                  <w:tcBorders>
                    <w:tl2br w:val="nil"/>
                    <w:tr2bl w:val="nil"/>
                  </w:tcBorders>
                  <w:vAlign w:val="center"/>
                </w:tcPr>
                <w:p w14:paraId="459D1DB0">
                  <w:pPr>
                    <w:pStyle w:val="30"/>
                    <w:rPr>
                      <w:color w:val="auto"/>
                      <w:highlight w:val="none"/>
                    </w:rPr>
                  </w:pPr>
                  <w:r>
                    <w:rPr>
                      <w:color w:val="auto"/>
                      <w:highlight w:val="none"/>
                    </w:rPr>
                    <w:t>中国：未制定标准；前苏联：未制定标准健康危害</w:t>
                  </w:r>
                </w:p>
              </w:tc>
            </w:tr>
            <w:tr w14:paraId="2BA1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7C8AC7B7">
                  <w:pPr>
                    <w:pStyle w:val="30"/>
                    <w:rPr>
                      <w:color w:val="auto"/>
                      <w:highlight w:val="none"/>
                    </w:rPr>
                  </w:pPr>
                </w:p>
              </w:tc>
              <w:tc>
                <w:tcPr>
                  <w:tcW w:w="2623" w:type="dxa"/>
                  <w:tcBorders>
                    <w:tl2br w:val="nil"/>
                    <w:tr2bl w:val="nil"/>
                  </w:tcBorders>
                  <w:vAlign w:val="center"/>
                </w:tcPr>
                <w:p w14:paraId="2F2EA625">
                  <w:pPr>
                    <w:pStyle w:val="30"/>
                    <w:rPr>
                      <w:color w:val="auto"/>
                      <w:highlight w:val="none"/>
                    </w:rPr>
                  </w:pPr>
                  <w:r>
                    <w:rPr>
                      <w:color w:val="auto"/>
                      <w:highlight w:val="none"/>
                    </w:rPr>
                    <w:t>健康危害</w:t>
                  </w:r>
                </w:p>
              </w:tc>
              <w:tc>
                <w:tcPr>
                  <w:tcW w:w="5680" w:type="dxa"/>
                  <w:gridSpan w:val="5"/>
                  <w:tcBorders>
                    <w:tl2br w:val="nil"/>
                    <w:tr2bl w:val="nil"/>
                  </w:tcBorders>
                  <w:vAlign w:val="center"/>
                </w:tcPr>
                <w:p w14:paraId="750A4ABD">
                  <w:pPr>
                    <w:pStyle w:val="30"/>
                    <w:rPr>
                      <w:color w:val="auto"/>
                      <w:highlight w:val="none"/>
                    </w:rPr>
                  </w:pPr>
                  <w:r>
                    <w:rPr>
                      <w:color w:val="auto"/>
                      <w:highlight w:val="none"/>
                    </w:rPr>
                    <w:t>皮肤接触可为主要吸收途径，可致急性肾脏损害。柴油可引起接触性皮炎、油性痤疮。吸入其液滴或液体呛入可引起吸入性肺炎。能经胎盘进入胎儿血液中。柴油废气可引起眼、鼻刺激性症状，头晕及头痛</w:t>
                  </w:r>
                </w:p>
              </w:tc>
            </w:tr>
            <w:tr w14:paraId="6AE9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continue"/>
                  <w:tcBorders>
                    <w:tl2br w:val="nil"/>
                    <w:tr2bl w:val="nil"/>
                  </w:tcBorders>
                  <w:vAlign w:val="center"/>
                </w:tcPr>
                <w:p w14:paraId="664F1BC4">
                  <w:pPr>
                    <w:pStyle w:val="30"/>
                    <w:rPr>
                      <w:color w:val="auto"/>
                      <w:highlight w:val="none"/>
                    </w:rPr>
                  </w:pPr>
                </w:p>
              </w:tc>
              <w:tc>
                <w:tcPr>
                  <w:tcW w:w="2623" w:type="dxa"/>
                  <w:tcBorders>
                    <w:tl2br w:val="nil"/>
                    <w:tr2bl w:val="nil"/>
                  </w:tcBorders>
                  <w:vAlign w:val="center"/>
                </w:tcPr>
                <w:p w14:paraId="5B5A8B37">
                  <w:pPr>
                    <w:pStyle w:val="30"/>
                    <w:rPr>
                      <w:color w:val="auto"/>
                      <w:highlight w:val="none"/>
                    </w:rPr>
                  </w:pPr>
                  <w:r>
                    <w:rPr>
                      <w:color w:val="auto"/>
                      <w:highlight w:val="none"/>
                    </w:rPr>
                    <w:t>侵入途径</w:t>
                  </w:r>
                </w:p>
              </w:tc>
              <w:tc>
                <w:tcPr>
                  <w:tcW w:w="5680" w:type="dxa"/>
                  <w:gridSpan w:val="5"/>
                  <w:tcBorders>
                    <w:tl2br w:val="nil"/>
                    <w:tr2bl w:val="nil"/>
                  </w:tcBorders>
                  <w:vAlign w:val="center"/>
                </w:tcPr>
                <w:p w14:paraId="7CA80858">
                  <w:pPr>
                    <w:pStyle w:val="30"/>
                    <w:rPr>
                      <w:color w:val="auto"/>
                      <w:highlight w:val="none"/>
                    </w:rPr>
                  </w:pPr>
                  <w:r>
                    <w:rPr>
                      <w:color w:val="auto"/>
                      <w:highlight w:val="none"/>
                    </w:rPr>
                    <w:t>吸入、食入、经皮吸收</w:t>
                  </w:r>
                </w:p>
              </w:tc>
            </w:tr>
            <w:tr w14:paraId="63C7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tcBorders>
                    <w:tl2br w:val="nil"/>
                    <w:tr2bl w:val="nil"/>
                  </w:tcBorders>
                  <w:vAlign w:val="center"/>
                </w:tcPr>
                <w:p w14:paraId="45E0378C">
                  <w:pPr>
                    <w:pStyle w:val="30"/>
                    <w:rPr>
                      <w:color w:val="auto"/>
                      <w:highlight w:val="none"/>
                    </w:rPr>
                  </w:pPr>
                  <w:r>
                    <w:rPr>
                      <w:color w:val="auto"/>
                      <w:highlight w:val="none"/>
                    </w:rPr>
                    <w:t>泄漏应急处理</w:t>
                  </w:r>
                </w:p>
              </w:tc>
              <w:tc>
                <w:tcPr>
                  <w:tcW w:w="8303" w:type="dxa"/>
                  <w:gridSpan w:val="6"/>
                  <w:tcBorders>
                    <w:tl2br w:val="nil"/>
                    <w:tr2bl w:val="nil"/>
                  </w:tcBorders>
                  <w:vAlign w:val="center"/>
                </w:tcPr>
                <w:p w14:paraId="31375037">
                  <w:pPr>
                    <w:pStyle w:val="30"/>
                    <w:rPr>
                      <w:color w:val="auto"/>
                      <w:highlight w:val="none"/>
                    </w:rPr>
                  </w:pPr>
                  <w:r>
                    <w:rPr>
                      <w:color w:val="auto"/>
                      <w:highlight w:val="none"/>
                    </w:rPr>
                    <w:t>迅速撤离泄漏污染区人员至安全处，并进行隔离，严格限制出入。切断火源。应急人员戴自给正压式呼吸器，穿一般消防工作服。尽可能切断泄漏源。防止流入下水道、排洪沟等限制性空间。小量泄漏：用砂土、</w:t>
                  </w:r>
                  <w:r>
                    <w:rPr>
                      <w:rFonts w:hint="eastAsia"/>
                      <w:color w:val="auto"/>
                      <w:highlight w:val="none"/>
                      <w:lang w:eastAsia="zh-CN"/>
                    </w:rPr>
                    <w:t>活性炭</w:t>
                  </w:r>
                  <w:r>
                    <w:rPr>
                      <w:color w:val="auto"/>
                      <w:highlight w:val="none"/>
                    </w:rPr>
                    <w:t>或其他惰性材料吸收。大量泄漏：构筑围堤或挖坑收容。用泡沫覆盖，降低蒸气灾害。用防爆泵转移至槽车或专用收集器内，回收或运至废物处理场所处置。</w:t>
                  </w:r>
                </w:p>
              </w:tc>
            </w:tr>
            <w:tr w14:paraId="3490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tcBorders>
                    <w:tl2br w:val="nil"/>
                    <w:tr2bl w:val="nil"/>
                  </w:tcBorders>
                  <w:vAlign w:val="center"/>
                </w:tcPr>
                <w:p w14:paraId="5E849220">
                  <w:pPr>
                    <w:pStyle w:val="30"/>
                    <w:rPr>
                      <w:color w:val="auto"/>
                      <w:highlight w:val="none"/>
                    </w:rPr>
                  </w:pPr>
                  <w:r>
                    <w:rPr>
                      <w:color w:val="auto"/>
                      <w:highlight w:val="none"/>
                    </w:rPr>
                    <w:t>储运注意事项</w:t>
                  </w:r>
                </w:p>
              </w:tc>
              <w:tc>
                <w:tcPr>
                  <w:tcW w:w="8303" w:type="dxa"/>
                  <w:gridSpan w:val="6"/>
                  <w:tcBorders>
                    <w:tl2br w:val="nil"/>
                    <w:tr2bl w:val="nil"/>
                  </w:tcBorders>
                  <w:vAlign w:val="center"/>
                </w:tcPr>
                <w:p w14:paraId="0A567C42">
                  <w:pPr>
                    <w:pStyle w:val="30"/>
                    <w:rPr>
                      <w:color w:val="auto"/>
                      <w:highlight w:val="none"/>
                    </w:rPr>
                  </w:pPr>
                  <w:r>
                    <w:rPr>
                      <w:color w:val="auto"/>
                      <w:highlight w:val="none"/>
                    </w:rPr>
                    <w:t>储存于阴凉、通风的库房。远离火种、热源。应与氧化剂、卤素分开存放，切忌混储。采用防爆型照明、通风设施。禁止使用易产生火花的机械设备和工具。储区应备有泄漏应急处理设备和合适的收容材料。</w:t>
                  </w:r>
                </w:p>
              </w:tc>
            </w:tr>
          </w:tbl>
          <w:p w14:paraId="738F87BF">
            <w:pPr>
              <w:widowControl/>
              <w:ind w:firstLine="480" w:firstLineChars="200"/>
              <w:rPr>
                <w:bCs/>
                <w:color w:val="auto"/>
                <w:kern w:val="0"/>
                <w:highlight w:val="none"/>
                <w:lang w:bidi="ar"/>
              </w:rPr>
            </w:pPr>
            <w:r>
              <w:rPr>
                <w:rFonts w:hint="eastAsia"/>
                <w:bCs/>
                <w:color w:val="auto"/>
                <w:kern w:val="0"/>
                <w:highlight w:val="none"/>
                <w:lang w:bidi="ar"/>
              </w:rPr>
              <w:t>（2）风险类型</w:t>
            </w:r>
          </w:p>
          <w:p w14:paraId="4BC1BB64">
            <w:pPr>
              <w:widowControl/>
              <w:ind w:firstLine="480" w:firstLineChars="200"/>
              <w:rPr>
                <w:bCs/>
                <w:color w:val="auto"/>
                <w:kern w:val="0"/>
                <w:highlight w:val="none"/>
                <w:lang w:bidi="ar"/>
              </w:rPr>
            </w:pPr>
            <w:r>
              <w:rPr>
                <w:bCs/>
                <w:color w:val="auto"/>
                <w:kern w:val="0"/>
                <w:highlight w:val="none"/>
                <w:lang w:bidi="ar"/>
              </w:rPr>
              <w:t>本项目主要功能是对汽油、柴油进行储存和销售，工艺流程包括卸</w:t>
            </w:r>
            <w:r>
              <w:rPr>
                <w:rFonts w:hint="eastAsia"/>
                <w:bCs/>
                <w:color w:val="auto"/>
                <w:kern w:val="0"/>
                <w:highlight w:val="none"/>
                <w:lang w:bidi="ar"/>
              </w:rPr>
              <w:t>油</w:t>
            </w:r>
            <w:r>
              <w:rPr>
                <w:bCs/>
                <w:color w:val="auto"/>
                <w:kern w:val="0"/>
                <w:highlight w:val="none"/>
                <w:lang w:bidi="ar"/>
              </w:rPr>
              <w:t>、储存、加油等。根据工程特点，项目主要事故类型可分为泄漏，火灾及爆炸两大类，项目可能发生的风险事故见下表。</w:t>
            </w:r>
          </w:p>
          <w:p w14:paraId="4FF8F3E9">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t xml:space="preserve"> 项目主要风险识别一览表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978"/>
              <w:gridCol w:w="718"/>
              <w:gridCol w:w="3300"/>
              <w:gridCol w:w="1989"/>
            </w:tblGrid>
            <w:tr w14:paraId="5734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dxa"/>
                  <w:tcBorders>
                    <w:tl2br w:val="nil"/>
                    <w:tr2bl w:val="nil"/>
                  </w:tcBorders>
                  <w:vAlign w:val="center"/>
                </w:tcPr>
                <w:p w14:paraId="18EBAC02">
                  <w:pPr>
                    <w:pStyle w:val="30"/>
                    <w:rPr>
                      <w:b/>
                      <w:bCs/>
                      <w:color w:val="auto"/>
                      <w:highlight w:val="none"/>
                    </w:rPr>
                  </w:pPr>
                  <w:r>
                    <w:rPr>
                      <w:b/>
                      <w:bCs/>
                      <w:color w:val="auto"/>
                      <w:highlight w:val="none"/>
                    </w:rPr>
                    <w:t>序号</w:t>
                  </w:r>
                </w:p>
              </w:tc>
              <w:tc>
                <w:tcPr>
                  <w:tcW w:w="978" w:type="dxa"/>
                  <w:tcBorders>
                    <w:tl2br w:val="nil"/>
                    <w:tr2bl w:val="nil"/>
                  </w:tcBorders>
                  <w:vAlign w:val="center"/>
                </w:tcPr>
                <w:p w14:paraId="7F982E0F">
                  <w:pPr>
                    <w:pStyle w:val="30"/>
                    <w:rPr>
                      <w:b/>
                      <w:bCs/>
                      <w:color w:val="auto"/>
                      <w:highlight w:val="none"/>
                    </w:rPr>
                  </w:pPr>
                  <w:r>
                    <w:rPr>
                      <w:b/>
                      <w:bCs/>
                      <w:color w:val="auto"/>
                      <w:highlight w:val="none"/>
                    </w:rPr>
                    <w:t>事故类型</w:t>
                  </w:r>
                </w:p>
              </w:tc>
              <w:tc>
                <w:tcPr>
                  <w:tcW w:w="718" w:type="dxa"/>
                  <w:tcBorders>
                    <w:tl2br w:val="nil"/>
                    <w:tr2bl w:val="nil"/>
                  </w:tcBorders>
                  <w:vAlign w:val="center"/>
                </w:tcPr>
                <w:p w14:paraId="7A135EE8">
                  <w:pPr>
                    <w:pStyle w:val="30"/>
                    <w:rPr>
                      <w:b/>
                      <w:bCs/>
                      <w:color w:val="auto"/>
                      <w:highlight w:val="none"/>
                    </w:rPr>
                  </w:pPr>
                  <w:r>
                    <w:rPr>
                      <w:b/>
                      <w:bCs/>
                      <w:color w:val="auto"/>
                      <w:highlight w:val="none"/>
                    </w:rPr>
                    <w:t>危险物质</w:t>
                  </w:r>
                </w:p>
              </w:tc>
              <w:tc>
                <w:tcPr>
                  <w:tcW w:w="3300" w:type="dxa"/>
                  <w:tcBorders>
                    <w:tl2br w:val="nil"/>
                    <w:tr2bl w:val="nil"/>
                  </w:tcBorders>
                  <w:vAlign w:val="center"/>
                </w:tcPr>
                <w:p w14:paraId="05EC0D36">
                  <w:pPr>
                    <w:pStyle w:val="30"/>
                    <w:rPr>
                      <w:b/>
                      <w:bCs/>
                      <w:color w:val="auto"/>
                      <w:highlight w:val="none"/>
                    </w:rPr>
                  </w:pPr>
                  <w:r>
                    <w:rPr>
                      <w:b/>
                      <w:bCs/>
                      <w:color w:val="auto"/>
                      <w:highlight w:val="none"/>
                    </w:rPr>
                    <w:t>危险位置/触发情况</w:t>
                  </w:r>
                </w:p>
              </w:tc>
              <w:tc>
                <w:tcPr>
                  <w:tcW w:w="1989" w:type="dxa"/>
                  <w:tcBorders>
                    <w:tl2br w:val="nil"/>
                    <w:tr2bl w:val="nil"/>
                  </w:tcBorders>
                  <w:vAlign w:val="center"/>
                </w:tcPr>
                <w:p w14:paraId="490E385D">
                  <w:pPr>
                    <w:pStyle w:val="30"/>
                    <w:rPr>
                      <w:b/>
                      <w:bCs/>
                      <w:color w:val="auto"/>
                      <w:highlight w:val="none"/>
                    </w:rPr>
                  </w:pPr>
                  <w:r>
                    <w:rPr>
                      <w:b/>
                      <w:bCs/>
                      <w:color w:val="auto"/>
                      <w:highlight w:val="none"/>
                    </w:rPr>
                    <w:t>后果</w:t>
                  </w:r>
                </w:p>
              </w:tc>
            </w:tr>
            <w:tr w14:paraId="55FB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dxa"/>
                  <w:tcBorders>
                    <w:tl2br w:val="nil"/>
                    <w:tr2bl w:val="nil"/>
                  </w:tcBorders>
                  <w:vAlign w:val="center"/>
                </w:tcPr>
                <w:p w14:paraId="534C3F58">
                  <w:pPr>
                    <w:pStyle w:val="30"/>
                    <w:rPr>
                      <w:color w:val="auto"/>
                      <w:highlight w:val="none"/>
                    </w:rPr>
                  </w:pPr>
                  <w:r>
                    <w:rPr>
                      <w:color w:val="auto"/>
                      <w:highlight w:val="none"/>
                    </w:rPr>
                    <w:t>1</w:t>
                  </w:r>
                </w:p>
              </w:tc>
              <w:tc>
                <w:tcPr>
                  <w:tcW w:w="978" w:type="dxa"/>
                  <w:tcBorders>
                    <w:tl2br w:val="nil"/>
                    <w:tr2bl w:val="nil"/>
                  </w:tcBorders>
                  <w:vAlign w:val="center"/>
                </w:tcPr>
                <w:p w14:paraId="200394D8">
                  <w:pPr>
                    <w:pStyle w:val="30"/>
                    <w:rPr>
                      <w:color w:val="auto"/>
                      <w:highlight w:val="none"/>
                    </w:rPr>
                  </w:pPr>
                  <w:r>
                    <w:rPr>
                      <w:color w:val="auto"/>
                      <w:highlight w:val="none"/>
                    </w:rPr>
                    <w:t>泄漏</w:t>
                  </w:r>
                </w:p>
              </w:tc>
              <w:tc>
                <w:tcPr>
                  <w:tcW w:w="718" w:type="dxa"/>
                  <w:tcBorders>
                    <w:tl2br w:val="nil"/>
                    <w:tr2bl w:val="nil"/>
                  </w:tcBorders>
                  <w:vAlign w:val="center"/>
                </w:tcPr>
                <w:p w14:paraId="09670E98">
                  <w:pPr>
                    <w:pStyle w:val="30"/>
                    <w:rPr>
                      <w:color w:val="auto"/>
                      <w:highlight w:val="none"/>
                    </w:rPr>
                  </w:pPr>
                  <w:r>
                    <w:rPr>
                      <w:color w:val="auto"/>
                      <w:highlight w:val="none"/>
                    </w:rPr>
                    <w:t>汽油、柴油</w:t>
                  </w:r>
                </w:p>
              </w:tc>
              <w:tc>
                <w:tcPr>
                  <w:tcW w:w="3300" w:type="dxa"/>
                  <w:tcBorders>
                    <w:tl2br w:val="nil"/>
                    <w:tr2bl w:val="nil"/>
                  </w:tcBorders>
                  <w:vAlign w:val="center"/>
                </w:tcPr>
                <w:p w14:paraId="38B0DAAF">
                  <w:pPr>
                    <w:pStyle w:val="30"/>
                    <w:jc w:val="left"/>
                    <w:rPr>
                      <w:color w:val="auto"/>
                      <w:highlight w:val="none"/>
                    </w:rPr>
                  </w:pPr>
                  <w:r>
                    <w:rPr>
                      <w:color w:val="auto"/>
                      <w:highlight w:val="none"/>
                    </w:rPr>
                    <w:t>①输油管道腐蚀致使油类泄漏；</w:t>
                  </w:r>
                </w:p>
                <w:p w14:paraId="20DC3A9B">
                  <w:pPr>
                    <w:pStyle w:val="30"/>
                    <w:jc w:val="left"/>
                    <w:rPr>
                      <w:color w:val="auto"/>
                      <w:highlight w:val="none"/>
                    </w:rPr>
                  </w:pPr>
                  <w:r>
                    <w:rPr>
                      <w:color w:val="auto"/>
                      <w:highlight w:val="none"/>
                    </w:rPr>
                    <w:t>②由于施工或自然灾害而破坏输管道；</w:t>
                  </w:r>
                </w:p>
                <w:p w14:paraId="3D3BD3C8">
                  <w:pPr>
                    <w:pStyle w:val="30"/>
                    <w:jc w:val="left"/>
                    <w:rPr>
                      <w:color w:val="auto"/>
                      <w:highlight w:val="none"/>
                    </w:rPr>
                  </w:pPr>
                  <w:r>
                    <w:rPr>
                      <w:color w:val="auto"/>
                      <w:highlight w:val="none"/>
                    </w:rPr>
                    <w:t>③收发过程中，由于操作失误，致使油类</w:t>
                  </w:r>
                  <w:r>
                    <w:rPr>
                      <w:rFonts w:hint="eastAsia"/>
                      <w:color w:val="auto"/>
                      <w:highlight w:val="none"/>
                    </w:rPr>
                    <w:t>、天然气</w:t>
                  </w:r>
                  <w:r>
                    <w:rPr>
                      <w:color w:val="auto"/>
                      <w:highlight w:val="none"/>
                    </w:rPr>
                    <w:t>泄漏；</w:t>
                  </w:r>
                </w:p>
                <w:p w14:paraId="01ED47A3">
                  <w:pPr>
                    <w:pStyle w:val="30"/>
                    <w:jc w:val="left"/>
                    <w:rPr>
                      <w:color w:val="auto"/>
                      <w:highlight w:val="none"/>
                    </w:rPr>
                  </w:pPr>
                  <w:r>
                    <w:rPr>
                      <w:color w:val="auto"/>
                      <w:highlight w:val="none"/>
                    </w:rPr>
                    <w:t>④管道解接口不严，致使跑冒滴漏。</w:t>
                  </w:r>
                </w:p>
              </w:tc>
              <w:tc>
                <w:tcPr>
                  <w:tcW w:w="1989" w:type="dxa"/>
                  <w:vMerge w:val="restart"/>
                  <w:tcBorders>
                    <w:tl2br w:val="nil"/>
                    <w:tr2bl w:val="nil"/>
                  </w:tcBorders>
                  <w:vAlign w:val="center"/>
                </w:tcPr>
                <w:p w14:paraId="34BD7F1A">
                  <w:pPr>
                    <w:pStyle w:val="30"/>
                    <w:rPr>
                      <w:color w:val="auto"/>
                      <w:highlight w:val="none"/>
                    </w:rPr>
                  </w:pPr>
                  <w:r>
                    <w:rPr>
                      <w:rFonts w:hint="eastAsia"/>
                      <w:color w:val="auto"/>
                      <w:highlight w:val="none"/>
                    </w:rPr>
                    <w:t>废气：汽油、柴油挥发造成周边空气污染；火灾、爆炸释放有毒有害物质，造成空气污染。</w:t>
                  </w:r>
                </w:p>
                <w:p w14:paraId="3A41013B">
                  <w:pPr>
                    <w:pStyle w:val="30"/>
                    <w:rPr>
                      <w:color w:val="auto"/>
                      <w:highlight w:val="none"/>
                    </w:rPr>
                  </w:pPr>
                  <w:r>
                    <w:rPr>
                      <w:rFonts w:hint="eastAsia"/>
                      <w:color w:val="auto"/>
                      <w:highlight w:val="none"/>
                    </w:rPr>
                    <w:t>废水：火灾事故等状态下，消防废水等未经有效收集处理，直接排放，造成周边地表水污染土壤及地下水。</w:t>
                  </w:r>
                </w:p>
              </w:tc>
            </w:tr>
            <w:tr w14:paraId="1588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dxa"/>
                  <w:tcBorders>
                    <w:tl2br w:val="nil"/>
                    <w:tr2bl w:val="nil"/>
                  </w:tcBorders>
                  <w:vAlign w:val="center"/>
                </w:tcPr>
                <w:p w14:paraId="235B3F52">
                  <w:pPr>
                    <w:pStyle w:val="30"/>
                    <w:rPr>
                      <w:color w:val="auto"/>
                      <w:highlight w:val="none"/>
                    </w:rPr>
                  </w:pPr>
                  <w:r>
                    <w:rPr>
                      <w:color w:val="auto"/>
                      <w:highlight w:val="none"/>
                    </w:rPr>
                    <w:t>2</w:t>
                  </w:r>
                </w:p>
              </w:tc>
              <w:tc>
                <w:tcPr>
                  <w:tcW w:w="978" w:type="dxa"/>
                  <w:tcBorders>
                    <w:tl2br w:val="nil"/>
                    <w:tr2bl w:val="nil"/>
                  </w:tcBorders>
                  <w:vAlign w:val="center"/>
                </w:tcPr>
                <w:p w14:paraId="007BD715">
                  <w:pPr>
                    <w:pStyle w:val="30"/>
                    <w:rPr>
                      <w:color w:val="auto"/>
                      <w:highlight w:val="none"/>
                    </w:rPr>
                  </w:pPr>
                  <w:r>
                    <w:rPr>
                      <w:color w:val="auto"/>
                      <w:highlight w:val="none"/>
                    </w:rPr>
                    <w:t>火灾爆炸</w:t>
                  </w:r>
                </w:p>
              </w:tc>
              <w:tc>
                <w:tcPr>
                  <w:tcW w:w="718" w:type="dxa"/>
                  <w:tcBorders>
                    <w:tl2br w:val="nil"/>
                    <w:tr2bl w:val="nil"/>
                  </w:tcBorders>
                  <w:vAlign w:val="center"/>
                </w:tcPr>
                <w:p w14:paraId="66B5D00B">
                  <w:pPr>
                    <w:pStyle w:val="30"/>
                    <w:rPr>
                      <w:rFonts w:hint="eastAsia" w:eastAsia="宋体"/>
                      <w:color w:val="auto"/>
                      <w:highlight w:val="none"/>
                      <w:lang w:eastAsia="zh-CN"/>
                    </w:rPr>
                  </w:pPr>
                  <w:r>
                    <w:rPr>
                      <w:color w:val="auto"/>
                      <w:highlight w:val="none"/>
                    </w:rPr>
                    <w:t>汽油、柴油</w:t>
                  </w:r>
                </w:p>
              </w:tc>
              <w:tc>
                <w:tcPr>
                  <w:tcW w:w="3300" w:type="dxa"/>
                  <w:tcBorders>
                    <w:tl2br w:val="nil"/>
                    <w:tr2bl w:val="nil"/>
                  </w:tcBorders>
                  <w:vAlign w:val="center"/>
                </w:tcPr>
                <w:p w14:paraId="1F1886C5">
                  <w:pPr>
                    <w:pStyle w:val="30"/>
                    <w:jc w:val="left"/>
                    <w:rPr>
                      <w:color w:val="auto"/>
                      <w:highlight w:val="none"/>
                    </w:rPr>
                  </w:pPr>
                  <w:r>
                    <w:rPr>
                      <w:color w:val="auto"/>
                      <w:highlight w:val="none"/>
                    </w:rPr>
                    <w:t>①油品泄漏或油气蒸发；</w:t>
                  </w:r>
                </w:p>
                <w:p w14:paraId="73B4E5B3">
                  <w:pPr>
                    <w:pStyle w:val="30"/>
                    <w:jc w:val="left"/>
                    <w:rPr>
                      <w:color w:val="auto"/>
                      <w:highlight w:val="none"/>
                    </w:rPr>
                  </w:pPr>
                  <w:r>
                    <w:rPr>
                      <w:color w:val="auto"/>
                      <w:highlight w:val="none"/>
                    </w:rPr>
                    <w:t>②足够空气助燃；</w:t>
                  </w:r>
                </w:p>
                <w:p w14:paraId="17FD6071">
                  <w:pPr>
                    <w:pStyle w:val="30"/>
                    <w:jc w:val="left"/>
                    <w:rPr>
                      <w:color w:val="auto"/>
                      <w:highlight w:val="none"/>
                    </w:rPr>
                  </w:pPr>
                  <w:r>
                    <w:rPr>
                      <w:color w:val="auto"/>
                      <w:highlight w:val="none"/>
                    </w:rPr>
                    <w:t>③油气与空气混合，达到一定浓</w:t>
                  </w:r>
                  <w:r>
                    <w:rPr>
                      <w:rFonts w:hint="eastAsia"/>
                      <w:color w:val="auto"/>
                      <w:highlight w:val="none"/>
                    </w:rPr>
                    <w:t>度。</w:t>
                  </w:r>
                </w:p>
              </w:tc>
              <w:tc>
                <w:tcPr>
                  <w:tcW w:w="1989" w:type="dxa"/>
                  <w:vMerge w:val="continue"/>
                  <w:tcBorders>
                    <w:tl2br w:val="nil"/>
                    <w:tr2bl w:val="nil"/>
                  </w:tcBorders>
                  <w:vAlign w:val="center"/>
                </w:tcPr>
                <w:p w14:paraId="25476838">
                  <w:pPr>
                    <w:pStyle w:val="30"/>
                    <w:rPr>
                      <w:color w:val="auto"/>
                      <w:highlight w:val="none"/>
                    </w:rPr>
                  </w:pPr>
                </w:p>
              </w:tc>
            </w:tr>
          </w:tbl>
          <w:p w14:paraId="3AAE69CD">
            <w:pPr>
              <w:widowControl/>
              <w:snapToGrid w:val="0"/>
              <w:ind w:firstLine="480" w:firstLineChars="200"/>
              <w:jc w:val="left"/>
              <w:rPr>
                <w:bCs/>
                <w:color w:val="auto"/>
                <w:highlight w:val="none"/>
              </w:rPr>
            </w:pPr>
            <w:r>
              <w:rPr>
                <w:rFonts w:hint="eastAsia"/>
                <w:bCs/>
                <w:color w:val="auto"/>
                <w:highlight w:val="none"/>
              </w:rPr>
              <w:t>本项目按</w:t>
            </w:r>
            <w:r>
              <w:rPr>
                <w:color w:val="auto"/>
                <w:highlight w:val="none"/>
              </w:rPr>
              <w:t>《汽车加油加气</w:t>
            </w:r>
            <w:r>
              <w:rPr>
                <w:rFonts w:hint="eastAsia"/>
                <w:color w:val="auto"/>
                <w:highlight w:val="none"/>
              </w:rPr>
              <w:t>加氢</w:t>
            </w:r>
            <w:r>
              <w:rPr>
                <w:color w:val="auto"/>
                <w:highlight w:val="none"/>
              </w:rPr>
              <w:t>站</w:t>
            </w:r>
            <w:r>
              <w:rPr>
                <w:rFonts w:hint="eastAsia"/>
                <w:color w:val="auto"/>
                <w:highlight w:val="none"/>
              </w:rPr>
              <w:t>技术标准</w:t>
            </w:r>
            <w:r>
              <w:rPr>
                <w:color w:val="auto"/>
                <w:highlight w:val="none"/>
              </w:rPr>
              <w:t>》（GB50156-2021）</w:t>
            </w:r>
            <w:r>
              <w:rPr>
                <w:rFonts w:hint="eastAsia"/>
                <w:bCs/>
                <w:color w:val="auto"/>
                <w:highlight w:val="none"/>
              </w:rPr>
              <w:t>进行设计，对站区的消防设施，电气、报警和紧急切断系统采取了必要的防范措施和控制手段。另外，本项目油品储罐采用埋地卧式双层储罐，根据规范，该类埋地卧式储罐比较安全，发生火灾及爆炸的概率较低。但由于储罐破裂，接管不良，或操作不当，容易造成汽（柴）油泄漏，污染环境。</w:t>
            </w:r>
          </w:p>
          <w:p w14:paraId="50DE39D2">
            <w:pPr>
              <w:widowControl/>
              <w:snapToGrid w:val="0"/>
              <w:ind w:firstLine="480" w:firstLineChars="200"/>
              <w:jc w:val="left"/>
              <w:rPr>
                <w:bCs/>
                <w:color w:val="auto"/>
                <w:highlight w:val="none"/>
              </w:rPr>
            </w:pPr>
            <w:r>
              <w:rPr>
                <w:rFonts w:hint="eastAsia"/>
                <w:bCs/>
                <w:color w:val="auto"/>
                <w:highlight w:val="none"/>
              </w:rPr>
              <w:t>综上所述，本项目最大可能事故为油品储罐或输油输气管线发生泄漏，以及可能由此引发的火灾爆炸事故。</w:t>
            </w:r>
          </w:p>
          <w:p w14:paraId="546A5946">
            <w:pPr>
              <w:bidi w:val="0"/>
              <w:ind w:firstLine="480" w:firstLineChars="200"/>
              <w:rPr>
                <w:color w:val="auto"/>
                <w:highlight w:val="none"/>
              </w:rPr>
            </w:pPr>
            <w:r>
              <w:rPr>
                <w:rFonts w:hint="eastAsia"/>
                <w:color w:val="auto"/>
                <w:highlight w:val="none"/>
              </w:rPr>
              <w:t>3、</w:t>
            </w:r>
            <w:r>
              <w:rPr>
                <w:color w:val="auto"/>
                <w:highlight w:val="none"/>
              </w:rPr>
              <w:t>风险识别内容</w:t>
            </w:r>
          </w:p>
          <w:p w14:paraId="75D99BF8">
            <w:pPr>
              <w:widowControl/>
              <w:snapToGrid w:val="0"/>
              <w:ind w:firstLine="480" w:firstLineChars="200"/>
              <w:jc w:val="left"/>
              <w:rPr>
                <w:bCs/>
                <w:color w:val="auto"/>
                <w:highlight w:val="none"/>
              </w:rPr>
            </w:pPr>
            <w:r>
              <w:rPr>
                <w:bCs/>
                <w:color w:val="auto"/>
                <w:highlight w:val="none"/>
              </w:rPr>
              <w:t>建设项目在事故或者在非正常工况下对周边环境产生影响主要为：</w:t>
            </w:r>
            <w:r>
              <w:rPr>
                <w:rFonts w:hint="eastAsia"/>
                <w:bCs/>
                <w:color w:val="auto"/>
                <w:highlight w:val="none"/>
              </w:rPr>
              <w:t>油品发生泄漏，以及可能由此引发的火灾爆炸事故。</w:t>
            </w:r>
          </w:p>
          <w:p w14:paraId="7BECECD6">
            <w:pPr>
              <w:bidi w:val="0"/>
              <w:ind w:firstLine="480" w:firstLineChars="200"/>
              <w:rPr>
                <w:color w:val="auto"/>
                <w:highlight w:val="none"/>
              </w:rPr>
            </w:pPr>
            <w:r>
              <w:rPr>
                <w:rFonts w:hint="eastAsia"/>
                <w:color w:val="auto"/>
                <w:highlight w:val="none"/>
              </w:rPr>
              <w:t>4、</w:t>
            </w:r>
            <w:r>
              <w:rPr>
                <w:color w:val="auto"/>
                <w:highlight w:val="none"/>
              </w:rPr>
              <w:t>环境风险分析</w:t>
            </w:r>
          </w:p>
          <w:p w14:paraId="3E38F16E">
            <w:pPr>
              <w:widowControl/>
              <w:snapToGrid w:val="0"/>
              <w:ind w:firstLine="480" w:firstLineChars="200"/>
              <w:jc w:val="left"/>
              <w:rPr>
                <w:bCs/>
                <w:color w:val="auto"/>
                <w:highlight w:val="none"/>
              </w:rPr>
            </w:pPr>
            <w:r>
              <w:rPr>
                <w:rFonts w:hint="eastAsia"/>
                <w:bCs/>
                <w:color w:val="auto"/>
                <w:highlight w:val="none"/>
              </w:rPr>
              <w:t>（1）</w:t>
            </w:r>
            <w:r>
              <w:rPr>
                <w:bCs/>
                <w:color w:val="auto"/>
                <w:highlight w:val="none"/>
              </w:rPr>
              <w:t>对大气环境的影响</w:t>
            </w:r>
          </w:p>
          <w:p w14:paraId="68D4BDA5">
            <w:pPr>
              <w:widowControl/>
              <w:snapToGrid w:val="0"/>
              <w:ind w:firstLine="480" w:firstLineChars="200"/>
              <w:jc w:val="left"/>
              <w:rPr>
                <w:bCs/>
                <w:color w:val="auto"/>
                <w:highlight w:val="none"/>
              </w:rPr>
            </w:pPr>
            <w:r>
              <w:rPr>
                <w:bCs/>
                <w:color w:val="auto"/>
                <w:highlight w:val="none"/>
              </w:rPr>
              <w:t>①泄漏影响分析</w:t>
            </w:r>
          </w:p>
          <w:p w14:paraId="60C94529">
            <w:pPr>
              <w:widowControl/>
              <w:snapToGrid w:val="0"/>
              <w:ind w:firstLine="480" w:firstLineChars="200"/>
              <w:jc w:val="left"/>
              <w:rPr>
                <w:bCs/>
                <w:color w:val="auto"/>
                <w:highlight w:val="none"/>
              </w:rPr>
            </w:pPr>
            <w:r>
              <w:rPr>
                <w:bCs/>
                <w:color w:val="auto"/>
                <w:highlight w:val="none"/>
              </w:rPr>
              <w:t>根据国内外的研究，对于突发性的事故溢油，油品溢出后在地面呈不规则的面源分布，油品的挥发速度重要影响因素为油品蒸汽压、现场风速、油品溢出面积、油品蒸汽分子平均重度。本项目储油罐采用埋地式储油罐工艺，加油站一旦发生渗漏与溢出事故，由于项目采取了防渗漏观察井等渗漏溢出检测设施，因此可及时发现储油罐渗漏，油品渗漏量较小，此外，油罐区内的油罐为双层油罐，故在油罐发生泄漏时，经通过罐体之间的空隙进行收集，不会造成大面积的扩散，对大气环境影响小。</w:t>
            </w:r>
          </w:p>
          <w:p w14:paraId="6CF7BA8C">
            <w:pPr>
              <w:widowControl/>
              <w:snapToGrid w:val="0"/>
              <w:ind w:firstLine="480" w:firstLineChars="200"/>
              <w:jc w:val="left"/>
              <w:rPr>
                <w:bCs/>
                <w:color w:val="auto"/>
                <w:highlight w:val="none"/>
              </w:rPr>
            </w:pPr>
            <w:r>
              <w:rPr>
                <w:bCs/>
                <w:color w:val="auto"/>
                <w:highlight w:val="none"/>
              </w:rPr>
              <w:t>②火灾、爆炸影响分析</w:t>
            </w:r>
          </w:p>
          <w:p w14:paraId="60B115B8">
            <w:pPr>
              <w:widowControl/>
              <w:snapToGrid w:val="0"/>
              <w:ind w:firstLine="480" w:firstLineChars="200"/>
              <w:jc w:val="left"/>
              <w:rPr>
                <w:bCs/>
                <w:color w:val="auto"/>
                <w:highlight w:val="none"/>
              </w:rPr>
            </w:pPr>
            <w:r>
              <w:rPr>
                <w:bCs/>
                <w:color w:val="auto"/>
                <w:highlight w:val="none"/>
              </w:rPr>
              <w:t>汽油、柴油为碳氢化合物，分解产物为一氧化碳CO、CO</w:t>
            </w:r>
            <w:r>
              <w:rPr>
                <w:bCs/>
                <w:color w:val="auto"/>
                <w:highlight w:val="none"/>
                <w:vertAlign w:val="subscript"/>
              </w:rPr>
              <w:t>2</w:t>
            </w:r>
            <w:r>
              <w:rPr>
                <w:bCs/>
                <w:color w:val="auto"/>
                <w:highlight w:val="none"/>
              </w:rPr>
              <w:t>及水，其中完全燃烧时产生CO</w:t>
            </w:r>
            <w:r>
              <w:rPr>
                <w:bCs/>
                <w:color w:val="auto"/>
                <w:highlight w:val="none"/>
                <w:vertAlign w:val="subscript"/>
              </w:rPr>
              <w:t>2</w:t>
            </w:r>
            <w:r>
              <w:rPr>
                <w:bCs/>
                <w:color w:val="auto"/>
                <w:highlight w:val="none"/>
              </w:rPr>
              <w:t>，不完全燃烧时产生CO。CO在大气中比较稳定，不易与其他物质产生化学反应，但当CO浓度过高时，人在这种环境下待的时间较长，就会出现晕眩、头痛、怠倦的现象，CO对人的主要危害就是引起组织缺氧，导致急性或者慢性中毒甚至有死亡的威胁。此外，CO还可能造成听力与视力的损害，比如视野的减小或者听力的丧失。二氧化碳对环境影响主要为温室效应。根据前面分析，加油站出现火灾、爆炸事故概率较小，排放CO、CO</w:t>
            </w:r>
            <w:r>
              <w:rPr>
                <w:bCs/>
                <w:color w:val="auto"/>
                <w:highlight w:val="none"/>
                <w:vertAlign w:val="subscript"/>
              </w:rPr>
              <w:t>2</w:t>
            </w:r>
            <w:r>
              <w:rPr>
                <w:bCs/>
                <w:color w:val="auto"/>
                <w:highlight w:val="none"/>
              </w:rPr>
              <w:t>经大气稀释、扩散后对周边大气环境影响较小</w:t>
            </w:r>
            <w:r>
              <w:rPr>
                <w:rFonts w:hint="eastAsia"/>
                <w:bCs/>
                <w:color w:val="auto"/>
                <w:highlight w:val="none"/>
              </w:rPr>
              <w:t>。</w:t>
            </w:r>
          </w:p>
          <w:p w14:paraId="31E31097">
            <w:pPr>
              <w:widowControl/>
              <w:snapToGrid w:val="0"/>
              <w:ind w:firstLine="480" w:firstLineChars="200"/>
              <w:jc w:val="left"/>
              <w:rPr>
                <w:bCs/>
                <w:color w:val="auto"/>
                <w:highlight w:val="none"/>
              </w:rPr>
            </w:pPr>
            <w:r>
              <w:rPr>
                <w:rFonts w:hint="eastAsia"/>
                <w:bCs/>
                <w:color w:val="auto"/>
                <w:highlight w:val="none"/>
              </w:rPr>
              <w:t>（2）</w:t>
            </w:r>
            <w:r>
              <w:rPr>
                <w:bCs/>
                <w:color w:val="auto"/>
                <w:highlight w:val="none"/>
              </w:rPr>
              <w:t>对</w:t>
            </w:r>
            <w:r>
              <w:rPr>
                <w:rFonts w:hint="eastAsia"/>
                <w:bCs/>
                <w:color w:val="auto"/>
                <w:highlight w:val="none"/>
              </w:rPr>
              <w:t>地表水</w:t>
            </w:r>
            <w:r>
              <w:rPr>
                <w:bCs/>
                <w:color w:val="auto"/>
                <w:highlight w:val="none"/>
              </w:rPr>
              <w:t>环境的影响</w:t>
            </w:r>
          </w:p>
          <w:p w14:paraId="4331B95B">
            <w:pPr>
              <w:widowControl/>
              <w:snapToGrid w:val="0"/>
              <w:ind w:firstLine="480" w:firstLineChars="200"/>
              <w:jc w:val="left"/>
              <w:rPr>
                <w:bCs/>
                <w:color w:val="auto"/>
                <w:highlight w:val="none"/>
              </w:rPr>
            </w:pPr>
            <w:r>
              <w:rPr>
                <w:bCs/>
                <w:color w:val="auto"/>
                <w:highlight w:val="none"/>
              </w:rPr>
              <w:t>①泄漏影响分析</w:t>
            </w:r>
          </w:p>
          <w:p w14:paraId="3251A300">
            <w:pPr>
              <w:widowControl/>
              <w:snapToGrid w:val="0"/>
              <w:ind w:firstLine="480" w:firstLineChars="200"/>
              <w:jc w:val="left"/>
              <w:rPr>
                <w:bCs/>
                <w:color w:val="auto"/>
                <w:highlight w:val="none"/>
              </w:rPr>
            </w:pPr>
            <w:r>
              <w:rPr>
                <w:bCs/>
                <w:color w:val="auto"/>
                <w:highlight w:val="none"/>
              </w:rPr>
              <w:t>泄漏或渗漏的成品油一旦进入地表河流，将造成地表河流的污染，影响范围小到几公里大到几十公里。污染首先将造成</w:t>
            </w:r>
            <w:r>
              <w:rPr>
                <w:rFonts w:hint="eastAsia"/>
                <w:bCs/>
                <w:color w:val="auto"/>
                <w:highlight w:val="none"/>
              </w:rPr>
              <w:t>最近的</w:t>
            </w:r>
            <w:r>
              <w:rPr>
                <w:bCs/>
                <w:color w:val="auto"/>
                <w:highlight w:val="none"/>
              </w:rPr>
              <w:t>地表河流的破坏，产生严重的刺鼻气味；其次，由于有机烃类物质难溶于水，大部分上浮在水层表面，形成一层油膜使空气与水隔离，造成水中溶解氧浓度降低，逐渐形成死水，致使水中生物死亡；再次，成品油的主要成分是C</w:t>
            </w:r>
            <w:r>
              <w:rPr>
                <w:bCs/>
                <w:color w:val="auto"/>
                <w:highlight w:val="none"/>
                <w:vertAlign w:val="subscript"/>
              </w:rPr>
              <w:t>4</w:t>
            </w:r>
            <w:r>
              <w:rPr>
                <w:bCs/>
                <w:color w:val="auto"/>
                <w:highlight w:val="none"/>
              </w:rPr>
              <w:t>～C</w:t>
            </w:r>
            <w:r>
              <w:rPr>
                <w:bCs/>
                <w:color w:val="auto"/>
                <w:highlight w:val="none"/>
                <w:vertAlign w:val="subscript"/>
              </w:rPr>
              <w:t>9</w:t>
            </w:r>
            <w:r>
              <w:rPr>
                <w:bCs/>
                <w:color w:val="auto"/>
                <w:highlight w:val="none"/>
              </w:rPr>
              <w:t>烃类、芳烃类、醇酮类以卤代烃类有机物，一旦破坏水环境，由于可生化性较差，造成被污染水体长时间得不到净化，完全恢复则需要十几年，甚至几十年的时间。项目油罐区内油罐内采用双层油罐，并安装双层罐泄漏检测仪，对各个油罐进行24小时连续监控，一旦发生泄漏，就会发现，并及时采取措施，不会进入地表水体，对地表水环境产生影响小。</w:t>
            </w:r>
          </w:p>
          <w:p w14:paraId="412CAF21">
            <w:pPr>
              <w:widowControl/>
              <w:snapToGrid w:val="0"/>
              <w:ind w:firstLine="480" w:firstLineChars="200"/>
              <w:jc w:val="left"/>
              <w:rPr>
                <w:bCs/>
                <w:color w:val="auto"/>
                <w:highlight w:val="none"/>
              </w:rPr>
            </w:pPr>
            <w:r>
              <w:rPr>
                <w:bCs/>
                <w:color w:val="auto"/>
                <w:highlight w:val="none"/>
              </w:rPr>
              <w:t>②火灾、爆炸次生环境影响分析</w:t>
            </w:r>
          </w:p>
          <w:p w14:paraId="52CD729D">
            <w:pPr>
              <w:widowControl/>
              <w:snapToGrid w:val="0"/>
              <w:ind w:firstLine="480" w:firstLineChars="200"/>
              <w:jc w:val="left"/>
              <w:rPr>
                <w:bCs/>
                <w:color w:val="auto"/>
                <w:highlight w:val="none"/>
              </w:rPr>
            </w:pPr>
            <w:r>
              <w:rPr>
                <w:bCs/>
                <w:color w:val="auto"/>
                <w:highlight w:val="none"/>
              </w:rPr>
              <w:t>汽油</w:t>
            </w:r>
            <w:r>
              <w:rPr>
                <w:rFonts w:hint="eastAsia"/>
                <w:bCs/>
                <w:color w:val="auto"/>
                <w:highlight w:val="none"/>
              </w:rPr>
              <w:t>、</w:t>
            </w:r>
            <w:r>
              <w:rPr>
                <w:bCs/>
                <w:color w:val="auto"/>
                <w:highlight w:val="none"/>
              </w:rPr>
              <w:t>柴油燃烧、爆炸产生污染物主要为CO和CO</w:t>
            </w:r>
            <w:r>
              <w:rPr>
                <w:bCs/>
                <w:color w:val="auto"/>
                <w:highlight w:val="none"/>
                <w:vertAlign w:val="subscript"/>
              </w:rPr>
              <w:t>2</w:t>
            </w:r>
            <w:r>
              <w:rPr>
                <w:bCs/>
                <w:color w:val="auto"/>
                <w:highlight w:val="none"/>
              </w:rPr>
              <w:t>，两种物质均不溶于水。项目站内布设灭火器均为干粉灭火器及消防沙箱，发生火灾及灭火过程中项目内不会产生废水。但灭火后的地面清洗废水中含有大量污染物，若不采取有效措施，泄漏物、事故伴生、次生废水未经有效处理通过雨水收集排放系统直接流入周边水体，严重影响地表水体水质。因此，环评要求建设单位灭火后的地面清洗通过控制用水的方式来降低废水产生量，清洗废水经现有雨水沟收集后排入</w:t>
            </w:r>
            <w:r>
              <w:rPr>
                <w:rFonts w:hint="eastAsia"/>
                <w:bCs/>
                <w:color w:val="auto"/>
                <w:highlight w:val="none"/>
              </w:rPr>
              <w:t>三级油水分离池</w:t>
            </w:r>
            <w:r>
              <w:rPr>
                <w:bCs/>
                <w:color w:val="auto"/>
                <w:highlight w:val="none"/>
              </w:rPr>
              <w:t>，经</w:t>
            </w:r>
            <w:r>
              <w:rPr>
                <w:rFonts w:hint="eastAsia"/>
                <w:bCs/>
                <w:color w:val="auto"/>
                <w:highlight w:val="none"/>
              </w:rPr>
              <w:t>隔油</w:t>
            </w:r>
            <w:r>
              <w:rPr>
                <w:bCs/>
                <w:color w:val="auto"/>
                <w:highlight w:val="none"/>
              </w:rPr>
              <w:t>处理后方可外排。采取上述措施后，项目发生火灾、爆炸事故后对周围水环境影响不大</w:t>
            </w:r>
            <w:r>
              <w:rPr>
                <w:rFonts w:hint="eastAsia"/>
                <w:bCs/>
                <w:color w:val="auto"/>
                <w:highlight w:val="none"/>
              </w:rPr>
              <w:t>。</w:t>
            </w:r>
          </w:p>
          <w:p w14:paraId="0936E322">
            <w:pPr>
              <w:widowControl/>
              <w:snapToGrid w:val="0"/>
              <w:ind w:firstLine="480" w:firstLineChars="200"/>
              <w:jc w:val="left"/>
              <w:rPr>
                <w:bCs/>
                <w:color w:val="auto"/>
                <w:highlight w:val="none"/>
              </w:rPr>
            </w:pPr>
            <w:r>
              <w:rPr>
                <w:rFonts w:hint="eastAsia"/>
                <w:bCs/>
                <w:color w:val="auto"/>
                <w:highlight w:val="none"/>
              </w:rPr>
              <w:t>（3）</w:t>
            </w:r>
            <w:r>
              <w:rPr>
                <w:bCs/>
                <w:color w:val="auto"/>
                <w:highlight w:val="none"/>
              </w:rPr>
              <w:t>对地下水环境影响</w:t>
            </w:r>
          </w:p>
          <w:p w14:paraId="653D9BDA">
            <w:pPr>
              <w:widowControl/>
              <w:snapToGrid w:val="0"/>
              <w:ind w:firstLine="480" w:firstLineChars="200"/>
              <w:jc w:val="left"/>
              <w:rPr>
                <w:bCs/>
                <w:color w:val="auto"/>
                <w:highlight w:val="none"/>
              </w:rPr>
            </w:pPr>
            <w:r>
              <w:rPr>
                <w:rFonts w:hint="eastAsia"/>
                <w:color w:val="auto"/>
                <w:kern w:val="0"/>
                <w:szCs w:val="22"/>
                <w:highlight w:val="none"/>
              </w:rPr>
              <w:t>类比同类型综合能源站项目对非正常状况下的地下水环境影响预测分析，由于油类物质具有滞留性质，部分污染物还会较长时间残存素填土中，经过一段时间的径流后，会对地下水产生一定程度的污染，但由于素填土的渗透系数较小，石油类污染物的渗透、径流速度较慢，对地下水的</w:t>
            </w:r>
            <w:r>
              <w:rPr>
                <w:rFonts w:hint="eastAsia"/>
                <w:color w:val="auto"/>
                <w:kern w:val="0"/>
                <w:szCs w:val="22"/>
                <w:highlight w:val="none"/>
                <w:lang w:eastAsia="zh-CN"/>
              </w:rPr>
              <w:t>径流</w:t>
            </w:r>
            <w:r>
              <w:rPr>
                <w:rFonts w:hint="eastAsia"/>
                <w:color w:val="auto"/>
                <w:kern w:val="0"/>
                <w:szCs w:val="22"/>
                <w:highlight w:val="none"/>
              </w:rPr>
              <w:t>、排泄速度也较慢，对地下水的影响较小。上层孔隙</w:t>
            </w:r>
            <w:r>
              <w:rPr>
                <w:rFonts w:hint="eastAsia"/>
                <w:color w:val="auto"/>
                <w:kern w:val="0"/>
                <w:szCs w:val="22"/>
                <w:highlight w:val="none"/>
                <w:lang w:eastAsia="zh-CN"/>
              </w:rPr>
              <w:t>水</w:t>
            </w:r>
            <w:r>
              <w:rPr>
                <w:rFonts w:hint="eastAsia"/>
                <w:color w:val="auto"/>
                <w:kern w:val="0"/>
                <w:szCs w:val="22"/>
                <w:highlight w:val="none"/>
              </w:rPr>
              <w:t>受污染后，由于存在土壤的吸附等作用，加之地下水的循环交替速度较慢，石油类污染物对地下水的影响是长期持久而且难于彻底治理、恢复，其对地下水</w:t>
            </w:r>
            <w:r>
              <w:rPr>
                <w:rFonts w:hint="eastAsia"/>
                <w:color w:val="auto"/>
                <w:kern w:val="0"/>
                <w:szCs w:val="22"/>
                <w:highlight w:val="none"/>
                <w:lang w:eastAsia="zh-CN"/>
              </w:rPr>
              <w:t>径流</w:t>
            </w:r>
            <w:r>
              <w:rPr>
                <w:rFonts w:hint="eastAsia"/>
                <w:color w:val="auto"/>
                <w:kern w:val="0"/>
                <w:szCs w:val="22"/>
                <w:highlight w:val="none"/>
              </w:rPr>
              <w:t>方向的下游地下水环境将造成一定程度的长期环境污染。</w:t>
            </w:r>
          </w:p>
          <w:p w14:paraId="622A5541">
            <w:pPr>
              <w:bidi w:val="0"/>
              <w:rPr>
                <w:color w:val="auto"/>
                <w:highlight w:val="none"/>
              </w:rPr>
            </w:pPr>
            <w:r>
              <w:rPr>
                <w:rFonts w:hint="eastAsia"/>
                <w:color w:val="auto"/>
                <w:highlight w:val="none"/>
              </w:rPr>
              <w:t>5、</w:t>
            </w:r>
            <w:r>
              <w:rPr>
                <w:color w:val="auto"/>
                <w:highlight w:val="none"/>
              </w:rPr>
              <w:t>环境风险防范措施</w:t>
            </w:r>
          </w:p>
          <w:p w14:paraId="55A34F85">
            <w:pPr>
              <w:bidi w:val="0"/>
              <w:ind w:firstLine="480" w:firstLineChars="200"/>
              <w:rPr>
                <w:color w:val="auto"/>
                <w:highlight w:val="none"/>
              </w:rPr>
            </w:pPr>
            <w:r>
              <w:rPr>
                <w:rFonts w:hint="eastAsia"/>
                <w:color w:val="auto"/>
                <w:highlight w:val="none"/>
              </w:rPr>
              <w:t>（1）</w:t>
            </w:r>
            <w:r>
              <w:rPr>
                <w:color w:val="auto"/>
                <w:highlight w:val="none"/>
              </w:rPr>
              <w:t>站区总体风险防范措施</w:t>
            </w:r>
          </w:p>
          <w:p w14:paraId="31B182E1">
            <w:pPr>
              <w:bidi w:val="0"/>
              <w:ind w:firstLine="480" w:firstLineChars="200"/>
              <w:rPr>
                <w:color w:val="auto"/>
                <w:highlight w:val="none"/>
              </w:rPr>
            </w:pPr>
            <w:r>
              <w:rPr>
                <w:color w:val="auto"/>
                <w:highlight w:val="none"/>
              </w:rPr>
              <w:t>①建立事故管理和应急计划，设立站内急救指挥小组，并和当地有关化学事故急救部门建立正常的定期联系。</w:t>
            </w:r>
          </w:p>
          <w:p w14:paraId="215F10DE">
            <w:pPr>
              <w:bidi w:val="0"/>
              <w:ind w:firstLine="480" w:firstLineChars="200"/>
              <w:rPr>
                <w:color w:val="auto"/>
                <w:highlight w:val="none"/>
              </w:rPr>
            </w:pPr>
            <w:r>
              <w:rPr>
                <w:color w:val="auto"/>
                <w:highlight w:val="none"/>
              </w:rPr>
              <w:t>②应建立各类事故的处理预案，一旦事故发生可迅速进行处理。当事故发生后，疏散人员至安全区，禁止无关人员进入污染区，应急处理人员穿化学防护服，确保安全条件下处理。</w:t>
            </w:r>
          </w:p>
          <w:p w14:paraId="798660DB">
            <w:pPr>
              <w:bidi w:val="0"/>
              <w:ind w:firstLine="480" w:firstLineChars="200"/>
              <w:rPr>
                <w:color w:val="auto"/>
                <w:highlight w:val="none"/>
              </w:rPr>
            </w:pPr>
            <w:r>
              <w:rPr>
                <w:color w:val="auto"/>
                <w:highlight w:val="none"/>
              </w:rPr>
              <w:t>③罐区严禁存放火种和油脂、易燃易爆物，远离热源，设置</w:t>
            </w:r>
            <w:r>
              <w:rPr>
                <w:rFonts w:hint="eastAsia"/>
                <w:color w:val="auto"/>
                <w:highlight w:val="none"/>
              </w:rPr>
              <w:t>“</w:t>
            </w:r>
            <w:r>
              <w:rPr>
                <w:color w:val="auto"/>
                <w:highlight w:val="none"/>
              </w:rPr>
              <w:t>危险、禁止烟火</w:t>
            </w:r>
            <w:r>
              <w:rPr>
                <w:rFonts w:hint="eastAsia"/>
                <w:color w:val="auto"/>
                <w:highlight w:val="none"/>
              </w:rPr>
              <w:t>”</w:t>
            </w:r>
            <w:r>
              <w:rPr>
                <w:color w:val="auto"/>
                <w:highlight w:val="none"/>
              </w:rPr>
              <w:t>等标志。</w:t>
            </w:r>
          </w:p>
          <w:p w14:paraId="05953500">
            <w:pPr>
              <w:bidi w:val="0"/>
              <w:ind w:firstLine="480" w:firstLineChars="200"/>
              <w:rPr>
                <w:color w:val="auto"/>
                <w:highlight w:val="none"/>
              </w:rPr>
            </w:pPr>
            <w:r>
              <w:rPr>
                <w:color w:val="auto"/>
                <w:highlight w:val="none"/>
              </w:rPr>
              <w:t>④备有一定数量灭火器材并保持有效状态以及防毒面具等气防设备。</w:t>
            </w:r>
          </w:p>
          <w:p w14:paraId="46D652C5">
            <w:pPr>
              <w:bidi w:val="0"/>
              <w:ind w:firstLine="480" w:firstLineChars="200"/>
              <w:rPr>
                <w:color w:val="auto"/>
                <w:highlight w:val="none"/>
              </w:rPr>
            </w:pPr>
            <w:r>
              <w:rPr>
                <w:rFonts w:hint="eastAsia"/>
                <w:color w:val="auto"/>
                <w:highlight w:val="none"/>
              </w:rPr>
              <w:t>⑤</w:t>
            </w:r>
            <w:r>
              <w:rPr>
                <w:color w:val="auto"/>
                <w:highlight w:val="none"/>
              </w:rPr>
              <w:t>严格按照我国有关劳动安全、环保与卫生的规范和标准，在设计、施工和运行过程中必须针对可能存在的不安全、不卫生而采取相应的</w:t>
            </w:r>
            <w:r>
              <w:rPr>
                <w:rFonts w:hint="eastAsia"/>
                <w:color w:val="auto"/>
                <w:highlight w:val="none"/>
                <w:lang w:eastAsia="zh-CN"/>
              </w:rPr>
              <w:t>安全防护</w:t>
            </w:r>
            <w:r>
              <w:rPr>
                <w:color w:val="auto"/>
                <w:highlight w:val="none"/>
              </w:rPr>
              <w:t>措施，消除事故隐患。</w:t>
            </w:r>
          </w:p>
          <w:p w14:paraId="03572AD7">
            <w:pPr>
              <w:bidi w:val="0"/>
              <w:ind w:firstLine="480" w:firstLineChars="200"/>
              <w:rPr>
                <w:color w:val="auto"/>
                <w:highlight w:val="none"/>
              </w:rPr>
            </w:pPr>
            <w:r>
              <w:rPr>
                <w:rFonts w:hint="eastAsia"/>
                <w:color w:val="auto"/>
                <w:highlight w:val="none"/>
              </w:rPr>
              <w:t>⑥</w:t>
            </w:r>
            <w:r>
              <w:rPr>
                <w:color w:val="auto"/>
                <w:highlight w:val="none"/>
              </w:rPr>
              <w:t>加强设备（包括各种安全仪表）的维修、保养，杜绝由于设备劳损、折旧带来的事故隐患。</w:t>
            </w:r>
          </w:p>
          <w:p w14:paraId="3532D1E0">
            <w:pPr>
              <w:bidi w:val="0"/>
              <w:ind w:firstLine="480" w:firstLineChars="200"/>
              <w:rPr>
                <w:color w:val="auto"/>
                <w:highlight w:val="none"/>
              </w:rPr>
            </w:pPr>
            <w:r>
              <w:rPr>
                <w:rFonts w:hint="eastAsia"/>
                <w:color w:val="auto"/>
                <w:highlight w:val="none"/>
              </w:rPr>
              <w:t>⑦</w:t>
            </w:r>
            <w:r>
              <w:rPr>
                <w:color w:val="auto"/>
                <w:highlight w:val="none"/>
              </w:rPr>
              <w:t>加强对职工的教育培训，实行上岗证制度，增强职工风险意识，提高事故自救能力，制定和强化各种安全管理、安全生产的规程，减少人为风险事故（如误操作）的发生。</w:t>
            </w:r>
          </w:p>
          <w:p w14:paraId="7D1C2A4C">
            <w:pPr>
              <w:bidi w:val="0"/>
              <w:ind w:firstLine="480" w:firstLineChars="20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）项目</w:t>
            </w:r>
            <w:r>
              <w:rPr>
                <w:color w:val="auto"/>
                <w:highlight w:val="none"/>
              </w:rPr>
              <w:t>贮存风险防范措施</w:t>
            </w:r>
          </w:p>
          <w:p w14:paraId="2652C023">
            <w:pPr>
              <w:bidi w:val="0"/>
              <w:ind w:firstLine="480" w:firstLineChars="200"/>
              <w:rPr>
                <w:color w:val="auto"/>
                <w:highlight w:val="none"/>
              </w:rPr>
            </w:pPr>
            <w:r>
              <w:rPr>
                <w:rFonts w:hint="eastAsia"/>
                <w:color w:val="auto"/>
                <w:highlight w:val="none"/>
              </w:rPr>
              <w:t>①</w:t>
            </w:r>
            <w:r>
              <w:rPr>
                <w:rFonts w:hint="eastAsia"/>
                <w:color w:val="auto"/>
                <w:highlight w:val="none"/>
                <w:lang w:eastAsia="zh-CN"/>
              </w:rPr>
              <w:t>项目区内按</w:t>
            </w:r>
            <w:r>
              <w:rPr>
                <w:color w:val="auto"/>
                <w:highlight w:val="none"/>
              </w:rPr>
              <w:t>要求采取分区防控措施，确保风险物质发生泄漏时，不会通过地面渗入地下而污染地下水和土壤。</w:t>
            </w:r>
          </w:p>
          <w:p w14:paraId="578A2F37">
            <w:pPr>
              <w:bidi w:val="0"/>
              <w:ind w:firstLine="480" w:firstLineChars="200"/>
              <w:rPr>
                <w:color w:val="auto"/>
                <w:highlight w:val="none"/>
              </w:rPr>
            </w:pPr>
            <w:r>
              <w:rPr>
                <w:rFonts w:hint="eastAsia"/>
                <w:color w:val="auto"/>
                <w:highlight w:val="none"/>
              </w:rPr>
              <w:t>②</w:t>
            </w:r>
            <w:r>
              <w:rPr>
                <w:color w:val="auto"/>
                <w:highlight w:val="none"/>
              </w:rPr>
              <w:t>仓库场地附近严禁明火或热源，配置灭火器等应急设施。</w:t>
            </w:r>
          </w:p>
          <w:p w14:paraId="6A35068B">
            <w:pPr>
              <w:bidi w:val="0"/>
              <w:ind w:firstLine="480" w:firstLineChars="200"/>
              <w:rPr>
                <w:color w:val="auto"/>
                <w:highlight w:val="none"/>
              </w:rPr>
            </w:pPr>
            <w:r>
              <w:rPr>
                <w:rFonts w:hint="eastAsia"/>
                <w:color w:val="auto"/>
                <w:highlight w:val="none"/>
              </w:rPr>
              <w:t>③</w:t>
            </w:r>
            <w:r>
              <w:rPr>
                <w:rFonts w:hint="eastAsia"/>
                <w:color w:val="auto"/>
                <w:highlight w:val="none"/>
                <w:lang w:eastAsia="zh-CN"/>
              </w:rPr>
              <w:t>在固体废物的贮存</w:t>
            </w:r>
            <w:r>
              <w:rPr>
                <w:color w:val="auto"/>
                <w:highlight w:val="none"/>
              </w:rPr>
              <w:t>位置设置</w:t>
            </w:r>
            <w:r>
              <w:rPr>
                <w:rFonts w:hint="eastAsia"/>
                <w:color w:val="auto"/>
                <w:highlight w:val="none"/>
                <w:lang w:eastAsia="zh-CN"/>
              </w:rPr>
              <w:t>明显</w:t>
            </w:r>
            <w:r>
              <w:rPr>
                <w:color w:val="auto"/>
                <w:highlight w:val="none"/>
              </w:rPr>
              <w:t>标识，标明贮存物的名称、贮存时间、注意事项等。储存容器和设施要防漏和防止洒溅，并对其进行日常性检查。</w:t>
            </w:r>
          </w:p>
          <w:p w14:paraId="2D9AF7C0">
            <w:pPr>
              <w:bidi w:val="0"/>
              <w:ind w:firstLine="480" w:firstLineChars="200"/>
              <w:rPr>
                <w:color w:val="auto"/>
                <w:highlight w:val="none"/>
              </w:rPr>
            </w:pPr>
            <w:r>
              <w:rPr>
                <w:rFonts w:hint="eastAsia"/>
                <w:color w:val="auto"/>
                <w:highlight w:val="none"/>
              </w:rPr>
              <w:t>④</w:t>
            </w:r>
            <w:r>
              <w:rPr>
                <w:rFonts w:hint="eastAsia"/>
                <w:color w:val="auto"/>
                <w:highlight w:val="none"/>
                <w:lang w:eastAsia="zh-CN"/>
              </w:rPr>
              <w:t>项目产生的</w:t>
            </w:r>
            <w:r>
              <w:rPr>
                <w:color w:val="auto"/>
                <w:highlight w:val="none"/>
              </w:rPr>
              <w:t>固体废弃物交给符合国家相关标准的废物处理单位处理，不得焚烧、丢弃。危险废物交由具有相应危废处理资质的单位进行处理处置。</w:t>
            </w:r>
          </w:p>
          <w:p w14:paraId="77967D56">
            <w:pPr>
              <w:bidi w:val="0"/>
              <w:ind w:firstLine="48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color w:val="auto"/>
                <w:highlight w:val="none"/>
              </w:rPr>
              <w:t xml:space="preserve">油料储存及使用过程中事故防范措施 </w:t>
            </w:r>
          </w:p>
          <w:p w14:paraId="4454557E">
            <w:pPr>
              <w:bidi w:val="0"/>
              <w:ind w:firstLine="480" w:firstLineChars="200"/>
              <w:rPr>
                <w:bCs/>
                <w:color w:val="auto"/>
                <w:highlight w:val="none"/>
              </w:rPr>
            </w:pPr>
            <w:r>
              <w:rPr>
                <w:color w:val="auto"/>
                <w:highlight w:val="none"/>
              </w:rPr>
              <w:t>①建立健全并严格执行防火防爆的规章制度，严格遵守各项操作规程。</w:t>
            </w:r>
          </w:p>
          <w:p w14:paraId="329EA4E4">
            <w:pPr>
              <w:widowControl/>
              <w:snapToGrid w:val="0"/>
              <w:ind w:firstLine="480" w:firstLineChars="200"/>
              <w:jc w:val="left"/>
              <w:rPr>
                <w:bCs/>
                <w:color w:val="auto"/>
                <w:highlight w:val="none"/>
              </w:rPr>
            </w:pPr>
            <w:r>
              <w:rPr>
                <w:bCs/>
                <w:color w:val="auto"/>
                <w:highlight w:val="none"/>
              </w:rPr>
              <w:t>②消防系统安全防范措施。</w:t>
            </w:r>
          </w:p>
          <w:p w14:paraId="54097F5D">
            <w:pPr>
              <w:widowControl/>
              <w:snapToGrid w:val="0"/>
              <w:ind w:firstLine="480" w:firstLineChars="200"/>
              <w:jc w:val="left"/>
              <w:rPr>
                <w:bCs/>
                <w:color w:val="auto"/>
                <w:highlight w:val="none"/>
              </w:rPr>
            </w:pPr>
            <w:r>
              <w:rPr>
                <w:bCs/>
                <w:color w:val="auto"/>
                <w:highlight w:val="none"/>
              </w:rPr>
              <w:t>③</w:t>
            </w:r>
            <w:r>
              <w:rPr>
                <w:rFonts w:hint="eastAsia"/>
                <w:bCs/>
                <w:color w:val="auto"/>
                <w:highlight w:val="none"/>
                <w:lang w:eastAsia="zh-CN"/>
              </w:rPr>
              <w:t>综合能源站</w:t>
            </w:r>
            <w:r>
              <w:rPr>
                <w:bCs/>
                <w:color w:val="auto"/>
                <w:highlight w:val="none"/>
              </w:rPr>
              <w:t>的灭火器材配置：干粉灭火器、手提式泡沫灭火器、推车式干粉灭火器、沙池和灭火毯均严格执行</w:t>
            </w:r>
            <w:r>
              <w:rPr>
                <w:color w:val="auto"/>
                <w:highlight w:val="none"/>
              </w:rPr>
              <w:t>《汽车加油加气</w:t>
            </w:r>
            <w:r>
              <w:rPr>
                <w:rFonts w:hint="eastAsia"/>
                <w:color w:val="auto"/>
                <w:highlight w:val="none"/>
              </w:rPr>
              <w:t>加氢</w:t>
            </w:r>
            <w:r>
              <w:rPr>
                <w:color w:val="auto"/>
                <w:highlight w:val="none"/>
              </w:rPr>
              <w:t>站</w:t>
            </w:r>
            <w:r>
              <w:rPr>
                <w:rFonts w:hint="eastAsia"/>
                <w:color w:val="auto"/>
                <w:highlight w:val="none"/>
              </w:rPr>
              <w:t>技术标准</w:t>
            </w:r>
            <w:r>
              <w:rPr>
                <w:color w:val="auto"/>
                <w:highlight w:val="none"/>
              </w:rPr>
              <w:t>》（GB50156-2021）</w:t>
            </w:r>
            <w:r>
              <w:rPr>
                <w:bCs/>
                <w:color w:val="auto"/>
                <w:highlight w:val="none"/>
              </w:rPr>
              <w:t>和《建筑灭火器配置设计规范》（GB50140-2005）的规定。</w:t>
            </w:r>
          </w:p>
          <w:p w14:paraId="2FDF4D1F">
            <w:pPr>
              <w:widowControl/>
              <w:snapToGrid w:val="0"/>
              <w:ind w:firstLine="480" w:firstLineChars="200"/>
              <w:jc w:val="left"/>
              <w:rPr>
                <w:bCs/>
                <w:color w:val="auto"/>
                <w:highlight w:val="none"/>
              </w:rPr>
            </w:pPr>
            <w:r>
              <w:rPr>
                <w:bCs/>
                <w:color w:val="auto"/>
                <w:highlight w:val="none"/>
              </w:rPr>
              <w:t>④防火围堰：要求项目工作区和油罐区四周设置防火堤，内设分隔堤，罐区地表铺设防渗材料。堤内容积可将储罐一旦破裂流出泄漏液和消防水截留在堤内，可避免贮液流失和火灾蔓延。</w:t>
            </w:r>
          </w:p>
          <w:p w14:paraId="382B963B">
            <w:pPr>
              <w:ind w:firstLine="480" w:firstLineChars="200"/>
              <w:rPr>
                <w:color w:val="auto"/>
                <w:highlight w:val="none"/>
              </w:rPr>
            </w:pPr>
            <w:r>
              <w:rPr>
                <w:rFonts w:hint="eastAsia" w:ascii="宋体" w:hAnsi="宋体" w:cs="宋体"/>
                <w:bCs/>
                <w:color w:val="auto"/>
                <w:highlight w:val="none"/>
              </w:rPr>
              <w:t>⑤</w:t>
            </w:r>
            <w:r>
              <w:rPr>
                <w:bCs/>
                <w:color w:val="auto"/>
                <w:highlight w:val="none"/>
              </w:rPr>
              <w:t>工艺技术、电气安全防范措施：管道的法兰、阀门密封处、油泵轴封处，汽车装车栈台和装卸臂等处应采取措施防止发生跑冒滴漏，易燃品禁止带入库区。电气设备均有保护接零和接地所有设备和管道均作可靠静电接地。考虑直</w:t>
            </w:r>
            <w:r>
              <w:rPr>
                <w:color w:val="auto"/>
                <w:highlight w:val="none"/>
              </w:rPr>
              <w:t>接雷击和感应雷击，设置必要的避雷装置并可靠接地。为防止静电积聚和放电，除设备管道有良好的静电接地外，操作人员必要时穿防静电工作服和鞋，罐区入口处设置消除人体静电装置。</w:t>
            </w:r>
          </w:p>
          <w:p w14:paraId="2EF4ED08">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车用尿素泄漏的风险防范措施</w:t>
            </w:r>
          </w:p>
          <w:p w14:paraId="4BE8A4E0">
            <w:pPr>
              <w:pStyle w:val="32"/>
              <w:widowControl w:val="0"/>
              <w:ind w:firstLine="480"/>
              <w:rPr>
                <w:rFonts w:hint="eastAsia"/>
                <w:color w:val="auto"/>
                <w:highlight w:val="none"/>
              </w:rPr>
            </w:pPr>
            <w:r>
              <w:rPr>
                <w:rFonts w:hint="eastAsia"/>
                <w:color w:val="auto"/>
                <w:highlight w:val="none"/>
              </w:rPr>
              <w:t>本项目尿素溶液不燃，具刺激性，不属于有毒有害和易燃易爆等危险物质。存在风险源为车用尿素溶液在加注、储运过程中可能会泄漏下渗，对地下水产生一定影响。</w:t>
            </w:r>
          </w:p>
          <w:p w14:paraId="655E2AEB">
            <w:pPr>
              <w:pStyle w:val="32"/>
              <w:widowControl w:val="0"/>
              <w:ind w:firstLine="480"/>
              <w:rPr>
                <w:rFonts w:hint="eastAsia"/>
                <w:color w:val="auto"/>
                <w:highlight w:val="none"/>
              </w:rPr>
            </w:pPr>
            <w:r>
              <w:rPr>
                <w:rFonts w:hint="eastAsia"/>
                <w:color w:val="auto"/>
                <w:highlight w:val="none"/>
              </w:rPr>
              <w:t>①设置专职人员进行管理及保养加注系统，对生产设施进行定期与不定期检修，及时维修或更换不良部件。平日加强对机械设备的维护，制定严格的维修制度，一旦发生事故及时进行维修。</w:t>
            </w:r>
          </w:p>
          <w:p w14:paraId="6F409D4D">
            <w:pPr>
              <w:pStyle w:val="32"/>
              <w:widowControl w:val="0"/>
              <w:ind w:firstLine="480"/>
              <w:rPr>
                <w:rFonts w:hint="eastAsia"/>
                <w:color w:val="auto"/>
                <w:highlight w:val="none"/>
              </w:rPr>
            </w:pPr>
            <w:r>
              <w:rPr>
                <w:rFonts w:hint="eastAsia"/>
                <w:color w:val="auto"/>
                <w:highlight w:val="none"/>
              </w:rPr>
              <w:t>②选用足够强度、耐腐蚀、不透水、质量优良的水管，防止因管道质量问题发生污水泄漏事故，防止泄漏污水直接进入环境。</w:t>
            </w:r>
          </w:p>
          <w:p w14:paraId="4DBE2929">
            <w:pPr>
              <w:pStyle w:val="32"/>
              <w:widowControl w:val="0"/>
              <w:ind w:firstLine="480"/>
              <w:rPr>
                <w:rFonts w:hint="eastAsia"/>
                <w:color w:val="auto"/>
                <w:highlight w:val="none"/>
              </w:rPr>
            </w:pPr>
            <w:r>
              <w:rPr>
                <w:rFonts w:hint="eastAsia"/>
                <w:color w:val="auto"/>
                <w:highlight w:val="none"/>
              </w:rPr>
              <w:t>③加强日常排查和检修，设专人定时巡检，一旦发现问题及时解决，有效减少泄漏风险产生。定期检查排水管道的质量安全，确保排水管的正常运行。</w:t>
            </w:r>
          </w:p>
          <w:p w14:paraId="4301E58A">
            <w:pPr>
              <w:pStyle w:val="32"/>
              <w:widowControl w:val="0"/>
              <w:ind w:firstLine="480"/>
              <w:rPr>
                <w:rFonts w:hint="eastAsia"/>
                <w:color w:val="auto"/>
                <w:highlight w:val="none"/>
              </w:rPr>
            </w:pPr>
            <w:r>
              <w:rPr>
                <w:rFonts w:hint="eastAsia"/>
                <w:color w:val="auto"/>
                <w:highlight w:val="none"/>
              </w:rPr>
              <w:t>④在装卸原料尿素前，要预先做好准备工作，检查装卸搬运的工具是否牢固，不牢固的应予更换或修理。</w:t>
            </w:r>
          </w:p>
          <w:p w14:paraId="64BD5139">
            <w:pPr>
              <w:pStyle w:val="32"/>
              <w:widowControl w:val="0"/>
              <w:ind w:firstLine="480"/>
              <w:rPr>
                <w:rFonts w:hint="eastAsia"/>
                <w:color w:val="auto"/>
                <w:highlight w:val="none"/>
              </w:rPr>
            </w:pPr>
            <w:r>
              <w:rPr>
                <w:rFonts w:hint="eastAsia"/>
                <w:color w:val="auto"/>
                <w:highlight w:val="none"/>
              </w:rPr>
              <w:t>⑤尿素撒落在地面、车板上时，应及时扫除，并妥善处理撒落物。在装卸物品时，不得饮酒、吸烟。工作完毕后根据工作情况和物品的性质，及时清洗手、脸、漱口或淋浴。在现场须备有清水等，以备急救时应用。</w:t>
            </w:r>
          </w:p>
          <w:p w14:paraId="6B759CDE">
            <w:pPr>
              <w:ind w:firstLine="480" w:firstLineChars="200"/>
              <w:rPr>
                <w:rFonts w:hint="eastAsia"/>
                <w:color w:val="auto"/>
                <w:highlight w:val="none"/>
                <w:lang w:eastAsia="zh-CN"/>
              </w:rPr>
            </w:pPr>
            <w:r>
              <w:rPr>
                <w:rFonts w:hint="eastAsia"/>
                <w:color w:val="auto"/>
                <w:highlight w:val="none"/>
              </w:rPr>
              <w:t>⑥尿素加注机应布置于通风良好、干燥、防雨、防晒的地点，加注机下方做好防渗，避免直接置于地面。应远离火种、热源，加注去附近应备有泄漏应急处理设备。</w:t>
            </w:r>
          </w:p>
          <w:p w14:paraId="7EBB5BBA">
            <w:pPr>
              <w:ind w:firstLine="480" w:firstLineChars="20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）消防、电气安全防范措施</w:t>
            </w:r>
          </w:p>
          <w:p w14:paraId="7C33060C">
            <w:pPr>
              <w:ind w:firstLine="480" w:firstLineChars="200"/>
              <w:rPr>
                <w:color w:val="auto"/>
                <w:highlight w:val="none"/>
              </w:rPr>
            </w:pPr>
            <w:r>
              <w:rPr>
                <w:rFonts w:hint="eastAsia"/>
                <w:color w:val="auto"/>
                <w:highlight w:val="none"/>
              </w:rPr>
              <w:t>①油品储罐按要求进行设计并通过验收；</w:t>
            </w:r>
          </w:p>
          <w:p w14:paraId="0B482FE9">
            <w:pPr>
              <w:ind w:firstLine="480" w:firstLineChars="200"/>
              <w:rPr>
                <w:color w:val="auto"/>
                <w:highlight w:val="none"/>
              </w:rPr>
            </w:pPr>
            <w:r>
              <w:rPr>
                <w:rFonts w:hint="eastAsia"/>
                <w:color w:val="auto"/>
                <w:highlight w:val="none"/>
              </w:rPr>
              <w:t>②站区按要求进行设计和建设并通过消防验收；</w:t>
            </w:r>
          </w:p>
          <w:p w14:paraId="39D99DD2">
            <w:pPr>
              <w:ind w:firstLine="480" w:firstLineChars="200"/>
              <w:rPr>
                <w:color w:val="auto"/>
                <w:highlight w:val="none"/>
              </w:rPr>
            </w:pPr>
            <w:r>
              <w:rPr>
                <w:rFonts w:hint="eastAsia"/>
                <w:color w:val="auto"/>
                <w:highlight w:val="none"/>
              </w:rPr>
              <w:t>③站区内的所有电气设备、照明灯具均应选用隔爆型；</w:t>
            </w:r>
          </w:p>
          <w:p w14:paraId="15B41740">
            <w:pPr>
              <w:ind w:firstLine="480" w:firstLineChars="200"/>
              <w:rPr>
                <w:color w:val="auto"/>
                <w:highlight w:val="none"/>
              </w:rPr>
            </w:pPr>
            <w:r>
              <w:rPr>
                <w:rFonts w:hint="eastAsia"/>
                <w:color w:val="auto"/>
                <w:highlight w:val="none"/>
              </w:rPr>
              <w:t>④管道及设备采用可靠接地；</w:t>
            </w:r>
          </w:p>
          <w:p w14:paraId="1BBC9B9D">
            <w:pPr>
              <w:ind w:firstLine="480" w:firstLineChars="200"/>
              <w:rPr>
                <w:color w:val="auto"/>
                <w:highlight w:val="none"/>
              </w:rPr>
            </w:pPr>
            <w:r>
              <w:rPr>
                <w:rFonts w:hint="eastAsia"/>
                <w:color w:val="auto"/>
                <w:highlight w:val="none"/>
              </w:rPr>
              <w:t>⑤按规范配置足够的灭火器材，消防器材应由专业人员管理，并定期组织检验、维修，确保消防设施和器材的完好、有效并能随时取用，防雨防晒；</w:t>
            </w:r>
          </w:p>
          <w:p w14:paraId="5098A9B7">
            <w:pPr>
              <w:ind w:firstLine="480" w:firstLineChars="200"/>
              <w:rPr>
                <w:color w:val="auto"/>
                <w:highlight w:val="none"/>
              </w:rPr>
            </w:pPr>
            <w:r>
              <w:rPr>
                <w:rFonts w:hint="eastAsia"/>
                <w:color w:val="auto"/>
                <w:highlight w:val="none"/>
              </w:rPr>
              <w:t>⑥按规定接入消防水管网；</w:t>
            </w:r>
          </w:p>
          <w:p w14:paraId="0A83E403">
            <w:pPr>
              <w:ind w:firstLine="480" w:firstLineChars="200"/>
              <w:rPr>
                <w:color w:val="auto"/>
                <w:highlight w:val="none"/>
              </w:rPr>
            </w:pPr>
            <w:r>
              <w:rPr>
                <w:rFonts w:hint="eastAsia"/>
                <w:color w:val="auto"/>
                <w:highlight w:val="none"/>
              </w:rPr>
              <w:t>⑦储罐上应装设避雷设施，防雷引下线与接地系统可靠焊接；</w:t>
            </w:r>
          </w:p>
          <w:p w14:paraId="3D4B6735">
            <w:pPr>
              <w:ind w:firstLine="480" w:firstLineChars="200"/>
              <w:rPr>
                <w:rFonts w:hint="eastAsia"/>
                <w:color w:val="auto"/>
                <w:highlight w:val="none"/>
              </w:rPr>
            </w:pPr>
            <w:r>
              <w:rPr>
                <w:rFonts w:hint="eastAsia"/>
                <w:color w:val="auto"/>
                <w:highlight w:val="none"/>
              </w:rPr>
              <w:t>⑧应制订消防安全管理制度、消防安全操作规程；确定单位和所属各部门、岗位的消防安全责任人，定期组织防火检查，及时消除火灾隐患，建立防火档案，确定消防安全重点部位，设置防火标志，实行严格管理，对职工进行消防安全培训，制定灭火和应急疏散预案，定期组织消防演练。</w:t>
            </w:r>
          </w:p>
          <w:p w14:paraId="1F1C8972">
            <w:pPr>
              <w:bidi w:val="0"/>
              <w:ind w:firstLine="480" w:firstLineChars="200"/>
              <w:rPr>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w:t>
            </w:r>
            <w:r>
              <w:rPr>
                <w:color w:val="auto"/>
                <w:highlight w:val="none"/>
              </w:rPr>
              <w:t>防控措施</w:t>
            </w:r>
          </w:p>
          <w:p w14:paraId="2B7C8209">
            <w:pPr>
              <w:bidi w:val="0"/>
              <w:ind w:firstLine="480" w:firstLineChars="200"/>
              <w:rPr>
                <w:color w:val="auto"/>
                <w:highlight w:val="none"/>
                <w:lang w:eastAsia="zh-CN"/>
              </w:rPr>
            </w:pPr>
            <w:r>
              <w:rPr>
                <w:color w:val="auto"/>
                <w:highlight w:val="none"/>
                <w:lang w:eastAsia="zh-CN"/>
              </w:rPr>
              <w:t>防控措施：作为终端控制措施，厂区雨水总排口设置切断措施，防止事故情况下物料经雨水进入地表水水体。</w:t>
            </w:r>
          </w:p>
          <w:p w14:paraId="15F97A01">
            <w:pPr>
              <w:bidi w:val="0"/>
              <w:ind w:firstLine="480" w:firstLineChars="200"/>
              <w:rPr>
                <w:color w:val="auto"/>
                <w:highlight w:val="none"/>
              </w:rPr>
            </w:pPr>
            <w:r>
              <w:rPr>
                <w:color w:val="auto"/>
                <w:highlight w:val="none"/>
                <w:lang w:eastAsia="zh-CN"/>
              </w:rPr>
              <w:t>发生火灾时，可能被污染的消防废水主要是靠设在排水总管末端总截断闸门和消防废水收集池来截断和收集。消防废水应收集后合理处置，不能直接排入地表水体。</w:t>
            </w:r>
          </w:p>
          <w:p w14:paraId="07CF5055">
            <w:pPr>
              <w:bidi w:val="0"/>
              <w:ind w:firstLine="482" w:firstLineChars="200"/>
              <w:rPr>
                <w:rFonts w:hint="eastAsia"/>
                <w:color w:val="auto"/>
                <w:highlight w:val="none"/>
                <w:lang w:val="en-US" w:eastAsia="zh-CN"/>
              </w:rPr>
            </w:pPr>
            <w:r>
              <w:rPr>
                <w:rFonts w:hint="eastAsia"/>
                <w:b/>
                <w:bCs/>
                <w:color w:val="auto"/>
                <w:highlight w:val="none"/>
                <w:lang w:val="en-US" w:eastAsia="zh-CN"/>
              </w:rPr>
              <w:t>事故应急池设置：</w:t>
            </w:r>
          </w:p>
          <w:p w14:paraId="1DF65077">
            <w:pPr>
              <w:bidi w:val="0"/>
              <w:ind w:firstLine="480" w:firstLineChars="200"/>
              <w:rPr>
                <w:color w:val="auto"/>
                <w:highlight w:val="none"/>
              </w:rPr>
            </w:pPr>
            <w:r>
              <w:rPr>
                <w:rFonts w:hint="eastAsia"/>
                <w:color w:val="auto"/>
                <w:highlight w:val="none"/>
                <w:lang w:val="en-US" w:eastAsia="zh-CN"/>
              </w:rPr>
              <w:t>根据《事故状态下水体污染的预防与控制技术要求》（</w:t>
            </w:r>
            <w:r>
              <w:rPr>
                <w:rFonts w:hint="default"/>
                <w:color w:val="auto"/>
                <w:highlight w:val="none"/>
                <w:lang w:val="en-US" w:eastAsia="zh-CN"/>
              </w:rPr>
              <w:t>QSY1190-2013</w:t>
            </w:r>
            <w:r>
              <w:rPr>
                <w:rFonts w:hint="eastAsia"/>
                <w:color w:val="auto"/>
                <w:highlight w:val="none"/>
                <w:lang w:val="en-US" w:eastAsia="zh-CN"/>
              </w:rPr>
              <w:t>），事故排水流量应包含物料泄漏流量、消防水流量、清净水流量以及雨水流量。事故应急池总有效容积按下式计算：</w:t>
            </w:r>
          </w:p>
          <w:p w14:paraId="42AF381A">
            <w:pPr>
              <w:bidi w:val="0"/>
              <w:jc w:val="center"/>
              <w:rPr>
                <w:color w:val="auto"/>
                <w:highlight w:val="none"/>
              </w:rPr>
            </w:pPr>
            <w:r>
              <w:rPr>
                <w:rFonts w:hint="default"/>
                <w:color w:val="auto"/>
                <w:highlight w:val="none"/>
                <w:lang w:val="en-US" w:eastAsia="zh-CN"/>
              </w:rPr>
              <w:t>V</w:t>
            </w:r>
            <w:r>
              <w:rPr>
                <w:rFonts w:hint="eastAsia"/>
                <w:color w:val="auto"/>
                <w:highlight w:val="none"/>
                <w:vertAlign w:val="subscript"/>
                <w:lang w:val="en-US" w:eastAsia="zh-CN"/>
              </w:rPr>
              <w:t>总</w:t>
            </w:r>
            <w:r>
              <w:rPr>
                <w:rFonts w:hint="default"/>
                <w:color w:val="auto"/>
                <w:highlight w:val="none"/>
                <w:lang w:val="en-US" w:eastAsia="zh-CN"/>
              </w:rPr>
              <w:t>=</w:t>
            </w:r>
            <w:r>
              <w:rPr>
                <w:rFonts w:hint="eastAsia"/>
                <w:color w:val="auto"/>
                <w:highlight w:val="none"/>
                <w:lang w:val="en-US" w:eastAsia="zh-CN"/>
              </w:rPr>
              <w:t>（</w:t>
            </w:r>
            <w:r>
              <w:rPr>
                <w:rFonts w:hint="default"/>
                <w:color w:val="auto"/>
                <w:highlight w:val="none"/>
                <w:lang w:val="en-US" w:eastAsia="zh-CN"/>
              </w:rPr>
              <w:t>V</w:t>
            </w:r>
            <w:r>
              <w:rPr>
                <w:rFonts w:hint="default"/>
                <w:color w:val="auto"/>
                <w:highlight w:val="none"/>
                <w:vertAlign w:val="subscript"/>
                <w:lang w:val="en-US" w:eastAsia="zh-CN"/>
              </w:rPr>
              <w:t>1</w:t>
            </w:r>
            <w:r>
              <w:rPr>
                <w:rFonts w:hint="eastAsia"/>
                <w:color w:val="auto"/>
                <w:highlight w:val="none"/>
                <w:lang w:val="en-US" w:eastAsia="zh-CN"/>
              </w:rPr>
              <w:t>＋</w:t>
            </w:r>
            <w:r>
              <w:rPr>
                <w:rFonts w:hint="default"/>
                <w:color w:val="auto"/>
                <w:highlight w:val="none"/>
                <w:lang w:val="en-US" w:eastAsia="zh-CN"/>
              </w:rPr>
              <w:t>V</w:t>
            </w:r>
            <w:r>
              <w:rPr>
                <w:rFonts w:hint="default"/>
                <w:color w:val="auto"/>
                <w:highlight w:val="none"/>
                <w:vertAlign w:val="subscript"/>
                <w:lang w:val="en-US" w:eastAsia="zh-CN"/>
              </w:rPr>
              <w:t>2</w:t>
            </w:r>
            <w:r>
              <w:rPr>
                <w:rFonts w:hint="eastAsia"/>
                <w:color w:val="auto"/>
                <w:highlight w:val="none"/>
                <w:lang w:val="en-US" w:eastAsia="zh-CN"/>
              </w:rPr>
              <w:t>－</w:t>
            </w:r>
            <w:r>
              <w:rPr>
                <w:rFonts w:hint="default"/>
                <w:color w:val="auto"/>
                <w:highlight w:val="none"/>
                <w:lang w:val="en-US" w:eastAsia="zh-CN"/>
              </w:rPr>
              <w:t>V</w:t>
            </w:r>
            <w:r>
              <w:rPr>
                <w:rFonts w:hint="default"/>
                <w:color w:val="auto"/>
                <w:highlight w:val="none"/>
                <w:vertAlign w:val="subscript"/>
                <w:lang w:val="en-US" w:eastAsia="zh-CN"/>
              </w:rPr>
              <w:t>3</w:t>
            </w:r>
            <w:r>
              <w:rPr>
                <w:rFonts w:hint="eastAsia"/>
                <w:color w:val="auto"/>
                <w:highlight w:val="none"/>
                <w:lang w:val="en-US" w:eastAsia="zh-CN"/>
              </w:rPr>
              <w:t>）</w:t>
            </w:r>
            <w:r>
              <w:rPr>
                <w:rFonts w:hint="default"/>
                <w:color w:val="auto"/>
                <w:highlight w:val="none"/>
                <w:vertAlign w:val="subscript"/>
                <w:lang w:val="en-US" w:eastAsia="zh-CN"/>
              </w:rPr>
              <w:t>max</w:t>
            </w:r>
            <w:r>
              <w:rPr>
                <w:rFonts w:hint="default"/>
                <w:color w:val="auto"/>
                <w:highlight w:val="none"/>
                <w:lang w:val="en-US" w:eastAsia="zh-CN"/>
              </w:rPr>
              <w:t>+V</w:t>
            </w:r>
            <w:r>
              <w:rPr>
                <w:rFonts w:hint="default"/>
                <w:color w:val="auto"/>
                <w:highlight w:val="none"/>
                <w:vertAlign w:val="subscript"/>
                <w:lang w:val="en-US" w:eastAsia="zh-CN"/>
              </w:rPr>
              <w:t>4</w:t>
            </w:r>
            <w:r>
              <w:rPr>
                <w:rFonts w:hint="default"/>
                <w:color w:val="auto"/>
                <w:highlight w:val="none"/>
                <w:lang w:val="en-US" w:eastAsia="zh-CN"/>
              </w:rPr>
              <w:t>+V</w:t>
            </w:r>
            <w:r>
              <w:rPr>
                <w:rFonts w:hint="default"/>
                <w:color w:val="auto"/>
                <w:highlight w:val="none"/>
                <w:vertAlign w:val="subscript"/>
                <w:lang w:val="en-US" w:eastAsia="zh-CN"/>
              </w:rPr>
              <w:t>5</w:t>
            </w:r>
          </w:p>
          <w:p w14:paraId="590E65E6">
            <w:pPr>
              <w:bidi w:val="0"/>
              <w:ind w:firstLine="480" w:firstLineChars="200"/>
              <w:rPr>
                <w:color w:val="auto"/>
                <w:highlight w:val="none"/>
              </w:rPr>
            </w:pPr>
            <w:r>
              <w:rPr>
                <w:rFonts w:hint="eastAsia"/>
                <w:color w:val="auto"/>
                <w:highlight w:val="none"/>
                <w:lang w:val="en-US" w:eastAsia="zh-CN"/>
              </w:rPr>
              <w:t>注：（</w:t>
            </w:r>
            <w:r>
              <w:rPr>
                <w:rFonts w:hint="default"/>
                <w:color w:val="auto"/>
                <w:highlight w:val="none"/>
                <w:lang w:val="en-US" w:eastAsia="zh-CN"/>
              </w:rPr>
              <w:t>V</w:t>
            </w:r>
            <w:r>
              <w:rPr>
                <w:rFonts w:hint="default"/>
                <w:color w:val="auto"/>
                <w:highlight w:val="none"/>
                <w:vertAlign w:val="subscript"/>
                <w:lang w:val="en-US" w:eastAsia="zh-CN"/>
              </w:rPr>
              <w:t>1</w:t>
            </w:r>
            <w:r>
              <w:rPr>
                <w:rFonts w:hint="eastAsia"/>
                <w:color w:val="auto"/>
                <w:highlight w:val="none"/>
                <w:lang w:val="en-US" w:eastAsia="zh-CN"/>
              </w:rPr>
              <w:t>＋</w:t>
            </w:r>
            <w:r>
              <w:rPr>
                <w:rFonts w:hint="default"/>
                <w:color w:val="auto"/>
                <w:highlight w:val="none"/>
                <w:lang w:val="en-US" w:eastAsia="zh-CN"/>
              </w:rPr>
              <w:t>V</w:t>
            </w:r>
            <w:r>
              <w:rPr>
                <w:rFonts w:hint="default"/>
                <w:color w:val="auto"/>
                <w:highlight w:val="none"/>
                <w:vertAlign w:val="subscript"/>
                <w:lang w:val="en-US" w:eastAsia="zh-CN"/>
              </w:rPr>
              <w:t>2</w:t>
            </w:r>
            <w:r>
              <w:rPr>
                <w:rFonts w:hint="eastAsia"/>
                <w:color w:val="auto"/>
                <w:highlight w:val="none"/>
                <w:lang w:val="en-US" w:eastAsia="zh-CN"/>
              </w:rPr>
              <w:t>－</w:t>
            </w:r>
            <w:r>
              <w:rPr>
                <w:rFonts w:hint="default"/>
                <w:color w:val="auto"/>
                <w:highlight w:val="none"/>
                <w:lang w:val="en-US" w:eastAsia="zh-CN"/>
              </w:rPr>
              <w:t>V</w:t>
            </w:r>
            <w:r>
              <w:rPr>
                <w:rFonts w:hint="default"/>
                <w:color w:val="auto"/>
                <w:highlight w:val="none"/>
                <w:vertAlign w:val="subscript"/>
                <w:lang w:val="en-US" w:eastAsia="zh-CN"/>
              </w:rPr>
              <w:t>3</w:t>
            </w:r>
            <w:r>
              <w:rPr>
                <w:rFonts w:hint="eastAsia"/>
                <w:color w:val="auto"/>
                <w:highlight w:val="none"/>
                <w:lang w:val="en-US" w:eastAsia="zh-CN"/>
              </w:rPr>
              <w:t>）</w:t>
            </w:r>
            <w:r>
              <w:rPr>
                <w:rFonts w:hint="default"/>
                <w:color w:val="auto"/>
                <w:highlight w:val="none"/>
                <w:vertAlign w:val="subscript"/>
                <w:lang w:val="en-US" w:eastAsia="zh-CN"/>
              </w:rPr>
              <w:t>max</w:t>
            </w:r>
            <w:r>
              <w:rPr>
                <w:rFonts w:hint="eastAsia"/>
                <w:color w:val="auto"/>
                <w:highlight w:val="none"/>
                <w:lang w:val="en-US" w:eastAsia="zh-CN"/>
              </w:rPr>
              <w:t>是指对收集系统范围内不同罐组或装置分别计算</w:t>
            </w:r>
            <w:r>
              <w:rPr>
                <w:rFonts w:hint="default"/>
                <w:color w:val="auto"/>
                <w:highlight w:val="none"/>
                <w:lang w:val="en-US" w:eastAsia="zh-CN"/>
              </w:rPr>
              <w:t>V</w:t>
            </w:r>
            <w:r>
              <w:rPr>
                <w:rFonts w:hint="default"/>
                <w:color w:val="auto"/>
                <w:highlight w:val="none"/>
                <w:vertAlign w:val="subscript"/>
                <w:lang w:val="en-US" w:eastAsia="zh-CN"/>
              </w:rPr>
              <w:t>1</w:t>
            </w:r>
            <w:r>
              <w:rPr>
                <w:rFonts w:hint="eastAsia"/>
                <w:color w:val="auto"/>
                <w:highlight w:val="none"/>
                <w:lang w:val="en-US" w:eastAsia="zh-CN"/>
              </w:rPr>
              <w:t>＋</w:t>
            </w:r>
            <w:r>
              <w:rPr>
                <w:rFonts w:hint="default"/>
                <w:color w:val="auto"/>
                <w:highlight w:val="none"/>
                <w:lang w:val="en-US" w:eastAsia="zh-CN"/>
              </w:rPr>
              <w:t>V</w:t>
            </w:r>
            <w:r>
              <w:rPr>
                <w:rFonts w:hint="default"/>
                <w:color w:val="auto"/>
                <w:highlight w:val="none"/>
                <w:vertAlign w:val="subscript"/>
                <w:lang w:val="en-US" w:eastAsia="zh-CN"/>
              </w:rPr>
              <w:t>2</w:t>
            </w:r>
            <w:r>
              <w:rPr>
                <w:rFonts w:hint="eastAsia"/>
                <w:color w:val="auto"/>
                <w:highlight w:val="none"/>
                <w:lang w:val="en-US" w:eastAsia="zh-CN"/>
              </w:rPr>
              <w:t>－</w:t>
            </w:r>
            <w:r>
              <w:rPr>
                <w:rFonts w:hint="default"/>
                <w:color w:val="auto"/>
                <w:highlight w:val="none"/>
                <w:lang w:val="en-US" w:eastAsia="zh-CN"/>
              </w:rPr>
              <w:t>V</w:t>
            </w:r>
            <w:r>
              <w:rPr>
                <w:rFonts w:hint="default"/>
                <w:color w:val="auto"/>
                <w:highlight w:val="none"/>
                <w:vertAlign w:val="subscript"/>
                <w:lang w:val="en-US" w:eastAsia="zh-CN"/>
              </w:rPr>
              <w:t>3</w:t>
            </w:r>
            <w:r>
              <w:rPr>
                <w:rFonts w:hint="eastAsia"/>
                <w:color w:val="auto"/>
                <w:highlight w:val="none"/>
                <w:lang w:val="en-US" w:eastAsia="zh-CN"/>
              </w:rPr>
              <w:t>，取其中最大值；</w:t>
            </w:r>
          </w:p>
          <w:p w14:paraId="5F551359">
            <w:pPr>
              <w:bidi w:val="0"/>
              <w:ind w:firstLine="480" w:firstLineChars="200"/>
              <w:rPr>
                <w:color w:val="auto"/>
                <w:highlight w:val="none"/>
              </w:rPr>
            </w:pPr>
            <w:r>
              <w:rPr>
                <w:rFonts w:hint="default"/>
                <w:color w:val="auto"/>
                <w:highlight w:val="none"/>
                <w:lang w:val="en-US" w:eastAsia="zh-CN"/>
              </w:rPr>
              <w:t>V</w:t>
            </w:r>
            <w:r>
              <w:rPr>
                <w:rFonts w:hint="default"/>
                <w:color w:val="auto"/>
                <w:highlight w:val="none"/>
                <w:vertAlign w:val="subscript"/>
                <w:lang w:val="en-US" w:eastAsia="zh-CN"/>
              </w:rPr>
              <w:t>1</w:t>
            </w:r>
            <w:r>
              <w:rPr>
                <w:rFonts w:hint="default"/>
                <w:color w:val="auto"/>
                <w:highlight w:val="none"/>
                <w:lang w:val="en-US" w:eastAsia="zh-CN"/>
              </w:rPr>
              <w:t>—</w:t>
            </w:r>
            <w:r>
              <w:rPr>
                <w:rFonts w:hint="eastAsia"/>
                <w:color w:val="auto"/>
                <w:highlight w:val="none"/>
                <w:lang w:val="en-US" w:eastAsia="zh-CN"/>
              </w:rPr>
              <w:t>收集系统范围内发生事故的一个罐组或一套装置的物料量；</w:t>
            </w:r>
          </w:p>
          <w:p w14:paraId="5906AE2B">
            <w:pPr>
              <w:bidi w:val="0"/>
              <w:ind w:firstLine="480" w:firstLineChars="200"/>
              <w:rPr>
                <w:rFonts w:hint="eastAsia"/>
                <w:color w:val="auto"/>
                <w:highlight w:val="none"/>
                <w:lang w:val="en-US" w:eastAsia="zh-CN"/>
              </w:rPr>
            </w:pPr>
            <w:r>
              <w:rPr>
                <w:rFonts w:hint="default"/>
                <w:color w:val="auto"/>
                <w:highlight w:val="none"/>
                <w:lang w:val="en-US" w:eastAsia="zh-CN"/>
              </w:rPr>
              <w:t>V</w:t>
            </w:r>
            <w:r>
              <w:rPr>
                <w:rFonts w:hint="default"/>
                <w:color w:val="auto"/>
                <w:highlight w:val="none"/>
                <w:vertAlign w:val="subscript"/>
                <w:lang w:val="en-US" w:eastAsia="zh-CN"/>
              </w:rPr>
              <w:t>2</w:t>
            </w:r>
            <w:r>
              <w:rPr>
                <w:rFonts w:hint="default"/>
                <w:color w:val="auto"/>
                <w:highlight w:val="none"/>
                <w:lang w:val="en-US" w:eastAsia="zh-CN"/>
              </w:rPr>
              <w:t>—</w:t>
            </w:r>
            <w:r>
              <w:rPr>
                <w:rFonts w:hint="eastAsia"/>
                <w:color w:val="auto"/>
                <w:highlight w:val="none"/>
                <w:lang w:val="en-US" w:eastAsia="zh-CN"/>
              </w:rPr>
              <w:t>发生事故的储罐或装置的消防水量，</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w:t>
            </w:r>
          </w:p>
          <w:p w14:paraId="2EEEE85F">
            <w:pPr>
              <w:spacing w:line="360" w:lineRule="auto"/>
              <w:ind w:firstLine="480" w:firstLineChars="200"/>
              <w:rPr>
                <w:color w:val="auto"/>
                <w:highlight w:val="none"/>
              </w:rPr>
            </w:pPr>
            <w:r>
              <w:rPr>
                <w:color w:val="auto"/>
                <w:highlight w:val="none"/>
              </w:rPr>
              <w:t>V</w:t>
            </w:r>
            <w:r>
              <w:rPr>
                <w:color w:val="auto"/>
                <w:highlight w:val="none"/>
                <w:vertAlign w:val="subscript"/>
              </w:rPr>
              <w:t>3</w:t>
            </w:r>
            <w:r>
              <w:rPr>
                <w:color w:val="auto"/>
                <w:highlight w:val="none"/>
              </w:rPr>
              <w:t>—发生事故时可以转输到其他储存系统或处理设施的物料量，</w:t>
            </w:r>
            <w:r>
              <w:rPr>
                <w:rFonts w:hint="eastAsia"/>
                <w:color w:val="auto"/>
                <w:highlight w:val="none"/>
                <w:lang w:val="en-US" w:eastAsia="zh-CN"/>
              </w:rPr>
              <w:t>0</w:t>
            </w:r>
            <w:r>
              <w:rPr>
                <w:color w:val="auto"/>
                <w:highlight w:val="none"/>
              </w:rPr>
              <w:t>m</w:t>
            </w:r>
            <w:r>
              <w:rPr>
                <w:color w:val="auto"/>
                <w:highlight w:val="none"/>
                <w:vertAlign w:val="superscript"/>
              </w:rPr>
              <w:t>3</w:t>
            </w:r>
            <w:r>
              <w:rPr>
                <w:color w:val="auto"/>
                <w:highlight w:val="none"/>
              </w:rPr>
              <w:t>；</w:t>
            </w:r>
          </w:p>
          <w:p w14:paraId="0C6DEF22">
            <w:pPr>
              <w:spacing w:line="360" w:lineRule="auto"/>
              <w:ind w:firstLine="480" w:firstLineChars="200"/>
              <w:rPr>
                <w:color w:val="auto"/>
                <w:highlight w:val="none"/>
              </w:rPr>
            </w:pPr>
            <w:r>
              <w:rPr>
                <w:color w:val="auto"/>
                <w:highlight w:val="none"/>
              </w:rPr>
              <w:t>V</w:t>
            </w:r>
            <w:r>
              <w:rPr>
                <w:color w:val="auto"/>
                <w:highlight w:val="none"/>
                <w:vertAlign w:val="subscript"/>
              </w:rPr>
              <w:t>4</w:t>
            </w:r>
            <w:r>
              <w:rPr>
                <w:color w:val="auto"/>
                <w:highlight w:val="none"/>
              </w:rPr>
              <w:t>—发生事故时仍然必须进入该收集系统的生产废水量，m</w:t>
            </w:r>
            <w:r>
              <w:rPr>
                <w:color w:val="auto"/>
                <w:highlight w:val="none"/>
                <w:vertAlign w:val="superscript"/>
              </w:rPr>
              <w:t>3</w:t>
            </w:r>
            <w:r>
              <w:rPr>
                <w:color w:val="auto"/>
                <w:highlight w:val="none"/>
              </w:rPr>
              <w:t>，本项目没有必须进入该收集系统的生产废水量；</w:t>
            </w:r>
          </w:p>
          <w:p w14:paraId="42B30EB5">
            <w:pPr>
              <w:spacing w:line="360" w:lineRule="auto"/>
              <w:ind w:firstLine="480" w:firstLineChars="200"/>
              <w:rPr>
                <w:rFonts w:hint="eastAsia"/>
                <w:color w:val="auto"/>
                <w:highlight w:val="none"/>
                <w:lang w:eastAsia="zh-CN"/>
              </w:rPr>
            </w:pPr>
            <w:r>
              <w:rPr>
                <w:color w:val="auto"/>
                <w:highlight w:val="none"/>
              </w:rPr>
              <w:t>V</w:t>
            </w:r>
            <w:r>
              <w:rPr>
                <w:color w:val="auto"/>
                <w:highlight w:val="none"/>
                <w:vertAlign w:val="subscript"/>
              </w:rPr>
              <w:t>5</w:t>
            </w:r>
            <w:r>
              <w:rPr>
                <w:color w:val="auto"/>
                <w:highlight w:val="none"/>
              </w:rPr>
              <w:t>—发生事故时可能进入该收集系统的降雨量，m</w:t>
            </w:r>
            <w:r>
              <w:rPr>
                <w:color w:val="auto"/>
                <w:highlight w:val="none"/>
                <w:vertAlign w:val="superscript"/>
              </w:rPr>
              <w:t>3</w:t>
            </w:r>
            <w:r>
              <w:rPr>
                <w:rFonts w:hint="eastAsia"/>
                <w:color w:val="auto"/>
                <w:highlight w:val="none"/>
                <w:lang w:eastAsia="zh-CN"/>
              </w:rPr>
              <w:t>。</w:t>
            </w:r>
          </w:p>
          <w:p w14:paraId="32CBEACA">
            <w:pPr>
              <w:bidi w:val="0"/>
              <w:jc w:val="center"/>
              <w:rPr>
                <w:color w:val="auto"/>
                <w:highlight w:val="none"/>
              </w:rPr>
            </w:pPr>
            <w:r>
              <w:rPr>
                <w:rFonts w:hint="default"/>
                <w:color w:val="auto"/>
                <w:highlight w:val="none"/>
                <w:lang w:val="en-US" w:eastAsia="zh-CN"/>
              </w:rPr>
              <w:t>V</w:t>
            </w:r>
            <w:r>
              <w:rPr>
                <w:rFonts w:hint="default"/>
                <w:color w:val="auto"/>
                <w:highlight w:val="none"/>
                <w:vertAlign w:val="subscript"/>
                <w:lang w:val="en-US" w:eastAsia="zh-CN"/>
              </w:rPr>
              <w:t>2</w:t>
            </w:r>
            <w:r>
              <w:rPr>
                <w:rFonts w:hint="default"/>
                <w:color w:val="auto"/>
                <w:highlight w:val="none"/>
                <w:lang w:val="en-US" w:eastAsia="zh-CN"/>
              </w:rPr>
              <w:t>=∑</w:t>
            </w:r>
            <w:r>
              <w:rPr>
                <w:rFonts w:hint="eastAsia"/>
                <w:color w:val="auto"/>
                <w:highlight w:val="none"/>
                <w:lang w:val="en-US" w:eastAsia="zh-CN"/>
              </w:rPr>
              <w:t>（</w:t>
            </w:r>
            <w:r>
              <w:rPr>
                <w:rFonts w:hint="default"/>
                <w:color w:val="auto"/>
                <w:highlight w:val="none"/>
                <w:lang w:val="en-US" w:eastAsia="zh-CN"/>
              </w:rPr>
              <w:t>Q</w:t>
            </w:r>
            <w:r>
              <w:rPr>
                <w:rFonts w:hint="eastAsia"/>
                <w:color w:val="auto"/>
                <w:highlight w:val="none"/>
                <w:vertAlign w:val="subscript"/>
                <w:lang w:val="en-US" w:eastAsia="zh-CN"/>
              </w:rPr>
              <w:t>消</w:t>
            </w:r>
            <w:r>
              <w:rPr>
                <w:rFonts w:hint="default"/>
                <w:color w:val="auto"/>
                <w:highlight w:val="none"/>
                <w:lang w:val="en-US" w:eastAsia="zh-CN"/>
              </w:rPr>
              <w:t>×t</w:t>
            </w:r>
            <w:r>
              <w:rPr>
                <w:rFonts w:hint="eastAsia"/>
                <w:color w:val="auto"/>
                <w:highlight w:val="none"/>
                <w:vertAlign w:val="subscript"/>
                <w:lang w:val="en-US" w:eastAsia="zh-CN"/>
              </w:rPr>
              <w:t>消</w:t>
            </w:r>
            <w:r>
              <w:rPr>
                <w:rFonts w:hint="eastAsia"/>
                <w:color w:val="auto"/>
                <w:highlight w:val="none"/>
                <w:lang w:val="en-US" w:eastAsia="zh-CN"/>
              </w:rPr>
              <w:t>）</w:t>
            </w:r>
          </w:p>
          <w:p w14:paraId="2D445843">
            <w:pPr>
              <w:bidi w:val="0"/>
              <w:ind w:firstLine="480" w:firstLineChars="200"/>
              <w:rPr>
                <w:color w:val="auto"/>
                <w:highlight w:val="none"/>
              </w:rPr>
            </w:pPr>
            <w:r>
              <w:rPr>
                <w:rFonts w:hint="eastAsia"/>
                <w:color w:val="auto"/>
                <w:highlight w:val="none"/>
                <w:lang w:val="en-US" w:eastAsia="zh-CN"/>
              </w:rPr>
              <w:t>式中：</w:t>
            </w:r>
            <w:r>
              <w:rPr>
                <w:rFonts w:hint="default"/>
                <w:color w:val="auto"/>
                <w:highlight w:val="none"/>
                <w:lang w:val="en-US" w:eastAsia="zh-CN"/>
              </w:rPr>
              <w:t>Q</w:t>
            </w:r>
            <w:r>
              <w:rPr>
                <w:rFonts w:hint="eastAsia"/>
                <w:color w:val="auto"/>
                <w:highlight w:val="none"/>
                <w:vertAlign w:val="subscript"/>
                <w:lang w:val="en-US" w:eastAsia="zh-CN"/>
              </w:rPr>
              <w:t>消</w:t>
            </w:r>
            <w:r>
              <w:rPr>
                <w:rFonts w:hint="default"/>
                <w:color w:val="auto"/>
                <w:highlight w:val="none"/>
                <w:lang w:val="en-US" w:eastAsia="zh-CN"/>
              </w:rPr>
              <w:t>——</w:t>
            </w:r>
            <w:r>
              <w:rPr>
                <w:rFonts w:hint="eastAsia"/>
                <w:color w:val="auto"/>
                <w:highlight w:val="none"/>
                <w:lang w:val="en-US" w:eastAsia="zh-CN"/>
              </w:rPr>
              <w:t>发生事故的储罐或装置的同时使用的消防设施给水流量，</w:t>
            </w:r>
            <w:r>
              <w:rPr>
                <w:rFonts w:hint="default"/>
                <w:color w:val="auto"/>
                <w:highlight w:val="none"/>
                <w:lang w:val="en-US" w:eastAsia="zh-CN"/>
              </w:rPr>
              <w:t>m³/h</w:t>
            </w:r>
            <w:r>
              <w:rPr>
                <w:rFonts w:hint="eastAsia"/>
                <w:color w:val="auto"/>
                <w:highlight w:val="none"/>
                <w:lang w:val="en-US" w:eastAsia="zh-CN"/>
              </w:rPr>
              <w:t>；</w:t>
            </w:r>
          </w:p>
          <w:p w14:paraId="00639889">
            <w:pPr>
              <w:bidi w:val="0"/>
              <w:ind w:firstLine="480" w:firstLineChars="200"/>
              <w:rPr>
                <w:rFonts w:hint="eastAsia"/>
                <w:color w:val="auto"/>
                <w:highlight w:val="none"/>
                <w:lang w:val="en-US" w:eastAsia="zh-CN"/>
              </w:rPr>
            </w:pPr>
            <w:r>
              <w:rPr>
                <w:rFonts w:hint="default"/>
                <w:color w:val="auto"/>
                <w:highlight w:val="none"/>
                <w:lang w:val="en-US" w:eastAsia="zh-CN"/>
              </w:rPr>
              <w:t>t</w:t>
            </w:r>
            <w:r>
              <w:rPr>
                <w:rFonts w:hint="eastAsia"/>
                <w:color w:val="auto"/>
                <w:highlight w:val="none"/>
                <w:vertAlign w:val="subscript"/>
                <w:lang w:val="en-US" w:eastAsia="zh-CN"/>
              </w:rPr>
              <w:t>消</w:t>
            </w:r>
            <w:r>
              <w:rPr>
                <w:rFonts w:hint="default"/>
                <w:color w:val="auto"/>
                <w:highlight w:val="none"/>
                <w:lang w:val="en-US" w:eastAsia="zh-CN"/>
              </w:rPr>
              <w:t>——</w:t>
            </w:r>
            <w:r>
              <w:rPr>
                <w:rFonts w:hint="eastAsia"/>
                <w:color w:val="auto"/>
                <w:highlight w:val="none"/>
                <w:lang w:val="en-US" w:eastAsia="zh-CN"/>
              </w:rPr>
              <w:t>消防设施对应的设计消防历时，</w:t>
            </w:r>
            <w:r>
              <w:rPr>
                <w:rFonts w:hint="default"/>
                <w:color w:val="auto"/>
                <w:highlight w:val="none"/>
                <w:lang w:val="en-US" w:eastAsia="zh-CN"/>
              </w:rPr>
              <w:t>h</w:t>
            </w:r>
            <w:r>
              <w:rPr>
                <w:rFonts w:hint="eastAsia"/>
                <w:color w:val="auto"/>
                <w:highlight w:val="none"/>
                <w:lang w:val="en-US" w:eastAsia="zh-CN"/>
              </w:rPr>
              <w:t>；</w:t>
            </w:r>
          </w:p>
          <w:p w14:paraId="32C41772">
            <w:pPr>
              <w:spacing w:line="360" w:lineRule="auto"/>
              <w:ind w:left="0" w:leftChars="0" w:right="0" w:rightChars="0" w:firstLine="0" w:firstLineChars="0"/>
              <w:jc w:val="center"/>
              <w:rPr>
                <w:color w:val="auto"/>
                <w:highlight w:val="none"/>
              </w:rPr>
            </w:pPr>
            <w:r>
              <w:rPr>
                <w:color w:val="auto"/>
                <w:highlight w:val="none"/>
              </w:rPr>
              <w:t>V</w:t>
            </w:r>
            <w:r>
              <w:rPr>
                <w:color w:val="auto"/>
                <w:highlight w:val="none"/>
                <w:vertAlign w:val="subscript"/>
              </w:rPr>
              <w:t>5</w:t>
            </w:r>
            <w:r>
              <w:rPr>
                <w:rFonts w:hint="eastAsia"/>
                <w:color w:val="auto"/>
                <w:highlight w:val="none"/>
                <w:vertAlign w:val="baseline"/>
                <w:lang w:val="en-US" w:eastAsia="zh-CN"/>
              </w:rPr>
              <w:t>=10qF</w:t>
            </w:r>
          </w:p>
          <w:p w14:paraId="00BB605B">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Times New Roman" w:hAnsi="Times New Roman" w:eastAsia="宋体" w:cs="Times New Roman"/>
                <w:color w:val="auto"/>
                <w:spacing w:val="-2"/>
                <w:kern w:val="0"/>
                <w:sz w:val="24"/>
                <w:szCs w:val="24"/>
                <w:highlight w:val="none"/>
                <w:lang w:eastAsia="zh-CN"/>
              </w:rPr>
            </w:pPr>
            <w:r>
              <w:rPr>
                <w:rFonts w:hint="default" w:ascii="Times New Roman" w:hAnsi="Times New Roman" w:eastAsia="宋体" w:cs="Times New Roman"/>
                <w:color w:val="auto"/>
                <w:spacing w:val="-2"/>
                <w:kern w:val="0"/>
                <w:sz w:val="24"/>
                <w:szCs w:val="24"/>
                <w:highlight w:val="none"/>
              </w:rPr>
              <w:t>式中：q—降雨强度，mm；按平均日降雨量</w:t>
            </w:r>
            <w:r>
              <w:rPr>
                <w:rFonts w:hint="eastAsia" w:eastAsia="宋体" w:cs="Times New Roman"/>
                <w:color w:val="auto"/>
                <w:spacing w:val="-2"/>
                <w:kern w:val="0"/>
                <w:sz w:val="24"/>
                <w:szCs w:val="24"/>
                <w:highlight w:val="none"/>
                <w:lang w:eastAsia="zh-CN"/>
              </w:rPr>
              <w:t>；</w:t>
            </w:r>
          </w:p>
          <w:p w14:paraId="347D7318">
            <w:pPr>
              <w:keepNext w:val="0"/>
              <w:keepLines w:val="0"/>
              <w:pageBreakBefore w:val="0"/>
              <w:widowControl w:val="0"/>
              <w:kinsoku/>
              <w:wordWrap/>
              <w:overflowPunct/>
              <w:topLinePunct w:val="0"/>
              <w:autoSpaceDE/>
              <w:autoSpaceDN/>
              <w:bidi w:val="0"/>
              <w:adjustRightInd/>
              <w:snapToGrid/>
              <w:spacing w:line="360" w:lineRule="auto"/>
              <w:ind w:firstLine="1180" w:firstLineChars="500"/>
              <w:jc w:val="both"/>
              <w:textAlignment w:val="auto"/>
              <w:rPr>
                <w:rFonts w:hint="eastAsia" w:ascii="Times New Roman" w:hAnsi="Times New Roman" w:eastAsia="宋体" w:cs="Times New Roman"/>
                <w:color w:val="auto"/>
                <w:spacing w:val="-2"/>
                <w:kern w:val="0"/>
                <w:sz w:val="24"/>
                <w:szCs w:val="24"/>
                <w:highlight w:val="none"/>
                <w:lang w:eastAsia="zh-CN"/>
              </w:rPr>
            </w:pPr>
            <w:r>
              <w:rPr>
                <w:rFonts w:hint="default" w:ascii="Times New Roman" w:hAnsi="Times New Roman" w:eastAsia="宋体" w:cs="Times New Roman"/>
                <w:color w:val="auto"/>
                <w:spacing w:val="-2"/>
                <w:kern w:val="0"/>
                <w:sz w:val="24"/>
                <w:szCs w:val="24"/>
                <w:highlight w:val="none"/>
              </w:rPr>
              <w:t>F—必须进入事故废水收集系统的雨水汇水面积，ha</w:t>
            </w:r>
            <w:r>
              <w:rPr>
                <w:rFonts w:hint="eastAsia" w:eastAsia="宋体" w:cs="Times New Roman"/>
                <w:color w:val="auto"/>
                <w:spacing w:val="-2"/>
                <w:kern w:val="0"/>
                <w:sz w:val="24"/>
                <w:szCs w:val="24"/>
                <w:highlight w:val="none"/>
                <w:lang w:eastAsia="zh-CN"/>
              </w:rPr>
              <w:t>；</w:t>
            </w:r>
          </w:p>
          <w:p w14:paraId="20DF74B7">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center"/>
              <w:textAlignment w:val="auto"/>
              <w:rPr>
                <w:rFonts w:hint="default" w:ascii="Times New Roman" w:hAnsi="Times New Roman" w:eastAsia="宋体" w:cs="Times New Roman"/>
                <w:color w:val="auto"/>
                <w:spacing w:val="-2"/>
                <w:kern w:val="0"/>
                <w:sz w:val="24"/>
                <w:szCs w:val="24"/>
                <w:highlight w:val="none"/>
              </w:rPr>
            </w:pPr>
            <w:r>
              <w:rPr>
                <w:rFonts w:hint="default" w:ascii="Times New Roman" w:hAnsi="Times New Roman" w:eastAsia="宋体" w:cs="Times New Roman"/>
                <w:color w:val="auto"/>
                <w:spacing w:val="-2"/>
                <w:kern w:val="0"/>
                <w:sz w:val="24"/>
                <w:szCs w:val="24"/>
                <w:highlight w:val="none"/>
              </w:rPr>
              <w:t>q=q</w:t>
            </w:r>
            <w:r>
              <w:rPr>
                <w:rFonts w:hint="default" w:ascii="Times New Roman" w:hAnsi="Times New Roman" w:eastAsia="宋体" w:cs="Times New Roman"/>
                <w:color w:val="auto"/>
                <w:spacing w:val="-2"/>
                <w:kern w:val="0"/>
                <w:sz w:val="24"/>
                <w:szCs w:val="24"/>
                <w:highlight w:val="none"/>
                <w:vertAlign w:val="subscript"/>
              </w:rPr>
              <w:t>a</w:t>
            </w:r>
            <w:r>
              <w:rPr>
                <w:rFonts w:hint="default" w:ascii="Times New Roman" w:hAnsi="Times New Roman" w:eastAsia="宋体" w:cs="Times New Roman"/>
                <w:color w:val="auto"/>
                <w:spacing w:val="-2"/>
                <w:kern w:val="0"/>
                <w:sz w:val="24"/>
                <w:szCs w:val="24"/>
                <w:highlight w:val="none"/>
              </w:rPr>
              <w:t>/n</w:t>
            </w:r>
          </w:p>
          <w:p w14:paraId="4A1E1827">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color w:val="auto"/>
                <w:spacing w:val="-2"/>
                <w:kern w:val="0"/>
                <w:sz w:val="24"/>
                <w:szCs w:val="24"/>
                <w:highlight w:val="none"/>
              </w:rPr>
            </w:pPr>
            <w:r>
              <w:rPr>
                <w:rFonts w:hint="default" w:ascii="Times New Roman" w:hAnsi="Times New Roman" w:eastAsia="宋体" w:cs="Times New Roman"/>
                <w:color w:val="auto"/>
                <w:spacing w:val="-2"/>
                <w:kern w:val="0"/>
                <w:sz w:val="24"/>
                <w:szCs w:val="24"/>
                <w:highlight w:val="none"/>
              </w:rPr>
              <w:t>式中：q</w:t>
            </w:r>
            <w:r>
              <w:rPr>
                <w:rFonts w:hint="default" w:ascii="Times New Roman" w:hAnsi="Times New Roman" w:eastAsia="宋体" w:cs="Times New Roman"/>
                <w:color w:val="auto"/>
                <w:spacing w:val="-2"/>
                <w:kern w:val="0"/>
                <w:sz w:val="24"/>
                <w:szCs w:val="24"/>
                <w:highlight w:val="none"/>
                <w:vertAlign w:val="subscript"/>
              </w:rPr>
              <w:t>a</w:t>
            </w:r>
            <w:r>
              <w:rPr>
                <w:rFonts w:hint="default" w:ascii="Times New Roman" w:hAnsi="Times New Roman" w:eastAsia="宋体" w:cs="Times New Roman"/>
                <w:color w:val="auto"/>
                <w:spacing w:val="-2"/>
                <w:kern w:val="0"/>
                <w:sz w:val="24"/>
                <w:szCs w:val="24"/>
                <w:highlight w:val="none"/>
              </w:rPr>
              <w:t>—年平均降雨量，mm；</w:t>
            </w:r>
          </w:p>
          <w:p w14:paraId="10EDD059">
            <w:pPr>
              <w:keepNext w:val="0"/>
              <w:keepLines w:val="0"/>
              <w:pageBreakBefore w:val="0"/>
              <w:widowControl w:val="0"/>
              <w:kinsoku/>
              <w:wordWrap/>
              <w:overflowPunct/>
              <w:topLinePunct w:val="0"/>
              <w:autoSpaceDE/>
              <w:autoSpaceDN/>
              <w:bidi w:val="0"/>
              <w:adjustRightInd/>
              <w:snapToGrid/>
              <w:spacing w:line="360" w:lineRule="auto"/>
              <w:ind w:firstLine="1180" w:firstLineChars="500"/>
              <w:jc w:val="both"/>
              <w:textAlignment w:val="auto"/>
              <w:rPr>
                <w:rFonts w:hint="default" w:ascii="Times New Roman" w:hAnsi="Times New Roman" w:eastAsia="宋体" w:cs="Times New Roman"/>
                <w:color w:val="auto"/>
                <w:spacing w:val="-2"/>
                <w:kern w:val="0"/>
                <w:sz w:val="24"/>
                <w:szCs w:val="24"/>
                <w:highlight w:val="none"/>
              </w:rPr>
            </w:pPr>
            <w:r>
              <w:rPr>
                <w:rFonts w:hint="default" w:ascii="Times New Roman" w:hAnsi="Times New Roman" w:eastAsia="宋体" w:cs="Times New Roman"/>
                <w:color w:val="auto"/>
                <w:spacing w:val="-2"/>
                <w:kern w:val="0"/>
                <w:sz w:val="24"/>
                <w:szCs w:val="24"/>
                <w:highlight w:val="none"/>
              </w:rPr>
              <w:t>n—年平均降雨日数。</w:t>
            </w:r>
          </w:p>
          <w:p w14:paraId="3F42F83F">
            <w:pPr>
              <w:pStyle w:val="9"/>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）西侧地块</w:t>
            </w:r>
          </w:p>
          <w:p w14:paraId="011FBEB6">
            <w:pPr>
              <w:spacing w:line="360" w:lineRule="auto"/>
              <w:ind w:firstLine="480" w:firstLineChars="200"/>
              <w:rPr>
                <w:color w:val="auto"/>
                <w:highlight w:val="none"/>
              </w:rPr>
            </w:pPr>
            <w:r>
              <w:rPr>
                <w:color w:val="auto"/>
                <w:highlight w:val="none"/>
              </w:rPr>
              <w:t>V</w:t>
            </w:r>
            <w:r>
              <w:rPr>
                <w:color w:val="auto"/>
                <w:highlight w:val="none"/>
                <w:vertAlign w:val="subscript"/>
              </w:rPr>
              <w:t>1</w:t>
            </w:r>
            <w:r>
              <w:rPr>
                <w:rFonts w:hint="eastAsia"/>
                <w:color w:val="auto"/>
                <w:highlight w:val="none"/>
                <w:lang w:eastAsia="zh-CN"/>
              </w:rPr>
              <w:t>：本项目无储罐，</w:t>
            </w:r>
            <w:r>
              <w:rPr>
                <w:rFonts w:hint="eastAsia"/>
                <w:color w:val="auto"/>
                <w:highlight w:val="none"/>
                <w:vertAlign w:val="baseline"/>
                <w:lang w:val="en-US" w:eastAsia="zh-CN"/>
              </w:rPr>
              <w:t>取</w:t>
            </w:r>
            <w:r>
              <w:rPr>
                <w:rFonts w:hint="eastAsia"/>
                <w:color w:val="auto"/>
                <w:highlight w:val="none"/>
                <w:lang w:val="en-US" w:eastAsia="zh-CN"/>
              </w:rPr>
              <w:t>0</w:t>
            </w:r>
            <w:r>
              <w:rPr>
                <w:color w:val="auto"/>
                <w:highlight w:val="none"/>
              </w:rPr>
              <w:t>m</w:t>
            </w:r>
            <w:r>
              <w:rPr>
                <w:color w:val="auto"/>
                <w:highlight w:val="none"/>
                <w:vertAlign w:val="superscript"/>
              </w:rPr>
              <w:t>3</w:t>
            </w:r>
            <w:r>
              <w:rPr>
                <w:color w:val="auto"/>
                <w:highlight w:val="none"/>
              </w:rPr>
              <w:t>；</w:t>
            </w:r>
          </w:p>
          <w:p w14:paraId="49AA834E">
            <w:pPr>
              <w:spacing w:line="360" w:lineRule="auto"/>
              <w:ind w:firstLine="480" w:firstLineChars="200"/>
              <w:rPr>
                <w:color w:val="auto"/>
                <w:highlight w:val="none"/>
              </w:rPr>
            </w:pPr>
            <w:r>
              <w:rPr>
                <w:color w:val="auto"/>
                <w:highlight w:val="none"/>
              </w:rPr>
              <w:t>V</w:t>
            </w:r>
            <w:r>
              <w:rPr>
                <w:color w:val="auto"/>
                <w:highlight w:val="none"/>
                <w:vertAlign w:val="subscript"/>
              </w:rPr>
              <w:t>2</w:t>
            </w:r>
            <w:r>
              <w:rPr>
                <w:rFonts w:hint="eastAsia"/>
                <w:color w:val="auto"/>
                <w:highlight w:val="none"/>
                <w:lang w:eastAsia="zh-CN"/>
              </w:rPr>
              <w:t>：</w:t>
            </w:r>
            <w:r>
              <w:rPr>
                <w:color w:val="auto"/>
                <w:highlight w:val="none"/>
              </w:rPr>
              <w:t>参照《消防给水及消火栓系统技术规范》（GB50974-2014）消防用水按照20L/s计，灭火时间以</w:t>
            </w:r>
            <w:r>
              <w:rPr>
                <w:rFonts w:hint="eastAsia"/>
                <w:color w:val="auto"/>
                <w:highlight w:val="none"/>
                <w:lang w:val="en-US" w:eastAsia="zh-CN"/>
              </w:rPr>
              <w:t>3</w:t>
            </w:r>
            <w:r>
              <w:rPr>
                <w:color w:val="auto"/>
                <w:highlight w:val="none"/>
              </w:rPr>
              <w:t>h计，计算得V</w:t>
            </w:r>
            <w:r>
              <w:rPr>
                <w:color w:val="auto"/>
                <w:highlight w:val="none"/>
                <w:vertAlign w:val="subscript"/>
              </w:rPr>
              <w:t>2</w:t>
            </w:r>
            <w:r>
              <w:rPr>
                <w:color w:val="auto"/>
                <w:highlight w:val="none"/>
              </w:rPr>
              <w:t>=</w:t>
            </w:r>
            <w:r>
              <w:rPr>
                <w:rFonts w:hint="eastAsia"/>
                <w:color w:val="auto"/>
                <w:highlight w:val="none"/>
                <w:lang w:val="en-US" w:eastAsia="zh-CN"/>
              </w:rPr>
              <w:t>216</w:t>
            </w:r>
            <w:r>
              <w:rPr>
                <w:color w:val="auto"/>
                <w:highlight w:val="none"/>
              </w:rPr>
              <w:t>m</w:t>
            </w:r>
            <w:r>
              <w:rPr>
                <w:color w:val="auto"/>
                <w:highlight w:val="none"/>
                <w:vertAlign w:val="superscript"/>
              </w:rPr>
              <w:t>3</w:t>
            </w:r>
            <w:r>
              <w:rPr>
                <w:color w:val="auto"/>
                <w:highlight w:val="none"/>
              </w:rPr>
              <w:t>；</w:t>
            </w:r>
          </w:p>
          <w:p w14:paraId="4E13D9FA">
            <w:pPr>
              <w:spacing w:line="360" w:lineRule="auto"/>
              <w:ind w:firstLine="480" w:firstLineChars="200"/>
              <w:rPr>
                <w:color w:val="auto"/>
                <w:highlight w:val="none"/>
              </w:rPr>
            </w:pPr>
            <w:r>
              <w:rPr>
                <w:color w:val="auto"/>
                <w:highlight w:val="none"/>
              </w:rPr>
              <w:t>V</w:t>
            </w:r>
            <w:r>
              <w:rPr>
                <w:color w:val="auto"/>
                <w:highlight w:val="none"/>
                <w:vertAlign w:val="subscript"/>
              </w:rPr>
              <w:t>3</w:t>
            </w:r>
            <w:r>
              <w:rPr>
                <w:rFonts w:hint="eastAsia"/>
                <w:color w:val="auto"/>
                <w:highlight w:val="none"/>
                <w:lang w:eastAsia="zh-CN"/>
              </w:rPr>
              <w:t>：</w:t>
            </w:r>
            <w:r>
              <w:rPr>
                <w:rFonts w:hint="eastAsia"/>
                <w:color w:val="auto"/>
                <w:highlight w:val="none"/>
                <w:lang w:val="en-US" w:eastAsia="zh-CN"/>
              </w:rPr>
              <w:t>本项目无相关设施，取</w:t>
            </w:r>
            <w:r>
              <w:rPr>
                <w:rFonts w:hint="default"/>
                <w:color w:val="auto"/>
                <w:highlight w:val="none"/>
                <w:lang w:val="en-US" w:eastAsia="zh-CN"/>
              </w:rPr>
              <w:t>V</w:t>
            </w:r>
            <w:r>
              <w:rPr>
                <w:rFonts w:hint="default"/>
                <w:color w:val="auto"/>
                <w:highlight w:val="none"/>
                <w:vertAlign w:val="subscript"/>
                <w:lang w:val="en-US" w:eastAsia="zh-CN"/>
              </w:rPr>
              <w:t>3</w:t>
            </w:r>
            <w:r>
              <w:rPr>
                <w:rFonts w:hint="default"/>
                <w:color w:val="auto"/>
                <w:highlight w:val="none"/>
                <w:lang w:val="en-US" w:eastAsia="zh-CN"/>
              </w:rPr>
              <w:t>=0m</w:t>
            </w:r>
            <w:r>
              <w:rPr>
                <w:rFonts w:hint="default"/>
                <w:color w:val="auto"/>
                <w:highlight w:val="none"/>
                <w:vertAlign w:val="superscript"/>
                <w:lang w:val="en-US" w:eastAsia="zh-CN"/>
              </w:rPr>
              <w:t>3</w:t>
            </w:r>
            <w:r>
              <w:rPr>
                <w:rFonts w:hint="eastAsia"/>
                <w:color w:val="auto"/>
                <w:highlight w:val="none"/>
                <w:lang w:val="en-US" w:eastAsia="zh-CN"/>
              </w:rPr>
              <w:t>；</w:t>
            </w:r>
          </w:p>
          <w:p w14:paraId="6AD22A35">
            <w:pPr>
              <w:spacing w:line="360" w:lineRule="auto"/>
              <w:ind w:firstLine="480" w:firstLineChars="200"/>
              <w:rPr>
                <w:color w:val="auto"/>
                <w:highlight w:val="none"/>
              </w:rPr>
            </w:pPr>
            <w:r>
              <w:rPr>
                <w:color w:val="auto"/>
                <w:highlight w:val="none"/>
              </w:rPr>
              <w:t>V</w:t>
            </w:r>
            <w:r>
              <w:rPr>
                <w:color w:val="auto"/>
                <w:highlight w:val="none"/>
                <w:vertAlign w:val="subscript"/>
              </w:rPr>
              <w:t>4</w:t>
            </w:r>
            <w:r>
              <w:rPr>
                <w:rFonts w:hint="eastAsia"/>
                <w:color w:val="auto"/>
                <w:highlight w:val="none"/>
                <w:lang w:eastAsia="zh-CN"/>
              </w:rPr>
              <w:t>：</w:t>
            </w:r>
            <w:r>
              <w:rPr>
                <w:color w:val="auto"/>
                <w:highlight w:val="none"/>
              </w:rPr>
              <w:t>本项目没有必须进入该收集系统的生产废水量</w:t>
            </w:r>
            <w:r>
              <w:rPr>
                <w:rFonts w:hint="eastAsia"/>
                <w:color w:val="auto"/>
                <w:highlight w:val="none"/>
                <w:lang w:eastAsia="zh-CN"/>
              </w:rPr>
              <w:t>，</w:t>
            </w:r>
            <w:r>
              <w:rPr>
                <w:rFonts w:hint="eastAsia"/>
                <w:color w:val="auto"/>
                <w:highlight w:val="none"/>
                <w:lang w:val="en-US" w:eastAsia="zh-CN"/>
              </w:rPr>
              <w:t>取</w:t>
            </w:r>
            <w:r>
              <w:rPr>
                <w:rFonts w:hint="default"/>
                <w:color w:val="auto"/>
                <w:highlight w:val="none"/>
                <w:lang w:val="en-US" w:eastAsia="zh-CN"/>
              </w:rPr>
              <w:t>V</w:t>
            </w:r>
            <w:r>
              <w:rPr>
                <w:rFonts w:hint="eastAsia"/>
                <w:color w:val="auto"/>
                <w:highlight w:val="none"/>
                <w:vertAlign w:val="subscript"/>
                <w:lang w:val="en-US" w:eastAsia="zh-CN"/>
              </w:rPr>
              <w:t>4</w:t>
            </w:r>
            <w:r>
              <w:rPr>
                <w:rFonts w:hint="default"/>
                <w:color w:val="auto"/>
                <w:highlight w:val="none"/>
                <w:lang w:val="en-US" w:eastAsia="zh-CN"/>
              </w:rPr>
              <w:t>=0m</w:t>
            </w:r>
            <w:r>
              <w:rPr>
                <w:rFonts w:hint="default"/>
                <w:color w:val="auto"/>
                <w:highlight w:val="none"/>
                <w:vertAlign w:val="superscript"/>
                <w:lang w:val="en-US" w:eastAsia="zh-CN"/>
              </w:rPr>
              <w:t>3</w:t>
            </w:r>
            <w:r>
              <w:rPr>
                <w:color w:val="auto"/>
                <w:highlight w:val="none"/>
              </w:rPr>
              <w:t>；</w:t>
            </w:r>
          </w:p>
          <w:p w14:paraId="11926505">
            <w:pPr>
              <w:spacing w:line="360" w:lineRule="auto"/>
              <w:ind w:firstLine="480" w:firstLineChars="200"/>
              <w:rPr>
                <w:rFonts w:hint="eastAsia"/>
                <w:color w:val="auto"/>
                <w:highlight w:val="none"/>
                <w:lang w:eastAsia="zh-CN"/>
              </w:rPr>
            </w:pPr>
            <w:r>
              <w:rPr>
                <w:color w:val="auto"/>
                <w:highlight w:val="none"/>
              </w:rPr>
              <w:t>V</w:t>
            </w:r>
            <w:r>
              <w:rPr>
                <w:color w:val="auto"/>
                <w:highlight w:val="none"/>
                <w:vertAlign w:val="subscript"/>
              </w:rPr>
              <w:t>5</w:t>
            </w:r>
            <w:r>
              <w:rPr>
                <w:rFonts w:hint="eastAsia"/>
                <w:color w:val="auto"/>
                <w:highlight w:val="none"/>
                <w:lang w:eastAsia="zh-CN"/>
              </w:rPr>
              <w:t>：</w:t>
            </w:r>
            <w:r>
              <w:rPr>
                <w:color w:val="auto"/>
                <w:highlight w:val="none"/>
              </w:rPr>
              <w:t>发生事故时可能进入该收集系统的降雨量，m</w:t>
            </w:r>
            <w:r>
              <w:rPr>
                <w:color w:val="auto"/>
                <w:highlight w:val="none"/>
                <w:vertAlign w:val="superscript"/>
              </w:rPr>
              <w:t>3</w:t>
            </w:r>
            <w:r>
              <w:rPr>
                <w:rFonts w:hint="eastAsia"/>
                <w:color w:val="auto"/>
                <w:highlight w:val="none"/>
                <w:lang w:eastAsia="zh-CN"/>
              </w:rPr>
              <w:t>。</w:t>
            </w:r>
          </w:p>
          <w:p w14:paraId="78EC22A9">
            <w:pPr>
              <w:bidi w:val="0"/>
              <w:ind w:firstLine="480" w:firstLineChars="200"/>
              <w:rPr>
                <w:color w:val="auto"/>
                <w:highlight w:val="none"/>
              </w:rPr>
            </w:pPr>
            <w:r>
              <w:rPr>
                <w:rFonts w:hint="eastAsia"/>
                <w:color w:val="auto"/>
                <w:highlight w:val="none"/>
                <w:lang w:val="en-US" w:eastAsia="zh-CN"/>
              </w:rPr>
              <w:t>根据事故时降雨量公式，结合淮南市气象资料知，年平均降雨量为900</w:t>
            </w:r>
            <w:r>
              <w:rPr>
                <w:rFonts w:hint="default"/>
                <w:color w:val="auto"/>
                <w:highlight w:val="none"/>
                <w:lang w:val="en-US" w:eastAsia="zh-CN"/>
              </w:rPr>
              <w:t>mm</w:t>
            </w:r>
            <w:r>
              <w:rPr>
                <w:rFonts w:hint="eastAsia"/>
                <w:color w:val="auto"/>
                <w:highlight w:val="none"/>
                <w:lang w:val="en-US" w:eastAsia="zh-CN"/>
              </w:rPr>
              <w:t>，年平均降雨日数为</w:t>
            </w:r>
            <w:r>
              <w:rPr>
                <w:rFonts w:hint="default"/>
                <w:color w:val="auto"/>
                <w:highlight w:val="none"/>
                <w:lang w:val="en-US" w:eastAsia="zh-CN"/>
              </w:rPr>
              <w:t>1</w:t>
            </w:r>
            <w:r>
              <w:rPr>
                <w:rFonts w:hint="eastAsia"/>
                <w:color w:val="auto"/>
                <w:highlight w:val="none"/>
                <w:lang w:val="en-US" w:eastAsia="zh-CN"/>
              </w:rPr>
              <w:t>07天，本项目必须进入事故废水收集系统的汇水面积约为</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lang w:val="en-US" w:eastAsia="zh-CN"/>
              </w:rPr>
              <w:t>hm</w:t>
            </w:r>
            <w:r>
              <w:rPr>
                <w:rFonts w:hint="default"/>
                <w:color w:val="auto"/>
                <w:highlight w:val="none"/>
                <w:vertAlign w:val="superscript"/>
                <w:lang w:val="en-US" w:eastAsia="zh-CN"/>
              </w:rPr>
              <w:t>2</w:t>
            </w:r>
            <w:r>
              <w:rPr>
                <w:rFonts w:hint="eastAsia"/>
                <w:color w:val="auto"/>
                <w:highlight w:val="none"/>
                <w:lang w:val="en-US" w:eastAsia="zh-CN"/>
              </w:rPr>
              <w:t>，则</w:t>
            </w:r>
            <w:r>
              <w:rPr>
                <w:rFonts w:hint="default"/>
                <w:color w:val="auto"/>
                <w:highlight w:val="none"/>
                <w:lang w:val="en-US" w:eastAsia="zh-CN"/>
              </w:rPr>
              <w:t>V</w:t>
            </w:r>
            <w:r>
              <w:rPr>
                <w:rFonts w:hint="default"/>
                <w:color w:val="auto"/>
                <w:highlight w:val="none"/>
                <w:vertAlign w:val="subscript"/>
                <w:lang w:val="en-US" w:eastAsia="zh-CN"/>
              </w:rPr>
              <w:t>5</w:t>
            </w:r>
            <w:r>
              <w:rPr>
                <w:rFonts w:hint="default"/>
                <w:color w:val="auto"/>
                <w:highlight w:val="none"/>
                <w:lang w:val="en-US" w:eastAsia="zh-CN"/>
              </w:rPr>
              <w:t>=10×</w:t>
            </w:r>
            <w:r>
              <w:rPr>
                <w:rFonts w:hint="eastAsia"/>
                <w:color w:val="auto"/>
                <w:highlight w:val="none"/>
                <w:lang w:val="en-US" w:eastAsia="zh-CN"/>
              </w:rPr>
              <w:t>900</w:t>
            </w:r>
            <w:r>
              <w:rPr>
                <w:rFonts w:hint="default"/>
                <w:color w:val="auto"/>
                <w:highlight w:val="none"/>
                <w:lang w:val="en-US" w:eastAsia="zh-CN"/>
              </w:rPr>
              <w:t>/1</w:t>
            </w:r>
            <w:r>
              <w:rPr>
                <w:rFonts w:hint="eastAsia"/>
                <w:color w:val="auto"/>
                <w:highlight w:val="none"/>
                <w:lang w:val="en-US" w:eastAsia="zh-CN"/>
              </w:rPr>
              <w:t>07</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lang w:val="en-US" w:eastAsia="zh-CN"/>
              </w:rPr>
              <w:t>=</w:t>
            </w:r>
            <w:r>
              <w:rPr>
                <w:rFonts w:hint="eastAsia"/>
                <w:color w:val="auto"/>
                <w:highlight w:val="none"/>
                <w:lang w:val="en-US" w:eastAsia="zh-CN"/>
              </w:rPr>
              <w:t>50.47</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，因此项目事故时雨水量为50.47</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w:t>
            </w:r>
          </w:p>
          <w:p w14:paraId="6CD4A96A">
            <w:pPr>
              <w:bidi w:val="0"/>
              <w:ind w:firstLine="480" w:firstLineChars="200"/>
              <w:rPr>
                <w:color w:val="auto"/>
                <w:highlight w:val="none"/>
              </w:rPr>
            </w:pPr>
            <w:r>
              <w:rPr>
                <w:rFonts w:hint="eastAsia"/>
                <w:color w:val="auto"/>
                <w:highlight w:val="none"/>
                <w:lang w:val="en-US" w:eastAsia="zh-CN"/>
              </w:rPr>
              <w:t>因此本项目西侧地块</w:t>
            </w:r>
            <w:r>
              <w:rPr>
                <w:rFonts w:hint="default"/>
                <w:color w:val="auto"/>
                <w:highlight w:val="none"/>
                <w:lang w:val="en-US" w:eastAsia="zh-CN"/>
              </w:rPr>
              <w:t>V</w:t>
            </w:r>
            <w:r>
              <w:rPr>
                <w:rFonts w:hint="eastAsia"/>
                <w:color w:val="auto"/>
                <w:highlight w:val="none"/>
                <w:vertAlign w:val="subscript"/>
                <w:lang w:val="en-US" w:eastAsia="zh-CN"/>
              </w:rPr>
              <w:t>总</w:t>
            </w:r>
            <w:r>
              <w:rPr>
                <w:rFonts w:hint="default"/>
                <w:color w:val="auto"/>
                <w:highlight w:val="none"/>
                <w:lang w:val="en-US" w:eastAsia="zh-CN"/>
              </w:rPr>
              <w:t>=</w:t>
            </w:r>
            <w:r>
              <w:rPr>
                <w:rFonts w:hint="eastAsia"/>
                <w:color w:val="auto"/>
                <w:highlight w:val="none"/>
                <w:lang w:val="en-US" w:eastAsia="zh-CN"/>
              </w:rPr>
              <w:t>0+216+0+0+50.47</w:t>
            </w:r>
            <w:r>
              <w:rPr>
                <w:rFonts w:hint="default"/>
                <w:color w:val="auto"/>
                <w:highlight w:val="none"/>
                <w:lang w:val="en-US" w:eastAsia="zh-CN"/>
              </w:rPr>
              <w:t>=</w:t>
            </w:r>
            <w:r>
              <w:rPr>
                <w:rFonts w:hint="eastAsia"/>
                <w:color w:val="auto"/>
                <w:highlight w:val="none"/>
                <w:lang w:val="en-US" w:eastAsia="zh-CN"/>
              </w:rPr>
              <w:t>266.47</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，建议建设一个有效容量至少280</w:t>
            </w:r>
            <w:r>
              <w:rPr>
                <w:rFonts w:hint="default"/>
                <w:color w:val="auto"/>
                <w:highlight w:val="none"/>
                <w:lang w:val="en-US" w:eastAsia="zh-CN"/>
              </w:rPr>
              <w:t>m³</w:t>
            </w:r>
            <w:r>
              <w:rPr>
                <w:rFonts w:hint="eastAsia"/>
                <w:color w:val="auto"/>
                <w:highlight w:val="none"/>
                <w:lang w:val="en-US" w:eastAsia="zh-CN"/>
              </w:rPr>
              <w:t>的事故应急池，如此能够满足突发环境事故应急的需要，在事故发生时，可有效地防止事故时废水直接外排，避免事故时的环境风险。</w:t>
            </w:r>
          </w:p>
          <w:p w14:paraId="0E5AD299">
            <w:pPr>
              <w:bidi w:val="0"/>
              <w:ind w:firstLine="482" w:firstLineChars="200"/>
              <w:rPr>
                <w:rFonts w:hint="eastAsia"/>
                <w:b/>
                <w:bCs/>
                <w:color w:val="auto"/>
                <w:highlight w:val="none"/>
                <w:lang w:val="en-US" w:eastAsia="zh-CN"/>
              </w:rPr>
            </w:pPr>
            <w:r>
              <w:rPr>
                <w:rFonts w:hint="eastAsia"/>
                <w:b/>
                <w:bCs/>
                <w:color w:val="auto"/>
                <w:highlight w:val="none"/>
                <w:lang w:val="en-US" w:eastAsia="zh-CN"/>
              </w:rPr>
              <w:t>（2）东侧地块</w:t>
            </w:r>
          </w:p>
          <w:p w14:paraId="0A0534BA">
            <w:pPr>
              <w:spacing w:line="360" w:lineRule="auto"/>
              <w:ind w:firstLine="480" w:firstLineChars="200"/>
              <w:rPr>
                <w:color w:val="auto"/>
                <w:highlight w:val="none"/>
              </w:rPr>
            </w:pPr>
            <w:r>
              <w:rPr>
                <w:color w:val="auto"/>
                <w:highlight w:val="none"/>
              </w:rPr>
              <w:t>V</w:t>
            </w:r>
            <w:r>
              <w:rPr>
                <w:color w:val="auto"/>
                <w:highlight w:val="none"/>
                <w:vertAlign w:val="subscript"/>
              </w:rPr>
              <w:t>1</w:t>
            </w:r>
            <w:r>
              <w:rPr>
                <w:rFonts w:hint="eastAsia"/>
                <w:color w:val="auto"/>
                <w:highlight w:val="none"/>
                <w:lang w:eastAsia="zh-CN"/>
              </w:rPr>
              <w:t>：本项目油罐为地埋式双层FF油罐，设有泄漏监测系统和围闭措施，可有效防止物料泄漏，因此，</w:t>
            </w:r>
            <w:r>
              <w:rPr>
                <w:rFonts w:hint="eastAsia"/>
                <w:color w:val="auto"/>
                <w:highlight w:val="none"/>
                <w:lang w:val="en-US" w:eastAsia="zh-CN"/>
              </w:rPr>
              <w:t>V</w:t>
            </w:r>
            <w:r>
              <w:rPr>
                <w:rFonts w:hint="eastAsia"/>
                <w:color w:val="auto"/>
                <w:highlight w:val="none"/>
                <w:vertAlign w:val="subscript"/>
                <w:lang w:val="en-US" w:eastAsia="zh-CN"/>
              </w:rPr>
              <w:t>1</w:t>
            </w:r>
            <w:r>
              <w:rPr>
                <w:rFonts w:hint="eastAsia"/>
                <w:color w:val="auto"/>
                <w:highlight w:val="none"/>
                <w:vertAlign w:val="baseline"/>
                <w:lang w:val="en-US" w:eastAsia="zh-CN"/>
              </w:rPr>
              <w:t>取</w:t>
            </w:r>
            <w:r>
              <w:rPr>
                <w:rFonts w:hint="eastAsia"/>
                <w:color w:val="auto"/>
                <w:highlight w:val="none"/>
                <w:lang w:val="en-US" w:eastAsia="zh-CN"/>
              </w:rPr>
              <w:t>0</w:t>
            </w:r>
            <w:r>
              <w:rPr>
                <w:color w:val="auto"/>
                <w:highlight w:val="none"/>
              </w:rPr>
              <w:t>m</w:t>
            </w:r>
            <w:r>
              <w:rPr>
                <w:color w:val="auto"/>
                <w:highlight w:val="none"/>
                <w:vertAlign w:val="superscript"/>
              </w:rPr>
              <w:t>3</w:t>
            </w:r>
            <w:r>
              <w:rPr>
                <w:color w:val="auto"/>
                <w:highlight w:val="none"/>
              </w:rPr>
              <w:t>；</w:t>
            </w:r>
          </w:p>
          <w:p w14:paraId="7C33DCCC">
            <w:pPr>
              <w:spacing w:line="360" w:lineRule="auto"/>
              <w:ind w:firstLine="480" w:firstLineChars="200"/>
              <w:rPr>
                <w:color w:val="auto"/>
                <w:highlight w:val="none"/>
              </w:rPr>
            </w:pPr>
            <w:r>
              <w:rPr>
                <w:color w:val="auto"/>
                <w:highlight w:val="none"/>
              </w:rPr>
              <w:t>V</w:t>
            </w:r>
            <w:r>
              <w:rPr>
                <w:color w:val="auto"/>
                <w:highlight w:val="none"/>
                <w:vertAlign w:val="subscript"/>
              </w:rPr>
              <w:t>2</w:t>
            </w:r>
            <w:r>
              <w:rPr>
                <w:rFonts w:hint="eastAsia"/>
                <w:color w:val="auto"/>
                <w:highlight w:val="none"/>
                <w:lang w:eastAsia="zh-CN"/>
              </w:rPr>
              <w:t>：</w:t>
            </w:r>
            <w:r>
              <w:rPr>
                <w:rFonts w:hint="eastAsia"/>
                <w:color w:val="auto"/>
                <w:highlight w:val="none"/>
                <w:lang w:val="en-US" w:eastAsia="zh-CN"/>
              </w:rPr>
              <w:t>根据《汽车加油加气加氢站技术标准》（</w:t>
            </w:r>
            <w:r>
              <w:rPr>
                <w:rFonts w:hint="default"/>
                <w:color w:val="auto"/>
                <w:highlight w:val="none"/>
                <w:lang w:val="en-US" w:eastAsia="zh-CN"/>
              </w:rPr>
              <w:t>GB50156-2</w:t>
            </w:r>
            <w:r>
              <w:rPr>
                <w:rFonts w:hint="eastAsia"/>
                <w:color w:val="auto"/>
                <w:highlight w:val="none"/>
                <w:lang w:val="en-US" w:eastAsia="zh-CN"/>
              </w:rPr>
              <w:t>021），加油站消防设施设计中，泡沫灭火系统与消火栓系统的联合消防流量按15</w:t>
            </w:r>
            <w:r>
              <w:rPr>
                <w:rFonts w:hint="default"/>
                <w:color w:val="auto"/>
                <w:highlight w:val="none"/>
                <w:lang w:val="en-US" w:eastAsia="zh-CN"/>
              </w:rPr>
              <w:t>L/s</w:t>
            </w:r>
            <w:r>
              <w:rPr>
                <w:rFonts w:hint="eastAsia"/>
                <w:color w:val="auto"/>
                <w:highlight w:val="none"/>
                <w:lang w:val="en-US" w:eastAsia="zh-CN"/>
              </w:rPr>
              <w:t>计（包含泡沫混合液中的水量及消火栓用水量），按灭火时间2</w:t>
            </w:r>
            <w:r>
              <w:rPr>
                <w:rFonts w:hint="default"/>
                <w:color w:val="auto"/>
                <w:highlight w:val="none"/>
                <w:lang w:val="en-US" w:eastAsia="zh-CN"/>
              </w:rPr>
              <w:t>h</w:t>
            </w:r>
            <w:r>
              <w:rPr>
                <w:rFonts w:hint="eastAsia"/>
                <w:color w:val="auto"/>
                <w:highlight w:val="none"/>
                <w:lang w:val="en-US" w:eastAsia="zh-CN"/>
              </w:rPr>
              <w:t>计，计算得</w:t>
            </w:r>
            <w:r>
              <w:rPr>
                <w:rFonts w:hint="default"/>
                <w:color w:val="auto"/>
                <w:highlight w:val="none"/>
                <w:lang w:val="en-US" w:eastAsia="zh-CN"/>
              </w:rPr>
              <w:t>V</w:t>
            </w:r>
            <w:r>
              <w:rPr>
                <w:rFonts w:hint="default"/>
                <w:color w:val="auto"/>
                <w:highlight w:val="none"/>
                <w:vertAlign w:val="subscript"/>
                <w:lang w:val="en-US" w:eastAsia="zh-CN"/>
              </w:rPr>
              <w:t>2</w:t>
            </w:r>
            <w:r>
              <w:rPr>
                <w:rFonts w:hint="eastAsia"/>
                <w:color w:val="auto"/>
                <w:highlight w:val="none"/>
                <w:lang w:val="en-US" w:eastAsia="zh-CN"/>
              </w:rPr>
              <w:t>为108</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w:t>
            </w:r>
          </w:p>
          <w:p w14:paraId="6B7A7C17">
            <w:pPr>
              <w:bidi w:val="0"/>
              <w:ind w:firstLine="480" w:firstLineChars="200"/>
              <w:rPr>
                <w:color w:val="auto"/>
                <w:highlight w:val="none"/>
              </w:rPr>
            </w:pPr>
            <w:r>
              <w:rPr>
                <w:rFonts w:hint="default"/>
                <w:color w:val="auto"/>
                <w:highlight w:val="none"/>
                <w:lang w:val="en-US" w:eastAsia="zh-CN"/>
              </w:rPr>
              <w:t>V</w:t>
            </w:r>
            <w:r>
              <w:rPr>
                <w:rFonts w:hint="default"/>
                <w:color w:val="auto"/>
                <w:highlight w:val="none"/>
                <w:vertAlign w:val="subscript"/>
                <w:lang w:val="en-US" w:eastAsia="zh-CN"/>
              </w:rPr>
              <w:t>3</w:t>
            </w:r>
            <w:r>
              <w:rPr>
                <w:rFonts w:hint="eastAsia"/>
                <w:color w:val="auto"/>
                <w:highlight w:val="none"/>
                <w:lang w:val="en-US" w:eastAsia="zh-CN"/>
              </w:rPr>
              <w:t>：本项目无相关设施，取</w:t>
            </w:r>
            <w:r>
              <w:rPr>
                <w:rFonts w:hint="default"/>
                <w:color w:val="auto"/>
                <w:highlight w:val="none"/>
                <w:lang w:val="en-US" w:eastAsia="zh-CN"/>
              </w:rPr>
              <w:t>V</w:t>
            </w:r>
            <w:r>
              <w:rPr>
                <w:rFonts w:hint="default"/>
                <w:color w:val="auto"/>
                <w:highlight w:val="none"/>
                <w:vertAlign w:val="subscript"/>
                <w:lang w:val="en-US" w:eastAsia="zh-CN"/>
              </w:rPr>
              <w:t>3</w:t>
            </w:r>
            <w:r>
              <w:rPr>
                <w:rFonts w:hint="default"/>
                <w:color w:val="auto"/>
                <w:highlight w:val="none"/>
                <w:lang w:val="en-US" w:eastAsia="zh-CN"/>
              </w:rPr>
              <w:t>=0m</w:t>
            </w:r>
            <w:r>
              <w:rPr>
                <w:rFonts w:hint="default"/>
                <w:color w:val="auto"/>
                <w:highlight w:val="none"/>
                <w:vertAlign w:val="superscript"/>
                <w:lang w:val="en-US" w:eastAsia="zh-CN"/>
              </w:rPr>
              <w:t>3</w:t>
            </w:r>
            <w:r>
              <w:rPr>
                <w:rFonts w:hint="eastAsia"/>
                <w:color w:val="auto"/>
                <w:highlight w:val="none"/>
                <w:lang w:val="en-US" w:eastAsia="zh-CN"/>
              </w:rPr>
              <w:t>；</w:t>
            </w:r>
          </w:p>
          <w:p w14:paraId="71636874">
            <w:pPr>
              <w:bidi w:val="0"/>
              <w:ind w:firstLine="480" w:firstLineChars="200"/>
              <w:rPr>
                <w:color w:val="auto"/>
                <w:highlight w:val="none"/>
              </w:rPr>
            </w:pPr>
            <w:r>
              <w:rPr>
                <w:rFonts w:hint="default"/>
                <w:color w:val="auto"/>
                <w:highlight w:val="none"/>
                <w:lang w:val="en-US" w:eastAsia="zh-CN"/>
              </w:rPr>
              <w:t>V</w:t>
            </w:r>
            <w:r>
              <w:rPr>
                <w:rFonts w:hint="default"/>
                <w:color w:val="auto"/>
                <w:highlight w:val="none"/>
                <w:vertAlign w:val="subscript"/>
                <w:lang w:val="en-US" w:eastAsia="zh-CN"/>
              </w:rPr>
              <w:t>4</w:t>
            </w:r>
            <w:r>
              <w:rPr>
                <w:rFonts w:hint="eastAsia"/>
                <w:color w:val="auto"/>
                <w:highlight w:val="none"/>
                <w:lang w:val="en-US" w:eastAsia="zh-CN"/>
              </w:rPr>
              <w:t>：本项目内部综合能源站无生产废水，</w:t>
            </w:r>
            <w:r>
              <w:rPr>
                <w:rFonts w:hint="default"/>
                <w:color w:val="auto"/>
                <w:highlight w:val="none"/>
                <w:lang w:val="en-US" w:eastAsia="zh-CN"/>
              </w:rPr>
              <w:t>V</w:t>
            </w:r>
            <w:r>
              <w:rPr>
                <w:rFonts w:hint="default"/>
                <w:color w:val="auto"/>
                <w:highlight w:val="none"/>
                <w:vertAlign w:val="subscript"/>
                <w:lang w:val="en-US" w:eastAsia="zh-CN"/>
              </w:rPr>
              <w:t>4</w:t>
            </w:r>
            <w:r>
              <w:rPr>
                <w:rFonts w:hint="default"/>
                <w:color w:val="auto"/>
                <w:highlight w:val="none"/>
                <w:lang w:val="en-US" w:eastAsia="zh-CN"/>
              </w:rPr>
              <w:t>=0m</w:t>
            </w:r>
            <w:r>
              <w:rPr>
                <w:rFonts w:hint="default"/>
                <w:color w:val="auto"/>
                <w:highlight w:val="none"/>
                <w:vertAlign w:val="superscript"/>
                <w:lang w:val="en-US" w:eastAsia="zh-CN"/>
              </w:rPr>
              <w:t>3</w:t>
            </w:r>
            <w:r>
              <w:rPr>
                <w:rFonts w:hint="eastAsia"/>
                <w:color w:val="auto"/>
                <w:highlight w:val="none"/>
                <w:lang w:val="en-US" w:eastAsia="zh-CN"/>
              </w:rPr>
              <w:t>；</w:t>
            </w:r>
          </w:p>
          <w:p w14:paraId="2B71FE88">
            <w:pPr>
              <w:bidi w:val="0"/>
              <w:ind w:firstLine="480" w:firstLineChars="200"/>
              <w:rPr>
                <w:color w:val="auto"/>
                <w:highlight w:val="none"/>
              </w:rPr>
            </w:pPr>
            <w:r>
              <w:rPr>
                <w:rFonts w:hint="default"/>
                <w:color w:val="auto"/>
                <w:highlight w:val="none"/>
                <w:lang w:val="en-US" w:eastAsia="zh-CN"/>
              </w:rPr>
              <w:t>V</w:t>
            </w:r>
            <w:r>
              <w:rPr>
                <w:rFonts w:hint="default"/>
                <w:color w:val="auto"/>
                <w:highlight w:val="none"/>
                <w:vertAlign w:val="subscript"/>
                <w:lang w:val="en-US" w:eastAsia="zh-CN"/>
              </w:rPr>
              <w:t>5</w:t>
            </w:r>
            <w:r>
              <w:rPr>
                <w:rFonts w:hint="eastAsia"/>
                <w:color w:val="auto"/>
                <w:highlight w:val="none"/>
                <w:lang w:val="en-US" w:eastAsia="zh-CN"/>
              </w:rPr>
              <w:t>：发生事故时可能进入该收集系统的降雨量，</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w:t>
            </w:r>
          </w:p>
          <w:p w14:paraId="3893A2EB">
            <w:pPr>
              <w:bidi w:val="0"/>
              <w:ind w:firstLine="480" w:firstLineChars="200"/>
              <w:rPr>
                <w:color w:val="auto"/>
                <w:highlight w:val="none"/>
              </w:rPr>
            </w:pPr>
            <w:r>
              <w:rPr>
                <w:rFonts w:hint="eastAsia"/>
                <w:color w:val="auto"/>
                <w:highlight w:val="none"/>
                <w:lang w:val="en-US" w:eastAsia="zh-CN"/>
              </w:rPr>
              <w:t>根据事故时降雨量公式，结合淮南市气象资料知，年平均降雨量为900</w:t>
            </w:r>
            <w:r>
              <w:rPr>
                <w:rFonts w:hint="default"/>
                <w:color w:val="auto"/>
                <w:highlight w:val="none"/>
                <w:lang w:val="en-US" w:eastAsia="zh-CN"/>
              </w:rPr>
              <w:t>mm</w:t>
            </w:r>
            <w:r>
              <w:rPr>
                <w:rFonts w:hint="eastAsia"/>
                <w:color w:val="auto"/>
                <w:highlight w:val="none"/>
                <w:lang w:val="en-US" w:eastAsia="zh-CN"/>
              </w:rPr>
              <w:t>，年平均降雨日数为</w:t>
            </w:r>
            <w:r>
              <w:rPr>
                <w:rFonts w:hint="default"/>
                <w:color w:val="auto"/>
                <w:highlight w:val="none"/>
                <w:lang w:val="en-US" w:eastAsia="zh-CN"/>
              </w:rPr>
              <w:t>1</w:t>
            </w:r>
            <w:r>
              <w:rPr>
                <w:rFonts w:hint="eastAsia"/>
                <w:color w:val="auto"/>
                <w:highlight w:val="none"/>
                <w:lang w:val="en-US" w:eastAsia="zh-CN"/>
              </w:rPr>
              <w:t>07天，本项目必须进入事故废水收集系统的汇水面积为</w:t>
            </w:r>
            <w:r>
              <w:rPr>
                <w:rFonts w:hint="default"/>
                <w:color w:val="auto"/>
                <w:highlight w:val="none"/>
                <w:lang w:val="en-US" w:eastAsia="zh-CN"/>
              </w:rPr>
              <w:t>0</w:t>
            </w:r>
            <w:r>
              <w:rPr>
                <w:rFonts w:hint="eastAsia"/>
                <w:color w:val="auto"/>
                <w:highlight w:val="none"/>
                <w:lang w:val="en-US" w:eastAsia="zh-CN"/>
              </w:rPr>
              <w:t>.4</w:t>
            </w:r>
            <w:r>
              <w:rPr>
                <w:rFonts w:hint="default"/>
                <w:color w:val="auto"/>
                <w:highlight w:val="none"/>
                <w:lang w:val="en-US" w:eastAsia="zh-CN"/>
              </w:rPr>
              <w:t>hm</w:t>
            </w:r>
            <w:r>
              <w:rPr>
                <w:rFonts w:hint="default"/>
                <w:color w:val="auto"/>
                <w:highlight w:val="none"/>
                <w:vertAlign w:val="superscript"/>
                <w:lang w:val="en-US" w:eastAsia="zh-CN"/>
              </w:rPr>
              <w:t>2</w:t>
            </w:r>
            <w:r>
              <w:rPr>
                <w:rFonts w:hint="eastAsia"/>
                <w:color w:val="auto"/>
                <w:highlight w:val="none"/>
                <w:lang w:val="en-US" w:eastAsia="zh-CN"/>
              </w:rPr>
              <w:t>，则</w:t>
            </w:r>
            <w:r>
              <w:rPr>
                <w:rFonts w:hint="default"/>
                <w:color w:val="auto"/>
                <w:highlight w:val="none"/>
                <w:lang w:val="en-US" w:eastAsia="zh-CN"/>
              </w:rPr>
              <w:t>V</w:t>
            </w:r>
            <w:r>
              <w:rPr>
                <w:rFonts w:hint="default"/>
                <w:color w:val="auto"/>
                <w:highlight w:val="none"/>
                <w:vertAlign w:val="subscript"/>
                <w:lang w:val="en-US" w:eastAsia="zh-CN"/>
              </w:rPr>
              <w:t>5</w:t>
            </w:r>
            <w:r>
              <w:rPr>
                <w:rFonts w:hint="default"/>
                <w:color w:val="auto"/>
                <w:highlight w:val="none"/>
                <w:lang w:val="en-US" w:eastAsia="zh-CN"/>
              </w:rPr>
              <w:t>=10×</w:t>
            </w:r>
            <w:r>
              <w:rPr>
                <w:rFonts w:hint="eastAsia"/>
                <w:color w:val="auto"/>
                <w:highlight w:val="none"/>
                <w:lang w:val="en-US" w:eastAsia="zh-CN"/>
              </w:rPr>
              <w:t>900</w:t>
            </w:r>
            <w:r>
              <w:rPr>
                <w:rFonts w:hint="default"/>
                <w:color w:val="auto"/>
                <w:highlight w:val="none"/>
                <w:lang w:val="en-US" w:eastAsia="zh-CN"/>
              </w:rPr>
              <w:t>/1</w:t>
            </w:r>
            <w:r>
              <w:rPr>
                <w:rFonts w:hint="eastAsia"/>
                <w:color w:val="auto"/>
                <w:highlight w:val="none"/>
                <w:lang w:val="en-US" w:eastAsia="zh-CN"/>
              </w:rPr>
              <w:t>07</w:t>
            </w:r>
            <w:r>
              <w:rPr>
                <w:rFonts w:hint="default"/>
                <w:color w:val="auto"/>
                <w:highlight w:val="none"/>
                <w:lang w:val="en-US" w:eastAsia="zh-CN"/>
              </w:rPr>
              <w:t>×0.</w:t>
            </w:r>
            <w:r>
              <w:rPr>
                <w:rFonts w:hint="eastAsia"/>
                <w:color w:val="auto"/>
                <w:highlight w:val="none"/>
                <w:lang w:val="en-US" w:eastAsia="zh-CN"/>
              </w:rPr>
              <w:t>4</w:t>
            </w:r>
            <w:r>
              <w:rPr>
                <w:rFonts w:hint="default"/>
                <w:color w:val="auto"/>
                <w:highlight w:val="none"/>
                <w:lang w:val="en-US" w:eastAsia="zh-CN"/>
              </w:rPr>
              <w:t>=</w:t>
            </w:r>
            <w:r>
              <w:rPr>
                <w:rFonts w:hint="eastAsia"/>
                <w:color w:val="auto"/>
                <w:highlight w:val="none"/>
                <w:lang w:val="en-US" w:eastAsia="zh-CN"/>
              </w:rPr>
              <w:t>33.64</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，因此项目事故时雨水量为33.64</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w:t>
            </w:r>
          </w:p>
          <w:p w14:paraId="68E49302">
            <w:pPr>
              <w:bidi w:val="0"/>
              <w:ind w:firstLine="480" w:firstLineChars="200"/>
              <w:rPr>
                <w:color w:val="auto"/>
                <w:highlight w:val="none"/>
              </w:rPr>
            </w:pPr>
            <w:r>
              <w:rPr>
                <w:rFonts w:hint="eastAsia"/>
                <w:color w:val="auto"/>
                <w:highlight w:val="none"/>
                <w:lang w:val="en-US" w:eastAsia="zh-CN"/>
              </w:rPr>
              <w:t>因此本项目东侧地块</w:t>
            </w:r>
            <w:r>
              <w:rPr>
                <w:rFonts w:hint="default"/>
                <w:color w:val="auto"/>
                <w:highlight w:val="none"/>
                <w:lang w:val="en-US" w:eastAsia="zh-CN"/>
              </w:rPr>
              <w:t>V</w:t>
            </w:r>
            <w:r>
              <w:rPr>
                <w:rFonts w:hint="eastAsia"/>
                <w:color w:val="auto"/>
                <w:highlight w:val="none"/>
                <w:vertAlign w:val="subscript"/>
                <w:lang w:val="en-US" w:eastAsia="zh-CN"/>
              </w:rPr>
              <w:t>总</w:t>
            </w:r>
            <w:r>
              <w:rPr>
                <w:rFonts w:hint="default"/>
                <w:color w:val="auto"/>
                <w:highlight w:val="none"/>
                <w:lang w:val="en-US" w:eastAsia="zh-CN"/>
              </w:rPr>
              <w:t>=</w:t>
            </w:r>
            <w:r>
              <w:rPr>
                <w:rFonts w:hint="eastAsia"/>
                <w:color w:val="auto"/>
                <w:highlight w:val="none"/>
                <w:lang w:val="en-US" w:eastAsia="zh-CN"/>
              </w:rPr>
              <w:t>108+33.64</w:t>
            </w:r>
            <w:r>
              <w:rPr>
                <w:rFonts w:hint="default"/>
                <w:color w:val="auto"/>
                <w:highlight w:val="none"/>
                <w:lang w:val="en-US" w:eastAsia="zh-CN"/>
              </w:rPr>
              <w:t>=</w:t>
            </w:r>
            <w:r>
              <w:rPr>
                <w:rFonts w:hint="eastAsia"/>
                <w:color w:val="auto"/>
                <w:highlight w:val="none"/>
                <w:lang w:val="en-US" w:eastAsia="zh-CN"/>
              </w:rPr>
              <w:t>141.64</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，建议建设一个有效容量至少150</w:t>
            </w:r>
            <w:r>
              <w:rPr>
                <w:rFonts w:hint="default"/>
                <w:color w:val="auto"/>
                <w:highlight w:val="none"/>
                <w:lang w:val="en-US" w:eastAsia="zh-CN"/>
              </w:rPr>
              <w:t>m³</w:t>
            </w:r>
            <w:r>
              <w:rPr>
                <w:rFonts w:hint="eastAsia"/>
                <w:color w:val="auto"/>
                <w:highlight w:val="none"/>
                <w:lang w:val="en-US" w:eastAsia="zh-CN"/>
              </w:rPr>
              <w:t>的事故应急池，如此能够满足突发环境事故应急的需要，在事故发生时，可有效地防止事故时废水直接外排，避免事故时的环境风险。</w:t>
            </w:r>
          </w:p>
          <w:p w14:paraId="501179AB">
            <w:pPr>
              <w:widowControl/>
              <w:snapToGrid w:val="0"/>
              <w:ind w:firstLine="480" w:firstLineChars="200"/>
              <w:jc w:val="left"/>
              <w:rPr>
                <w:rFonts w:hint="eastAsia"/>
                <w:bCs/>
                <w:color w:val="auto"/>
                <w:highlight w:val="none"/>
                <w:lang w:val="en-US" w:eastAsia="zh-CN"/>
              </w:rPr>
            </w:pPr>
            <w:r>
              <w:rPr>
                <w:rFonts w:hint="eastAsia"/>
                <w:color w:val="auto"/>
                <w:highlight w:val="none"/>
                <w:lang w:val="en-US" w:eastAsia="zh-CN"/>
              </w:rPr>
              <w:t>一般事故应急池设置在地势最低处，可采取地下式，以利于收集事故废水防止漫流。在罐区、加油区围堰内设置排水沟以收集雨水和事故废水，在雨污排水管网之间设置转换阀，正常生产时，通向事故应急池的阀门保持常闭，通向市政雨水管网的阀门保持常开，厂区雨水排入市政雨水管网；当发生火灾或泄漏等事故时，打开通向事故应急池的阀门，关闭通向市政雨水管网的阀门，这时厂区雨水排水管网可迅速切换成事故废水收集管网，事故废水通过自流的方式排入事故应急池。建设单位按以上要求建设事故</w:t>
            </w:r>
            <w:r>
              <w:rPr>
                <w:rFonts w:hint="eastAsia"/>
                <w:bCs/>
                <w:color w:val="auto"/>
                <w:highlight w:val="none"/>
                <w:lang w:val="en-US" w:eastAsia="zh-CN"/>
              </w:rPr>
              <w:t>应急池，可保证事故废水的有效收集。</w:t>
            </w:r>
          </w:p>
          <w:p w14:paraId="2896D621">
            <w:pPr>
              <w:widowControl/>
              <w:snapToGrid w:val="0"/>
              <w:ind w:firstLine="480" w:firstLineChars="200"/>
              <w:jc w:val="left"/>
              <w:rPr>
                <w:rFonts w:hint="eastAsia"/>
                <w:bCs/>
                <w:color w:val="auto"/>
                <w:highlight w:val="none"/>
                <w:lang w:eastAsia="zh-CN"/>
              </w:rPr>
            </w:pPr>
            <w:r>
              <w:rPr>
                <w:rFonts w:hint="eastAsia"/>
                <w:bCs/>
                <w:color w:val="auto"/>
                <w:highlight w:val="none"/>
                <w:lang w:val="en-US" w:eastAsia="zh-CN"/>
              </w:rPr>
              <w:t>本项目东侧地块事故应急池兼作初期雨水池，</w:t>
            </w:r>
            <w:r>
              <w:rPr>
                <w:bCs/>
                <w:color w:val="auto"/>
                <w:highlight w:val="none"/>
              </w:rPr>
              <w:t>依据《水体污染防控紧急措施设计导则》（HJ 2000-2010）</w:t>
            </w:r>
            <w:r>
              <w:rPr>
                <w:rFonts w:hint="eastAsia"/>
                <w:bCs/>
                <w:color w:val="auto"/>
                <w:highlight w:val="none"/>
                <w:lang w:eastAsia="zh-CN"/>
              </w:rPr>
              <w:t>、</w:t>
            </w:r>
            <w:r>
              <w:rPr>
                <w:bCs/>
                <w:color w:val="auto"/>
                <w:highlight w:val="none"/>
              </w:rPr>
              <w:t xml:space="preserve">《建设项目环境风险评价技术导则》（HJ 169-2018）附录 C </w:t>
            </w:r>
            <w:r>
              <w:rPr>
                <w:rFonts w:hint="eastAsia"/>
                <w:bCs/>
                <w:color w:val="auto"/>
                <w:highlight w:val="none"/>
                <w:lang w:eastAsia="zh-CN"/>
              </w:rPr>
              <w:t>等相关要求，</w:t>
            </w:r>
            <w:r>
              <w:rPr>
                <w:bCs/>
                <w:color w:val="auto"/>
                <w:highlight w:val="none"/>
              </w:rPr>
              <w:t>事故应急池考虑与初期雨水收集系统衔接。同时，两者污染物性质相似、发生时间非同步，150m³容积可满足最大需求，通过分区切换、防渗防腐等设计能避免功能冲突，还能节约占地与成本。</w:t>
            </w:r>
            <w:r>
              <w:rPr>
                <w:rFonts w:hint="eastAsia"/>
                <w:bCs/>
                <w:color w:val="auto"/>
                <w:highlight w:val="none"/>
                <w:lang w:eastAsia="zh-CN"/>
              </w:rPr>
              <w:t>因此，本项目东侧地块</w:t>
            </w:r>
            <w:r>
              <w:rPr>
                <w:rFonts w:hint="eastAsia"/>
                <w:bCs/>
                <w:color w:val="auto"/>
                <w:highlight w:val="none"/>
                <w:lang w:val="en-US" w:eastAsia="zh-CN"/>
              </w:rPr>
              <w:t>事故应急池与初期雨水池合建可行。</w:t>
            </w:r>
          </w:p>
          <w:p w14:paraId="5C680554">
            <w:pPr>
              <w:widowControl/>
              <w:snapToGrid w:val="0"/>
              <w:ind w:firstLine="480" w:firstLineChars="200"/>
              <w:jc w:val="left"/>
              <w:rPr>
                <w:bCs/>
                <w:color w:val="auto"/>
                <w:highlight w:val="none"/>
              </w:rPr>
            </w:pPr>
            <w:r>
              <w:rPr>
                <w:rFonts w:hint="eastAsia"/>
                <w:bCs/>
                <w:color w:val="auto"/>
                <w:highlight w:val="none"/>
              </w:rPr>
              <w:t>7、</w:t>
            </w:r>
            <w:r>
              <w:rPr>
                <w:bCs/>
                <w:color w:val="auto"/>
                <w:highlight w:val="none"/>
              </w:rPr>
              <w:t>突发环境事故应急预案</w:t>
            </w:r>
          </w:p>
          <w:p w14:paraId="38000AEB">
            <w:pPr>
              <w:widowControl/>
              <w:snapToGrid w:val="0"/>
              <w:ind w:firstLine="480" w:firstLineChars="200"/>
              <w:jc w:val="left"/>
              <w:rPr>
                <w:bCs/>
                <w:color w:val="auto"/>
                <w:highlight w:val="none"/>
              </w:rPr>
            </w:pPr>
            <w:r>
              <w:rPr>
                <w:bCs/>
                <w:color w:val="auto"/>
                <w:highlight w:val="none"/>
              </w:rPr>
              <w:t>为预防事故发生，规范项目应急管理和应急响应程序，迅速有效地控制和处置可能发生的事故，降低事故造成人员伤亡和财产损失，根据国家有关规定，工程运行前，建设单位应编制环境风险的应急预案，并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应急预案内容见</w:t>
            </w:r>
            <w:r>
              <w:rPr>
                <w:rFonts w:hint="eastAsia"/>
                <w:bCs/>
                <w:color w:val="auto"/>
                <w:highlight w:val="none"/>
              </w:rPr>
              <w:t>下表。</w:t>
            </w:r>
          </w:p>
          <w:p w14:paraId="6A239DC5">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t xml:space="preserve"> 应急预案内容一览表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458"/>
              <w:gridCol w:w="4475"/>
            </w:tblGrid>
            <w:tr w14:paraId="5B98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023F265B">
                  <w:pPr>
                    <w:pStyle w:val="30"/>
                    <w:rPr>
                      <w:b/>
                      <w:bCs/>
                      <w:color w:val="auto"/>
                      <w:highlight w:val="none"/>
                    </w:rPr>
                  </w:pPr>
                  <w:r>
                    <w:rPr>
                      <w:b/>
                      <w:bCs/>
                      <w:color w:val="auto"/>
                      <w:highlight w:val="none"/>
                    </w:rPr>
                    <w:t>序号</w:t>
                  </w:r>
                </w:p>
              </w:tc>
              <w:tc>
                <w:tcPr>
                  <w:tcW w:w="2716" w:type="dxa"/>
                  <w:tcBorders>
                    <w:tl2br w:val="nil"/>
                    <w:tr2bl w:val="nil"/>
                  </w:tcBorders>
                  <w:vAlign w:val="center"/>
                </w:tcPr>
                <w:p w14:paraId="1BFEEC33">
                  <w:pPr>
                    <w:pStyle w:val="30"/>
                    <w:rPr>
                      <w:b/>
                      <w:bCs/>
                      <w:color w:val="auto"/>
                      <w:highlight w:val="none"/>
                    </w:rPr>
                  </w:pPr>
                  <w:r>
                    <w:rPr>
                      <w:b/>
                      <w:bCs/>
                      <w:color w:val="auto"/>
                      <w:highlight w:val="none"/>
                    </w:rPr>
                    <w:t>项目</w:t>
                  </w:r>
                </w:p>
              </w:tc>
              <w:tc>
                <w:tcPr>
                  <w:tcW w:w="5010" w:type="dxa"/>
                  <w:tcBorders>
                    <w:tl2br w:val="nil"/>
                    <w:tr2bl w:val="nil"/>
                  </w:tcBorders>
                  <w:vAlign w:val="center"/>
                </w:tcPr>
                <w:p w14:paraId="3B197AC5">
                  <w:pPr>
                    <w:pStyle w:val="30"/>
                    <w:rPr>
                      <w:b/>
                      <w:bCs/>
                      <w:color w:val="auto"/>
                      <w:highlight w:val="none"/>
                    </w:rPr>
                  </w:pPr>
                  <w:r>
                    <w:rPr>
                      <w:b/>
                      <w:bCs/>
                      <w:color w:val="auto"/>
                      <w:highlight w:val="none"/>
                    </w:rPr>
                    <w:t>内容及要求</w:t>
                  </w:r>
                </w:p>
              </w:tc>
            </w:tr>
            <w:tr w14:paraId="691D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49F315C5">
                  <w:pPr>
                    <w:pStyle w:val="30"/>
                    <w:rPr>
                      <w:color w:val="auto"/>
                      <w:highlight w:val="none"/>
                    </w:rPr>
                  </w:pPr>
                  <w:r>
                    <w:rPr>
                      <w:color w:val="auto"/>
                      <w:highlight w:val="none"/>
                    </w:rPr>
                    <w:t>1</w:t>
                  </w:r>
                </w:p>
              </w:tc>
              <w:tc>
                <w:tcPr>
                  <w:tcW w:w="2716" w:type="dxa"/>
                  <w:tcBorders>
                    <w:tl2br w:val="nil"/>
                    <w:tr2bl w:val="nil"/>
                  </w:tcBorders>
                  <w:vAlign w:val="center"/>
                </w:tcPr>
                <w:p w14:paraId="33ECB542">
                  <w:pPr>
                    <w:pStyle w:val="30"/>
                    <w:rPr>
                      <w:color w:val="auto"/>
                      <w:highlight w:val="none"/>
                    </w:rPr>
                  </w:pPr>
                  <w:r>
                    <w:rPr>
                      <w:color w:val="auto"/>
                      <w:highlight w:val="none"/>
                    </w:rPr>
                    <w:t>应急计划区</w:t>
                  </w:r>
                </w:p>
              </w:tc>
              <w:tc>
                <w:tcPr>
                  <w:tcW w:w="5010" w:type="dxa"/>
                  <w:tcBorders>
                    <w:tl2br w:val="nil"/>
                    <w:tr2bl w:val="nil"/>
                  </w:tcBorders>
                  <w:vAlign w:val="center"/>
                </w:tcPr>
                <w:p w14:paraId="2A049D68">
                  <w:pPr>
                    <w:pStyle w:val="30"/>
                    <w:rPr>
                      <w:color w:val="auto"/>
                      <w:highlight w:val="none"/>
                    </w:rPr>
                  </w:pPr>
                  <w:r>
                    <w:rPr>
                      <w:color w:val="auto"/>
                      <w:highlight w:val="none"/>
                    </w:rPr>
                    <w:t>危险</w:t>
                  </w:r>
                  <w:r>
                    <w:rPr>
                      <w:rFonts w:hint="eastAsia"/>
                      <w:color w:val="auto"/>
                      <w:highlight w:val="none"/>
                    </w:rPr>
                    <w:t>源</w:t>
                  </w:r>
                  <w:r>
                    <w:rPr>
                      <w:color w:val="auto"/>
                      <w:highlight w:val="none"/>
                    </w:rPr>
                    <w:t>：</w:t>
                  </w:r>
                  <w:r>
                    <w:rPr>
                      <w:rFonts w:hint="eastAsia"/>
                      <w:color w:val="auto"/>
                      <w:highlight w:val="none"/>
                    </w:rPr>
                    <w:t>油品</w:t>
                  </w:r>
                  <w:r>
                    <w:rPr>
                      <w:color w:val="auto"/>
                      <w:highlight w:val="none"/>
                    </w:rPr>
                    <w:t>储罐区、</w:t>
                  </w:r>
                  <w:r>
                    <w:rPr>
                      <w:rFonts w:hint="eastAsia"/>
                      <w:color w:val="auto"/>
                      <w:highlight w:val="none"/>
                    </w:rPr>
                    <w:t>加油站站区</w:t>
                  </w:r>
                </w:p>
              </w:tc>
            </w:tr>
            <w:tr w14:paraId="4012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7F9503B3">
                  <w:pPr>
                    <w:pStyle w:val="30"/>
                    <w:rPr>
                      <w:color w:val="auto"/>
                      <w:highlight w:val="none"/>
                    </w:rPr>
                  </w:pPr>
                  <w:r>
                    <w:rPr>
                      <w:color w:val="auto"/>
                      <w:highlight w:val="none"/>
                    </w:rPr>
                    <w:t>2</w:t>
                  </w:r>
                </w:p>
              </w:tc>
              <w:tc>
                <w:tcPr>
                  <w:tcW w:w="2716" w:type="dxa"/>
                  <w:tcBorders>
                    <w:tl2br w:val="nil"/>
                    <w:tr2bl w:val="nil"/>
                  </w:tcBorders>
                  <w:vAlign w:val="center"/>
                </w:tcPr>
                <w:p w14:paraId="04763534">
                  <w:pPr>
                    <w:pStyle w:val="30"/>
                    <w:rPr>
                      <w:color w:val="auto"/>
                      <w:highlight w:val="none"/>
                    </w:rPr>
                  </w:pPr>
                  <w:r>
                    <w:rPr>
                      <w:color w:val="auto"/>
                      <w:highlight w:val="none"/>
                    </w:rPr>
                    <w:t>应急组织机构、人员</w:t>
                  </w:r>
                </w:p>
              </w:tc>
              <w:tc>
                <w:tcPr>
                  <w:tcW w:w="5010" w:type="dxa"/>
                  <w:tcBorders>
                    <w:tl2br w:val="nil"/>
                    <w:tr2bl w:val="nil"/>
                  </w:tcBorders>
                  <w:vAlign w:val="center"/>
                </w:tcPr>
                <w:p w14:paraId="5EB3DACE">
                  <w:pPr>
                    <w:pStyle w:val="30"/>
                    <w:rPr>
                      <w:color w:val="auto"/>
                      <w:highlight w:val="none"/>
                    </w:rPr>
                  </w:pPr>
                  <w:r>
                    <w:rPr>
                      <w:color w:val="auto"/>
                      <w:highlight w:val="none"/>
                    </w:rPr>
                    <w:t>企业、地区应急组织机构、人员</w:t>
                  </w:r>
                </w:p>
              </w:tc>
            </w:tr>
            <w:tr w14:paraId="5915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03263C9E">
                  <w:pPr>
                    <w:pStyle w:val="30"/>
                    <w:rPr>
                      <w:color w:val="auto"/>
                      <w:highlight w:val="none"/>
                    </w:rPr>
                  </w:pPr>
                  <w:r>
                    <w:rPr>
                      <w:color w:val="auto"/>
                      <w:highlight w:val="none"/>
                    </w:rPr>
                    <w:t>3</w:t>
                  </w:r>
                </w:p>
              </w:tc>
              <w:tc>
                <w:tcPr>
                  <w:tcW w:w="2716" w:type="dxa"/>
                  <w:tcBorders>
                    <w:tl2br w:val="nil"/>
                    <w:tr2bl w:val="nil"/>
                  </w:tcBorders>
                  <w:vAlign w:val="center"/>
                </w:tcPr>
                <w:p w14:paraId="37F2F0D7">
                  <w:pPr>
                    <w:pStyle w:val="30"/>
                    <w:rPr>
                      <w:color w:val="auto"/>
                      <w:highlight w:val="none"/>
                    </w:rPr>
                  </w:pPr>
                  <w:r>
                    <w:rPr>
                      <w:color w:val="auto"/>
                      <w:highlight w:val="none"/>
                    </w:rPr>
                    <w:t>预案分级响应条件</w:t>
                  </w:r>
                </w:p>
              </w:tc>
              <w:tc>
                <w:tcPr>
                  <w:tcW w:w="5010" w:type="dxa"/>
                  <w:tcBorders>
                    <w:tl2br w:val="nil"/>
                    <w:tr2bl w:val="nil"/>
                  </w:tcBorders>
                  <w:vAlign w:val="center"/>
                </w:tcPr>
                <w:p w14:paraId="17C8F9E8">
                  <w:pPr>
                    <w:pStyle w:val="30"/>
                    <w:rPr>
                      <w:color w:val="auto"/>
                      <w:highlight w:val="none"/>
                    </w:rPr>
                  </w:pPr>
                  <w:r>
                    <w:rPr>
                      <w:color w:val="auto"/>
                      <w:highlight w:val="none"/>
                    </w:rPr>
                    <w:t>规定预案的级别及分级响应程序</w:t>
                  </w:r>
                </w:p>
              </w:tc>
            </w:tr>
            <w:tr w14:paraId="7FE9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31A9596C">
                  <w:pPr>
                    <w:pStyle w:val="30"/>
                    <w:rPr>
                      <w:color w:val="auto"/>
                      <w:highlight w:val="none"/>
                    </w:rPr>
                  </w:pPr>
                  <w:r>
                    <w:rPr>
                      <w:color w:val="auto"/>
                      <w:highlight w:val="none"/>
                    </w:rPr>
                    <w:t>4</w:t>
                  </w:r>
                </w:p>
              </w:tc>
              <w:tc>
                <w:tcPr>
                  <w:tcW w:w="2716" w:type="dxa"/>
                  <w:tcBorders>
                    <w:tl2br w:val="nil"/>
                    <w:tr2bl w:val="nil"/>
                  </w:tcBorders>
                  <w:vAlign w:val="center"/>
                </w:tcPr>
                <w:p w14:paraId="20787F7E">
                  <w:pPr>
                    <w:pStyle w:val="30"/>
                    <w:rPr>
                      <w:color w:val="auto"/>
                      <w:highlight w:val="none"/>
                    </w:rPr>
                  </w:pPr>
                  <w:r>
                    <w:rPr>
                      <w:color w:val="auto"/>
                      <w:highlight w:val="none"/>
                    </w:rPr>
                    <w:t>应急救援保障</w:t>
                  </w:r>
                </w:p>
              </w:tc>
              <w:tc>
                <w:tcPr>
                  <w:tcW w:w="5010" w:type="dxa"/>
                  <w:tcBorders>
                    <w:tl2br w:val="nil"/>
                    <w:tr2bl w:val="nil"/>
                  </w:tcBorders>
                  <w:vAlign w:val="center"/>
                </w:tcPr>
                <w:p w14:paraId="31C05161">
                  <w:pPr>
                    <w:pStyle w:val="30"/>
                    <w:rPr>
                      <w:color w:val="auto"/>
                      <w:highlight w:val="none"/>
                    </w:rPr>
                  </w:pPr>
                  <w:r>
                    <w:rPr>
                      <w:color w:val="auto"/>
                      <w:highlight w:val="none"/>
                    </w:rPr>
                    <w:t>应急设施、设备与器材等</w:t>
                  </w:r>
                </w:p>
              </w:tc>
            </w:tr>
            <w:tr w14:paraId="6CAE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35F8DB4E">
                  <w:pPr>
                    <w:pStyle w:val="30"/>
                    <w:rPr>
                      <w:color w:val="auto"/>
                      <w:highlight w:val="none"/>
                      <w:lang w:eastAsia="en-US"/>
                    </w:rPr>
                  </w:pPr>
                  <w:r>
                    <w:rPr>
                      <w:color w:val="auto"/>
                      <w:highlight w:val="none"/>
                    </w:rPr>
                    <w:t>5</w:t>
                  </w:r>
                </w:p>
              </w:tc>
              <w:tc>
                <w:tcPr>
                  <w:tcW w:w="2716" w:type="dxa"/>
                  <w:tcBorders>
                    <w:tl2br w:val="nil"/>
                    <w:tr2bl w:val="nil"/>
                  </w:tcBorders>
                  <w:vAlign w:val="center"/>
                </w:tcPr>
                <w:p w14:paraId="37BD2F10">
                  <w:pPr>
                    <w:pStyle w:val="30"/>
                    <w:rPr>
                      <w:color w:val="auto"/>
                      <w:highlight w:val="none"/>
                      <w:lang w:eastAsia="en-US"/>
                    </w:rPr>
                  </w:pPr>
                  <w:r>
                    <w:rPr>
                      <w:color w:val="auto"/>
                      <w:highlight w:val="none"/>
                    </w:rPr>
                    <w:t>报警、通讯联络方式</w:t>
                  </w:r>
                </w:p>
              </w:tc>
              <w:tc>
                <w:tcPr>
                  <w:tcW w:w="5010" w:type="dxa"/>
                  <w:tcBorders>
                    <w:tl2br w:val="nil"/>
                    <w:tr2bl w:val="nil"/>
                  </w:tcBorders>
                  <w:vAlign w:val="center"/>
                </w:tcPr>
                <w:p w14:paraId="3F1375EB">
                  <w:pPr>
                    <w:pStyle w:val="30"/>
                    <w:rPr>
                      <w:color w:val="auto"/>
                      <w:highlight w:val="none"/>
                    </w:rPr>
                  </w:pPr>
                  <w:r>
                    <w:rPr>
                      <w:color w:val="auto"/>
                      <w:highlight w:val="none"/>
                    </w:rPr>
                    <w:t>规定应急状态下的报警通讯方式、通知方式和交通保障、管制</w:t>
                  </w:r>
                </w:p>
              </w:tc>
            </w:tr>
            <w:tr w14:paraId="6405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0A1CAA5F">
                  <w:pPr>
                    <w:pStyle w:val="30"/>
                    <w:rPr>
                      <w:color w:val="auto"/>
                      <w:highlight w:val="none"/>
                      <w:lang w:eastAsia="en-US"/>
                    </w:rPr>
                  </w:pPr>
                  <w:r>
                    <w:rPr>
                      <w:color w:val="auto"/>
                      <w:highlight w:val="none"/>
                    </w:rPr>
                    <w:t>6</w:t>
                  </w:r>
                </w:p>
              </w:tc>
              <w:tc>
                <w:tcPr>
                  <w:tcW w:w="2716" w:type="dxa"/>
                  <w:tcBorders>
                    <w:tl2br w:val="nil"/>
                    <w:tr2bl w:val="nil"/>
                  </w:tcBorders>
                  <w:vAlign w:val="center"/>
                </w:tcPr>
                <w:p w14:paraId="505933F5">
                  <w:pPr>
                    <w:pStyle w:val="30"/>
                    <w:rPr>
                      <w:color w:val="auto"/>
                      <w:highlight w:val="none"/>
                    </w:rPr>
                  </w:pPr>
                  <w:r>
                    <w:rPr>
                      <w:color w:val="auto"/>
                      <w:highlight w:val="none"/>
                    </w:rPr>
                    <w:t>应急环境监测、抢险、救援及控制措施</w:t>
                  </w:r>
                </w:p>
              </w:tc>
              <w:tc>
                <w:tcPr>
                  <w:tcW w:w="5010" w:type="dxa"/>
                  <w:tcBorders>
                    <w:tl2br w:val="nil"/>
                    <w:tr2bl w:val="nil"/>
                  </w:tcBorders>
                  <w:vAlign w:val="center"/>
                </w:tcPr>
                <w:p w14:paraId="00C144EA">
                  <w:pPr>
                    <w:pStyle w:val="30"/>
                    <w:rPr>
                      <w:color w:val="auto"/>
                      <w:highlight w:val="none"/>
                    </w:rPr>
                  </w:pPr>
                  <w:r>
                    <w:rPr>
                      <w:color w:val="auto"/>
                      <w:highlight w:val="none"/>
                    </w:rPr>
                    <w:t>由专业队伍负责对事故现场进行侦查监测，对事故性质、参数与后果进行评估，为指挥部门提供决策依据</w:t>
                  </w:r>
                </w:p>
              </w:tc>
            </w:tr>
            <w:tr w14:paraId="09F6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3A4F41DE">
                  <w:pPr>
                    <w:pStyle w:val="30"/>
                    <w:rPr>
                      <w:color w:val="auto"/>
                      <w:highlight w:val="none"/>
                      <w:lang w:eastAsia="en-US"/>
                    </w:rPr>
                  </w:pPr>
                  <w:r>
                    <w:rPr>
                      <w:color w:val="auto"/>
                      <w:highlight w:val="none"/>
                    </w:rPr>
                    <w:t>7</w:t>
                  </w:r>
                </w:p>
              </w:tc>
              <w:tc>
                <w:tcPr>
                  <w:tcW w:w="2716" w:type="dxa"/>
                  <w:tcBorders>
                    <w:tl2br w:val="nil"/>
                    <w:tr2bl w:val="nil"/>
                  </w:tcBorders>
                  <w:vAlign w:val="center"/>
                </w:tcPr>
                <w:p w14:paraId="3531A88F">
                  <w:pPr>
                    <w:pStyle w:val="30"/>
                    <w:rPr>
                      <w:color w:val="auto"/>
                      <w:highlight w:val="none"/>
                    </w:rPr>
                  </w:pPr>
                  <w:r>
                    <w:rPr>
                      <w:color w:val="auto"/>
                      <w:highlight w:val="none"/>
                    </w:rPr>
                    <w:t>应急检测、防护措施、清除泄漏措施和器材</w:t>
                  </w:r>
                </w:p>
              </w:tc>
              <w:tc>
                <w:tcPr>
                  <w:tcW w:w="5010" w:type="dxa"/>
                  <w:tcBorders>
                    <w:tl2br w:val="nil"/>
                    <w:tr2bl w:val="nil"/>
                  </w:tcBorders>
                  <w:vAlign w:val="center"/>
                </w:tcPr>
                <w:p w14:paraId="5EE2353B">
                  <w:pPr>
                    <w:pStyle w:val="30"/>
                    <w:rPr>
                      <w:color w:val="auto"/>
                      <w:highlight w:val="none"/>
                    </w:rPr>
                  </w:pPr>
                  <w:r>
                    <w:rPr>
                      <w:color w:val="auto"/>
                      <w:highlight w:val="none"/>
                    </w:rPr>
                    <w:t>事故现场、邻近区域、控制防火区域，控制和清除污染措施及相应设备</w:t>
                  </w:r>
                </w:p>
              </w:tc>
            </w:tr>
            <w:tr w14:paraId="2BF6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696AE18A">
                  <w:pPr>
                    <w:pStyle w:val="30"/>
                    <w:rPr>
                      <w:color w:val="auto"/>
                      <w:highlight w:val="none"/>
                      <w:lang w:eastAsia="en-US"/>
                    </w:rPr>
                  </w:pPr>
                  <w:r>
                    <w:rPr>
                      <w:color w:val="auto"/>
                      <w:highlight w:val="none"/>
                    </w:rPr>
                    <w:t>8</w:t>
                  </w:r>
                </w:p>
              </w:tc>
              <w:tc>
                <w:tcPr>
                  <w:tcW w:w="2716" w:type="dxa"/>
                  <w:tcBorders>
                    <w:tl2br w:val="nil"/>
                    <w:tr2bl w:val="nil"/>
                  </w:tcBorders>
                  <w:vAlign w:val="center"/>
                </w:tcPr>
                <w:p w14:paraId="0A27DAE0">
                  <w:pPr>
                    <w:pStyle w:val="30"/>
                    <w:rPr>
                      <w:color w:val="auto"/>
                      <w:highlight w:val="none"/>
                    </w:rPr>
                  </w:pPr>
                  <w:r>
                    <w:rPr>
                      <w:color w:val="auto"/>
                      <w:highlight w:val="none"/>
                    </w:rPr>
                    <w:t>人员紧急撤离、疏散，应急剂量控制、撤离组织计划</w:t>
                  </w:r>
                </w:p>
              </w:tc>
              <w:tc>
                <w:tcPr>
                  <w:tcW w:w="5010" w:type="dxa"/>
                  <w:tcBorders>
                    <w:tl2br w:val="nil"/>
                    <w:tr2bl w:val="nil"/>
                  </w:tcBorders>
                  <w:vAlign w:val="center"/>
                </w:tcPr>
                <w:p w14:paraId="2582F718">
                  <w:pPr>
                    <w:pStyle w:val="30"/>
                    <w:rPr>
                      <w:color w:val="auto"/>
                      <w:highlight w:val="none"/>
                    </w:rPr>
                  </w:pPr>
                  <w:r>
                    <w:rPr>
                      <w:color w:val="auto"/>
                      <w:highlight w:val="none"/>
                    </w:rPr>
                    <w:t>事故现场、企业邻近区、受事故影响的区域人员及公众对毒物应急剂量控制规定，撤离组织计划及救护，医疗救护与公众健康</w:t>
                  </w:r>
                </w:p>
              </w:tc>
            </w:tr>
            <w:tr w14:paraId="4DF2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11A01316">
                  <w:pPr>
                    <w:pStyle w:val="30"/>
                    <w:rPr>
                      <w:color w:val="auto"/>
                      <w:highlight w:val="none"/>
                      <w:lang w:eastAsia="en-US"/>
                    </w:rPr>
                  </w:pPr>
                  <w:r>
                    <w:rPr>
                      <w:color w:val="auto"/>
                      <w:highlight w:val="none"/>
                    </w:rPr>
                    <w:t>9</w:t>
                  </w:r>
                </w:p>
              </w:tc>
              <w:tc>
                <w:tcPr>
                  <w:tcW w:w="2716" w:type="dxa"/>
                  <w:tcBorders>
                    <w:tl2br w:val="nil"/>
                    <w:tr2bl w:val="nil"/>
                  </w:tcBorders>
                  <w:vAlign w:val="center"/>
                </w:tcPr>
                <w:p w14:paraId="30C8E7A0">
                  <w:pPr>
                    <w:pStyle w:val="30"/>
                    <w:rPr>
                      <w:color w:val="auto"/>
                      <w:highlight w:val="none"/>
                    </w:rPr>
                  </w:pPr>
                  <w:r>
                    <w:rPr>
                      <w:color w:val="auto"/>
                      <w:highlight w:val="none"/>
                    </w:rPr>
                    <w:t>事故应急救援关闭程序与恢复措施</w:t>
                  </w:r>
                </w:p>
              </w:tc>
              <w:tc>
                <w:tcPr>
                  <w:tcW w:w="5010" w:type="dxa"/>
                  <w:tcBorders>
                    <w:tl2br w:val="nil"/>
                    <w:tr2bl w:val="nil"/>
                  </w:tcBorders>
                  <w:vAlign w:val="center"/>
                </w:tcPr>
                <w:p w14:paraId="1984D7DA">
                  <w:pPr>
                    <w:pStyle w:val="30"/>
                    <w:rPr>
                      <w:color w:val="auto"/>
                      <w:highlight w:val="none"/>
                    </w:rPr>
                  </w:pPr>
                  <w:r>
                    <w:rPr>
                      <w:color w:val="auto"/>
                      <w:highlight w:val="none"/>
                    </w:rPr>
                    <w:t>规定应急状态终止程序；事故现场善后处理，恢复措施；邻近区域解除事故警戒及善后恢复措施</w:t>
                  </w:r>
                </w:p>
              </w:tc>
            </w:tr>
            <w:tr w14:paraId="1223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7A9AC70E">
                  <w:pPr>
                    <w:pStyle w:val="30"/>
                    <w:rPr>
                      <w:color w:val="auto"/>
                      <w:highlight w:val="none"/>
                    </w:rPr>
                  </w:pPr>
                  <w:r>
                    <w:rPr>
                      <w:rFonts w:hint="eastAsia"/>
                      <w:color w:val="auto"/>
                      <w:highlight w:val="none"/>
                    </w:rPr>
                    <w:t>10</w:t>
                  </w:r>
                </w:p>
              </w:tc>
              <w:tc>
                <w:tcPr>
                  <w:tcW w:w="2716" w:type="dxa"/>
                  <w:tcBorders>
                    <w:tl2br w:val="nil"/>
                    <w:tr2bl w:val="nil"/>
                  </w:tcBorders>
                  <w:vAlign w:val="center"/>
                </w:tcPr>
                <w:p w14:paraId="371FB984">
                  <w:pPr>
                    <w:pStyle w:val="30"/>
                    <w:rPr>
                      <w:color w:val="auto"/>
                      <w:highlight w:val="none"/>
                      <w:lang w:eastAsia="en-US"/>
                    </w:rPr>
                  </w:pPr>
                  <w:r>
                    <w:rPr>
                      <w:color w:val="auto"/>
                      <w:highlight w:val="none"/>
                    </w:rPr>
                    <w:t>应急培训计划</w:t>
                  </w:r>
                </w:p>
              </w:tc>
              <w:tc>
                <w:tcPr>
                  <w:tcW w:w="5010" w:type="dxa"/>
                  <w:tcBorders>
                    <w:tl2br w:val="nil"/>
                    <w:tr2bl w:val="nil"/>
                  </w:tcBorders>
                  <w:vAlign w:val="center"/>
                </w:tcPr>
                <w:p w14:paraId="75050B81">
                  <w:pPr>
                    <w:pStyle w:val="30"/>
                    <w:rPr>
                      <w:color w:val="auto"/>
                      <w:highlight w:val="none"/>
                    </w:rPr>
                  </w:pPr>
                  <w:r>
                    <w:rPr>
                      <w:color w:val="auto"/>
                      <w:highlight w:val="none"/>
                    </w:rPr>
                    <w:t>应急计划制定后，平时安排人员培训与演练</w:t>
                  </w:r>
                </w:p>
              </w:tc>
            </w:tr>
            <w:tr w14:paraId="2B29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4362A886">
                  <w:pPr>
                    <w:pStyle w:val="30"/>
                    <w:rPr>
                      <w:color w:val="auto"/>
                      <w:highlight w:val="none"/>
                    </w:rPr>
                  </w:pPr>
                  <w:r>
                    <w:rPr>
                      <w:rFonts w:hint="eastAsia"/>
                      <w:color w:val="auto"/>
                      <w:highlight w:val="none"/>
                    </w:rPr>
                    <w:t>11</w:t>
                  </w:r>
                </w:p>
              </w:tc>
              <w:tc>
                <w:tcPr>
                  <w:tcW w:w="2716" w:type="dxa"/>
                  <w:tcBorders>
                    <w:tl2br w:val="nil"/>
                    <w:tr2bl w:val="nil"/>
                  </w:tcBorders>
                  <w:vAlign w:val="center"/>
                </w:tcPr>
                <w:p w14:paraId="73940B03">
                  <w:pPr>
                    <w:pStyle w:val="30"/>
                    <w:rPr>
                      <w:color w:val="auto"/>
                      <w:highlight w:val="none"/>
                      <w:lang w:eastAsia="en-US"/>
                    </w:rPr>
                  </w:pPr>
                  <w:r>
                    <w:rPr>
                      <w:color w:val="auto"/>
                      <w:highlight w:val="none"/>
                    </w:rPr>
                    <w:t>公众教育和信息</w:t>
                  </w:r>
                </w:p>
              </w:tc>
              <w:tc>
                <w:tcPr>
                  <w:tcW w:w="5010" w:type="dxa"/>
                  <w:tcBorders>
                    <w:tl2br w:val="nil"/>
                    <w:tr2bl w:val="nil"/>
                  </w:tcBorders>
                  <w:vAlign w:val="center"/>
                </w:tcPr>
                <w:p w14:paraId="084087EA">
                  <w:pPr>
                    <w:pStyle w:val="30"/>
                    <w:rPr>
                      <w:color w:val="auto"/>
                      <w:highlight w:val="none"/>
                    </w:rPr>
                  </w:pPr>
                  <w:r>
                    <w:rPr>
                      <w:color w:val="auto"/>
                      <w:highlight w:val="none"/>
                    </w:rPr>
                    <w:t>对企业邻近地区开展公众教育、培训和发布有关信息</w:t>
                  </w:r>
                </w:p>
              </w:tc>
            </w:tr>
          </w:tbl>
          <w:p w14:paraId="5B4BC779">
            <w:pPr>
              <w:ind w:firstLine="240" w:firstLineChars="100"/>
              <w:rPr>
                <w:color w:val="auto"/>
                <w:highlight w:val="none"/>
              </w:rPr>
            </w:pPr>
            <w:r>
              <w:rPr>
                <w:rFonts w:hint="eastAsia"/>
                <w:color w:val="auto"/>
                <w:highlight w:val="none"/>
              </w:rPr>
              <w:t>8、分析结论</w:t>
            </w:r>
          </w:p>
          <w:p w14:paraId="0C7B012B">
            <w:pPr>
              <w:widowControl/>
              <w:snapToGrid w:val="0"/>
              <w:ind w:firstLine="480" w:firstLineChars="200"/>
              <w:jc w:val="left"/>
              <w:rPr>
                <w:bCs/>
                <w:color w:val="auto"/>
                <w:highlight w:val="none"/>
              </w:rPr>
            </w:pPr>
            <w:r>
              <w:rPr>
                <w:rFonts w:hint="eastAsia"/>
                <w:bCs/>
                <w:color w:val="auto"/>
                <w:highlight w:val="none"/>
              </w:rPr>
              <w:t>项目为新建项目，通过调查分析，只要建设单位严格遵照国家有关规定建设、生产、操作，发生危害事故的几率很小。发生事故时如能严格落实报告提出的各项防止环境污染的措施和要求，采取紧急应急措施，事故产生的影响是可以控制的。</w:t>
            </w:r>
          </w:p>
          <w:p w14:paraId="6943EF82">
            <w:pPr>
              <w:widowControl/>
              <w:snapToGrid w:val="0"/>
              <w:ind w:firstLine="480" w:firstLineChars="200"/>
              <w:jc w:val="left"/>
              <w:rPr>
                <w:rFonts w:cs="宋体"/>
                <w:bCs/>
                <w:color w:val="auto"/>
                <w:spacing w:val="-10"/>
                <w:highlight w:val="none"/>
              </w:rPr>
            </w:pPr>
            <w:r>
              <w:rPr>
                <w:rFonts w:hint="eastAsia"/>
                <w:bCs/>
                <w:color w:val="auto"/>
                <w:highlight w:val="none"/>
              </w:rPr>
              <w:t>项目可能发生事故的类型主要有泄漏、爆炸和火灾。在采取相应的预防措施，并加强管理后预计项目发生各类事故的机率很小，环境风险影响属可接受水平。</w:t>
            </w:r>
          </w:p>
          <w:p w14:paraId="0635D556">
            <w:pPr>
              <w:ind w:firstLine="480" w:firstLineChars="200"/>
              <w:rPr>
                <w:color w:val="auto"/>
                <w:highlight w:val="none"/>
              </w:rPr>
            </w:pPr>
            <w:r>
              <w:rPr>
                <w:rFonts w:hint="eastAsia"/>
                <w:color w:val="auto"/>
                <w:highlight w:val="none"/>
              </w:rPr>
              <w:t>综上所述，本项目中物质可能产生的风险，通过采取以上的防范措施和制定相应的应急预案，项目风险程度可以降到最低，不会危害周边环境和人体健康，</w:t>
            </w:r>
            <w:r>
              <w:rPr>
                <w:color w:val="auto"/>
                <w:highlight w:val="none"/>
              </w:rPr>
              <w:t>可满足环境风险的</w:t>
            </w:r>
            <w:r>
              <w:rPr>
                <w:rFonts w:hint="eastAsia"/>
                <w:color w:val="auto"/>
                <w:highlight w:val="none"/>
              </w:rPr>
              <w:t>防范</w:t>
            </w:r>
            <w:r>
              <w:rPr>
                <w:color w:val="auto"/>
                <w:highlight w:val="none"/>
              </w:rPr>
              <w:t>要求。</w:t>
            </w:r>
          </w:p>
          <w:p w14:paraId="52F1D2DB">
            <w:pPr>
              <w:rPr>
                <w:b/>
                <w:bCs/>
                <w:color w:val="auto"/>
                <w:highlight w:val="none"/>
                <w:lang w:val="zh-CN"/>
              </w:rPr>
            </w:pPr>
            <w:r>
              <w:rPr>
                <w:b/>
                <w:bCs/>
                <w:color w:val="auto"/>
                <w:highlight w:val="none"/>
                <w:lang w:val="zh-CN"/>
              </w:rPr>
              <w:t>六、地下水影响分析</w:t>
            </w:r>
          </w:p>
          <w:p w14:paraId="2A27D6A1">
            <w:pPr>
              <w:bidi w:val="0"/>
              <w:ind w:firstLine="480" w:firstLineChars="200"/>
              <w:rPr>
                <w:color w:val="auto"/>
                <w:highlight w:val="none"/>
              </w:rPr>
            </w:pPr>
            <w:r>
              <w:rPr>
                <w:rFonts w:hint="eastAsia"/>
                <w:color w:val="auto"/>
                <w:highlight w:val="none"/>
                <w:lang w:val="en-US" w:eastAsia="zh-CN"/>
              </w:rPr>
              <w:t>1、</w:t>
            </w:r>
            <w:r>
              <w:rPr>
                <w:rFonts w:hint="default"/>
                <w:color w:val="auto"/>
                <w:highlight w:val="none"/>
                <w:lang w:val="en-US" w:eastAsia="zh-CN"/>
              </w:rPr>
              <w:t>影响识别</w:t>
            </w:r>
          </w:p>
          <w:p w14:paraId="5086DA74">
            <w:pPr>
              <w:bidi w:val="0"/>
              <w:ind w:firstLine="480" w:firstLineChars="200"/>
              <w:rPr>
                <w:color w:val="auto"/>
                <w:highlight w:val="none"/>
              </w:rPr>
            </w:pPr>
            <w:r>
              <w:rPr>
                <w:rFonts w:hint="default"/>
                <w:color w:val="auto"/>
                <w:highlight w:val="none"/>
                <w:lang w:val="en-US" w:eastAsia="zh-CN"/>
              </w:rPr>
              <w:t>本项目为</w:t>
            </w:r>
            <w:r>
              <w:rPr>
                <w:rFonts w:hint="eastAsia"/>
                <w:color w:val="auto"/>
                <w:highlight w:val="none"/>
                <w:lang w:val="en-US" w:eastAsia="zh-CN"/>
              </w:rPr>
              <w:t>内部综合能源站</w:t>
            </w:r>
            <w:r>
              <w:rPr>
                <w:rFonts w:hint="default"/>
                <w:color w:val="auto"/>
                <w:highlight w:val="none"/>
                <w:lang w:val="en-US" w:eastAsia="zh-CN"/>
              </w:rPr>
              <w:t>运营期</w:t>
            </w:r>
            <w:r>
              <w:rPr>
                <w:rFonts w:hint="eastAsia"/>
                <w:color w:val="auto"/>
                <w:highlight w:val="none"/>
                <w:lang w:val="en-US" w:eastAsia="zh-CN"/>
              </w:rPr>
              <w:t>油品</w:t>
            </w:r>
            <w:r>
              <w:rPr>
                <w:rFonts w:hint="default"/>
                <w:color w:val="auto"/>
                <w:highlight w:val="none"/>
                <w:lang w:val="en-US" w:eastAsia="zh-CN"/>
              </w:rPr>
              <w:t>的跑冒滴漏及油罐发生溢出、泄漏和爆炸等风险事故时，含油污染物进入土壤，通过迁移污染地下水水质。</w:t>
            </w:r>
          </w:p>
          <w:p w14:paraId="171EBEE6">
            <w:pPr>
              <w:bidi w:val="0"/>
              <w:ind w:firstLine="480" w:firstLineChars="200"/>
              <w:rPr>
                <w:color w:val="auto"/>
                <w:highlight w:val="none"/>
              </w:rPr>
            </w:pPr>
            <w:r>
              <w:rPr>
                <w:rFonts w:hint="eastAsia"/>
                <w:color w:val="auto"/>
                <w:highlight w:val="none"/>
                <w:lang w:val="en-US" w:eastAsia="zh-CN"/>
              </w:rPr>
              <w:t>2、</w:t>
            </w:r>
            <w:r>
              <w:rPr>
                <w:rFonts w:hint="default"/>
                <w:color w:val="auto"/>
                <w:highlight w:val="none"/>
                <w:lang w:val="en-US" w:eastAsia="zh-CN"/>
              </w:rPr>
              <w:t>污染防控措施</w:t>
            </w:r>
          </w:p>
          <w:p w14:paraId="69EA6AFB">
            <w:pPr>
              <w:ind w:firstLine="480" w:firstLineChars="200"/>
              <w:rPr>
                <w:color w:val="auto"/>
                <w:highlight w:val="none"/>
              </w:rPr>
            </w:pPr>
            <w:r>
              <w:rPr>
                <w:rFonts w:hint="default"/>
                <w:color w:val="auto"/>
                <w:highlight w:val="none"/>
                <w:lang w:val="en-US" w:eastAsia="zh-CN"/>
              </w:rPr>
              <w:t>根据《加油站地下水污染防治技术指南》</w:t>
            </w:r>
            <w:r>
              <w:rPr>
                <w:rFonts w:hint="eastAsia"/>
                <w:color w:val="auto"/>
                <w:highlight w:val="none"/>
                <w:lang w:val="en-US" w:eastAsia="zh-CN"/>
              </w:rPr>
              <w:t>，</w:t>
            </w:r>
            <w:r>
              <w:rPr>
                <w:rFonts w:hint="default"/>
                <w:color w:val="auto"/>
                <w:highlight w:val="none"/>
                <w:lang w:val="en-US" w:eastAsia="zh-CN"/>
              </w:rPr>
              <w:t>为防止加油站油品泄漏，污染土壤和地下水，加油站需要采取防渗漏和防渗漏检测措施。加油站的油罐需要</w:t>
            </w:r>
            <w:r>
              <w:rPr>
                <w:rFonts w:hint="eastAsia" w:ascii="宋体" w:hAnsi="宋体" w:eastAsia="宋体" w:cs="宋体"/>
                <w:color w:val="auto"/>
                <w:kern w:val="0"/>
                <w:sz w:val="24"/>
                <w:szCs w:val="24"/>
                <w:highlight w:val="none"/>
                <w:lang w:val="en-US" w:eastAsia="zh-CN" w:bidi="ar"/>
              </w:rPr>
              <w:t>更新为双层罐或者设置防渗池，双层罐和防渗池应符合《汽车加油加气站设计与施工规范》（</w:t>
            </w:r>
            <w:r>
              <w:rPr>
                <w:rFonts w:hint="default" w:ascii="Times New Roman" w:hAnsi="Times New Roman" w:eastAsia="宋体" w:cs="Times New Roman"/>
                <w:color w:val="auto"/>
                <w:kern w:val="0"/>
                <w:sz w:val="24"/>
                <w:szCs w:val="24"/>
                <w:highlight w:val="none"/>
                <w:lang w:val="en-US" w:eastAsia="zh-CN" w:bidi="ar"/>
              </w:rPr>
              <w:t>GB50156</w:t>
            </w:r>
            <w:r>
              <w:rPr>
                <w:rFonts w:hint="eastAsia" w:ascii="宋体" w:hAnsi="宋体" w:eastAsia="宋体" w:cs="宋体"/>
                <w:color w:val="auto"/>
                <w:kern w:val="0"/>
                <w:sz w:val="24"/>
                <w:szCs w:val="24"/>
                <w:highlight w:val="none"/>
                <w:lang w:val="en-US" w:eastAsia="zh-CN" w:bidi="ar"/>
              </w:rPr>
              <w:t>）的要求，加油站需要开展渗漏检测，设置常规地下水监测井，开展地下水常规监测。</w:t>
            </w:r>
          </w:p>
          <w:p w14:paraId="18FC8D84">
            <w:pPr>
              <w:bidi w:val="0"/>
              <w:ind w:firstLine="480" w:firstLineChars="200"/>
              <w:rPr>
                <w:color w:val="auto"/>
                <w:highlight w:val="none"/>
              </w:rPr>
            </w:pPr>
            <w:r>
              <w:rPr>
                <w:rFonts w:hint="eastAsia"/>
                <w:color w:val="auto"/>
                <w:highlight w:val="none"/>
                <w:lang w:val="en-US" w:eastAsia="zh-CN"/>
              </w:rPr>
              <w:t>（1）双层罐设置</w:t>
            </w:r>
          </w:p>
          <w:p w14:paraId="1522343C">
            <w:pPr>
              <w:bidi w:val="0"/>
              <w:ind w:firstLine="480" w:firstLineChars="200"/>
              <w:rPr>
                <w:color w:val="auto"/>
                <w:highlight w:val="none"/>
              </w:rPr>
            </w:pPr>
            <w:r>
              <w:rPr>
                <w:rFonts w:hint="eastAsia"/>
                <w:color w:val="auto"/>
                <w:highlight w:val="none"/>
                <w:lang w:val="en-US" w:eastAsia="zh-CN"/>
              </w:rPr>
              <w:t>埋地油罐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p w14:paraId="0F803ECD">
            <w:pPr>
              <w:bidi w:val="0"/>
              <w:ind w:firstLine="480" w:firstLineChars="200"/>
              <w:rPr>
                <w:color w:val="auto"/>
                <w:highlight w:val="none"/>
              </w:rPr>
            </w:pPr>
            <w:r>
              <w:rPr>
                <w:rFonts w:hint="eastAsia"/>
                <w:color w:val="auto"/>
                <w:highlight w:val="none"/>
                <w:lang w:val="en-US" w:eastAsia="zh-CN"/>
              </w:rPr>
              <w:t>双层钢制油罐和内钢外玻璃纤维增强塑料双层油罐的内层罐的罐体结构设计，可按现行行业标准《钢制常压储罐 第一部分：储存对水有污染的易燃和不易燃液体的埋地卧式圆筒形单层和双层储罐》（</w:t>
            </w:r>
            <w:r>
              <w:rPr>
                <w:rFonts w:hint="default"/>
                <w:color w:val="auto"/>
                <w:highlight w:val="none"/>
                <w:lang w:val="en-US" w:eastAsia="zh-CN"/>
              </w:rPr>
              <w:t>AQ3020</w:t>
            </w:r>
            <w:r>
              <w:rPr>
                <w:rFonts w:hint="eastAsia"/>
                <w:color w:val="auto"/>
                <w:highlight w:val="none"/>
                <w:lang w:val="en-US" w:eastAsia="zh-CN"/>
              </w:rPr>
              <w:t>）的有关规定执行，并应符合《汽车加油加气站设计与施工规范》（</w:t>
            </w:r>
            <w:r>
              <w:rPr>
                <w:rFonts w:hint="default"/>
                <w:color w:val="auto"/>
                <w:highlight w:val="none"/>
                <w:lang w:val="en-US" w:eastAsia="zh-CN"/>
              </w:rPr>
              <w:t>GB 50156</w:t>
            </w:r>
            <w:r>
              <w:rPr>
                <w:rFonts w:hint="eastAsia"/>
                <w:color w:val="auto"/>
                <w:highlight w:val="none"/>
                <w:lang w:val="en-US" w:eastAsia="zh-CN"/>
              </w:rPr>
              <w:t>）的其他规定。</w:t>
            </w:r>
          </w:p>
          <w:p w14:paraId="51925DC5">
            <w:pPr>
              <w:bidi w:val="0"/>
              <w:ind w:firstLine="480" w:firstLineChars="200"/>
              <w:rPr>
                <w:color w:val="auto"/>
                <w:highlight w:val="none"/>
              </w:rPr>
            </w:pPr>
            <w:r>
              <w:rPr>
                <w:rFonts w:hint="eastAsia"/>
                <w:color w:val="auto"/>
                <w:highlight w:val="none"/>
                <w:lang w:val="en-US" w:eastAsia="zh-CN"/>
              </w:rPr>
              <w:t>与土壤接触的钢制油罐外表面，其防腐设计应符合现行行业标准《石油化工设备和管道涂料防腐蚀技术规范》（</w:t>
            </w:r>
            <w:r>
              <w:rPr>
                <w:rFonts w:hint="default"/>
                <w:color w:val="auto"/>
                <w:highlight w:val="none"/>
                <w:lang w:val="en-US" w:eastAsia="zh-CN"/>
              </w:rPr>
              <w:t>SH 3022</w:t>
            </w:r>
            <w:r>
              <w:rPr>
                <w:rFonts w:hint="eastAsia"/>
                <w:color w:val="auto"/>
                <w:highlight w:val="none"/>
                <w:lang w:val="en-US" w:eastAsia="zh-CN"/>
              </w:rPr>
              <w:t>）的有关规定，且防腐等级不应低于加强级。</w:t>
            </w:r>
          </w:p>
          <w:p w14:paraId="53219760">
            <w:pPr>
              <w:bidi w:val="0"/>
              <w:ind w:firstLine="480" w:firstLineChars="200"/>
              <w:rPr>
                <w:color w:val="auto"/>
                <w:highlight w:val="none"/>
              </w:rPr>
            </w:pPr>
            <w:r>
              <w:rPr>
                <w:rFonts w:hint="eastAsia"/>
                <w:color w:val="auto"/>
                <w:highlight w:val="none"/>
                <w:lang w:val="en-US" w:eastAsia="zh-CN"/>
              </w:rPr>
              <w:t>（2）防渗池设置</w:t>
            </w:r>
          </w:p>
          <w:p w14:paraId="28A92824">
            <w:pPr>
              <w:bidi w:val="0"/>
              <w:ind w:firstLine="480" w:firstLineChars="200"/>
              <w:rPr>
                <w:color w:val="auto"/>
                <w:highlight w:val="none"/>
              </w:rPr>
            </w:pPr>
            <w:r>
              <w:rPr>
                <w:rFonts w:hint="eastAsia"/>
                <w:color w:val="auto"/>
                <w:highlight w:val="none"/>
                <w:lang w:val="en-US" w:eastAsia="zh-CN"/>
              </w:rPr>
              <w:t>防渗池的设计应符合下列规定：</w:t>
            </w:r>
          </w:p>
          <w:p w14:paraId="201623A1">
            <w:pPr>
              <w:bidi w:val="0"/>
              <w:ind w:firstLine="480" w:firstLineChars="200"/>
              <w:rPr>
                <w:color w:val="auto"/>
                <w:highlight w:val="none"/>
              </w:rPr>
            </w:pPr>
            <w:r>
              <w:rPr>
                <w:rFonts w:hint="default"/>
                <w:color w:val="auto"/>
                <w:highlight w:val="none"/>
                <w:lang w:val="en-US" w:eastAsia="zh-CN"/>
              </w:rPr>
              <w:t>1</w:t>
            </w:r>
            <w:r>
              <w:rPr>
                <w:rFonts w:hint="eastAsia"/>
                <w:color w:val="auto"/>
                <w:highlight w:val="none"/>
                <w:lang w:val="en-US" w:eastAsia="zh-CN"/>
              </w:rPr>
              <w:t>）防渗池应采用防渗钢筋混凝土整体浇筑，并应符合现行国家标准《地下工程防水技术规范》（</w:t>
            </w:r>
            <w:r>
              <w:rPr>
                <w:rFonts w:hint="default"/>
                <w:color w:val="auto"/>
                <w:highlight w:val="none"/>
                <w:lang w:val="en-US" w:eastAsia="zh-CN"/>
              </w:rPr>
              <w:t>GB 50108</w:t>
            </w:r>
            <w:r>
              <w:rPr>
                <w:rFonts w:hint="eastAsia"/>
                <w:color w:val="auto"/>
                <w:highlight w:val="none"/>
                <w:lang w:val="en-US" w:eastAsia="zh-CN"/>
              </w:rPr>
              <w:t>）的有关规定。</w:t>
            </w:r>
          </w:p>
          <w:p w14:paraId="13A06363">
            <w:pPr>
              <w:bidi w:val="0"/>
              <w:ind w:firstLine="480" w:firstLineChars="200"/>
              <w:rPr>
                <w:color w:val="auto"/>
                <w:highlight w:val="none"/>
              </w:rPr>
            </w:pPr>
            <w:r>
              <w:rPr>
                <w:rFonts w:hint="default"/>
                <w:color w:val="auto"/>
                <w:highlight w:val="none"/>
                <w:lang w:val="en-US" w:eastAsia="zh-CN"/>
              </w:rPr>
              <w:t>2</w:t>
            </w:r>
            <w:r>
              <w:rPr>
                <w:rFonts w:hint="eastAsia"/>
                <w:color w:val="auto"/>
                <w:highlight w:val="none"/>
                <w:lang w:val="en-US" w:eastAsia="zh-CN"/>
              </w:rPr>
              <w:t>）防渗池应根据油罐的数量设置隔池。一个隔池内的油罐不应多于两座。</w:t>
            </w:r>
          </w:p>
          <w:p w14:paraId="62F0FE16">
            <w:pPr>
              <w:bidi w:val="0"/>
              <w:ind w:firstLine="480" w:firstLineChars="200"/>
              <w:rPr>
                <w:color w:val="auto"/>
                <w:highlight w:val="none"/>
              </w:rPr>
            </w:pPr>
            <w:r>
              <w:rPr>
                <w:rFonts w:hint="default"/>
                <w:color w:val="auto"/>
                <w:highlight w:val="none"/>
                <w:lang w:val="en-US" w:eastAsia="zh-CN"/>
              </w:rPr>
              <w:t>3</w:t>
            </w:r>
            <w:r>
              <w:rPr>
                <w:rFonts w:hint="eastAsia"/>
                <w:color w:val="auto"/>
                <w:highlight w:val="none"/>
                <w:lang w:val="en-US" w:eastAsia="zh-CN"/>
              </w:rPr>
              <w:t>）防渗池的池壁顶应高于池内罐顶标高，池底宜低于罐底设计标高</w:t>
            </w:r>
            <w:r>
              <w:rPr>
                <w:rFonts w:hint="default"/>
                <w:color w:val="auto"/>
                <w:highlight w:val="none"/>
                <w:lang w:val="en-US" w:eastAsia="zh-CN"/>
              </w:rPr>
              <w:t>200mm</w:t>
            </w:r>
            <w:r>
              <w:rPr>
                <w:rFonts w:hint="eastAsia"/>
                <w:color w:val="auto"/>
                <w:highlight w:val="none"/>
                <w:lang w:val="en-US" w:eastAsia="zh-CN"/>
              </w:rPr>
              <w:t>，墙面与罐壁之间的间距不应小于</w:t>
            </w:r>
            <w:r>
              <w:rPr>
                <w:rFonts w:hint="default"/>
                <w:color w:val="auto"/>
                <w:highlight w:val="none"/>
                <w:lang w:val="en-US" w:eastAsia="zh-CN"/>
              </w:rPr>
              <w:t>500mm</w:t>
            </w:r>
            <w:r>
              <w:rPr>
                <w:rFonts w:hint="eastAsia"/>
                <w:color w:val="auto"/>
                <w:highlight w:val="none"/>
                <w:lang w:val="en-US" w:eastAsia="zh-CN"/>
              </w:rPr>
              <w:t>。</w:t>
            </w:r>
          </w:p>
          <w:p w14:paraId="25492C57">
            <w:pPr>
              <w:bidi w:val="0"/>
              <w:ind w:firstLine="480" w:firstLineChars="200"/>
              <w:rPr>
                <w:color w:val="auto"/>
                <w:highlight w:val="none"/>
              </w:rPr>
            </w:pPr>
            <w:r>
              <w:rPr>
                <w:rFonts w:hint="default"/>
                <w:color w:val="auto"/>
                <w:highlight w:val="none"/>
                <w:lang w:val="en-US" w:eastAsia="zh-CN"/>
              </w:rPr>
              <w:t>4</w:t>
            </w:r>
            <w:r>
              <w:rPr>
                <w:rFonts w:hint="eastAsia"/>
                <w:color w:val="auto"/>
                <w:highlight w:val="none"/>
                <w:lang w:val="en-US" w:eastAsia="zh-CN"/>
              </w:rPr>
              <w:t xml:space="preserve">）防渗池的内表面应衬玻璃钢或其他材料防渗层。 </w:t>
            </w:r>
          </w:p>
          <w:p w14:paraId="7EA2460F">
            <w:pPr>
              <w:bidi w:val="0"/>
              <w:ind w:firstLine="480" w:firstLineChars="200"/>
              <w:rPr>
                <w:color w:val="auto"/>
                <w:highlight w:val="none"/>
              </w:rPr>
            </w:pPr>
            <w:r>
              <w:rPr>
                <w:rFonts w:hint="default"/>
                <w:color w:val="auto"/>
                <w:highlight w:val="none"/>
                <w:lang w:val="en-US" w:eastAsia="zh-CN"/>
              </w:rPr>
              <w:t>5</w:t>
            </w:r>
            <w:r>
              <w:rPr>
                <w:rFonts w:hint="eastAsia"/>
                <w:color w:val="auto"/>
                <w:highlight w:val="none"/>
                <w:lang w:val="en-US" w:eastAsia="zh-CN"/>
              </w:rPr>
              <w:t xml:space="preserve">）防渗池内的空间，应采用中性砂回填。 </w:t>
            </w:r>
          </w:p>
          <w:p w14:paraId="70C3AB92">
            <w:pPr>
              <w:bidi w:val="0"/>
              <w:ind w:firstLine="480" w:firstLineChars="200"/>
              <w:rPr>
                <w:color w:val="auto"/>
                <w:highlight w:val="none"/>
              </w:rPr>
            </w:pPr>
            <w:r>
              <w:rPr>
                <w:rFonts w:hint="default"/>
                <w:color w:val="auto"/>
                <w:highlight w:val="none"/>
                <w:lang w:val="en-US" w:eastAsia="zh-CN"/>
              </w:rPr>
              <w:t>6</w:t>
            </w:r>
            <w:r>
              <w:rPr>
                <w:rFonts w:hint="eastAsia"/>
                <w:color w:val="auto"/>
                <w:highlight w:val="none"/>
                <w:lang w:val="en-US" w:eastAsia="zh-CN"/>
              </w:rPr>
              <w:t>）防渗池的上部，应采取防止雨水、地表水和外部泄漏油品渗入池内的措施。</w:t>
            </w:r>
          </w:p>
          <w:p w14:paraId="7CC676E8">
            <w:pPr>
              <w:ind w:firstLine="480" w:firstLineChars="200"/>
              <w:rPr>
                <w:rFonts w:hint="eastAsia"/>
                <w:color w:val="auto"/>
                <w:highlight w:val="none"/>
                <w:lang w:val="en-US" w:eastAsia="zh-CN"/>
              </w:rPr>
            </w:pPr>
            <w:r>
              <w:rPr>
                <w:rFonts w:hint="default"/>
                <w:color w:val="auto"/>
                <w:highlight w:val="none"/>
                <w:lang w:val="en-US" w:eastAsia="zh-CN"/>
              </w:rPr>
              <w:t>7</w:t>
            </w:r>
            <w:r>
              <w:rPr>
                <w:rFonts w:hint="eastAsia"/>
                <w:color w:val="auto"/>
                <w:highlight w:val="none"/>
                <w:lang w:val="en-US" w:eastAsia="zh-CN"/>
              </w:rPr>
              <w:t>）防渗池的各隔池内应设检测立管，检测立管应按规定设置。</w:t>
            </w:r>
          </w:p>
          <w:p w14:paraId="4E7C9EFE">
            <w:pPr>
              <w:ind w:firstLine="480" w:firstLineChars="200"/>
              <w:rPr>
                <w:rFonts w:hint="eastAsia"/>
                <w:color w:val="auto"/>
                <w:highlight w:val="none"/>
                <w:lang w:val="en-US" w:eastAsia="zh-CN"/>
              </w:rPr>
            </w:pPr>
            <w:r>
              <w:rPr>
                <w:rFonts w:hint="eastAsia"/>
                <w:color w:val="auto"/>
                <w:highlight w:val="none"/>
                <w:lang w:val="en-US" w:eastAsia="zh-CN"/>
              </w:rPr>
              <w:t>3、地下水环境监测计划</w:t>
            </w:r>
          </w:p>
          <w:p w14:paraId="38A9F9B2">
            <w:pPr>
              <w:bidi w:val="0"/>
              <w:ind w:firstLine="480" w:firstLineChars="200"/>
              <w:rPr>
                <w:rFonts w:hint="eastAsia"/>
                <w:color w:val="auto"/>
                <w:highlight w:val="none"/>
                <w:lang w:val="en-US" w:eastAsia="zh-CN"/>
              </w:rPr>
            </w:pPr>
            <w:r>
              <w:rPr>
                <w:rFonts w:hint="eastAsia"/>
                <w:color w:val="auto"/>
                <w:highlight w:val="none"/>
                <w:lang w:val="en-US" w:eastAsia="zh-CN"/>
              </w:rPr>
              <w:t>根据</w:t>
            </w:r>
            <w:r>
              <w:rPr>
                <w:color w:val="auto"/>
                <w:highlight w:val="none"/>
              </w:rPr>
              <w:t>《加油站地下水污染防治技术指南</w:t>
            </w:r>
            <w:r>
              <w:rPr>
                <w:rFonts w:ascii="Times New Roman" w:hAnsi="Times New Roman" w:eastAsia="宋体" w:cs="Times New Roman"/>
                <w:color w:val="auto"/>
                <w:highlight w:val="none"/>
              </w:rPr>
              <w:t>（试行）</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在</w:t>
            </w:r>
            <w:r>
              <w:rPr>
                <w:rFonts w:hint="eastAsia" w:cs="Times New Roman"/>
                <w:color w:val="auto"/>
                <w:highlight w:val="none"/>
                <w:lang w:eastAsia="zh-CN"/>
              </w:rPr>
              <w:t>项目所在地</w:t>
            </w:r>
            <w:r>
              <w:rPr>
                <w:rFonts w:hint="eastAsia" w:ascii="Times New Roman" w:hAnsi="Times New Roman" w:eastAsia="宋体" w:cs="Times New Roman"/>
                <w:color w:val="auto"/>
                <w:highlight w:val="none"/>
                <w:lang w:eastAsia="zh-CN"/>
              </w:rPr>
              <w:t>设置地下水跟踪监测井一座。</w:t>
            </w:r>
            <w:r>
              <w:rPr>
                <w:rFonts w:hint="eastAsia" w:ascii="Times New Roman" w:hAnsi="Times New Roman" w:eastAsia="宋体" w:cs="Times New Roman"/>
                <w:color w:val="auto"/>
                <w:highlight w:val="none"/>
                <w:lang w:val="en-US" w:eastAsia="zh-CN"/>
              </w:rPr>
              <w:t>监测计划如下</w:t>
            </w:r>
            <w:r>
              <w:rPr>
                <w:rFonts w:hint="eastAsia"/>
                <w:color w:val="auto"/>
                <w:highlight w:val="none"/>
                <w:lang w:val="en-US" w:eastAsia="zh-CN"/>
              </w:rPr>
              <w:t>：</w:t>
            </w:r>
          </w:p>
          <w:p w14:paraId="5E143871">
            <w:pPr>
              <w:bidi w:val="0"/>
              <w:ind w:firstLine="480" w:firstLineChars="200"/>
              <w:rPr>
                <w:rFonts w:hint="eastAsia"/>
                <w:color w:val="auto"/>
                <w:highlight w:val="none"/>
                <w:lang w:val="en-US" w:eastAsia="zh-CN"/>
              </w:rPr>
            </w:pPr>
            <w:r>
              <w:rPr>
                <w:rFonts w:hint="eastAsia" w:ascii="宋体" w:hAnsi="宋体" w:eastAsia="宋体" w:cs="宋体"/>
                <w:color w:val="auto"/>
                <w:highlight w:val="none"/>
                <w:lang w:val="en-US" w:eastAsia="zh-CN"/>
              </w:rPr>
              <w:t>①</w:t>
            </w:r>
            <w:r>
              <w:rPr>
                <w:rFonts w:hint="eastAsia"/>
                <w:color w:val="auto"/>
                <w:highlight w:val="none"/>
                <w:lang w:val="en-US" w:eastAsia="zh-CN"/>
              </w:rPr>
              <w:t>定性检测：每周一次，通过肉眼观察、使用测油膏、便携式气体监测仪等其他快速方法判定地下水监测井中是否存在油品污染。</w:t>
            </w:r>
          </w:p>
          <w:p w14:paraId="4814CE80">
            <w:pPr>
              <w:keepNext w:val="0"/>
              <w:keepLines w:val="0"/>
              <w:widowControl/>
              <w:suppressLineNumbers w:val="0"/>
              <w:ind w:firstLine="480" w:firstLineChars="200"/>
              <w:jc w:val="left"/>
              <w:rPr>
                <w:rFonts w:hint="eastAsia"/>
                <w:color w:val="auto"/>
                <w:highlight w:val="none"/>
                <w:lang w:val="en-US" w:eastAsia="zh-CN"/>
              </w:rPr>
            </w:pPr>
            <w:r>
              <w:rPr>
                <w:rFonts w:hint="eastAsia" w:ascii="宋体" w:hAnsi="宋体" w:eastAsia="宋体" w:cs="宋体"/>
                <w:color w:val="auto"/>
                <w:highlight w:val="none"/>
                <w:lang w:val="en-US" w:eastAsia="zh-CN"/>
              </w:rPr>
              <w:t>②</w:t>
            </w:r>
            <w:r>
              <w:rPr>
                <w:rFonts w:hint="eastAsia"/>
                <w:color w:val="auto"/>
                <w:highlight w:val="none"/>
                <w:lang w:val="en-US" w:eastAsia="zh-CN"/>
              </w:rPr>
              <w:t>定量监测：每季度监测一次，</w:t>
            </w:r>
            <w:r>
              <w:rPr>
                <w:rFonts w:hint="eastAsia" w:ascii="宋体" w:hAnsi="宋体" w:eastAsia="宋体" w:cs="宋体"/>
                <w:color w:val="auto"/>
                <w:kern w:val="0"/>
                <w:sz w:val="24"/>
                <w:szCs w:val="24"/>
                <w:highlight w:val="none"/>
                <w:lang w:val="en-US" w:eastAsia="zh-CN" w:bidi="ar"/>
              </w:rPr>
              <w:t>具体监测计划见下表</w:t>
            </w:r>
            <w:r>
              <w:rPr>
                <w:rFonts w:hint="eastAsia"/>
                <w:color w:val="auto"/>
                <w:highlight w:val="none"/>
                <w:lang w:val="en-US" w:eastAsia="zh-CN"/>
              </w:rPr>
              <w:t>。</w:t>
            </w:r>
          </w:p>
          <w:p w14:paraId="4137B029">
            <w:pPr>
              <w:pStyle w:val="6"/>
              <w:ind w:left="-240" w:leftChars="-100" w:firstLine="0" w:firstLineChars="0"/>
              <w:rPr>
                <w:rFonts w:hint="eastAsia" w:eastAsia="宋体"/>
                <w:color w:val="auto"/>
                <w:highlight w:val="none"/>
                <w:lang w:val="en-US" w:eastAsia="zh-CN"/>
              </w:rPr>
            </w:pPr>
            <w:r>
              <w:rPr>
                <w:color w:val="auto"/>
                <w:highlight w:val="none"/>
              </w:rPr>
              <w:t xml:space="preserve">表 </w:t>
            </w:r>
            <w:r>
              <w:rPr>
                <w:rFonts w:hint="eastAsia"/>
                <w:color w:val="auto"/>
                <w:highlight w:val="none"/>
                <w:lang w:val="en-US" w:eastAsia="zh-CN"/>
              </w:rPr>
              <w:t>4</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20</w:t>
            </w:r>
            <w:r>
              <w:rPr>
                <w:color w:val="auto"/>
                <w:highlight w:val="none"/>
              </w:rPr>
              <w:fldChar w:fldCharType="end"/>
            </w:r>
            <w:r>
              <w:rPr>
                <w:rFonts w:hint="eastAsia"/>
                <w:color w:val="auto"/>
                <w:highlight w:val="none"/>
                <w:lang w:val="en-US" w:eastAsia="zh-CN"/>
              </w:rPr>
              <w:t xml:space="preserve"> 地下水监测计划表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208"/>
              <w:gridCol w:w="2022"/>
              <w:gridCol w:w="1048"/>
              <w:gridCol w:w="2121"/>
            </w:tblGrid>
            <w:tr w14:paraId="2404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noWrap w:val="0"/>
                  <w:vAlign w:val="center"/>
                </w:tcPr>
                <w:p w14:paraId="08511F81">
                  <w:pPr>
                    <w:pStyle w:val="30"/>
                    <w:bidi w:val="0"/>
                    <w:rPr>
                      <w:rFonts w:hint="eastAsia"/>
                      <w:color w:val="auto"/>
                      <w:highlight w:val="none"/>
                      <w:lang w:eastAsia="zh-CN"/>
                    </w:rPr>
                  </w:pPr>
                  <w:r>
                    <w:rPr>
                      <w:rFonts w:hint="eastAsia"/>
                      <w:color w:val="auto"/>
                      <w:highlight w:val="none"/>
                      <w:lang w:eastAsia="zh-CN"/>
                    </w:rPr>
                    <w:t>监测方法</w:t>
                  </w:r>
                </w:p>
              </w:tc>
              <w:tc>
                <w:tcPr>
                  <w:tcW w:w="794" w:type="pct"/>
                  <w:noWrap w:val="0"/>
                  <w:vAlign w:val="center"/>
                </w:tcPr>
                <w:p w14:paraId="206F8D14">
                  <w:pPr>
                    <w:pStyle w:val="30"/>
                    <w:bidi w:val="0"/>
                    <w:rPr>
                      <w:color w:val="auto"/>
                      <w:highlight w:val="none"/>
                    </w:rPr>
                  </w:pPr>
                  <w:r>
                    <w:rPr>
                      <w:color w:val="auto"/>
                      <w:highlight w:val="none"/>
                    </w:rPr>
                    <w:t>监测点位</w:t>
                  </w:r>
                </w:p>
              </w:tc>
              <w:tc>
                <w:tcPr>
                  <w:tcW w:w="1329" w:type="pct"/>
                  <w:noWrap w:val="0"/>
                  <w:vAlign w:val="center"/>
                </w:tcPr>
                <w:p w14:paraId="0F4F7701">
                  <w:pPr>
                    <w:pStyle w:val="30"/>
                    <w:bidi w:val="0"/>
                    <w:rPr>
                      <w:color w:val="auto"/>
                      <w:highlight w:val="none"/>
                    </w:rPr>
                  </w:pPr>
                  <w:r>
                    <w:rPr>
                      <w:color w:val="auto"/>
                      <w:highlight w:val="none"/>
                    </w:rPr>
                    <w:t>监测指标</w:t>
                  </w:r>
                </w:p>
              </w:tc>
              <w:tc>
                <w:tcPr>
                  <w:tcW w:w="689" w:type="pct"/>
                  <w:noWrap w:val="0"/>
                  <w:vAlign w:val="center"/>
                </w:tcPr>
                <w:p w14:paraId="523A4A33">
                  <w:pPr>
                    <w:pStyle w:val="30"/>
                    <w:bidi w:val="0"/>
                    <w:rPr>
                      <w:color w:val="auto"/>
                      <w:highlight w:val="none"/>
                    </w:rPr>
                  </w:pPr>
                  <w:r>
                    <w:rPr>
                      <w:color w:val="auto"/>
                      <w:highlight w:val="none"/>
                    </w:rPr>
                    <w:t>监测频次</w:t>
                  </w:r>
                </w:p>
              </w:tc>
              <w:tc>
                <w:tcPr>
                  <w:tcW w:w="1394" w:type="pct"/>
                  <w:noWrap w:val="0"/>
                  <w:vAlign w:val="center"/>
                </w:tcPr>
                <w:p w14:paraId="27CBDC63">
                  <w:pPr>
                    <w:pStyle w:val="30"/>
                    <w:bidi w:val="0"/>
                    <w:rPr>
                      <w:color w:val="auto"/>
                      <w:highlight w:val="none"/>
                    </w:rPr>
                  </w:pPr>
                  <w:r>
                    <w:rPr>
                      <w:color w:val="auto"/>
                      <w:highlight w:val="none"/>
                    </w:rPr>
                    <w:t>执行排放标准</w:t>
                  </w:r>
                </w:p>
              </w:tc>
            </w:tr>
            <w:tr w14:paraId="568E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793" w:type="pct"/>
                  <w:noWrap w:val="0"/>
                  <w:vAlign w:val="center"/>
                </w:tcPr>
                <w:p w14:paraId="54192C19">
                  <w:pPr>
                    <w:pStyle w:val="30"/>
                    <w:bidi w:val="0"/>
                    <w:rPr>
                      <w:color w:val="auto"/>
                      <w:highlight w:val="none"/>
                      <w:lang w:val="en-US" w:eastAsia="zh-CN"/>
                    </w:rPr>
                  </w:pPr>
                  <w:r>
                    <w:rPr>
                      <w:color w:val="auto"/>
                      <w:highlight w:val="none"/>
                    </w:rPr>
                    <w:t>定量监测</w:t>
                  </w:r>
                </w:p>
              </w:tc>
              <w:tc>
                <w:tcPr>
                  <w:tcW w:w="794" w:type="pct"/>
                  <w:noWrap w:val="0"/>
                  <w:vAlign w:val="center"/>
                </w:tcPr>
                <w:p w14:paraId="22E3BA4F">
                  <w:pPr>
                    <w:pStyle w:val="30"/>
                    <w:bidi w:val="0"/>
                    <w:rPr>
                      <w:color w:val="auto"/>
                      <w:highlight w:val="none"/>
                      <w:lang w:val="en-US" w:eastAsia="zh-CN"/>
                    </w:rPr>
                  </w:pPr>
                  <w:r>
                    <w:rPr>
                      <w:rFonts w:hint="eastAsia"/>
                      <w:color w:val="auto"/>
                      <w:highlight w:val="none"/>
                      <w:lang w:val="en-US" w:eastAsia="zh-CN"/>
                    </w:rPr>
                    <w:t>地下水监控井</w:t>
                  </w:r>
                </w:p>
              </w:tc>
              <w:tc>
                <w:tcPr>
                  <w:tcW w:w="1329" w:type="pct"/>
                  <w:noWrap w:val="0"/>
                  <w:vAlign w:val="center"/>
                </w:tcPr>
                <w:p w14:paraId="0F1F49B2">
                  <w:pPr>
                    <w:pStyle w:val="30"/>
                    <w:bidi w:val="0"/>
                    <w:rPr>
                      <w:rFonts w:hint="eastAsia"/>
                      <w:color w:val="auto"/>
                      <w:highlight w:val="none"/>
                      <w:lang w:val="en-US" w:eastAsia="zh-CN"/>
                    </w:rPr>
                  </w:pPr>
                  <w:r>
                    <w:rPr>
                      <w:rFonts w:hint="eastAsia"/>
                      <w:color w:val="auto"/>
                      <w:highlight w:val="none"/>
                      <w:lang w:val="en-US" w:eastAsia="zh-CN"/>
                    </w:rPr>
                    <w:t>石油类</w:t>
                  </w:r>
                </w:p>
              </w:tc>
              <w:tc>
                <w:tcPr>
                  <w:tcW w:w="689" w:type="pct"/>
                  <w:noWrap w:val="0"/>
                  <w:vAlign w:val="center"/>
                </w:tcPr>
                <w:p w14:paraId="5F043BAA">
                  <w:pPr>
                    <w:pStyle w:val="30"/>
                    <w:bidi w:val="0"/>
                    <w:rPr>
                      <w:color w:val="auto"/>
                      <w:highlight w:val="none"/>
                    </w:rPr>
                  </w:pPr>
                  <w:r>
                    <w:rPr>
                      <w:color w:val="auto"/>
                      <w:highlight w:val="none"/>
                    </w:rPr>
                    <w:t>1次/</w:t>
                  </w:r>
                  <w:r>
                    <w:rPr>
                      <w:rFonts w:hint="eastAsia"/>
                      <w:color w:val="auto"/>
                      <w:highlight w:val="none"/>
                      <w:lang w:eastAsia="zh-CN"/>
                    </w:rPr>
                    <w:t>季度</w:t>
                  </w:r>
                </w:p>
              </w:tc>
              <w:tc>
                <w:tcPr>
                  <w:tcW w:w="1394" w:type="pct"/>
                  <w:noWrap w:val="0"/>
                  <w:vAlign w:val="center"/>
                </w:tcPr>
                <w:p w14:paraId="65045580">
                  <w:pPr>
                    <w:pStyle w:val="30"/>
                    <w:bidi w:val="0"/>
                    <w:rPr>
                      <w:rFonts w:hint="eastAsia"/>
                      <w:color w:val="auto"/>
                      <w:highlight w:val="none"/>
                      <w:lang w:val="en-US" w:eastAsia="zh-CN"/>
                    </w:rPr>
                  </w:pPr>
                  <w:r>
                    <w:rPr>
                      <w:rFonts w:hint="eastAsia"/>
                      <w:color w:val="auto"/>
                      <w:highlight w:val="none"/>
                    </w:rPr>
                    <w:t>《地下水环境质量标准》（GB/T14848-2017）中</w:t>
                  </w:r>
                  <w:r>
                    <w:rPr>
                      <w:rFonts w:hint="default" w:ascii="Times New Roman" w:hAnsi="Times New Roman" w:cs="Times New Roman"/>
                      <w:color w:val="auto"/>
                      <w:highlight w:val="none"/>
                    </w:rPr>
                    <w:t>Ⅲ</w:t>
                  </w:r>
                  <w:r>
                    <w:rPr>
                      <w:rFonts w:hint="eastAsia"/>
                      <w:color w:val="auto"/>
                      <w:highlight w:val="none"/>
                    </w:rPr>
                    <w:t>类标准</w:t>
                  </w:r>
                </w:p>
              </w:tc>
            </w:tr>
          </w:tbl>
          <w:p w14:paraId="29EAF0D7">
            <w:pPr>
              <w:rPr>
                <w:b/>
                <w:bCs/>
                <w:color w:val="auto"/>
                <w:highlight w:val="none"/>
                <w:lang w:val="zh-CN"/>
              </w:rPr>
            </w:pPr>
            <w:r>
              <w:rPr>
                <w:rFonts w:hint="eastAsia"/>
                <w:b/>
                <w:bCs/>
                <w:color w:val="auto"/>
                <w:highlight w:val="none"/>
                <w:lang w:val="zh-CN"/>
              </w:rPr>
              <w:t>七</w:t>
            </w:r>
            <w:r>
              <w:rPr>
                <w:b/>
                <w:bCs/>
                <w:color w:val="auto"/>
                <w:highlight w:val="none"/>
                <w:lang w:val="zh-CN"/>
              </w:rPr>
              <w:t>、土壤环境影响分析</w:t>
            </w:r>
          </w:p>
          <w:p w14:paraId="7CF5CE7D">
            <w:pPr>
              <w:ind w:firstLine="480" w:firstLineChars="200"/>
              <w:rPr>
                <w:rFonts w:hint="eastAsia" w:eastAsia="宋体"/>
                <w:color w:val="auto"/>
                <w:highlight w:val="none"/>
                <w:lang w:eastAsia="zh-CN"/>
              </w:rPr>
            </w:pPr>
            <w:r>
              <w:rPr>
                <w:color w:val="auto"/>
                <w:highlight w:val="none"/>
              </w:rPr>
              <w:t>1、</w:t>
            </w:r>
            <w:r>
              <w:rPr>
                <w:rFonts w:hint="eastAsia"/>
                <w:color w:val="auto"/>
                <w:highlight w:val="none"/>
                <w:lang w:eastAsia="zh-CN"/>
              </w:rPr>
              <w:t>运营期对土壤环境的影响分析</w:t>
            </w:r>
          </w:p>
          <w:p w14:paraId="475D3D7A">
            <w:pPr>
              <w:bidi w:val="0"/>
              <w:ind w:firstLine="480" w:firstLineChars="200"/>
              <w:rPr>
                <w:color w:val="auto"/>
                <w:highlight w:val="none"/>
              </w:rPr>
            </w:pPr>
            <w:r>
              <w:rPr>
                <w:rFonts w:hint="eastAsia"/>
                <w:color w:val="auto"/>
                <w:highlight w:val="none"/>
                <w:lang w:val="en-US" w:eastAsia="zh-CN"/>
              </w:rPr>
              <w:t>（1）</w:t>
            </w:r>
            <w:r>
              <w:rPr>
                <w:color w:val="auto"/>
                <w:highlight w:val="none"/>
                <w:lang w:val="en-US" w:eastAsia="zh-CN"/>
              </w:rPr>
              <w:t xml:space="preserve">大气沉降影响分析评价 </w:t>
            </w:r>
          </w:p>
          <w:p w14:paraId="6FD516CF">
            <w:pPr>
              <w:bidi w:val="0"/>
              <w:ind w:firstLine="480" w:firstLineChars="200"/>
              <w:rPr>
                <w:color w:val="auto"/>
                <w:highlight w:val="none"/>
              </w:rPr>
            </w:pPr>
            <w:r>
              <w:rPr>
                <w:rFonts w:hint="default"/>
                <w:color w:val="auto"/>
                <w:highlight w:val="none"/>
                <w:lang w:val="en-US" w:eastAsia="zh-CN"/>
              </w:rPr>
              <w:t>本项目大气沉降影响主要是</w:t>
            </w:r>
            <w:r>
              <w:rPr>
                <w:rFonts w:hint="eastAsia"/>
                <w:color w:val="auto"/>
                <w:highlight w:val="none"/>
                <w:lang w:val="en-US" w:eastAsia="zh-CN"/>
              </w:rPr>
              <w:t>综合能源站</w:t>
            </w:r>
            <w:r>
              <w:rPr>
                <w:rFonts w:hint="default"/>
                <w:color w:val="auto"/>
                <w:highlight w:val="none"/>
                <w:lang w:val="en-US" w:eastAsia="zh-CN"/>
              </w:rPr>
              <w:t>油品挥发产生的挥发性有机废气对土壤产生的影响。项目运营过程中油气废气的排放量较少，并采取了汽油加油油气回收系统、汽油卸油油气回收系统措施，减少</w:t>
            </w:r>
            <w:r>
              <w:rPr>
                <w:rFonts w:hint="eastAsia"/>
                <w:color w:val="auto"/>
                <w:highlight w:val="none"/>
                <w:lang w:val="en-US" w:eastAsia="zh-CN"/>
              </w:rPr>
              <w:t>了</w:t>
            </w:r>
            <w:r>
              <w:rPr>
                <w:rFonts w:hint="default"/>
                <w:color w:val="auto"/>
                <w:highlight w:val="none"/>
                <w:lang w:val="en-US" w:eastAsia="zh-CN"/>
              </w:rPr>
              <w:t>挥发性有机废气的排放，对周边土壤环境的影响较小。</w:t>
            </w:r>
          </w:p>
          <w:p w14:paraId="51C946E4">
            <w:pPr>
              <w:bidi w:val="0"/>
              <w:ind w:firstLine="480" w:firstLineChars="200"/>
              <w:rPr>
                <w:rFonts w:hint="eastAsia"/>
                <w:color w:val="auto"/>
                <w:highlight w:val="none"/>
                <w:lang w:val="en-US" w:eastAsia="zh-CN"/>
              </w:rPr>
            </w:pPr>
            <w:r>
              <w:rPr>
                <w:rFonts w:hint="default"/>
                <w:color w:val="auto"/>
                <w:highlight w:val="none"/>
                <w:lang w:val="en-US" w:eastAsia="zh-CN"/>
              </w:rPr>
              <w:t>若项目发生事故泄漏，泄漏的油品挥发出的有机废气会进入到大气环境中然后沉降到土壤，但项目发生事故后能够及时发现，并立即启动应急预案，及时处理，属于短期事故，事故泄漏产生的大气污染物总量不高，通过大气沉降对厂界外土壤</w:t>
            </w:r>
            <w:r>
              <w:rPr>
                <w:rFonts w:hint="eastAsia"/>
                <w:color w:val="auto"/>
                <w:highlight w:val="none"/>
                <w:lang w:val="en-US" w:eastAsia="zh-CN"/>
              </w:rPr>
              <w:t>造成污染的可能性较小。</w:t>
            </w:r>
          </w:p>
          <w:p w14:paraId="214A89CF">
            <w:pPr>
              <w:bidi w:val="0"/>
              <w:ind w:firstLine="480" w:firstLineChars="200"/>
              <w:rPr>
                <w:color w:val="auto"/>
                <w:highlight w:val="none"/>
              </w:rPr>
            </w:pPr>
            <w:r>
              <w:rPr>
                <w:rFonts w:hint="eastAsia"/>
                <w:color w:val="auto"/>
                <w:highlight w:val="none"/>
                <w:lang w:val="en-US" w:eastAsia="zh-CN"/>
              </w:rPr>
              <w:t>（2）</w:t>
            </w:r>
            <w:r>
              <w:rPr>
                <w:color w:val="auto"/>
                <w:highlight w:val="none"/>
                <w:lang w:val="en-US" w:eastAsia="zh-CN"/>
              </w:rPr>
              <w:t xml:space="preserve">地面漫流、入渗影响分析评价 </w:t>
            </w:r>
          </w:p>
          <w:p w14:paraId="420EF259">
            <w:pPr>
              <w:keepNext w:val="0"/>
              <w:keepLines w:val="0"/>
              <w:widowControl/>
              <w:suppressLineNumbers w:val="0"/>
              <w:ind w:firstLine="480" w:firstLineChars="200"/>
              <w:jc w:val="left"/>
              <w:rPr>
                <w:color w:val="auto"/>
                <w:highlight w:val="none"/>
              </w:rPr>
            </w:pPr>
            <w:r>
              <w:rPr>
                <w:rFonts w:hint="eastAsia"/>
                <w:color w:val="auto"/>
                <w:highlight w:val="none"/>
                <w:lang w:val="en-US" w:eastAsia="zh-CN"/>
              </w:rPr>
              <w:t>综合能源站</w:t>
            </w:r>
            <w:r>
              <w:rPr>
                <w:rFonts w:hint="default"/>
                <w:color w:val="auto"/>
                <w:highlight w:val="none"/>
                <w:lang w:val="en-US" w:eastAsia="zh-CN"/>
              </w:rPr>
              <w:t>雨天的地面流水，可能会造成地面漫流，影响土壤环境。项目</w:t>
            </w:r>
            <w:r>
              <w:rPr>
                <w:rFonts w:hint="eastAsia"/>
                <w:color w:val="auto"/>
                <w:highlight w:val="none"/>
                <w:lang w:val="en-US" w:eastAsia="zh-CN"/>
              </w:rPr>
              <w:t>综合能源站</w:t>
            </w:r>
            <w:r>
              <w:rPr>
                <w:rFonts w:hint="default"/>
                <w:color w:val="auto"/>
                <w:highlight w:val="none"/>
                <w:lang w:val="en-US" w:eastAsia="zh-CN"/>
              </w:rPr>
              <w:t>地面为水泥硬化，并在加油区四周设置了</w:t>
            </w:r>
            <w:r>
              <w:rPr>
                <w:rFonts w:hint="eastAsia"/>
                <w:color w:val="auto"/>
                <w:highlight w:val="none"/>
                <w:lang w:val="en-US" w:eastAsia="zh-CN"/>
              </w:rPr>
              <w:t>导流</w:t>
            </w:r>
            <w:r>
              <w:rPr>
                <w:rFonts w:hint="default"/>
                <w:color w:val="auto"/>
                <w:highlight w:val="none"/>
                <w:lang w:val="en-US" w:eastAsia="zh-CN"/>
              </w:rPr>
              <w:t>沟来收集加油区地面清洁废水，</w:t>
            </w:r>
            <w:r>
              <w:rPr>
                <w:rFonts w:ascii="FZShuSong-Z01" w:hAnsi="FZShuSong-Z01" w:eastAsia="FZShuSong-Z01" w:cs="FZShuSong-Z01"/>
                <w:color w:val="auto"/>
                <w:kern w:val="0"/>
                <w:sz w:val="24"/>
                <w:szCs w:val="24"/>
                <w:highlight w:val="none"/>
                <w:lang w:val="en-US" w:eastAsia="zh-CN" w:bidi="ar"/>
              </w:rPr>
              <w:t>将</w:t>
            </w:r>
            <w:r>
              <w:rPr>
                <w:rFonts w:hint="default" w:ascii="FZShuSong-Z01" w:hAnsi="FZShuSong-Z01" w:eastAsia="FZShuSong-Z01" w:cs="FZShuSong-Z01"/>
                <w:color w:val="auto"/>
                <w:kern w:val="0"/>
                <w:sz w:val="24"/>
                <w:szCs w:val="24"/>
                <w:highlight w:val="none"/>
                <w:lang w:val="en-US" w:eastAsia="zh-CN" w:bidi="ar"/>
              </w:rPr>
              <w:t>收集到的废水排入油水分离池处理，防止地面清洁废水进入土壤环境。</w:t>
            </w:r>
          </w:p>
          <w:p w14:paraId="438B6EDE">
            <w:pPr>
              <w:bidi w:val="0"/>
              <w:ind w:firstLine="480" w:firstLineChars="200"/>
              <w:rPr>
                <w:rFonts w:hint="default"/>
                <w:color w:val="auto"/>
                <w:highlight w:val="none"/>
                <w:lang w:val="en-US" w:eastAsia="zh-CN"/>
              </w:rPr>
            </w:pPr>
            <w:r>
              <w:rPr>
                <w:color w:val="auto"/>
                <w:highlight w:val="none"/>
                <w:lang w:val="en-US" w:eastAsia="zh-CN"/>
              </w:rPr>
              <w:t>加油站发生事故泄漏后导致油品泄漏，在未被引燃发生火灾爆炸的情况下，如</w:t>
            </w:r>
            <w:r>
              <w:rPr>
                <w:rFonts w:hint="default"/>
                <w:color w:val="auto"/>
                <w:highlight w:val="none"/>
                <w:lang w:val="en-US" w:eastAsia="zh-CN"/>
              </w:rPr>
              <w:t>果泄漏的油品进入土壤，会对周围土壤造成污染，影响土壤中的微生物生存，破坏土壤结构，增加土壤中石油类污染物，对土壤造成局部斑块状的影响。但项目油罐采用埋地设置，整个罐体处于密闭状态，正常运行时不会有油品逸散现象，一旦储罐发生溢出与渗漏事故，油品将聚集于油罐池内，被油罐间隙填充的中型沙吸收，发生油品泄漏后，建设单位能及时发现，立即启动应急预案，及时委托有资质的单位清运被油品污染的中型沙。因此项目发生风险事故时能够有效及时的对泄漏物质进行处置，减少停留时间，从而降低渗入土壤的风险。</w:t>
            </w:r>
          </w:p>
          <w:p w14:paraId="2AE3A7D4">
            <w:pPr>
              <w:keepNext w:val="0"/>
              <w:keepLines w:val="0"/>
              <w:widowControl/>
              <w:suppressLineNumbers w:val="0"/>
              <w:ind w:firstLine="480" w:firstLineChars="200"/>
              <w:jc w:val="left"/>
              <w:rPr>
                <w:color w:val="auto"/>
                <w:highlight w:val="none"/>
              </w:rPr>
            </w:pPr>
            <w:r>
              <w:rPr>
                <w:rFonts w:ascii="FZShuSong-Z01" w:hAnsi="FZShuSong-Z01" w:eastAsia="FZShuSong-Z01" w:cs="FZShuSong-Z01"/>
                <w:color w:val="auto"/>
                <w:kern w:val="0"/>
                <w:sz w:val="24"/>
                <w:szCs w:val="24"/>
                <w:highlight w:val="none"/>
                <w:lang w:val="en-US" w:eastAsia="zh-CN" w:bidi="ar"/>
              </w:rPr>
              <w:t>项目区内除绿化用地外，其他全部为混凝土路面，基本没有直接裸露的土壤存</w:t>
            </w:r>
            <w:r>
              <w:rPr>
                <w:rFonts w:hint="default" w:ascii="FZShuSong-Z01" w:hAnsi="FZShuSong-Z01" w:eastAsia="FZShuSong-Z01" w:cs="FZShuSong-Z01"/>
                <w:color w:val="auto"/>
                <w:kern w:val="0"/>
                <w:sz w:val="24"/>
                <w:szCs w:val="24"/>
                <w:highlight w:val="none"/>
                <w:lang w:val="en-US" w:eastAsia="zh-CN" w:bidi="ar"/>
              </w:rPr>
              <w:t>在，因此项目发生事故泄漏对厂界内的土壤影响有限，事故后及时控制基本不会对厂界内的土壤造成严重污染。</w:t>
            </w:r>
          </w:p>
          <w:p w14:paraId="02009C35">
            <w:pPr>
              <w:bidi w:val="0"/>
              <w:ind w:firstLine="480" w:firstLineChars="200"/>
              <w:rPr>
                <w:color w:val="auto"/>
                <w:highlight w:val="none"/>
              </w:rPr>
            </w:pPr>
            <w:r>
              <w:rPr>
                <w:color w:val="auto"/>
                <w:highlight w:val="none"/>
                <w:lang w:val="en-US" w:eastAsia="zh-CN"/>
              </w:rPr>
              <w:t>（</w:t>
            </w:r>
            <w:r>
              <w:rPr>
                <w:rFonts w:hint="eastAsia"/>
                <w:color w:val="auto"/>
                <w:highlight w:val="none"/>
                <w:lang w:val="en-US" w:eastAsia="zh-CN"/>
              </w:rPr>
              <w:t>3</w:t>
            </w:r>
            <w:r>
              <w:rPr>
                <w:rFonts w:hint="default"/>
                <w:color w:val="auto"/>
                <w:highlight w:val="none"/>
                <w:lang w:val="en-US" w:eastAsia="zh-CN"/>
              </w:rPr>
              <w:t>）土壤保护措施及对策</w:t>
            </w:r>
          </w:p>
          <w:p w14:paraId="2D59045A">
            <w:pPr>
              <w:bidi w:val="0"/>
              <w:ind w:firstLine="480" w:firstLineChars="200"/>
              <w:rPr>
                <w:color w:val="auto"/>
                <w:highlight w:val="none"/>
              </w:rPr>
            </w:pPr>
            <w:r>
              <w:rPr>
                <w:color w:val="auto"/>
                <w:highlight w:val="none"/>
                <w:lang w:val="en-US" w:eastAsia="zh-CN"/>
              </w:rPr>
              <w:t>本项目可能存在对土壤的主要污染方式是渗入型污染，造成影响的环节主要包</w:t>
            </w:r>
            <w:r>
              <w:rPr>
                <w:rFonts w:hint="default"/>
                <w:color w:val="auto"/>
                <w:highlight w:val="none"/>
                <w:lang w:val="en-US" w:eastAsia="zh-CN"/>
              </w:rPr>
              <w:t>括</w:t>
            </w:r>
            <w:r>
              <w:rPr>
                <w:rFonts w:hint="eastAsia"/>
                <w:color w:val="auto"/>
                <w:highlight w:val="none"/>
                <w:lang w:val="en-US" w:eastAsia="zh-CN"/>
              </w:rPr>
              <w:t>：</w:t>
            </w:r>
            <w:r>
              <w:rPr>
                <w:rFonts w:hint="default"/>
                <w:color w:val="auto"/>
                <w:highlight w:val="none"/>
                <w:lang w:val="en-US" w:eastAsia="zh-CN"/>
              </w:rPr>
              <w:t>储罐区、</w:t>
            </w:r>
            <w:r>
              <w:rPr>
                <w:rFonts w:hint="eastAsia"/>
                <w:color w:val="auto"/>
                <w:highlight w:val="none"/>
                <w:lang w:val="en-US" w:eastAsia="zh-CN"/>
              </w:rPr>
              <w:t>隔油池和沉淀池</w:t>
            </w:r>
            <w:r>
              <w:rPr>
                <w:rFonts w:hint="default"/>
                <w:color w:val="auto"/>
                <w:highlight w:val="none"/>
                <w:lang w:val="en-US" w:eastAsia="zh-CN"/>
              </w:rPr>
              <w:t>、废水收集池、危废间、卸油、加油过程等的跑、冒、滴、漏对土壤的影响。针对可能发生的土壤污染，土壤污染防治措施按照“源头控制、分区防控、污染监控、应急响应”相结合的原则，从污染物的产生、入渗、扩散、应急响应全阶段进行控制。</w:t>
            </w:r>
          </w:p>
          <w:p w14:paraId="568654F3">
            <w:pPr>
              <w:bidi w:val="0"/>
              <w:ind w:firstLine="480" w:firstLineChars="200"/>
              <w:rPr>
                <w:color w:val="auto"/>
                <w:highlight w:val="none"/>
              </w:rPr>
            </w:pPr>
            <w:r>
              <w:rPr>
                <w:rFonts w:hint="default"/>
                <w:color w:val="auto"/>
                <w:highlight w:val="none"/>
                <w:lang w:val="en-US" w:eastAsia="zh-CN"/>
              </w:rPr>
              <w:t>①源头控制措施</w:t>
            </w:r>
          </w:p>
          <w:p w14:paraId="091F7489">
            <w:pPr>
              <w:keepNext w:val="0"/>
              <w:keepLines w:val="0"/>
              <w:widowControl/>
              <w:suppressLineNumbers w:val="0"/>
              <w:ind w:firstLine="480" w:firstLineChars="200"/>
              <w:jc w:val="left"/>
              <w:rPr>
                <w:color w:val="auto"/>
                <w:highlight w:val="none"/>
              </w:rPr>
            </w:pPr>
            <w:r>
              <w:rPr>
                <w:rFonts w:ascii="FZShuSong-Z01" w:hAnsi="FZShuSong-Z01" w:eastAsia="FZShuSong-Z01" w:cs="FZShuSong-Z01"/>
                <w:color w:val="auto"/>
                <w:kern w:val="0"/>
                <w:sz w:val="24"/>
                <w:szCs w:val="24"/>
                <w:highlight w:val="none"/>
                <w:lang w:val="en-US" w:eastAsia="zh-CN" w:bidi="ar"/>
              </w:rPr>
              <w:t>主要包括在工艺、管道、设备等采取相应措施，防止和降低污染物跑、冒、滴、</w:t>
            </w:r>
            <w:r>
              <w:rPr>
                <w:rFonts w:hint="default" w:ascii="FZShuSong-Z01" w:hAnsi="FZShuSong-Z01" w:eastAsia="FZShuSong-Z01" w:cs="FZShuSong-Z01"/>
                <w:color w:val="auto"/>
                <w:kern w:val="0"/>
                <w:sz w:val="24"/>
                <w:szCs w:val="24"/>
                <w:highlight w:val="none"/>
                <w:lang w:val="en-US" w:eastAsia="zh-CN" w:bidi="ar"/>
              </w:rPr>
              <w:t xml:space="preserve">漏，将污染物泄露的环境风险事故降到最低程度。 </w:t>
            </w:r>
          </w:p>
          <w:p w14:paraId="2DFD1207">
            <w:pPr>
              <w:keepNext w:val="0"/>
              <w:keepLines w:val="0"/>
              <w:widowControl/>
              <w:suppressLineNumbers w:val="0"/>
              <w:ind w:firstLine="480" w:firstLineChars="200"/>
              <w:jc w:val="left"/>
              <w:rPr>
                <w:color w:val="auto"/>
                <w:highlight w:val="none"/>
              </w:rPr>
            </w:pPr>
            <w:r>
              <w:rPr>
                <w:rFonts w:ascii="DejaVu Sans" w:hAnsi="DejaVu Sans" w:eastAsia="DejaVu Sans" w:cs="DejaVu Sans"/>
                <w:color w:val="auto"/>
                <w:kern w:val="0"/>
                <w:sz w:val="24"/>
                <w:szCs w:val="24"/>
                <w:highlight w:val="none"/>
                <w:lang w:val="en-US" w:eastAsia="zh-CN" w:bidi="ar"/>
              </w:rPr>
              <w:t>②</w:t>
            </w:r>
            <w:r>
              <w:rPr>
                <w:rFonts w:hint="default" w:ascii="FZShuSong-Z01" w:hAnsi="FZShuSong-Z01" w:eastAsia="FZShuSong-Z01" w:cs="FZShuSong-Z01"/>
                <w:color w:val="auto"/>
                <w:kern w:val="0"/>
                <w:sz w:val="24"/>
                <w:szCs w:val="24"/>
                <w:highlight w:val="none"/>
                <w:lang w:val="en-US" w:eastAsia="zh-CN" w:bidi="ar"/>
              </w:rPr>
              <w:t xml:space="preserve">分区防控措施 </w:t>
            </w:r>
          </w:p>
          <w:p w14:paraId="26C69C50">
            <w:pPr>
              <w:keepNext w:val="0"/>
              <w:keepLines w:val="0"/>
              <w:widowControl/>
              <w:suppressLineNumbers w:val="0"/>
              <w:ind w:firstLine="480" w:firstLineChars="200"/>
              <w:jc w:val="left"/>
              <w:rPr>
                <w:color w:val="auto"/>
                <w:highlight w:val="none"/>
              </w:rPr>
            </w:pPr>
            <w:r>
              <w:rPr>
                <w:rFonts w:hint="default" w:ascii="FZShuSong-Z01" w:hAnsi="FZShuSong-Z01" w:eastAsia="FZShuSong-Z01" w:cs="FZShuSong-Z01"/>
                <w:color w:val="auto"/>
                <w:kern w:val="0"/>
                <w:sz w:val="24"/>
                <w:szCs w:val="24"/>
                <w:highlight w:val="none"/>
                <w:lang w:val="en-US" w:eastAsia="zh-CN" w:bidi="ar"/>
              </w:rPr>
              <w:t>一般情况下，防控措施应以水平防渗为主，已颁布污染控制国家标准或防渗技术规范的行业，水平防渗技术要求按照相应标准或规范执行。本项目土壤污染防控区见下表。</w:t>
            </w:r>
          </w:p>
          <w:p w14:paraId="445637A1">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21</w:t>
            </w:r>
            <w:r>
              <w:rPr>
                <w:color w:val="auto"/>
                <w:highlight w:val="none"/>
              </w:rPr>
              <w:fldChar w:fldCharType="end"/>
            </w:r>
            <w:r>
              <w:rPr>
                <w:rFonts w:hint="eastAsia"/>
                <w:color w:val="auto"/>
                <w:highlight w:val="none"/>
              </w:rPr>
              <w:t xml:space="preserve"> </w:t>
            </w:r>
            <w:r>
              <w:rPr>
                <w:color w:val="auto"/>
                <w:highlight w:val="none"/>
              </w:rPr>
              <w:t>项目防渗分区划分表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2055"/>
              <w:gridCol w:w="1521"/>
              <w:gridCol w:w="1521"/>
              <w:gridCol w:w="1521"/>
            </w:tblGrid>
            <w:tr w14:paraId="52DE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Align w:val="center"/>
                </w:tcPr>
                <w:p w14:paraId="0FB0FC79">
                  <w:pPr>
                    <w:pStyle w:val="30"/>
                    <w:rPr>
                      <w:b/>
                      <w:bCs/>
                      <w:color w:val="auto"/>
                      <w:highlight w:val="none"/>
                    </w:rPr>
                  </w:pPr>
                  <w:r>
                    <w:rPr>
                      <w:rFonts w:hint="eastAsia"/>
                      <w:b/>
                      <w:bCs/>
                      <w:color w:val="auto"/>
                      <w:highlight w:val="none"/>
                    </w:rPr>
                    <w:t>项目</w:t>
                  </w:r>
                </w:p>
              </w:tc>
              <w:tc>
                <w:tcPr>
                  <w:tcW w:w="2055" w:type="dxa"/>
                  <w:vAlign w:val="center"/>
                </w:tcPr>
                <w:p w14:paraId="161E72E3">
                  <w:pPr>
                    <w:pStyle w:val="30"/>
                    <w:rPr>
                      <w:b/>
                      <w:bCs/>
                      <w:color w:val="auto"/>
                      <w:highlight w:val="none"/>
                    </w:rPr>
                  </w:pPr>
                  <w:r>
                    <w:rPr>
                      <w:b/>
                      <w:bCs/>
                      <w:color w:val="auto"/>
                      <w:highlight w:val="none"/>
                    </w:rPr>
                    <w:t>工序或区域名称</w:t>
                  </w:r>
                </w:p>
              </w:tc>
              <w:tc>
                <w:tcPr>
                  <w:tcW w:w="1521" w:type="dxa"/>
                  <w:vAlign w:val="center"/>
                </w:tcPr>
                <w:p w14:paraId="23EDF3D8">
                  <w:pPr>
                    <w:pStyle w:val="30"/>
                    <w:rPr>
                      <w:b/>
                      <w:bCs/>
                      <w:color w:val="auto"/>
                      <w:highlight w:val="none"/>
                    </w:rPr>
                  </w:pPr>
                  <w:r>
                    <w:rPr>
                      <w:b/>
                      <w:bCs/>
                      <w:color w:val="auto"/>
                      <w:highlight w:val="none"/>
                    </w:rPr>
                    <w:t>防渗区域或部位</w:t>
                  </w:r>
                </w:p>
              </w:tc>
              <w:tc>
                <w:tcPr>
                  <w:tcW w:w="1521" w:type="dxa"/>
                  <w:vAlign w:val="center"/>
                </w:tcPr>
                <w:p w14:paraId="2C07327B">
                  <w:pPr>
                    <w:pStyle w:val="30"/>
                    <w:rPr>
                      <w:b/>
                      <w:bCs/>
                      <w:color w:val="auto"/>
                      <w:highlight w:val="none"/>
                    </w:rPr>
                  </w:pPr>
                  <w:r>
                    <w:rPr>
                      <w:b/>
                      <w:bCs/>
                      <w:color w:val="auto"/>
                      <w:highlight w:val="none"/>
                    </w:rPr>
                    <w:t>防渗等级</w:t>
                  </w:r>
                </w:p>
              </w:tc>
              <w:tc>
                <w:tcPr>
                  <w:tcW w:w="1521" w:type="dxa"/>
                  <w:vAlign w:val="center"/>
                </w:tcPr>
                <w:p w14:paraId="0281A9B5">
                  <w:pPr>
                    <w:pStyle w:val="30"/>
                    <w:rPr>
                      <w:b/>
                      <w:bCs/>
                      <w:color w:val="auto"/>
                      <w:highlight w:val="none"/>
                    </w:rPr>
                  </w:pPr>
                  <w:r>
                    <w:rPr>
                      <w:b/>
                      <w:bCs/>
                      <w:color w:val="auto"/>
                      <w:highlight w:val="none"/>
                    </w:rPr>
                    <w:t>防渗技术要求</w:t>
                  </w:r>
                </w:p>
              </w:tc>
            </w:tr>
            <w:tr w14:paraId="315E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Merge w:val="restart"/>
                  <w:vAlign w:val="center"/>
                </w:tcPr>
                <w:p w14:paraId="5CDC3864">
                  <w:pPr>
                    <w:pStyle w:val="30"/>
                    <w:rPr>
                      <w:color w:val="auto"/>
                      <w:highlight w:val="none"/>
                    </w:rPr>
                  </w:pPr>
                  <w:r>
                    <w:rPr>
                      <w:rFonts w:hint="eastAsia"/>
                      <w:color w:val="auto"/>
                      <w:highlight w:val="none"/>
                    </w:rPr>
                    <w:t>城市交通驿站</w:t>
                  </w:r>
                </w:p>
              </w:tc>
              <w:tc>
                <w:tcPr>
                  <w:tcW w:w="2055" w:type="dxa"/>
                  <w:vAlign w:val="center"/>
                </w:tcPr>
                <w:p w14:paraId="41D491F2">
                  <w:pPr>
                    <w:pStyle w:val="30"/>
                    <w:rPr>
                      <w:color w:val="auto"/>
                      <w:highlight w:val="none"/>
                    </w:rPr>
                  </w:pPr>
                  <w:r>
                    <w:rPr>
                      <w:color w:val="auto"/>
                      <w:highlight w:val="none"/>
                    </w:rPr>
                    <w:t>危废暂存间、储罐</w:t>
                  </w:r>
                  <w:r>
                    <w:rPr>
                      <w:rFonts w:hint="eastAsia"/>
                      <w:color w:val="auto"/>
                      <w:highlight w:val="none"/>
                    </w:rPr>
                    <w:t>区</w:t>
                  </w:r>
                </w:p>
              </w:tc>
              <w:tc>
                <w:tcPr>
                  <w:tcW w:w="1521" w:type="dxa"/>
                  <w:vAlign w:val="center"/>
                </w:tcPr>
                <w:p w14:paraId="6ADA9D74">
                  <w:pPr>
                    <w:pStyle w:val="30"/>
                    <w:rPr>
                      <w:color w:val="auto"/>
                      <w:highlight w:val="none"/>
                    </w:rPr>
                  </w:pPr>
                  <w:r>
                    <w:rPr>
                      <w:color w:val="auto"/>
                      <w:highlight w:val="none"/>
                    </w:rPr>
                    <w:t>地面及裙角</w:t>
                  </w:r>
                </w:p>
              </w:tc>
              <w:tc>
                <w:tcPr>
                  <w:tcW w:w="1521" w:type="dxa"/>
                  <w:vMerge w:val="restart"/>
                  <w:vAlign w:val="center"/>
                </w:tcPr>
                <w:p w14:paraId="708DCFC0">
                  <w:pPr>
                    <w:pStyle w:val="30"/>
                    <w:rPr>
                      <w:color w:val="auto"/>
                      <w:highlight w:val="none"/>
                    </w:rPr>
                  </w:pPr>
                  <w:r>
                    <w:rPr>
                      <w:color w:val="auto"/>
                      <w:highlight w:val="none"/>
                    </w:rPr>
                    <w:t>重点防渗区</w:t>
                  </w:r>
                </w:p>
              </w:tc>
              <w:tc>
                <w:tcPr>
                  <w:tcW w:w="1521" w:type="dxa"/>
                  <w:vMerge w:val="restart"/>
                  <w:vAlign w:val="center"/>
                </w:tcPr>
                <w:p w14:paraId="6451492D">
                  <w:pPr>
                    <w:pStyle w:val="30"/>
                    <w:rPr>
                      <w:color w:val="auto"/>
                      <w:highlight w:val="none"/>
                    </w:rPr>
                  </w:pPr>
                  <w:r>
                    <w:rPr>
                      <w:color w:val="auto"/>
                      <w:highlight w:val="none"/>
                    </w:rPr>
                    <w:t>等效黏土防渗层Mb≥6.0m，k≤1×10</w:t>
                  </w:r>
                  <w:r>
                    <w:rPr>
                      <w:color w:val="auto"/>
                      <w:highlight w:val="none"/>
                      <w:vertAlign w:val="superscript"/>
                    </w:rPr>
                    <w:t>-7</w:t>
                  </w:r>
                  <w:r>
                    <w:rPr>
                      <w:color w:val="auto"/>
                      <w:highlight w:val="none"/>
                    </w:rPr>
                    <w:t>cm/s</w:t>
                  </w:r>
                </w:p>
              </w:tc>
            </w:tr>
            <w:tr w14:paraId="7E3C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Merge w:val="continue"/>
                  <w:vAlign w:val="center"/>
                </w:tcPr>
                <w:p w14:paraId="010F084D">
                  <w:pPr>
                    <w:pStyle w:val="30"/>
                    <w:rPr>
                      <w:color w:val="auto"/>
                      <w:highlight w:val="none"/>
                    </w:rPr>
                  </w:pPr>
                </w:p>
              </w:tc>
              <w:tc>
                <w:tcPr>
                  <w:tcW w:w="2055" w:type="dxa"/>
                  <w:vAlign w:val="center"/>
                </w:tcPr>
                <w:p w14:paraId="4032C879">
                  <w:pPr>
                    <w:pStyle w:val="30"/>
                    <w:rPr>
                      <w:rFonts w:hint="eastAsia" w:eastAsia="宋体"/>
                      <w:color w:val="auto"/>
                      <w:highlight w:val="none"/>
                      <w:lang w:eastAsia="zh-CN"/>
                    </w:rPr>
                  </w:pPr>
                  <w:r>
                    <w:rPr>
                      <w:rFonts w:hint="eastAsia"/>
                      <w:color w:val="auto"/>
                      <w:highlight w:val="none"/>
                    </w:rPr>
                    <w:t>三级油水分离池、</w:t>
                  </w:r>
                  <w:r>
                    <w:rPr>
                      <w:rFonts w:hint="eastAsia"/>
                      <w:color w:val="auto"/>
                      <w:highlight w:val="none"/>
                      <w:lang w:eastAsia="zh-CN"/>
                    </w:rPr>
                    <w:t>隔油池和沉淀池、事故应急池</w:t>
                  </w:r>
                </w:p>
              </w:tc>
              <w:tc>
                <w:tcPr>
                  <w:tcW w:w="1521" w:type="dxa"/>
                  <w:vAlign w:val="center"/>
                </w:tcPr>
                <w:p w14:paraId="0996585E">
                  <w:pPr>
                    <w:pStyle w:val="30"/>
                    <w:rPr>
                      <w:color w:val="auto"/>
                      <w:highlight w:val="none"/>
                    </w:rPr>
                  </w:pPr>
                  <w:r>
                    <w:rPr>
                      <w:color w:val="auto"/>
                      <w:highlight w:val="none"/>
                    </w:rPr>
                    <w:t>底部和四周</w:t>
                  </w:r>
                </w:p>
              </w:tc>
              <w:tc>
                <w:tcPr>
                  <w:tcW w:w="1521" w:type="dxa"/>
                  <w:vMerge w:val="continue"/>
                  <w:vAlign w:val="center"/>
                </w:tcPr>
                <w:p w14:paraId="6579C1EC">
                  <w:pPr>
                    <w:pStyle w:val="30"/>
                    <w:rPr>
                      <w:color w:val="auto"/>
                      <w:highlight w:val="none"/>
                    </w:rPr>
                  </w:pPr>
                </w:p>
              </w:tc>
              <w:tc>
                <w:tcPr>
                  <w:tcW w:w="1521" w:type="dxa"/>
                  <w:vMerge w:val="continue"/>
                  <w:vAlign w:val="center"/>
                </w:tcPr>
                <w:p w14:paraId="78A44DE4">
                  <w:pPr>
                    <w:pStyle w:val="30"/>
                    <w:rPr>
                      <w:color w:val="auto"/>
                      <w:highlight w:val="none"/>
                    </w:rPr>
                  </w:pPr>
                </w:p>
              </w:tc>
            </w:tr>
            <w:tr w14:paraId="6007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Merge w:val="continue"/>
                  <w:vAlign w:val="center"/>
                </w:tcPr>
                <w:p w14:paraId="71258437">
                  <w:pPr>
                    <w:pStyle w:val="30"/>
                    <w:rPr>
                      <w:color w:val="auto"/>
                      <w:highlight w:val="none"/>
                    </w:rPr>
                  </w:pPr>
                </w:p>
              </w:tc>
              <w:tc>
                <w:tcPr>
                  <w:tcW w:w="2055" w:type="dxa"/>
                  <w:vAlign w:val="center"/>
                </w:tcPr>
                <w:p w14:paraId="4ED8C848">
                  <w:pPr>
                    <w:pStyle w:val="30"/>
                    <w:rPr>
                      <w:rFonts w:hint="eastAsia" w:eastAsia="宋体"/>
                      <w:color w:val="auto"/>
                      <w:highlight w:val="none"/>
                      <w:lang w:eastAsia="zh-CN"/>
                    </w:rPr>
                  </w:pPr>
                  <w:r>
                    <w:rPr>
                      <w:rFonts w:hint="eastAsia"/>
                      <w:color w:val="auto"/>
                      <w:highlight w:val="none"/>
                      <w:lang w:eastAsia="zh-CN"/>
                    </w:rPr>
                    <w:t>智慧货运维修中心</w:t>
                  </w:r>
                </w:p>
              </w:tc>
              <w:tc>
                <w:tcPr>
                  <w:tcW w:w="1521" w:type="dxa"/>
                  <w:vAlign w:val="center"/>
                </w:tcPr>
                <w:p w14:paraId="686FAF0C">
                  <w:pPr>
                    <w:pStyle w:val="30"/>
                    <w:rPr>
                      <w:color w:val="auto"/>
                      <w:highlight w:val="none"/>
                    </w:rPr>
                  </w:pPr>
                  <w:r>
                    <w:rPr>
                      <w:rFonts w:hint="eastAsia"/>
                      <w:color w:val="auto"/>
                      <w:highlight w:val="none"/>
                    </w:rPr>
                    <w:t>地面</w:t>
                  </w:r>
                </w:p>
              </w:tc>
              <w:tc>
                <w:tcPr>
                  <w:tcW w:w="1521" w:type="dxa"/>
                  <w:vMerge w:val="continue"/>
                  <w:vAlign w:val="center"/>
                </w:tcPr>
                <w:p w14:paraId="4058A0F0">
                  <w:pPr>
                    <w:pStyle w:val="30"/>
                    <w:rPr>
                      <w:color w:val="auto"/>
                      <w:highlight w:val="none"/>
                    </w:rPr>
                  </w:pPr>
                </w:p>
              </w:tc>
              <w:tc>
                <w:tcPr>
                  <w:tcW w:w="1521" w:type="dxa"/>
                  <w:vMerge w:val="continue"/>
                  <w:vAlign w:val="center"/>
                </w:tcPr>
                <w:p w14:paraId="2EF1E748">
                  <w:pPr>
                    <w:pStyle w:val="30"/>
                    <w:rPr>
                      <w:color w:val="auto"/>
                      <w:highlight w:val="none"/>
                    </w:rPr>
                  </w:pPr>
                </w:p>
              </w:tc>
            </w:tr>
            <w:tr w14:paraId="4431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Merge w:val="continue"/>
                  <w:vAlign w:val="center"/>
                </w:tcPr>
                <w:p w14:paraId="17224295">
                  <w:pPr>
                    <w:pStyle w:val="30"/>
                    <w:rPr>
                      <w:color w:val="auto"/>
                      <w:highlight w:val="none"/>
                    </w:rPr>
                  </w:pPr>
                </w:p>
              </w:tc>
              <w:tc>
                <w:tcPr>
                  <w:tcW w:w="2055" w:type="dxa"/>
                  <w:vAlign w:val="center"/>
                </w:tcPr>
                <w:p w14:paraId="346E828A">
                  <w:pPr>
                    <w:pStyle w:val="30"/>
                    <w:rPr>
                      <w:color w:val="auto"/>
                      <w:highlight w:val="none"/>
                    </w:rPr>
                  </w:pPr>
                  <w:r>
                    <w:rPr>
                      <w:color w:val="auto"/>
                      <w:highlight w:val="none"/>
                    </w:rPr>
                    <w:t>加油区</w:t>
                  </w:r>
                </w:p>
              </w:tc>
              <w:tc>
                <w:tcPr>
                  <w:tcW w:w="1521" w:type="dxa"/>
                  <w:vAlign w:val="center"/>
                </w:tcPr>
                <w:p w14:paraId="57091BFB">
                  <w:pPr>
                    <w:pStyle w:val="30"/>
                    <w:rPr>
                      <w:color w:val="auto"/>
                      <w:highlight w:val="none"/>
                    </w:rPr>
                  </w:pPr>
                  <w:r>
                    <w:rPr>
                      <w:color w:val="auto"/>
                      <w:highlight w:val="none"/>
                    </w:rPr>
                    <w:t>地面</w:t>
                  </w:r>
                </w:p>
              </w:tc>
              <w:tc>
                <w:tcPr>
                  <w:tcW w:w="1521" w:type="dxa"/>
                  <w:vMerge w:val="continue"/>
                  <w:vAlign w:val="center"/>
                </w:tcPr>
                <w:p w14:paraId="1C646284">
                  <w:pPr>
                    <w:pStyle w:val="30"/>
                    <w:rPr>
                      <w:color w:val="auto"/>
                      <w:highlight w:val="none"/>
                    </w:rPr>
                  </w:pPr>
                </w:p>
              </w:tc>
              <w:tc>
                <w:tcPr>
                  <w:tcW w:w="1521" w:type="dxa"/>
                  <w:vMerge w:val="continue"/>
                  <w:vAlign w:val="center"/>
                </w:tcPr>
                <w:p w14:paraId="2FB5F7E7">
                  <w:pPr>
                    <w:pStyle w:val="30"/>
                    <w:rPr>
                      <w:color w:val="auto"/>
                      <w:highlight w:val="none"/>
                    </w:rPr>
                  </w:pPr>
                </w:p>
              </w:tc>
            </w:tr>
            <w:tr w14:paraId="51E0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Merge w:val="continue"/>
                  <w:vAlign w:val="center"/>
                </w:tcPr>
                <w:p w14:paraId="3AD2A49E">
                  <w:pPr>
                    <w:pStyle w:val="30"/>
                    <w:rPr>
                      <w:color w:val="auto"/>
                      <w:highlight w:val="none"/>
                    </w:rPr>
                  </w:pPr>
                </w:p>
              </w:tc>
              <w:tc>
                <w:tcPr>
                  <w:tcW w:w="2055" w:type="dxa"/>
                  <w:shd w:val="clear" w:color="auto" w:fill="auto"/>
                  <w:vAlign w:val="center"/>
                </w:tcPr>
                <w:p w14:paraId="26C4E1F0">
                  <w:pPr>
                    <w:pStyle w:val="30"/>
                    <w:rPr>
                      <w:color w:val="auto"/>
                      <w:highlight w:val="none"/>
                    </w:rPr>
                  </w:pPr>
                  <w:r>
                    <w:rPr>
                      <w:rFonts w:hint="eastAsia"/>
                      <w:color w:val="auto"/>
                      <w:highlight w:val="none"/>
                    </w:rPr>
                    <w:t>隔油池、化粪池</w:t>
                  </w:r>
                </w:p>
              </w:tc>
              <w:tc>
                <w:tcPr>
                  <w:tcW w:w="1521" w:type="dxa"/>
                  <w:shd w:val="clear" w:color="auto" w:fill="auto"/>
                  <w:vAlign w:val="center"/>
                </w:tcPr>
                <w:p w14:paraId="0AC014F3">
                  <w:pPr>
                    <w:pStyle w:val="30"/>
                    <w:rPr>
                      <w:color w:val="auto"/>
                      <w:highlight w:val="none"/>
                    </w:rPr>
                  </w:pPr>
                  <w:r>
                    <w:rPr>
                      <w:color w:val="auto"/>
                      <w:highlight w:val="none"/>
                    </w:rPr>
                    <w:t>底部和四周</w:t>
                  </w:r>
                </w:p>
              </w:tc>
              <w:tc>
                <w:tcPr>
                  <w:tcW w:w="1521" w:type="dxa"/>
                  <w:vMerge w:val="restart"/>
                  <w:vAlign w:val="center"/>
                </w:tcPr>
                <w:p w14:paraId="0D0ACE64">
                  <w:pPr>
                    <w:pStyle w:val="30"/>
                    <w:rPr>
                      <w:color w:val="auto"/>
                      <w:highlight w:val="none"/>
                    </w:rPr>
                  </w:pPr>
                  <w:r>
                    <w:rPr>
                      <w:color w:val="auto"/>
                      <w:highlight w:val="none"/>
                    </w:rPr>
                    <w:t>一般防渗区</w:t>
                  </w:r>
                </w:p>
              </w:tc>
              <w:tc>
                <w:tcPr>
                  <w:tcW w:w="1521" w:type="dxa"/>
                  <w:vMerge w:val="restart"/>
                  <w:vAlign w:val="center"/>
                </w:tcPr>
                <w:p w14:paraId="0C7F5D31">
                  <w:pPr>
                    <w:pStyle w:val="30"/>
                    <w:rPr>
                      <w:color w:val="auto"/>
                      <w:highlight w:val="none"/>
                    </w:rPr>
                  </w:pPr>
                  <w:r>
                    <w:rPr>
                      <w:color w:val="auto"/>
                      <w:highlight w:val="none"/>
                    </w:rPr>
                    <w:t>等效黏土防渗层Mb≥1.5m，k≤1×10</w:t>
                  </w:r>
                  <w:r>
                    <w:rPr>
                      <w:color w:val="auto"/>
                      <w:highlight w:val="none"/>
                      <w:vertAlign w:val="superscript"/>
                    </w:rPr>
                    <w:t>-7</w:t>
                  </w:r>
                  <w:r>
                    <w:rPr>
                      <w:color w:val="auto"/>
                      <w:highlight w:val="none"/>
                    </w:rPr>
                    <w:t>cm/s</w:t>
                  </w:r>
                </w:p>
              </w:tc>
            </w:tr>
            <w:tr w14:paraId="173D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Merge w:val="continue"/>
                  <w:vAlign w:val="center"/>
                </w:tcPr>
                <w:p w14:paraId="14F57F2D">
                  <w:pPr>
                    <w:pStyle w:val="30"/>
                    <w:rPr>
                      <w:color w:val="auto"/>
                      <w:highlight w:val="none"/>
                    </w:rPr>
                  </w:pPr>
                </w:p>
              </w:tc>
              <w:tc>
                <w:tcPr>
                  <w:tcW w:w="2055" w:type="dxa"/>
                  <w:shd w:val="clear" w:color="auto" w:fill="auto"/>
                  <w:vAlign w:val="center"/>
                </w:tcPr>
                <w:p w14:paraId="7FF38D4A">
                  <w:pPr>
                    <w:pStyle w:val="30"/>
                    <w:rPr>
                      <w:color w:val="auto"/>
                      <w:highlight w:val="none"/>
                    </w:rPr>
                  </w:pPr>
                  <w:r>
                    <w:rPr>
                      <w:rFonts w:hint="eastAsia"/>
                      <w:color w:val="auto"/>
                      <w:highlight w:val="none"/>
                    </w:rPr>
                    <w:t>一般固废间</w:t>
                  </w:r>
                </w:p>
              </w:tc>
              <w:tc>
                <w:tcPr>
                  <w:tcW w:w="1521" w:type="dxa"/>
                  <w:shd w:val="clear" w:color="auto" w:fill="auto"/>
                  <w:vAlign w:val="center"/>
                </w:tcPr>
                <w:p w14:paraId="45B4F52F">
                  <w:pPr>
                    <w:pStyle w:val="30"/>
                    <w:rPr>
                      <w:color w:val="auto"/>
                      <w:highlight w:val="none"/>
                    </w:rPr>
                  </w:pPr>
                  <w:r>
                    <w:rPr>
                      <w:color w:val="auto"/>
                      <w:highlight w:val="none"/>
                    </w:rPr>
                    <w:t>地面</w:t>
                  </w:r>
                </w:p>
              </w:tc>
              <w:tc>
                <w:tcPr>
                  <w:tcW w:w="1521" w:type="dxa"/>
                  <w:vMerge w:val="continue"/>
                  <w:vAlign w:val="center"/>
                </w:tcPr>
                <w:p w14:paraId="5E8B84C0">
                  <w:pPr>
                    <w:pStyle w:val="30"/>
                    <w:rPr>
                      <w:color w:val="auto"/>
                      <w:highlight w:val="none"/>
                    </w:rPr>
                  </w:pPr>
                </w:p>
              </w:tc>
              <w:tc>
                <w:tcPr>
                  <w:tcW w:w="1521" w:type="dxa"/>
                  <w:vMerge w:val="continue"/>
                  <w:vAlign w:val="center"/>
                </w:tcPr>
                <w:p w14:paraId="73332E9F">
                  <w:pPr>
                    <w:pStyle w:val="30"/>
                    <w:rPr>
                      <w:color w:val="auto"/>
                      <w:highlight w:val="none"/>
                    </w:rPr>
                  </w:pPr>
                </w:p>
              </w:tc>
            </w:tr>
            <w:tr w14:paraId="580A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dxa"/>
                  <w:vMerge w:val="continue"/>
                  <w:vAlign w:val="center"/>
                </w:tcPr>
                <w:p w14:paraId="744CE6C6">
                  <w:pPr>
                    <w:pStyle w:val="30"/>
                    <w:rPr>
                      <w:color w:val="auto"/>
                      <w:highlight w:val="none"/>
                    </w:rPr>
                  </w:pPr>
                </w:p>
              </w:tc>
              <w:tc>
                <w:tcPr>
                  <w:tcW w:w="2055" w:type="dxa"/>
                  <w:vAlign w:val="center"/>
                </w:tcPr>
                <w:p w14:paraId="3DEBD68D">
                  <w:pPr>
                    <w:pStyle w:val="30"/>
                    <w:rPr>
                      <w:color w:val="auto"/>
                      <w:highlight w:val="none"/>
                    </w:rPr>
                  </w:pPr>
                  <w:r>
                    <w:rPr>
                      <w:rFonts w:hint="eastAsia"/>
                      <w:color w:val="auto"/>
                      <w:highlight w:val="none"/>
                    </w:rPr>
                    <w:t>除重点防渗、一般防渗外的</w:t>
                  </w:r>
                  <w:r>
                    <w:rPr>
                      <w:color w:val="auto"/>
                      <w:highlight w:val="none"/>
                    </w:rPr>
                    <w:t>其他区域</w:t>
                  </w:r>
                </w:p>
              </w:tc>
              <w:tc>
                <w:tcPr>
                  <w:tcW w:w="1521" w:type="dxa"/>
                  <w:vAlign w:val="center"/>
                </w:tcPr>
                <w:p w14:paraId="69EE7345">
                  <w:pPr>
                    <w:pStyle w:val="30"/>
                    <w:rPr>
                      <w:color w:val="auto"/>
                      <w:highlight w:val="none"/>
                    </w:rPr>
                  </w:pPr>
                  <w:r>
                    <w:rPr>
                      <w:color w:val="auto"/>
                      <w:highlight w:val="none"/>
                    </w:rPr>
                    <w:t>地面</w:t>
                  </w:r>
                </w:p>
              </w:tc>
              <w:tc>
                <w:tcPr>
                  <w:tcW w:w="1521" w:type="dxa"/>
                  <w:vAlign w:val="center"/>
                </w:tcPr>
                <w:p w14:paraId="56359402">
                  <w:pPr>
                    <w:pStyle w:val="30"/>
                    <w:rPr>
                      <w:color w:val="auto"/>
                      <w:highlight w:val="none"/>
                    </w:rPr>
                  </w:pPr>
                  <w:r>
                    <w:rPr>
                      <w:color w:val="auto"/>
                      <w:highlight w:val="none"/>
                    </w:rPr>
                    <w:t>简单防渗区</w:t>
                  </w:r>
                </w:p>
              </w:tc>
              <w:tc>
                <w:tcPr>
                  <w:tcW w:w="1521" w:type="dxa"/>
                  <w:vAlign w:val="center"/>
                </w:tcPr>
                <w:p w14:paraId="43294CBF">
                  <w:pPr>
                    <w:pStyle w:val="30"/>
                    <w:rPr>
                      <w:color w:val="auto"/>
                      <w:highlight w:val="none"/>
                    </w:rPr>
                  </w:pPr>
                  <w:r>
                    <w:rPr>
                      <w:color w:val="auto"/>
                      <w:highlight w:val="none"/>
                    </w:rPr>
                    <w:t>一般地面硬化</w:t>
                  </w:r>
                </w:p>
              </w:tc>
            </w:tr>
          </w:tbl>
          <w:p w14:paraId="43215538">
            <w:pPr>
              <w:numPr>
                <w:ilvl w:val="0"/>
                <w:numId w:val="0"/>
              </w:numPr>
              <w:bidi w:val="0"/>
              <w:ind w:left="0" w:leftChars="0" w:firstLine="480" w:firstLineChars="200"/>
              <w:rPr>
                <w:rFonts w:hint="default"/>
                <w:color w:val="auto"/>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（5）</w:t>
            </w:r>
            <w:r>
              <w:rPr>
                <w:rFonts w:hint="eastAsia"/>
                <w:color w:val="auto"/>
                <w:highlight w:val="none"/>
                <w:lang w:val="en-US" w:eastAsia="zh-CN"/>
              </w:rPr>
              <w:t>土壤跟踪监测计划</w:t>
            </w:r>
          </w:p>
          <w:p w14:paraId="01721065">
            <w:pPr>
              <w:numPr>
                <w:ilvl w:val="0"/>
                <w:numId w:val="0"/>
              </w:numPr>
              <w:bidi w:val="0"/>
              <w:ind w:leftChars="200"/>
              <w:rPr>
                <w:rFonts w:hint="default"/>
                <w:color w:val="auto"/>
                <w:highlight w:val="none"/>
                <w:lang w:val="en-US" w:eastAsia="zh-CN"/>
              </w:rPr>
            </w:pPr>
            <w:r>
              <w:rPr>
                <w:rFonts w:hint="eastAsia"/>
                <w:color w:val="auto"/>
                <w:highlight w:val="none"/>
                <w:lang w:val="en-US" w:eastAsia="zh-CN"/>
              </w:rPr>
              <w:t>本项目土壤跟踪监测计划如下表所示。</w:t>
            </w:r>
          </w:p>
          <w:p w14:paraId="353D9556">
            <w:pPr>
              <w:pStyle w:val="6"/>
              <w:rPr>
                <w:rFonts w:hint="eastAsia" w:eastAsia="宋体"/>
                <w:color w:val="auto"/>
                <w:highlight w:val="none"/>
                <w:lang w:val="en-US" w:eastAsia="zh-CN"/>
              </w:rPr>
            </w:pPr>
            <w:r>
              <w:rPr>
                <w:color w:val="auto"/>
                <w:highlight w:val="none"/>
              </w:rPr>
              <w:t xml:space="preserve">表 </w:t>
            </w:r>
            <w:r>
              <w:rPr>
                <w:rFonts w:hint="eastAsia"/>
                <w:color w:val="auto"/>
                <w:highlight w:val="none"/>
                <w:lang w:val="en-US" w:eastAsia="zh-CN"/>
              </w:rPr>
              <w:t>4</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22</w:t>
            </w:r>
            <w:r>
              <w:rPr>
                <w:color w:val="auto"/>
                <w:highlight w:val="none"/>
              </w:rPr>
              <w:fldChar w:fldCharType="end"/>
            </w:r>
            <w:r>
              <w:rPr>
                <w:rFonts w:hint="eastAsia"/>
                <w:color w:val="auto"/>
                <w:highlight w:val="none"/>
                <w:lang w:val="en-US" w:eastAsia="zh-CN"/>
              </w:rPr>
              <w:t xml:space="preserve"> 土壤跟踪监测计划一览表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350"/>
              <w:gridCol w:w="1062"/>
              <w:gridCol w:w="1091"/>
              <w:gridCol w:w="1253"/>
              <w:gridCol w:w="1828"/>
            </w:tblGrid>
            <w:tr w14:paraId="4CE1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vAlign w:val="center"/>
                </w:tcPr>
                <w:p w14:paraId="21ACE41E">
                  <w:pPr>
                    <w:pStyle w:val="30"/>
                    <w:bidi w:val="0"/>
                    <w:jc w:val="center"/>
                    <w:rPr>
                      <w:rFonts w:hint="eastAsia"/>
                      <w:b/>
                      <w:bCs/>
                      <w:color w:val="auto"/>
                      <w:highlight w:val="none"/>
                      <w:lang w:eastAsia="zh-CN"/>
                    </w:rPr>
                  </w:pPr>
                  <w:r>
                    <w:rPr>
                      <w:rFonts w:hint="eastAsia"/>
                      <w:b/>
                      <w:bCs/>
                      <w:color w:val="auto"/>
                      <w:highlight w:val="none"/>
                      <w:lang w:eastAsia="zh-CN"/>
                    </w:rPr>
                    <w:t>类别</w:t>
                  </w:r>
                </w:p>
              </w:tc>
              <w:tc>
                <w:tcPr>
                  <w:tcW w:w="887" w:type="pct"/>
                  <w:vAlign w:val="center"/>
                </w:tcPr>
                <w:p w14:paraId="764ACC1A">
                  <w:pPr>
                    <w:pStyle w:val="30"/>
                    <w:bidi w:val="0"/>
                    <w:jc w:val="center"/>
                    <w:rPr>
                      <w:rFonts w:hint="eastAsia"/>
                      <w:b/>
                      <w:bCs/>
                      <w:color w:val="auto"/>
                      <w:highlight w:val="none"/>
                      <w:lang w:eastAsia="zh-CN"/>
                    </w:rPr>
                  </w:pPr>
                  <w:r>
                    <w:rPr>
                      <w:rFonts w:hint="eastAsia"/>
                      <w:b/>
                      <w:bCs/>
                      <w:color w:val="auto"/>
                      <w:highlight w:val="none"/>
                      <w:lang w:eastAsia="zh-CN"/>
                    </w:rPr>
                    <w:t>监测位置</w:t>
                  </w:r>
                </w:p>
              </w:tc>
              <w:tc>
                <w:tcPr>
                  <w:tcW w:w="698" w:type="pct"/>
                  <w:vAlign w:val="center"/>
                </w:tcPr>
                <w:p w14:paraId="5A7D3B31">
                  <w:pPr>
                    <w:pStyle w:val="30"/>
                    <w:bidi w:val="0"/>
                    <w:jc w:val="center"/>
                    <w:rPr>
                      <w:rFonts w:hint="eastAsia"/>
                      <w:b/>
                      <w:bCs/>
                      <w:color w:val="auto"/>
                      <w:highlight w:val="none"/>
                      <w:lang w:eastAsia="zh-CN"/>
                    </w:rPr>
                  </w:pPr>
                  <w:r>
                    <w:rPr>
                      <w:rFonts w:hint="eastAsia"/>
                      <w:b/>
                      <w:bCs/>
                      <w:color w:val="auto"/>
                      <w:highlight w:val="none"/>
                      <w:lang w:eastAsia="zh-CN"/>
                    </w:rPr>
                    <w:t>测点数</w:t>
                  </w:r>
                </w:p>
              </w:tc>
              <w:tc>
                <w:tcPr>
                  <w:tcW w:w="717" w:type="pct"/>
                  <w:vAlign w:val="center"/>
                </w:tcPr>
                <w:p w14:paraId="328F955A">
                  <w:pPr>
                    <w:pStyle w:val="30"/>
                    <w:bidi w:val="0"/>
                    <w:jc w:val="center"/>
                    <w:rPr>
                      <w:rFonts w:hint="eastAsia"/>
                      <w:b/>
                      <w:bCs/>
                      <w:color w:val="auto"/>
                      <w:highlight w:val="none"/>
                      <w:lang w:eastAsia="zh-CN"/>
                    </w:rPr>
                  </w:pPr>
                  <w:r>
                    <w:rPr>
                      <w:rFonts w:hint="eastAsia"/>
                      <w:b/>
                      <w:bCs/>
                      <w:color w:val="auto"/>
                      <w:highlight w:val="none"/>
                      <w:lang w:eastAsia="zh-CN"/>
                    </w:rPr>
                    <w:t>监测项目</w:t>
                  </w:r>
                </w:p>
              </w:tc>
              <w:tc>
                <w:tcPr>
                  <w:tcW w:w="823" w:type="pct"/>
                  <w:vAlign w:val="center"/>
                </w:tcPr>
                <w:p w14:paraId="7E67A183">
                  <w:pPr>
                    <w:pStyle w:val="30"/>
                    <w:bidi w:val="0"/>
                    <w:jc w:val="center"/>
                    <w:rPr>
                      <w:rFonts w:hint="eastAsia"/>
                      <w:b/>
                      <w:bCs/>
                      <w:color w:val="auto"/>
                      <w:highlight w:val="none"/>
                      <w:lang w:eastAsia="zh-CN"/>
                    </w:rPr>
                  </w:pPr>
                  <w:r>
                    <w:rPr>
                      <w:rFonts w:hint="eastAsia"/>
                      <w:b/>
                      <w:bCs/>
                      <w:color w:val="auto"/>
                      <w:highlight w:val="none"/>
                      <w:lang w:eastAsia="zh-CN"/>
                    </w:rPr>
                    <w:t>监测频率</w:t>
                  </w:r>
                </w:p>
              </w:tc>
              <w:tc>
                <w:tcPr>
                  <w:tcW w:w="1201" w:type="pct"/>
                  <w:vAlign w:val="center"/>
                </w:tcPr>
                <w:p w14:paraId="0F0458C2">
                  <w:pPr>
                    <w:pStyle w:val="30"/>
                    <w:bidi w:val="0"/>
                    <w:jc w:val="center"/>
                    <w:rPr>
                      <w:rFonts w:hint="eastAsia"/>
                      <w:b/>
                      <w:bCs/>
                      <w:color w:val="auto"/>
                      <w:highlight w:val="none"/>
                      <w:lang w:eastAsia="zh-CN"/>
                    </w:rPr>
                  </w:pPr>
                  <w:r>
                    <w:rPr>
                      <w:rFonts w:hint="eastAsia"/>
                      <w:b/>
                      <w:bCs/>
                      <w:color w:val="auto"/>
                      <w:highlight w:val="none"/>
                      <w:lang w:eastAsia="zh-CN"/>
                    </w:rPr>
                    <w:t>执行标准</w:t>
                  </w:r>
                </w:p>
              </w:tc>
            </w:tr>
            <w:tr w14:paraId="2713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vAlign w:val="center"/>
                </w:tcPr>
                <w:p w14:paraId="6957944D">
                  <w:pPr>
                    <w:pStyle w:val="30"/>
                    <w:bidi w:val="0"/>
                    <w:jc w:val="center"/>
                    <w:rPr>
                      <w:color w:val="auto"/>
                      <w:highlight w:val="none"/>
                    </w:rPr>
                  </w:pPr>
                  <w:r>
                    <w:rPr>
                      <w:color w:val="auto"/>
                      <w:highlight w:val="none"/>
                      <w:lang w:val="en-US" w:eastAsia="zh-CN"/>
                    </w:rPr>
                    <w:t>土壤</w:t>
                  </w:r>
                </w:p>
              </w:tc>
              <w:tc>
                <w:tcPr>
                  <w:tcW w:w="887" w:type="pct"/>
                  <w:vAlign w:val="center"/>
                </w:tcPr>
                <w:p w14:paraId="4EF9EC4B">
                  <w:pPr>
                    <w:pStyle w:val="30"/>
                    <w:bidi w:val="0"/>
                    <w:jc w:val="center"/>
                    <w:rPr>
                      <w:color w:val="auto"/>
                      <w:highlight w:val="none"/>
                    </w:rPr>
                  </w:pPr>
                  <w:r>
                    <w:rPr>
                      <w:color w:val="auto"/>
                      <w:highlight w:val="none"/>
                      <w:lang w:val="en-US" w:eastAsia="zh-CN"/>
                    </w:rPr>
                    <w:t>项目储罐区</w:t>
                  </w:r>
                  <w:r>
                    <w:rPr>
                      <w:rFonts w:hint="eastAsia"/>
                      <w:color w:val="auto"/>
                      <w:highlight w:val="none"/>
                      <w:lang w:val="en-US" w:eastAsia="zh-CN"/>
                    </w:rPr>
                    <w:t>北侧</w:t>
                  </w:r>
                  <w:r>
                    <w:rPr>
                      <w:rFonts w:hint="default"/>
                      <w:color w:val="auto"/>
                      <w:highlight w:val="none"/>
                      <w:lang w:val="en-US" w:eastAsia="zh-CN"/>
                    </w:rPr>
                    <w:t>设置</w:t>
                  </w:r>
                  <w:r>
                    <w:rPr>
                      <w:color w:val="auto"/>
                      <w:highlight w:val="none"/>
                      <w:lang w:val="en-US" w:eastAsia="zh-CN"/>
                    </w:rPr>
                    <w:t>1</w:t>
                  </w:r>
                  <w:r>
                    <w:rPr>
                      <w:rFonts w:hint="default"/>
                      <w:color w:val="auto"/>
                      <w:highlight w:val="none"/>
                      <w:lang w:val="en-US" w:eastAsia="zh-CN"/>
                    </w:rPr>
                    <w:t>个点位</w:t>
                  </w:r>
                </w:p>
              </w:tc>
              <w:tc>
                <w:tcPr>
                  <w:tcW w:w="698" w:type="pct"/>
                  <w:vAlign w:val="center"/>
                </w:tcPr>
                <w:p w14:paraId="20FA650E">
                  <w:pPr>
                    <w:pStyle w:val="30"/>
                    <w:bidi w:val="0"/>
                    <w:jc w:val="center"/>
                    <w:rPr>
                      <w:rFonts w:hint="eastAsia"/>
                      <w:color w:val="auto"/>
                      <w:highlight w:val="none"/>
                      <w:lang w:val="en-US" w:eastAsia="zh-CN"/>
                    </w:rPr>
                  </w:pPr>
                  <w:r>
                    <w:rPr>
                      <w:rFonts w:hint="eastAsia"/>
                      <w:color w:val="auto"/>
                      <w:highlight w:val="none"/>
                      <w:lang w:val="en-US" w:eastAsia="zh-CN"/>
                    </w:rPr>
                    <w:t>1</w:t>
                  </w:r>
                </w:p>
              </w:tc>
              <w:tc>
                <w:tcPr>
                  <w:tcW w:w="717" w:type="pct"/>
                  <w:vAlign w:val="center"/>
                </w:tcPr>
                <w:p w14:paraId="7E4FEA0E">
                  <w:pPr>
                    <w:pStyle w:val="30"/>
                    <w:bidi w:val="0"/>
                    <w:jc w:val="center"/>
                    <w:rPr>
                      <w:rFonts w:hint="eastAsia"/>
                      <w:color w:val="auto"/>
                      <w:highlight w:val="none"/>
                      <w:lang w:eastAsia="zh-CN"/>
                    </w:rPr>
                  </w:pPr>
                  <w:r>
                    <w:rPr>
                      <w:rFonts w:hint="eastAsia"/>
                      <w:color w:val="auto"/>
                      <w:highlight w:val="none"/>
                      <w:lang w:eastAsia="zh-CN"/>
                    </w:rPr>
                    <w:t>石油烃</w:t>
                  </w:r>
                </w:p>
              </w:tc>
              <w:tc>
                <w:tcPr>
                  <w:tcW w:w="823" w:type="pct"/>
                  <w:vAlign w:val="center"/>
                </w:tcPr>
                <w:p w14:paraId="313D5B59">
                  <w:pPr>
                    <w:pStyle w:val="30"/>
                    <w:bidi w:val="0"/>
                    <w:jc w:val="center"/>
                    <w:rPr>
                      <w:rFonts w:hint="eastAsia"/>
                      <w:color w:val="auto"/>
                      <w:highlight w:val="none"/>
                      <w:lang w:eastAsia="zh-CN"/>
                    </w:rPr>
                  </w:pPr>
                  <w:r>
                    <w:rPr>
                      <w:rFonts w:hint="eastAsia"/>
                      <w:color w:val="auto"/>
                      <w:highlight w:val="none"/>
                      <w:lang w:eastAsia="zh-CN"/>
                    </w:rPr>
                    <w:t>必要时开展</w:t>
                  </w:r>
                </w:p>
              </w:tc>
              <w:tc>
                <w:tcPr>
                  <w:tcW w:w="1201" w:type="pct"/>
                  <w:vAlign w:val="center"/>
                </w:tcPr>
                <w:p w14:paraId="585A3B9C">
                  <w:pPr>
                    <w:pStyle w:val="30"/>
                    <w:bidi w:val="0"/>
                    <w:jc w:val="center"/>
                    <w:rPr>
                      <w:color w:val="auto"/>
                      <w:highlight w:val="none"/>
                    </w:rPr>
                  </w:pPr>
                  <w:r>
                    <w:rPr>
                      <w:color w:val="auto"/>
                      <w:highlight w:val="none"/>
                      <w:lang w:val="en-US" w:eastAsia="zh-CN"/>
                    </w:rPr>
                    <w:t>《土壤环境</w:t>
                  </w:r>
                  <w:r>
                    <w:rPr>
                      <w:rFonts w:hint="default"/>
                      <w:color w:val="auto"/>
                      <w:highlight w:val="none"/>
                      <w:lang w:val="en-US" w:eastAsia="zh-CN"/>
                    </w:rPr>
                    <w:t>质量建设用地土壤污染风险管控标准（试行）》（</w:t>
                  </w:r>
                  <w:r>
                    <w:rPr>
                      <w:color w:val="auto"/>
                      <w:highlight w:val="none"/>
                      <w:lang w:val="en-US" w:eastAsia="zh-CN"/>
                    </w:rPr>
                    <w:t>GB3660</w:t>
                  </w:r>
                  <w:r>
                    <w:rPr>
                      <w:rFonts w:hint="default"/>
                      <w:color w:val="auto"/>
                      <w:highlight w:val="none"/>
                      <w:lang w:val="en-US" w:eastAsia="zh-CN"/>
                    </w:rPr>
                    <w:t>0-2018）表1标准限值。</w:t>
                  </w:r>
                </w:p>
              </w:tc>
            </w:tr>
          </w:tbl>
          <w:p w14:paraId="17832F8A">
            <w:pPr>
              <w:rPr>
                <w:b/>
                <w:color w:val="auto"/>
                <w:highlight w:val="none"/>
              </w:rPr>
            </w:pPr>
            <w:r>
              <w:rPr>
                <w:rFonts w:hint="eastAsia"/>
                <w:b/>
                <w:color w:val="auto"/>
                <w:highlight w:val="none"/>
              </w:rPr>
              <w:t>七、环保投资</w:t>
            </w:r>
          </w:p>
          <w:p w14:paraId="693A8FE4">
            <w:pPr>
              <w:ind w:firstLine="480" w:firstLineChars="200"/>
              <w:rPr>
                <w:color w:val="auto"/>
                <w:highlight w:val="none"/>
              </w:rPr>
            </w:pPr>
            <w:r>
              <w:rPr>
                <w:rFonts w:hint="eastAsia"/>
                <w:color w:val="auto"/>
                <w:highlight w:val="none"/>
              </w:rPr>
              <w:t>本</w:t>
            </w:r>
            <w:r>
              <w:rPr>
                <w:color w:val="auto"/>
                <w:highlight w:val="none"/>
              </w:rPr>
              <w:t>项目总投资</w:t>
            </w:r>
            <w:r>
              <w:rPr>
                <w:rFonts w:hint="eastAsia"/>
                <w:color w:val="auto"/>
                <w:highlight w:val="none"/>
              </w:rPr>
              <w:t>10</w:t>
            </w:r>
            <w:r>
              <w:rPr>
                <w:rFonts w:hint="eastAsia"/>
                <w:color w:val="auto"/>
                <w:highlight w:val="none"/>
                <w:lang w:val="en-US" w:eastAsia="zh-CN"/>
              </w:rPr>
              <w:t>0</w:t>
            </w:r>
            <w:r>
              <w:rPr>
                <w:rFonts w:hint="eastAsia"/>
                <w:color w:val="auto"/>
                <w:highlight w:val="none"/>
              </w:rPr>
              <w:t>00</w:t>
            </w:r>
            <w:r>
              <w:rPr>
                <w:color w:val="auto"/>
                <w:highlight w:val="none"/>
              </w:rPr>
              <w:t>万元，其中环保投资</w:t>
            </w:r>
            <w:r>
              <w:rPr>
                <w:rFonts w:hint="eastAsia"/>
                <w:color w:val="auto"/>
                <w:highlight w:val="none"/>
              </w:rPr>
              <w:t>19</w:t>
            </w:r>
            <w:r>
              <w:rPr>
                <w:rFonts w:hint="eastAsia"/>
                <w:color w:val="auto"/>
                <w:highlight w:val="none"/>
                <w:lang w:val="en-US" w:eastAsia="zh-CN"/>
              </w:rPr>
              <w:t>3</w:t>
            </w:r>
            <w:r>
              <w:rPr>
                <w:color w:val="auto"/>
                <w:highlight w:val="none"/>
              </w:rPr>
              <w:t>万元，占总投资的</w:t>
            </w:r>
            <w:r>
              <w:rPr>
                <w:rFonts w:hint="eastAsia"/>
                <w:color w:val="auto"/>
                <w:highlight w:val="none"/>
              </w:rPr>
              <w:t>1.</w:t>
            </w:r>
            <w:r>
              <w:rPr>
                <w:rFonts w:hint="eastAsia"/>
                <w:color w:val="auto"/>
                <w:highlight w:val="none"/>
                <w:lang w:val="en-US" w:eastAsia="zh-CN"/>
              </w:rPr>
              <w:t>93</w:t>
            </w:r>
            <w:r>
              <w:rPr>
                <w:color w:val="auto"/>
                <w:highlight w:val="none"/>
              </w:rPr>
              <w:t>%，主要用于废气、废水、固体废物、噪声的治理处置等费用。环保投资估算详见下表。</w:t>
            </w:r>
          </w:p>
          <w:p w14:paraId="175CA3CD">
            <w:pPr>
              <w:pStyle w:val="6"/>
              <w:rPr>
                <w:color w:val="auto"/>
                <w:highlight w:val="none"/>
              </w:rPr>
            </w:pPr>
            <w:r>
              <w:rPr>
                <w:color w:val="auto"/>
                <w:highlight w:val="none"/>
              </w:rPr>
              <w:t xml:space="preserve">表 </w:t>
            </w:r>
            <w:r>
              <w:rPr>
                <w:rFonts w:hint="eastAsia"/>
                <w:color w:val="auto"/>
                <w:highlight w:val="none"/>
              </w:rPr>
              <w:t>4-</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23</w:t>
            </w:r>
            <w:r>
              <w:rPr>
                <w:color w:val="auto"/>
                <w:highlight w:val="none"/>
              </w:rPr>
              <w:fldChar w:fldCharType="end"/>
            </w:r>
            <w:r>
              <w:rPr>
                <w:rFonts w:hint="eastAsia"/>
                <w:color w:val="auto"/>
                <w:highlight w:val="none"/>
              </w:rPr>
              <w:t>建设项目环保措施投资一览表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997"/>
              <w:gridCol w:w="2301"/>
              <w:gridCol w:w="2851"/>
              <w:gridCol w:w="1452"/>
            </w:tblGrid>
            <w:tr w14:paraId="08873E1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bottom w:val="single" w:color="auto" w:sz="4" w:space="0"/>
                    <w:right w:val="single" w:color="auto" w:sz="4" w:space="0"/>
                    <w:tl2br w:val="nil"/>
                    <w:tr2bl w:val="nil"/>
                  </w:tcBorders>
                  <w:vAlign w:val="center"/>
                </w:tcPr>
                <w:p w14:paraId="73716961">
                  <w:pPr>
                    <w:pStyle w:val="30"/>
                    <w:rPr>
                      <w:b/>
                      <w:bCs/>
                      <w:color w:val="auto"/>
                      <w:highlight w:val="none"/>
                    </w:rPr>
                  </w:pPr>
                  <w:r>
                    <w:rPr>
                      <w:b/>
                      <w:bCs/>
                      <w:color w:val="auto"/>
                      <w:highlight w:val="none"/>
                    </w:rPr>
                    <w:t>项目</w:t>
                  </w:r>
                </w:p>
              </w:tc>
              <w:tc>
                <w:tcPr>
                  <w:tcW w:w="340" w:type="dxa"/>
                  <w:tcBorders>
                    <w:left w:val="single" w:color="auto" w:sz="4" w:space="0"/>
                    <w:bottom w:val="single" w:color="auto" w:sz="4" w:space="0"/>
                    <w:right w:val="single" w:color="auto" w:sz="4" w:space="0"/>
                    <w:tl2br w:val="nil"/>
                    <w:tr2bl w:val="nil"/>
                  </w:tcBorders>
                  <w:vAlign w:val="center"/>
                </w:tcPr>
                <w:p w14:paraId="78A895EB">
                  <w:pPr>
                    <w:pStyle w:val="30"/>
                    <w:rPr>
                      <w:b/>
                      <w:bCs/>
                      <w:color w:val="auto"/>
                      <w:highlight w:val="none"/>
                    </w:rPr>
                  </w:pPr>
                  <w:r>
                    <w:rPr>
                      <w:b/>
                      <w:bCs/>
                      <w:color w:val="auto"/>
                      <w:highlight w:val="none"/>
                    </w:rPr>
                    <w:t>污染物</w:t>
                  </w:r>
                </w:p>
              </w:tc>
              <w:tc>
                <w:tcPr>
                  <w:tcW w:w="340" w:type="dxa"/>
                  <w:tcBorders>
                    <w:left w:val="single" w:color="auto" w:sz="4" w:space="0"/>
                    <w:bottom w:val="single" w:color="auto" w:sz="4" w:space="0"/>
                    <w:right w:val="single" w:color="auto" w:sz="4" w:space="0"/>
                    <w:tl2br w:val="nil"/>
                    <w:tr2bl w:val="nil"/>
                  </w:tcBorders>
                  <w:vAlign w:val="center"/>
                </w:tcPr>
                <w:p w14:paraId="008E8253">
                  <w:pPr>
                    <w:pStyle w:val="30"/>
                    <w:rPr>
                      <w:b/>
                      <w:bCs/>
                      <w:color w:val="auto"/>
                      <w:highlight w:val="none"/>
                    </w:rPr>
                  </w:pPr>
                  <w:r>
                    <w:rPr>
                      <w:b/>
                      <w:bCs/>
                      <w:color w:val="auto"/>
                      <w:highlight w:val="none"/>
                    </w:rPr>
                    <w:t>内容</w:t>
                  </w:r>
                </w:p>
              </w:tc>
              <w:tc>
                <w:tcPr>
                  <w:tcW w:w="340" w:type="dxa"/>
                  <w:tcBorders>
                    <w:left w:val="single" w:color="auto" w:sz="4" w:space="0"/>
                    <w:bottom w:val="single" w:color="auto" w:sz="4" w:space="0"/>
                    <w:tl2br w:val="nil"/>
                    <w:tr2bl w:val="nil"/>
                  </w:tcBorders>
                  <w:vAlign w:val="center"/>
                </w:tcPr>
                <w:p w14:paraId="4E4C1077">
                  <w:pPr>
                    <w:pStyle w:val="30"/>
                    <w:rPr>
                      <w:rFonts w:hint="eastAsia" w:eastAsia="宋体"/>
                      <w:b/>
                      <w:bCs/>
                      <w:color w:val="auto"/>
                      <w:highlight w:val="none"/>
                      <w:lang w:eastAsia="zh-CN"/>
                    </w:rPr>
                  </w:pPr>
                  <w:r>
                    <w:rPr>
                      <w:b/>
                      <w:bCs/>
                      <w:color w:val="auto"/>
                      <w:highlight w:val="none"/>
                    </w:rPr>
                    <w:t>投资</w:t>
                  </w:r>
                  <w:r>
                    <w:rPr>
                      <w:rFonts w:hint="eastAsia"/>
                      <w:b/>
                      <w:bCs/>
                      <w:color w:val="auto"/>
                      <w:highlight w:val="none"/>
                      <w:lang w:eastAsia="zh-CN"/>
                    </w:rPr>
                    <w:t>（</w:t>
                  </w:r>
                  <w:r>
                    <w:rPr>
                      <w:b/>
                      <w:bCs/>
                      <w:color w:val="auto"/>
                      <w:highlight w:val="none"/>
                    </w:rPr>
                    <w:t>万元</w:t>
                  </w:r>
                  <w:r>
                    <w:rPr>
                      <w:rFonts w:hint="eastAsia"/>
                      <w:b/>
                      <w:bCs/>
                      <w:color w:val="auto"/>
                      <w:highlight w:val="none"/>
                      <w:lang w:eastAsia="zh-CN"/>
                    </w:rPr>
                    <w:t>）</w:t>
                  </w:r>
                </w:p>
              </w:tc>
            </w:tr>
            <w:tr w14:paraId="0ABDB00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4A7BCB6D">
                  <w:pPr>
                    <w:pStyle w:val="30"/>
                    <w:rPr>
                      <w:color w:val="auto"/>
                      <w:highlight w:val="none"/>
                    </w:rPr>
                  </w:pPr>
                  <w:r>
                    <w:rPr>
                      <w:color w:val="auto"/>
                      <w:highlight w:val="none"/>
                    </w:rPr>
                    <w:t>废水治理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036F6953">
                  <w:pPr>
                    <w:pStyle w:val="30"/>
                    <w:rPr>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-N、石油类、动植物油、LAS</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F0976E1">
                  <w:pPr>
                    <w:pStyle w:val="30"/>
                    <w:rPr>
                      <w:rFonts w:hint="eastAsia" w:eastAsia="宋体"/>
                      <w:color w:val="auto"/>
                      <w:highlight w:val="none"/>
                      <w:lang w:eastAsia="zh-CN"/>
                    </w:rPr>
                  </w:pPr>
                  <w:r>
                    <w:rPr>
                      <w:color w:val="auto"/>
                      <w:highlight w:val="none"/>
                    </w:rPr>
                    <w:t>设置</w:t>
                  </w:r>
                  <w:r>
                    <w:rPr>
                      <w:rFonts w:hint="eastAsia"/>
                      <w:color w:val="auto"/>
                      <w:highlight w:val="none"/>
                    </w:rPr>
                    <w:t>1座三级油水分离池（</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w:t>
                  </w:r>
                  <w:bookmarkStart w:id="36" w:name="OLE_LINK38"/>
                  <w:r>
                    <w:rPr>
                      <w:rFonts w:hint="eastAsia"/>
                      <w:color w:val="auto"/>
                      <w:highlight w:val="none"/>
                    </w:rPr>
                    <w:t>1座隔油池（</w:t>
                  </w:r>
                  <w:bookmarkStart w:id="37" w:name="OLE_LINK40"/>
                  <w:r>
                    <w:rPr>
                      <w:rFonts w:hint="eastAsia"/>
                      <w:color w:val="auto"/>
                      <w:highlight w:val="none"/>
                    </w:rPr>
                    <w:t>10m</w:t>
                  </w:r>
                  <w:r>
                    <w:rPr>
                      <w:rFonts w:hint="eastAsia"/>
                      <w:color w:val="auto"/>
                      <w:highlight w:val="none"/>
                      <w:vertAlign w:val="superscript"/>
                    </w:rPr>
                    <w:t>3</w:t>
                  </w:r>
                  <w:bookmarkEnd w:id="37"/>
                  <w:r>
                    <w:rPr>
                      <w:rFonts w:hint="eastAsia"/>
                      <w:color w:val="auto"/>
                      <w:highlight w:val="none"/>
                    </w:rPr>
                    <w:t>）</w:t>
                  </w:r>
                  <w:bookmarkEnd w:id="36"/>
                  <w:r>
                    <w:rPr>
                      <w:rFonts w:hint="eastAsia"/>
                      <w:color w:val="auto"/>
                      <w:highlight w:val="none"/>
                    </w:rPr>
                    <w:t>、1座化粪池（20m</w:t>
                  </w:r>
                  <w:r>
                    <w:rPr>
                      <w:rFonts w:hint="eastAsia"/>
                      <w:color w:val="auto"/>
                      <w:highlight w:val="none"/>
                      <w:vertAlign w:val="superscript"/>
                    </w:rPr>
                    <w:t>3</w:t>
                  </w:r>
                  <w:r>
                    <w:rPr>
                      <w:rFonts w:hint="eastAsia"/>
                      <w:color w:val="auto"/>
                      <w:highlight w:val="none"/>
                    </w:rPr>
                    <w:t>）、1座隔油</w:t>
                  </w:r>
                  <w:r>
                    <w:rPr>
                      <w:rFonts w:hint="eastAsia"/>
                      <w:color w:val="auto"/>
                      <w:highlight w:val="none"/>
                      <w:lang w:val="en-US" w:eastAsia="zh-CN"/>
                    </w:rPr>
                    <w:t>+</w:t>
                  </w:r>
                  <w:r>
                    <w:rPr>
                      <w:rFonts w:hint="eastAsia"/>
                      <w:color w:val="auto"/>
                      <w:highlight w:val="none"/>
                    </w:rPr>
                    <w:t>沉淀池（</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w:t>
                  </w:r>
                </w:p>
              </w:tc>
              <w:tc>
                <w:tcPr>
                  <w:tcW w:w="340" w:type="dxa"/>
                  <w:tcBorders>
                    <w:top w:val="single" w:color="auto" w:sz="4" w:space="0"/>
                    <w:left w:val="single" w:color="auto" w:sz="4" w:space="0"/>
                    <w:bottom w:val="single" w:color="auto" w:sz="4" w:space="0"/>
                    <w:tl2br w:val="nil"/>
                    <w:tr2bl w:val="nil"/>
                  </w:tcBorders>
                  <w:vAlign w:val="center"/>
                </w:tcPr>
                <w:p w14:paraId="508A6D68">
                  <w:pPr>
                    <w:pStyle w:val="30"/>
                    <w:rPr>
                      <w:color w:val="auto"/>
                      <w:highlight w:val="none"/>
                    </w:rPr>
                  </w:pPr>
                  <w:r>
                    <w:rPr>
                      <w:rFonts w:hint="eastAsia"/>
                      <w:color w:val="auto"/>
                      <w:highlight w:val="none"/>
                    </w:rPr>
                    <w:t>25</w:t>
                  </w:r>
                  <w:r>
                    <w:rPr>
                      <w:color w:val="auto"/>
                      <w:highlight w:val="none"/>
                    </w:rPr>
                    <w:t>.0</w:t>
                  </w:r>
                </w:p>
              </w:tc>
            </w:tr>
            <w:tr w14:paraId="11121D6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340" w:type="dxa"/>
                  <w:vMerge w:val="restart"/>
                  <w:tcBorders>
                    <w:top w:val="single" w:color="auto" w:sz="4" w:space="0"/>
                    <w:right w:val="single" w:color="auto" w:sz="4" w:space="0"/>
                    <w:tl2br w:val="nil"/>
                    <w:tr2bl w:val="nil"/>
                  </w:tcBorders>
                  <w:vAlign w:val="center"/>
                </w:tcPr>
                <w:p w14:paraId="71979C5A">
                  <w:pPr>
                    <w:pStyle w:val="30"/>
                    <w:rPr>
                      <w:color w:val="auto"/>
                      <w:highlight w:val="none"/>
                    </w:rPr>
                  </w:pPr>
                  <w:r>
                    <w:rPr>
                      <w:color w:val="auto"/>
                      <w:highlight w:val="none"/>
                    </w:rPr>
                    <w:t>废气治理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45CEC097">
                  <w:pPr>
                    <w:pStyle w:val="30"/>
                    <w:rPr>
                      <w:color w:val="auto"/>
                      <w:highlight w:val="none"/>
                    </w:rPr>
                  </w:pPr>
                  <w:r>
                    <w:rPr>
                      <w:color w:val="auto"/>
                      <w:highlight w:val="none"/>
                    </w:rPr>
                    <w:t>非甲烷总烃</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7D713134">
                  <w:pPr>
                    <w:pStyle w:val="30"/>
                    <w:rPr>
                      <w:rFonts w:hint="eastAsia" w:eastAsia="宋体"/>
                      <w:color w:val="auto"/>
                      <w:highlight w:val="none"/>
                      <w:lang w:eastAsia="zh-CN"/>
                    </w:rPr>
                  </w:pPr>
                  <w:r>
                    <w:rPr>
                      <w:color w:val="auto"/>
                      <w:highlight w:val="none"/>
                    </w:rPr>
                    <w:t>自封式加油枪及密闭卸油、油罐埋地，汽油安装</w:t>
                  </w:r>
                  <w:r>
                    <w:rPr>
                      <w:rFonts w:hint="eastAsia"/>
                      <w:color w:val="auto"/>
                      <w:highlight w:val="none"/>
                      <w:lang w:eastAsia="zh-CN"/>
                    </w:rPr>
                    <w:t>三级</w:t>
                  </w:r>
                  <w:r>
                    <w:rPr>
                      <w:color w:val="auto"/>
                      <w:highlight w:val="none"/>
                    </w:rPr>
                    <w:t>油气回收装置</w:t>
                  </w:r>
                </w:p>
              </w:tc>
              <w:tc>
                <w:tcPr>
                  <w:tcW w:w="340" w:type="dxa"/>
                  <w:vMerge w:val="restart"/>
                  <w:tcBorders>
                    <w:top w:val="single" w:color="auto" w:sz="4" w:space="0"/>
                    <w:left w:val="single" w:color="auto" w:sz="4" w:space="0"/>
                    <w:tl2br w:val="nil"/>
                    <w:tr2bl w:val="nil"/>
                  </w:tcBorders>
                  <w:vAlign w:val="center"/>
                </w:tcPr>
                <w:p w14:paraId="355DD7B2">
                  <w:pPr>
                    <w:pStyle w:val="30"/>
                    <w:rPr>
                      <w:color w:val="auto"/>
                      <w:highlight w:val="none"/>
                    </w:rPr>
                  </w:pPr>
                  <w:r>
                    <w:rPr>
                      <w:rFonts w:hint="eastAsia"/>
                      <w:color w:val="auto"/>
                      <w:highlight w:val="none"/>
                    </w:rPr>
                    <w:t>50</w:t>
                  </w:r>
                  <w:r>
                    <w:rPr>
                      <w:color w:val="auto"/>
                      <w:highlight w:val="none"/>
                    </w:rPr>
                    <w:t>.0</w:t>
                  </w:r>
                </w:p>
              </w:tc>
            </w:tr>
            <w:tr w14:paraId="6E89C60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10" w:hRule="atLeast"/>
              </w:trPr>
              <w:tc>
                <w:tcPr>
                  <w:tcW w:w="340" w:type="dxa"/>
                  <w:vMerge w:val="continue"/>
                  <w:tcBorders>
                    <w:bottom w:val="single" w:color="auto" w:sz="4" w:space="0"/>
                    <w:right w:val="single" w:color="auto" w:sz="4" w:space="0"/>
                    <w:tl2br w:val="nil"/>
                    <w:tr2bl w:val="nil"/>
                  </w:tcBorders>
                  <w:vAlign w:val="center"/>
                </w:tcPr>
                <w:p w14:paraId="77B5267E">
                  <w:pPr>
                    <w:pStyle w:val="30"/>
                    <w:rPr>
                      <w:color w:val="auto"/>
                      <w:highlight w:val="none"/>
                    </w:rPr>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620D1090">
                  <w:pPr>
                    <w:pStyle w:val="30"/>
                    <w:rPr>
                      <w:color w:val="auto"/>
                      <w:highlight w:val="none"/>
                    </w:rPr>
                  </w:pPr>
                  <w:r>
                    <w:rPr>
                      <w:rFonts w:hint="eastAsia"/>
                      <w:color w:val="auto"/>
                      <w:highlight w:val="none"/>
                    </w:rPr>
                    <w:t>焊接烟尘</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20DA9085">
                  <w:pPr>
                    <w:pStyle w:val="30"/>
                    <w:rPr>
                      <w:rFonts w:hint="eastAsia" w:eastAsia="宋体"/>
                      <w:color w:val="auto"/>
                      <w:highlight w:val="none"/>
                      <w:lang w:eastAsia="zh-CN"/>
                    </w:rPr>
                  </w:pPr>
                  <w:r>
                    <w:rPr>
                      <w:rFonts w:hint="eastAsia"/>
                      <w:color w:val="auto"/>
                      <w:highlight w:val="none"/>
                    </w:rPr>
                    <w:t>2套移动式焊烟净化器</w:t>
                  </w:r>
                </w:p>
              </w:tc>
              <w:tc>
                <w:tcPr>
                  <w:tcW w:w="340" w:type="dxa"/>
                  <w:vMerge w:val="continue"/>
                  <w:tcBorders>
                    <w:left w:val="single" w:color="auto" w:sz="4" w:space="0"/>
                    <w:bottom w:val="single" w:color="auto" w:sz="4" w:space="0"/>
                    <w:tl2br w:val="nil"/>
                    <w:tr2bl w:val="nil"/>
                  </w:tcBorders>
                  <w:vAlign w:val="center"/>
                </w:tcPr>
                <w:p w14:paraId="34CF778D">
                  <w:pPr>
                    <w:pStyle w:val="30"/>
                    <w:rPr>
                      <w:color w:val="auto"/>
                      <w:highlight w:val="none"/>
                    </w:rPr>
                  </w:pPr>
                </w:p>
              </w:tc>
            </w:tr>
            <w:tr w14:paraId="5549661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48877AED">
                  <w:pPr>
                    <w:pStyle w:val="30"/>
                    <w:rPr>
                      <w:color w:val="auto"/>
                      <w:highlight w:val="none"/>
                    </w:rPr>
                  </w:pPr>
                  <w:r>
                    <w:rPr>
                      <w:color w:val="auto"/>
                      <w:highlight w:val="none"/>
                    </w:rPr>
                    <w:t>噪声治理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70348781">
                  <w:pPr>
                    <w:pStyle w:val="30"/>
                    <w:rPr>
                      <w:color w:val="auto"/>
                      <w:highlight w:val="none"/>
                    </w:rPr>
                  </w:pPr>
                  <w:r>
                    <w:rPr>
                      <w:color w:val="auto"/>
                      <w:highlight w:val="none"/>
                    </w:rPr>
                    <w:t>噪声</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63FABDDA">
                  <w:pPr>
                    <w:pStyle w:val="30"/>
                    <w:rPr>
                      <w:rFonts w:hint="eastAsia" w:eastAsia="宋体"/>
                      <w:color w:val="auto"/>
                      <w:highlight w:val="none"/>
                      <w:lang w:eastAsia="zh-CN"/>
                    </w:rPr>
                  </w:pPr>
                  <w:r>
                    <w:rPr>
                      <w:rFonts w:hint="eastAsia"/>
                      <w:color w:val="auto"/>
                      <w:highlight w:val="none"/>
                    </w:rPr>
                    <w:t>优化平面布局，</w:t>
                  </w:r>
                  <w:r>
                    <w:rPr>
                      <w:color w:val="auto"/>
                      <w:highlight w:val="none"/>
                    </w:rPr>
                    <w:t>设备隔声降噪措施</w:t>
                  </w:r>
                </w:p>
              </w:tc>
              <w:tc>
                <w:tcPr>
                  <w:tcW w:w="340" w:type="dxa"/>
                  <w:tcBorders>
                    <w:top w:val="single" w:color="auto" w:sz="4" w:space="0"/>
                    <w:left w:val="single" w:color="auto" w:sz="4" w:space="0"/>
                    <w:bottom w:val="single" w:color="auto" w:sz="4" w:space="0"/>
                    <w:tl2br w:val="nil"/>
                    <w:tr2bl w:val="nil"/>
                  </w:tcBorders>
                  <w:vAlign w:val="center"/>
                </w:tcPr>
                <w:p w14:paraId="713355B9">
                  <w:pPr>
                    <w:pStyle w:val="30"/>
                    <w:rPr>
                      <w:color w:val="auto"/>
                      <w:highlight w:val="none"/>
                    </w:rPr>
                  </w:pPr>
                  <w:r>
                    <w:rPr>
                      <w:rFonts w:hint="eastAsia"/>
                      <w:color w:val="auto"/>
                      <w:highlight w:val="none"/>
                    </w:rPr>
                    <w:t>15</w:t>
                  </w:r>
                  <w:r>
                    <w:rPr>
                      <w:color w:val="auto"/>
                      <w:highlight w:val="none"/>
                    </w:rPr>
                    <w:t>.0</w:t>
                  </w:r>
                </w:p>
              </w:tc>
            </w:tr>
            <w:tr w14:paraId="471AB45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restart"/>
                  <w:tcBorders>
                    <w:top w:val="single" w:color="auto" w:sz="4" w:space="0"/>
                    <w:bottom w:val="single" w:color="auto" w:sz="4" w:space="0"/>
                    <w:right w:val="single" w:color="auto" w:sz="4" w:space="0"/>
                    <w:tl2br w:val="nil"/>
                    <w:tr2bl w:val="nil"/>
                  </w:tcBorders>
                  <w:vAlign w:val="center"/>
                </w:tcPr>
                <w:p w14:paraId="45FB8F73">
                  <w:pPr>
                    <w:pStyle w:val="30"/>
                    <w:rPr>
                      <w:color w:val="auto"/>
                      <w:highlight w:val="none"/>
                    </w:rPr>
                  </w:pPr>
                  <w:r>
                    <w:rPr>
                      <w:color w:val="auto"/>
                      <w:highlight w:val="none"/>
                    </w:rPr>
                    <w:t>固废治理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0004A8D4">
                  <w:pPr>
                    <w:pStyle w:val="30"/>
                    <w:rPr>
                      <w:color w:val="auto"/>
                      <w:highlight w:val="none"/>
                    </w:rPr>
                  </w:pPr>
                  <w:r>
                    <w:rPr>
                      <w:color w:val="auto"/>
                      <w:highlight w:val="none"/>
                    </w:rPr>
                    <w:t>生活垃圾</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8AB958F">
                  <w:pPr>
                    <w:pStyle w:val="30"/>
                    <w:rPr>
                      <w:rFonts w:hint="eastAsia" w:eastAsia="宋体"/>
                      <w:color w:val="auto"/>
                      <w:highlight w:val="none"/>
                      <w:lang w:eastAsia="zh-CN"/>
                    </w:rPr>
                  </w:pPr>
                  <w:r>
                    <w:rPr>
                      <w:color w:val="auto"/>
                      <w:highlight w:val="none"/>
                    </w:rPr>
                    <w:t>由厂内垃圾桶收集，定期由环卫部门清运</w:t>
                  </w:r>
                </w:p>
              </w:tc>
              <w:tc>
                <w:tcPr>
                  <w:tcW w:w="340" w:type="dxa"/>
                  <w:vMerge w:val="restart"/>
                  <w:tcBorders>
                    <w:top w:val="single" w:color="auto" w:sz="4" w:space="0"/>
                    <w:left w:val="single" w:color="auto" w:sz="4" w:space="0"/>
                    <w:bottom w:val="single" w:color="auto" w:sz="4" w:space="0"/>
                    <w:tl2br w:val="nil"/>
                    <w:tr2bl w:val="nil"/>
                  </w:tcBorders>
                  <w:vAlign w:val="center"/>
                </w:tcPr>
                <w:p w14:paraId="0A4580DB">
                  <w:pPr>
                    <w:pStyle w:val="30"/>
                    <w:rPr>
                      <w:color w:val="auto"/>
                      <w:highlight w:val="none"/>
                    </w:rPr>
                  </w:pPr>
                  <w:r>
                    <w:rPr>
                      <w:rFonts w:hint="eastAsia"/>
                      <w:color w:val="auto"/>
                      <w:highlight w:val="none"/>
                    </w:rPr>
                    <w:t>5</w:t>
                  </w:r>
                  <w:r>
                    <w:rPr>
                      <w:rFonts w:hint="eastAsia"/>
                      <w:color w:val="auto"/>
                      <w:highlight w:val="none"/>
                      <w:lang w:val="en-US" w:eastAsia="zh-CN"/>
                    </w:rPr>
                    <w:t>0</w:t>
                  </w:r>
                  <w:r>
                    <w:rPr>
                      <w:color w:val="auto"/>
                      <w:highlight w:val="none"/>
                    </w:rPr>
                    <w:t>.0</w:t>
                  </w:r>
                </w:p>
              </w:tc>
            </w:tr>
            <w:tr w14:paraId="315CCA4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5E1FF447">
                  <w:pPr>
                    <w:pStyle w:val="30"/>
                    <w:rPr>
                      <w:color w:val="auto"/>
                      <w:highlight w:val="none"/>
                    </w:rPr>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F0158C8">
                  <w:pPr>
                    <w:pStyle w:val="30"/>
                    <w:rPr>
                      <w:rFonts w:hint="eastAsia" w:eastAsia="宋体"/>
                      <w:color w:val="auto"/>
                      <w:highlight w:val="none"/>
                      <w:lang w:eastAsia="zh-CN"/>
                    </w:rPr>
                  </w:pPr>
                  <w:r>
                    <w:rPr>
                      <w:rFonts w:hint="eastAsia"/>
                      <w:color w:val="auto"/>
                      <w:highlight w:val="none"/>
                      <w:lang w:eastAsia="zh-CN"/>
                    </w:rPr>
                    <w:t>废含油抹布手套</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46CB37A4">
                  <w:pPr>
                    <w:pStyle w:val="30"/>
                    <w:rPr>
                      <w:rFonts w:hint="eastAsia" w:eastAsia="宋体"/>
                      <w:color w:val="auto"/>
                      <w:highlight w:val="none"/>
                      <w:lang w:eastAsia="zh-CN"/>
                    </w:rPr>
                  </w:pPr>
                  <w:r>
                    <w:rPr>
                      <w:rFonts w:hint="eastAsia"/>
                      <w:color w:val="auto"/>
                      <w:highlight w:val="none"/>
                    </w:rPr>
                    <w:t>暂存于危废暂存间，定期交由有资质单位处理</w:t>
                  </w:r>
                </w:p>
              </w:tc>
              <w:tc>
                <w:tcPr>
                  <w:tcW w:w="340" w:type="dxa"/>
                  <w:vMerge w:val="continue"/>
                  <w:tcBorders>
                    <w:top w:val="single" w:color="auto" w:sz="4" w:space="0"/>
                    <w:left w:val="single" w:color="auto" w:sz="4" w:space="0"/>
                    <w:bottom w:val="single" w:color="auto" w:sz="4" w:space="0"/>
                    <w:tl2br w:val="nil"/>
                    <w:tr2bl w:val="nil"/>
                  </w:tcBorders>
                  <w:vAlign w:val="center"/>
                </w:tcPr>
                <w:p w14:paraId="1159422C">
                  <w:pPr>
                    <w:pStyle w:val="30"/>
                    <w:rPr>
                      <w:color w:val="auto"/>
                      <w:highlight w:val="none"/>
                    </w:rPr>
                  </w:pPr>
                </w:p>
              </w:tc>
            </w:tr>
            <w:tr w14:paraId="25E06F7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6FCCC2DC">
                  <w:pPr>
                    <w:pStyle w:val="30"/>
                    <w:rPr>
                      <w:color w:val="auto"/>
                      <w:highlight w:val="none"/>
                    </w:rPr>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1BFBB052">
                  <w:pPr>
                    <w:pStyle w:val="30"/>
                    <w:rPr>
                      <w:color w:val="auto"/>
                      <w:highlight w:val="none"/>
                    </w:rPr>
                  </w:pPr>
                  <w:r>
                    <w:rPr>
                      <w:color w:val="auto"/>
                      <w:highlight w:val="none"/>
                    </w:rPr>
                    <w:t>清罐油泥、</w:t>
                  </w:r>
                  <w:r>
                    <w:rPr>
                      <w:rFonts w:hint="eastAsia"/>
                      <w:color w:val="auto"/>
                      <w:highlight w:val="none"/>
                    </w:rPr>
                    <w:t>清罐废液、</w:t>
                  </w:r>
                  <w:r>
                    <w:rPr>
                      <w:color w:val="auto"/>
                      <w:highlight w:val="none"/>
                    </w:rPr>
                    <w:t>油渣</w:t>
                  </w:r>
                  <w:r>
                    <w:rPr>
                      <w:rFonts w:hint="eastAsia"/>
                      <w:color w:val="auto"/>
                      <w:highlight w:val="none"/>
                    </w:rPr>
                    <w:t>、三级油水分离池油泥</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71C0CF7">
                  <w:pPr>
                    <w:pStyle w:val="30"/>
                    <w:rPr>
                      <w:rFonts w:hint="eastAsia" w:eastAsia="宋体"/>
                      <w:color w:val="auto"/>
                      <w:highlight w:val="none"/>
                      <w:lang w:eastAsia="zh-CN"/>
                    </w:rPr>
                  </w:pPr>
                  <w:r>
                    <w:rPr>
                      <w:color w:val="auto"/>
                      <w:highlight w:val="none"/>
                    </w:rPr>
                    <w:t>储油罐、</w:t>
                  </w:r>
                  <w:r>
                    <w:rPr>
                      <w:rFonts w:hint="eastAsia"/>
                      <w:color w:val="auto"/>
                      <w:highlight w:val="none"/>
                      <w:lang w:eastAsia="zh-CN"/>
                    </w:rPr>
                    <w:t>隔油池和沉淀池</w:t>
                  </w:r>
                  <w:r>
                    <w:rPr>
                      <w:color w:val="auto"/>
                      <w:highlight w:val="none"/>
                    </w:rPr>
                    <w:t>委托有资质单位定期进行清理，并将清罐油泥、油渣</w:t>
                  </w:r>
                  <w:r>
                    <w:rPr>
                      <w:rFonts w:hint="eastAsia"/>
                      <w:color w:val="auto"/>
                      <w:highlight w:val="none"/>
                    </w:rPr>
                    <w:t>、清罐废液</w:t>
                  </w:r>
                  <w:r>
                    <w:rPr>
                      <w:color w:val="auto"/>
                      <w:highlight w:val="none"/>
                    </w:rPr>
                    <w:t>带回处置，不在厂区暂存</w:t>
                  </w:r>
                </w:p>
              </w:tc>
              <w:tc>
                <w:tcPr>
                  <w:tcW w:w="340" w:type="dxa"/>
                  <w:vMerge w:val="continue"/>
                  <w:tcBorders>
                    <w:top w:val="single" w:color="auto" w:sz="4" w:space="0"/>
                    <w:left w:val="single" w:color="auto" w:sz="4" w:space="0"/>
                    <w:bottom w:val="single" w:color="auto" w:sz="4" w:space="0"/>
                    <w:tl2br w:val="nil"/>
                    <w:tr2bl w:val="nil"/>
                  </w:tcBorders>
                  <w:vAlign w:val="center"/>
                </w:tcPr>
                <w:p w14:paraId="137F33A2">
                  <w:pPr>
                    <w:pStyle w:val="30"/>
                    <w:rPr>
                      <w:color w:val="auto"/>
                      <w:highlight w:val="none"/>
                    </w:rPr>
                  </w:pPr>
                </w:p>
              </w:tc>
            </w:tr>
            <w:tr w14:paraId="0C8D9AE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5F7AF664">
                  <w:pPr>
                    <w:pStyle w:val="30"/>
                    <w:rPr>
                      <w:color w:val="auto"/>
                      <w:highlight w:val="none"/>
                    </w:rPr>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4E77014A">
                  <w:pPr>
                    <w:pStyle w:val="30"/>
                    <w:rPr>
                      <w:color w:val="auto"/>
                      <w:highlight w:val="none"/>
                    </w:rPr>
                  </w:pPr>
                  <w:r>
                    <w:rPr>
                      <w:rFonts w:hint="eastAsia"/>
                      <w:color w:val="auto"/>
                      <w:highlight w:val="none"/>
                    </w:rPr>
                    <w:t>废零部件</w:t>
                  </w:r>
                </w:p>
              </w:tc>
              <w:tc>
                <w:tcPr>
                  <w:tcW w:w="340"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00826332">
                  <w:pPr>
                    <w:pStyle w:val="30"/>
                    <w:rPr>
                      <w:color w:val="auto"/>
                      <w:highlight w:val="none"/>
                    </w:rPr>
                  </w:pPr>
                  <w:r>
                    <w:rPr>
                      <w:rFonts w:hint="eastAsia"/>
                      <w:color w:val="auto"/>
                      <w:highlight w:val="none"/>
                    </w:rPr>
                    <w:t>外售给物资回收单位</w:t>
                  </w:r>
                </w:p>
              </w:tc>
              <w:tc>
                <w:tcPr>
                  <w:tcW w:w="340" w:type="dxa"/>
                  <w:vMerge w:val="continue"/>
                  <w:tcBorders>
                    <w:top w:val="single" w:color="auto" w:sz="4" w:space="0"/>
                    <w:left w:val="single" w:color="auto" w:sz="4" w:space="0"/>
                    <w:bottom w:val="single" w:color="auto" w:sz="4" w:space="0"/>
                    <w:tl2br w:val="nil"/>
                    <w:tr2bl w:val="nil"/>
                  </w:tcBorders>
                  <w:vAlign w:val="center"/>
                </w:tcPr>
                <w:p w14:paraId="1192FD88">
                  <w:pPr>
                    <w:pStyle w:val="30"/>
                    <w:rPr>
                      <w:color w:val="auto"/>
                      <w:highlight w:val="none"/>
                    </w:rPr>
                  </w:pPr>
                </w:p>
              </w:tc>
            </w:tr>
            <w:tr w14:paraId="0278476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7877E690">
                  <w:pPr>
                    <w:pStyle w:val="30"/>
                    <w:rPr>
                      <w:color w:val="auto"/>
                      <w:highlight w:val="none"/>
                    </w:rPr>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19DD38A1">
                  <w:pPr>
                    <w:pStyle w:val="30"/>
                    <w:rPr>
                      <w:color w:val="auto"/>
                      <w:highlight w:val="none"/>
                    </w:rPr>
                  </w:pPr>
                  <w:r>
                    <w:rPr>
                      <w:rFonts w:hint="eastAsia"/>
                      <w:color w:val="auto"/>
                      <w:highlight w:val="none"/>
                    </w:rPr>
                    <w:t>废焊丝</w:t>
                  </w:r>
                </w:p>
              </w:tc>
              <w:tc>
                <w:tcPr>
                  <w:tcW w:w="3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F06CD2A">
                  <w:pPr>
                    <w:pStyle w:val="30"/>
                    <w:rPr>
                      <w:color w:val="auto"/>
                      <w:highlight w:val="none"/>
                    </w:rPr>
                  </w:pPr>
                </w:p>
              </w:tc>
              <w:tc>
                <w:tcPr>
                  <w:tcW w:w="340" w:type="dxa"/>
                  <w:vMerge w:val="continue"/>
                  <w:tcBorders>
                    <w:top w:val="single" w:color="auto" w:sz="4" w:space="0"/>
                    <w:left w:val="single" w:color="auto" w:sz="4" w:space="0"/>
                    <w:bottom w:val="single" w:color="auto" w:sz="4" w:space="0"/>
                    <w:tl2br w:val="nil"/>
                    <w:tr2bl w:val="nil"/>
                  </w:tcBorders>
                  <w:vAlign w:val="center"/>
                </w:tcPr>
                <w:p w14:paraId="1CD31F5C">
                  <w:pPr>
                    <w:pStyle w:val="30"/>
                    <w:rPr>
                      <w:color w:val="auto"/>
                      <w:highlight w:val="none"/>
                    </w:rPr>
                  </w:pPr>
                </w:p>
              </w:tc>
            </w:tr>
            <w:tr w14:paraId="70B4506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455AAE90">
                  <w:pPr>
                    <w:pStyle w:val="30"/>
                    <w:rPr>
                      <w:color w:val="auto"/>
                      <w:highlight w:val="none"/>
                    </w:rPr>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24ED4AB1">
                  <w:pPr>
                    <w:pStyle w:val="30"/>
                    <w:rPr>
                      <w:rFonts w:hint="eastAsia" w:eastAsia="宋体"/>
                      <w:color w:val="auto"/>
                      <w:highlight w:val="none"/>
                      <w:lang w:eastAsia="zh-CN"/>
                    </w:rPr>
                  </w:pPr>
                  <w:r>
                    <w:rPr>
                      <w:rFonts w:hint="eastAsia"/>
                      <w:color w:val="auto"/>
                      <w:highlight w:val="none"/>
                    </w:rPr>
                    <w:t>废机油、废机油桶、</w:t>
                  </w:r>
                  <w:r>
                    <w:rPr>
                      <w:rFonts w:hint="eastAsia"/>
                      <w:color w:val="auto"/>
                      <w:highlight w:val="none"/>
                      <w:lang w:eastAsia="zh-CN"/>
                    </w:rPr>
                    <w:t>废电池</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7DD864D4">
                  <w:pPr>
                    <w:pStyle w:val="30"/>
                    <w:rPr>
                      <w:rFonts w:hint="eastAsia" w:eastAsia="宋体"/>
                      <w:color w:val="auto"/>
                      <w:highlight w:val="none"/>
                      <w:lang w:eastAsia="zh-CN"/>
                    </w:rPr>
                  </w:pPr>
                  <w:r>
                    <w:rPr>
                      <w:rFonts w:hint="eastAsia"/>
                      <w:color w:val="auto"/>
                      <w:highlight w:val="none"/>
                    </w:rPr>
                    <w:t>暂存于危废暂存间，定期交由有资质单位处理</w:t>
                  </w:r>
                </w:p>
              </w:tc>
              <w:tc>
                <w:tcPr>
                  <w:tcW w:w="340" w:type="dxa"/>
                  <w:vMerge w:val="continue"/>
                  <w:tcBorders>
                    <w:top w:val="single" w:color="auto" w:sz="4" w:space="0"/>
                    <w:left w:val="single" w:color="auto" w:sz="4" w:space="0"/>
                    <w:bottom w:val="single" w:color="auto" w:sz="4" w:space="0"/>
                    <w:tl2br w:val="nil"/>
                    <w:tr2bl w:val="nil"/>
                  </w:tcBorders>
                  <w:vAlign w:val="center"/>
                </w:tcPr>
                <w:p w14:paraId="7285F7A9">
                  <w:pPr>
                    <w:pStyle w:val="30"/>
                    <w:rPr>
                      <w:color w:val="auto"/>
                      <w:highlight w:val="none"/>
                    </w:rPr>
                  </w:pPr>
                </w:p>
              </w:tc>
            </w:tr>
            <w:tr w14:paraId="4B4B95D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4AAAF76F">
                  <w:pPr>
                    <w:pStyle w:val="30"/>
                    <w:rPr>
                      <w:color w:val="auto"/>
                      <w:highlight w:val="none"/>
                    </w:rPr>
                  </w:pPr>
                  <w:r>
                    <w:rPr>
                      <w:color w:val="auto"/>
                      <w:highlight w:val="none"/>
                    </w:rPr>
                    <w:t>地下水</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29747758">
                  <w:pPr>
                    <w:pStyle w:val="30"/>
                    <w:rPr>
                      <w:color w:val="auto"/>
                      <w:highlight w:val="none"/>
                    </w:rPr>
                  </w:pPr>
                  <w:r>
                    <w:rPr>
                      <w:rFonts w:hint="eastAsia"/>
                      <w:color w:val="auto"/>
                      <w:highlight w:val="none"/>
                    </w:rPr>
                    <w:t>柴油、</w:t>
                  </w:r>
                  <w:r>
                    <w:rPr>
                      <w:color w:val="auto"/>
                      <w:highlight w:val="none"/>
                    </w:rPr>
                    <w:t>汽油</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3DA0BA59">
                  <w:pPr>
                    <w:pStyle w:val="30"/>
                    <w:rPr>
                      <w:rFonts w:hint="eastAsia" w:eastAsia="宋体"/>
                      <w:color w:val="auto"/>
                      <w:highlight w:val="none"/>
                      <w:lang w:eastAsia="zh-CN"/>
                    </w:rPr>
                  </w:pPr>
                  <w:r>
                    <w:rPr>
                      <w:color w:val="auto"/>
                      <w:highlight w:val="none"/>
                    </w:rPr>
                    <w:t>分区防渗，油罐采用双层罐、输油管线采取双层管道等</w:t>
                  </w:r>
                </w:p>
              </w:tc>
              <w:tc>
                <w:tcPr>
                  <w:tcW w:w="340" w:type="dxa"/>
                  <w:tcBorders>
                    <w:top w:val="single" w:color="auto" w:sz="4" w:space="0"/>
                    <w:left w:val="single" w:color="auto" w:sz="4" w:space="0"/>
                    <w:bottom w:val="single" w:color="auto" w:sz="4" w:space="0"/>
                    <w:tl2br w:val="nil"/>
                    <w:tr2bl w:val="nil"/>
                  </w:tcBorders>
                  <w:vAlign w:val="center"/>
                </w:tcPr>
                <w:p w14:paraId="2BD64241">
                  <w:pPr>
                    <w:pStyle w:val="30"/>
                    <w:rPr>
                      <w:color w:val="auto"/>
                      <w:highlight w:val="none"/>
                    </w:rPr>
                  </w:pPr>
                  <w:r>
                    <w:rPr>
                      <w:rFonts w:hint="eastAsia"/>
                      <w:color w:val="auto"/>
                      <w:highlight w:val="none"/>
                    </w:rPr>
                    <w:t>3</w:t>
                  </w:r>
                  <w:r>
                    <w:rPr>
                      <w:rFonts w:hint="eastAsia"/>
                      <w:color w:val="auto"/>
                      <w:highlight w:val="none"/>
                      <w:lang w:val="en-US" w:eastAsia="zh-CN"/>
                    </w:rPr>
                    <w:t>2</w:t>
                  </w:r>
                  <w:r>
                    <w:rPr>
                      <w:color w:val="auto"/>
                      <w:highlight w:val="none"/>
                    </w:rPr>
                    <w:t>.0</w:t>
                  </w:r>
                </w:p>
              </w:tc>
            </w:tr>
            <w:tr w14:paraId="17CC241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008F8929">
                  <w:pPr>
                    <w:pStyle w:val="30"/>
                    <w:rPr>
                      <w:color w:val="auto"/>
                      <w:highlight w:val="none"/>
                    </w:rPr>
                  </w:pPr>
                  <w:r>
                    <w:rPr>
                      <w:color w:val="auto"/>
                      <w:highlight w:val="none"/>
                    </w:rPr>
                    <w:t>环境风险</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715D4FC9">
                  <w:pPr>
                    <w:pStyle w:val="30"/>
                    <w:rPr>
                      <w:color w:val="auto"/>
                      <w:highlight w:val="none"/>
                    </w:rPr>
                  </w:pPr>
                  <w:r>
                    <w:rPr>
                      <w:color w:val="auto"/>
                      <w:highlight w:val="none"/>
                    </w:rPr>
                    <w:t>环境风险防范</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B049CAF">
                  <w:pPr>
                    <w:pStyle w:val="30"/>
                    <w:rPr>
                      <w:color w:val="auto"/>
                      <w:highlight w:val="none"/>
                    </w:rPr>
                  </w:pPr>
                  <w:r>
                    <w:rPr>
                      <w:rFonts w:hint="eastAsia"/>
                      <w:color w:val="auto"/>
                      <w:highlight w:val="none"/>
                    </w:rPr>
                    <w:t>地下储油罐周围设计防渗漏检查孔或检查通道；主要工艺设备和管道均设有安全泄放装置；加油站内的电气设备严格按照防爆区划分配置，设置警告牌及灭火器材；在防爆区内，电气设备和仪表均选用防爆型产品，严格执行防火、防爆、防雷击、防毒害等各项要求等</w:t>
                  </w:r>
                </w:p>
              </w:tc>
              <w:tc>
                <w:tcPr>
                  <w:tcW w:w="340" w:type="dxa"/>
                  <w:tcBorders>
                    <w:top w:val="single" w:color="auto" w:sz="4" w:space="0"/>
                    <w:left w:val="single" w:color="auto" w:sz="4" w:space="0"/>
                    <w:bottom w:val="single" w:color="auto" w:sz="4" w:space="0"/>
                    <w:tl2br w:val="nil"/>
                    <w:tr2bl w:val="nil"/>
                  </w:tcBorders>
                  <w:vAlign w:val="center"/>
                </w:tcPr>
                <w:p w14:paraId="1B2C9CB2">
                  <w:pPr>
                    <w:pStyle w:val="30"/>
                    <w:rPr>
                      <w:color w:val="auto"/>
                      <w:highlight w:val="none"/>
                    </w:rPr>
                  </w:pPr>
                  <w:r>
                    <w:rPr>
                      <w:rFonts w:hint="eastAsia"/>
                      <w:color w:val="auto"/>
                      <w:highlight w:val="none"/>
                    </w:rPr>
                    <w:t>2</w:t>
                  </w:r>
                  <w:r>
                    <w:rPr>
                      <w:rFonts w:hint="eastAsia"/>
                      <w:color w:val="auto"/>
                      <w:highlight w:val="none"/>
                      <w:lang w:val="en-US" w:eastAsia="zh-CN"/>
                    </w:rPr>
                    <w:t>1</w:t>
                  </w:r>
                  <w:r>
                    <w:rPr>
                      <w:color w:val="auto"/>
                      <w:highlight w:val="none"/>
                    </w:rPr>
                    <w:t>.0</w:t>
                  </w:r>
                </w:p>
              </w:tc>
            </w:tr>
            <w:tr w14:paraId="0AD5B2E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gridSpan w:val="2"/>
                  <w:tcBorders>
                    <w:top w:val="single" w:color="auto" w:sz="4" w:space="0"/>
                    <w:bottom w:val="single" w:color="auto" w:sz="4" w:space="0"/>
                    <w:right w:val="single" w:color="auto" w:sz="4" w:space="0"/>
                    <w:tl2br w:val="nil"/>
                    <w:tr2bl w:val="nil"/>
                  </w:tcBorders>
                  <w:vAlign w:val="center"/>
                </w:tcPr>
                <w:p w14:paraId="7ACA8191">
                  <w:pPr>
                    <w:pStyle w:val="30"/>
                    <w:rPr>
                      <w:color w:val="auto"/>
                      <w:highlight w:val="none"/>
                    </w:rPr>
                  </w:pPr>
                  <w:r>
                    <w:rPr>
                      <w:color w:val="auto"/>
                      <w:highlight w:val="none"/>
                    </w:rPr>
                    <w:t>合计</w:t>
                  </w:r>
                </w:p>
              </w:tc>
              <w:tc>
                <w:tcPr>
                  <w:tcW w:w="340" w:type="dxa"/>
                  <w:gridSpan w:val="2"/>
                  <w:tcBorders>
                    <w:top w:val="single" w:color="auto" w:sz="4" w:space="0"/>
                    <w:left w:val="single" w:color="auto" w:sz="4" w:space="0"/>
                    <w:bottom w:val="single" w:color="auto" w:sz="4" w:space="0"/>
                    <w:tl2br w:val="nil"/>
                    <w:tr2bl w:val="nil"/>
                  </w:tcBorders>
                  <w:vAlign w:val="center"/>
                </w:tcPr>
                <w:p w14:paraId="5226F863">
                  <w:pPr>
                    <w:pStyle w:val="30"/>
                    <w:rPr>
                      <w:color w:val="auto"/>
                      <w:highlight w:val="none"/>
                    </w:rPr>
                  </w:pPr>
                  <w:r>
                    <w:rPr>
                      <w:rFonts w:hint="eastAsia"/>
                      <w:color w:val="auto"/>
                      <w:highlight w:val="none"/>
                    </w:rPr>
                    <w:t>19</w:t>
                  </w:r>
                  <w:r>
                    <w:rPr>
                      <w:rFonts w:hint="eastAsia"/>
                      <w:color w:val="auto"/>
                      <w:highlight w:val="none"/>
                      <w:lang w:val="en-US" w:eastAsia="zh-CN"/>
                    </w:rPr>
                    <w:t>3</w:t>
                  </w:r>
                  <w:r>
                    <w:rPr>
                      <w:rFonts w:hint="eastAsia"/>
                      <w:color w:val="auto"/>
                      <w:highlight w:val="none"/>
                    </w:rPr>
                    <w:t>.0</w:t>
                  </w:r>
                </w:p>
              </w:tc>
            </w:tr>
          </w:tbl>
          <w:p w14:paraId="768BD6ED">
            <w:pPr>
              <w:numPr>
                <w:ilvl w:val="0"/>
                <w:numId w:val="0"/>
              </w:numPr>
              <w:rPr>
                <w:b/>
                <w:bCs/>
                <w:color w:val="auto"/>
                <w:highlight w:val="none"/>
              </w:rPr>
            </w:pPr>
            <w:r>
              <w:rPr>
                <w:rFonts w:hint="eastAsia" w:ascii="Times New Roman" w:hAnsi="Times New Roman" w:eastAsia="宋体" w:cs="Times New Roman"/>
                <w:b/>
                <w:bCs/>
                <w:color w:val="auto"/>
                <w:kern w:val="2"/>
                <w:sz w:val="24"/>
                <w:szCs w:val="24"/>
                <w:highlight w:val="none"/>
                <w:lang w:val="en-US" w:eastAsia="zh-CN" w:bidi="ar-SA"/>
              </w:rPr>
              <w:t>八、</w:t>
            </w:r>
            <w:r>
              <w:rPr>
                <w:rFonts w:hint="eastAsia"/>
                <w:b/>
                <w:bCs/>
                <w:color w:val="auto"/>
                <w:highlight w:val="none"/>
              </w:rPr>
              <w:t>排污许可管理类别</w:t>
            </w:r>
          </w:p>
          <w:p w14:paraId="476AEE57">
            <w:pPr>
              <w:ind w:firstLine="480" w:firstLineChars="200"/>
              <w:rPr>
                <w:color w:val="auto"/>
                <w:highlight w:val="none"/>
              </w:rPr>
            </w:pPr>
            <w:r>
              <w:rPr>
                <w:color w:val="auto"/>
                <w:highlight w:val="none"/>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w:t>
            </w:r>
            <w:r>
              <w:rPr>
                <w:rFonts w:hint="eastAsia"/>
                <w:color w:val="auto"/>
                <w:highlight w:val="none"/>
              </w:rPr>
              <w:t>“</w:t>
            </w:r>
            <w:r>
              <w:rPr>
                <w:color w:val="auto"/>
                <w:highlight w:val="none"/>
              </w:rPr>
              <w:t>建设项目环境影响评价与排污许可联动内容</w:t>
            </w:r>
            <w:r>
              <w:rPr>
                <w:rFonts w:hint="eastAsia"/>
                <w:color w:val="auto"/>
                <w:highlight w:val="none"/>
              </w:rPr>
              <w:t>”</w:t>
            </w:r>
            <w:r>
              <w:rPr>
                <w:color w:val="auto"/>
                <w:highlight w:val="none"/>
              </w:rPr>
              <w:t>。</w:t>
            </w:r>
          </w:p>
          <w:p w14:paraId="1EA9C3B9">
            <w:pPr>
              <w:ind w:firstLine="480" w:firstLineChars="200"/>
              <w:rPr>
                <w:color w:val="auto"/>
                <w:highlight w:val="none"/>
              </w:rPr>
            </w:pPr>
            <w:r>
              <w:rPr>
                <w:color w:val="auto"/>
                <w:highlight w:val="none"/>
              </w:rPr>
              <w:t>（1）排污许可管理类别判定</w:t>
            </w:r>
          </w:p>
          <w:p w14:paraId="7B9C7F49">
            <w:pPr>
              <w:ind w:firstLine="480" w:firstLineChars="200"/>
              <w:rPr>
                <w:color w:val="auto"/>
                <w:highlight w:val="none"/>
              </w:rPr>
            </w:pPr>
            <w:r>
              <w:rPr>
                <w:color w:val="auto"/>
                <w:highlight w:val="none"/>
              </w:rPr>
              <w:t>根据《国民经济行业分类》（GB4754-2017），本项目行业类别为：G5449其他道路运输和辅助活动、F5265机动车燃油零售；对照《固定污染源排污许可分类管理名录》（2019年版），本项目属于《名录》中：</w:t>
            </w:r>
            <w:r>
              <w:rPr>
                <w:rFonts w:hint="eastAsia"/>
                <w:color w:val="auto"/>
                <w:highlight w:val="none"/>
              </w:rPr>
              <w:t>四十二、零售业52-100汽车、摩托车、零配件和燃料及其他动力销售526中“位于城市建成区的加油站”，属简化管理。</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947"/>
              <w:gridCol w:w="1338"/>
              <w:gridCol w:w="1338"/>
              <w:gridCol w:w="1339"/>
            </w:tblGrid>
            <w:tr w14:paraId="5CF6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16C199A">
                  <w:pPr>
                    <w:pStyle w:val="30"/>
                    <w:rPr>
                      <w:color w:val="auto"/>
                      <w:highlight w:val="none"/>
                    </w:rPr>
                  </w:pPr>
                  <w:r>
                    <w:rPr>
                      <w:rFonts w:hint="eastAsia"/>
                      <w:color w:val="auto"/>
                      <w:highlight w:val="none"/>
                    </w:rPr>
                    <w:t>序号</w:t>
                  </w:r>
                </w:p>
              </w:tc>
              <w:tc>
                <w:tcPr>
                  <w:tcW w:w="340" w:type="dxa"/>
                  <w:vAlign w:val="center"/>
                </w:tcPr>
                <w:p w14:paraId="0CAAE71E">
                  <w:pPr>
                    <w:pStyle w:val="30"/>
                    <w:rPr>
                      <w:color w:val="auto"/>
                      <w:highlight w:val="none"/>
                    </w:rPr>
                  </w:pPr>
                  <w:r>
                    <w:rPr>
                      <w:rFonts w:hint="eastAsia"/>
                      <w:color w:val="auto"/>
                      <w:highlight w:val="none"/>
                    </w:rPr>
                    <w:t>行业类别</w:t>
                  </w:r>
                </w:p>
              </w:tc>
              <w:tc>
                <w:tcPr>
                  <w:tcW w:w="340" w:type="dxa"/>
                  <w:vAlign w:val="center"/>
                </w:tcPr>
                <w:p w14:paraId="34FBA6C7">
                  <w:pPr>
                    <w:pStyle w:val="30"/>
                    <w:rPr>
                      <w:color w:val="auto"/>
                      <w:highlight w:val="none"/>
                    </w:rPr>
                  </w:pPr>
                  <w:r>
                    <w:rPr>
                      <w:rFonts w:hint="eastAsia"/>
                      <w:color w:val="auto"/>
                      <w:highlight w:val="none"/>
                    </w:rPr>
                    <w:t>重点管理</w:t>
                  </w:r>
                </w:p>
              </w:tc>
              <w:tc>
                <w:tcPr>
                  <w:tcW w:w="340" w:type="dxa"/>
                  <w:vAlign w:val="center"/>
                </w:tcPr>
                <w:p w14:paraId="7C107C4F">
                  <w:pPr>
                    <w:pStyle w:val="30"/>
                    <w:rPr>
                      <w:color w:val="auto"/>
                      <w:highlight w:val="none"/>
                    </w:rPr>
                  </w:pPr>
                  <w:r>
                    <w:rPr>
                      <w:rFonts w:hint="eastAsia"/>
                      <w:color w:val="auto"/>
                      <w:highlight w:val="none"/>
                    </w:rPr>
                    <w:t>简化管理</w:t>
                  </w:r>
                </w:p>
              </w:tc>
              <w:tc>
                <w:tcPr>
                  <w:tcW w:w="340" w:type="dxa"/>
                  <w:vAlign w:val="center"/>
                </w:tcPr>
                <w:p w14:paraId="47C28560">
                  <w:pPr>
                    <w:pStyle w:val="30"/>
                    <w:rPr>
                      <w:color w:val="auto"/>
                      <w:highlight w:val="none"/>
                    </w:rPr>
                  </w:pPr>
                  <w:r>
                    <w:rPr>
                      <w:rFonts w:hint="eastAsia"/>
                      <w:color w:val="auto"/>
                      <w:highlight w:val="none"/>
                    </w:rPr>
                    <w:t>登记管理</w:t>
                  </w:r>
                </w:p>
              </w:tc>
            </w:tr>
            <w:tr w14:paraId="7172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5"/>
                  <w:vAlign w:val="center"/>
                </w:tcPr>
                <w:p w14:paraId="09CF5324">
                  <w:pPr>
                    <w:pStyle w:val="30"/>
                    <w:jc w:val="both"/>
                    <w:rPr>
                      <w:color w:val="auto"/>
                      <w:highlight w:val="none"/>
                    </w:rPr>
                  </w:pPr>
                  <w:r>
                    <w:rPr>
                      <w:rFonts w:hint="eastAsia"/>
                      <w:color w:val="auto"/>
                      <w:highlight w:val="none"/>
                    </w:rPr>
                    <w:t>四十二、零售业52</w:t>
                  </w:r>
                </w:p>
              </w:tc>
            </w:tr>
            <w:tr w14:paraId="2C00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EBBD3E9">
                  <w:pPr>
                    <w:pStyle w:val="30"/>
                    <w:rPr>
                      <w:color w:val="auto"/>
                      <w:highlight w:val="none"/>
                    </w:rPr>
                  </w:pPr>
                  <w:r>
                    <w:rPr>
                      <w:rFonts w:hint="eastAsia"/>
                      <w:color w:val="auto"/>
                      <w:highlight w:val="none"/>
                    </w:rPr>
                    <w:t>100</w:t>
                  </w:r>
                </w:p>
              </w:tc>
              <w:tc>
                <w:tcPr>
                  <w:tcW w:w="340" w:type="dxa"/>
                  <w:vAlign w:val="center"/>
                </w:tcPr>
                <w:p w14:paraId="64ED0C4B">
                  <w:pPr>
                    <w:pStyle w:val="30"/>
                    <w:rPr>
                      <w:color w:val="auto"/>
                      <w:highlight w:val="none"/>
                    </w:rPr>
                  </w:pPr>
                  <w:r>
                    <w:rPr>
                      <w:rFonts w:hint="eastAsia"/>
                      <w:color w:val="auto"/>
                      <w:highlight w:val="none"/>
                    </w:rPr>
                    <w:t>汽车、摩托车、零配件和燃料及其他动力销售526</w:t>
                  </w:r>
                </w:p>
              </w:tc>
              <w:tc>
                <w:tcPr>
                  <w:tcW w:w="340" w:type="dxa"/>
                  <w:vAlign w:val="center"/>
                </w:tcPr>
                <w:p w14:paraId="62339DA0">
                  <w:pPr>
                    <w:pStyle w:val="30"/>
                    <w:rPr>
                      <w:color w:val="auto"/>
                      <w:highlight w:val="none"/>
                    </w:rPr>
                  </w:pPr>
                  <w:r>
                    <w:rPr>
                      <w:rFonts w:hint="eastAsia"/>
                      <w:color w:val="auto"/>
                      <w:highlight w:val="none"/>
                    </w:rPr>
                    <w:t>/</w:t>
                  </w:r>
                </w:p>
              </w:tc>
              <w:tc>
                <w:tcPr>
                  <w:tcW w:w="340" w:type="dxa"/>
                  <w:vAlign w:val="center"/>
                </w:tcPr>
                <w:p w14:paraId="74856FF5">
                  <w:pPr>
                    <w:pStyle w:val="30"/>
                    <w:rPr>
                      <w:color w:val="auto"/>
                      <w:highlight w:val="none"/>
                    </w:rPr>
                  </w:pPr>
                  <w:r>
                    <w:rPr>
                      <w:rFonts w:hint="eastAsia"/>
                      <w:color w:val="auto"/>
                      <w:highlight w:val="none"/>
                    </w:rPr>
                    <w:t>位于城市建成区的加油站</w:t>
                  </w:r>
                </w:p>
              </w:tc>
              <w:tc>
                <w:tcPr>
                  <w:tcW w:w="340" w:type="dxa"/>
                  <w:vAlign w:val="center"/>
                </w:tcPr>
                <w:p w14:paraId="09204A48">
                  <w:pPr>
                    <w:pStyle w:val="30"/>
                    <w:rPr>
                      <w:color w:val="auto"/>
                      <w:highlight w:val="none"/>
                    </w:rPr>
                  </w:pPr>
                  <w:r>
                    <w:rPr>
                      <w:rFonts w:hint="eastAsia"/>
                      <w:color w:val="auto"/>
                      <w:highlight w:val="none"/>
                    </w:rPr>
                    <w:t>其他加油站</w:t>
                  </w:r>
                </w:p>
              </w:tc>
            </w:tr>
          </w:tbl>
          <w:p w14:paraId="7C845622">
            <w:pPr>
              <w:rPr>
                <w:rFonts w:hint="eastAsia"/>
                <w:b/>
                <w:bCs/>
                <w:color w:val="auto"/>
                <w:highlight w:val="none"/>
                <w:lang w:eastAsia="zh-CN"/>
              </w:rPr>
            </w:pPr>
            <w:r>
              <w:rPr>
                <w:rFonts w:hint="eastAsia"/>
                <w:b/>
                <w:bCs/>
                <w:color w:val="auto"/>
                <w:highlight w:val="none"/>
                <w:lang w:eastAsia="zh-CN"/>
              </w:rPr>
              <w:t>九、三同时验收</w:t>
            </w:r>
          </w:p>
          <w:p w14:paraId="54058D9B">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根据《建设项目环境保护管理条例》（2017年7月16日修订），建设项目设计和施工中应严格落实“三同时”制度，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14:paraId="14A09DE7">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建设单位是建设项目竣工环境保护验收的责任主体，应当按照《建设项目竣工环境保护验收暂行办法》（国环规环评〔2017〕4号）、《建设项目竣工环境保护验收技术指南污染影响类》（生态环境部办公厅2018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4B332FE9">
            <w:pPr>
              <w:bidi w:val="0"/>
              <w:ind w:firstLine="480" w:firstLineChars="200"/>
              <w:rPr>
                <w:rFonts w:hint="eastAsia"/>
                <w:color w:val="auto"/>
                <w:sz w:val="24"/>
                <w:highlight w:val="none"/>
                <w:lang w:eastAsia="zh-CN"/>
              </w:rPr>
            </w:pPr>
            <w:r>
              <w:rPr>
                <w:rFonts w:hint="eastAsia"/>
                <w:color w:val="auto"/>
                <w:highlight w:val="none"/>
              </w:rPr>
              <w:t>建设项目竣工后，除需要取得排污许可证的水和大气污染防治设施外，其他环境保护设施的验收期限一般不超过3个月，需要对该类环境保护设施进行调试或者调整的，验收期限可以适当延期，但最长不超过12个月。根据《排污许可证管理暂行规定》，建设单位属于排污许可管理范围内，应持证排污，禁止无证排污或不按证排污。</w:t>
            </w:r>
          </w:p>
        </w:tc>
        <w:tc>
          <w:tcPr>
            <w:tcW w:w="240" w:type="dxa"/>
          </w:tcPr>
          <w:p w14:paraId="42844220">
            <w:pPr>
              <w:ind w:firstLine="482" w:firstLineChars="200"/>
              <w:rPr>
                <w:b/>
                <w:bCs/>
                <w:color w:val="auto"/>
                <w:highlight w:val="none"/>
              </w:rPr>
            </w:pPr>
          </w:p>
        </w:tc>
      </w:tr>
    </w:tbl>
    <w:p w14:paraId="22C8C05E">
      <w:pPr>
        <w:rPr>
          <w:color w:val="auto"/>
          <w:highlight w:val="none"/>
        </w:rPr>
      </w:pPr>
    </w:p>
    <w:p w14:paraId="32DC8D9F">
      <w:pPr>
        <w:pStyle w:val="3"/>
        <w:rPr>
          <w:color w:val="auto"/>
          <w:highlight w:val="none"/>
        </w:rPr>
        <w:sectPr>
          <w:pgSz w:w="11906" w:h="16838"/>
          <w:pgMar w:top="1440" w:right="1800" w:bottom="1440" w:left="1800" w:header="851" w:footer="992" w:gutter="0"/>
          <w:cols w:space="425" w:num="1"/>
          <w:docGrid w:type="lines" w:linePitch="312" w:charSpace="0"/>
        </w:sectPr>
      </w:pPr>
    </w:p>
    <w:p w14:paraId="145824AE">
      <w:pPr>
        <w:pStyle w:val="2"/>
        <w:rPr>
          <w:color w:val="auto"/>
          <w:highlight w:val="none"/>
        </w:rPr>
      </w:pPr>
      <w:bookmarkStart w:id="38" w:name="_Toc18445"/>
      <w:r>
        <w:rPr>
          <w:rFonts w:hint="eastAsia"/>
          <w:color w:val="auto"/>
          <w:highlight w:val="none"/>
        </w:rPr>
        <w:t>五、环境保护措施监督检查清单</w:t>
      </w:r>
      <w:bookmarkEnd w:id="38"/>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354"/>
        <w:gridCol w:w="590"/>
        <w:gridCol w:w="902"/>
        <w:gridCol w:w="1899"/>
        <w:gridCol w:w="1831"/>
        <w:gridCol w:w="1832"/>
      </w:tblGrid>
      <w:tr w14:paraId="64028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tcBorders>
              <w:tl2br w:val="single" w:color="auto" w:sz="4" w:space="0"/>
            </w:tcBorders>
            <w:vAlign w:val="center"/>
          </w:tcPr>
          <w:p w14:paraId="4BF45F5F">
            <w:pPr>
              <w:pStyle w:val="30"/>
              <w:jc w:val="right"/>
              <w:rPr>
                <w:color w:val="auto"/>
                <w:highlight w:val="none"/>
              </w:rPr>
            </w:pPr>
            <w:r>
              <w:rPr>
                <w:rFonts w:hint="eastAsia"/>
                <w:color w:val="auto"/>
                <w:highlight w:val="none"/>
              </w:rPr>
              <w:t>内容</w:t>
            </w:r>
          </w:p>
          <w:p w14:paraId="23A56D52">
            <w:pPr>
              <w:pStyle w:val="30"/>
              <w:jc w:val="both"/>
              <w:rPr>
                <w:color w:val="auto"/>
                <w:highlight w:val="none"/>
              </w:rPr>
            </w:pPr>
            <w:r>
              <w:rPr>
                <w:rFonts w:hint="eastAsia"/>
                <w:color w:val="auto"/>
                <w:highlight w:val="none"/>
              </w:rPr>
              <w:t>要素</w:t>
            </w:r>
          </w:p>
        </w:tc>
        <w:tc>
          <w:tcPr>
            <w:tcW w:w="1083" w:type="pct"/>
            <w:gridSpan w:val="3"/>
            <w:vAlign w:val="center"/>
          </w:tcPr>
          <w:p w14:paraId="5F89C442">
            <w:pPr>
              <w:pStyle w:val="30"/>
              <w:rPr>
                <w:color w:val="auto"/>
                <w:highlight w:val="none"/>
              </w:rPr>
            </w:pPr>
            <w:r>
              <w:rPr>
                <w:rFonts w:hint="eastAsia"/>
                <w:color w:val="auto"/>
                <w:highlight w:val="none"/>
              </w:rPr>
              <w:t>排放口（编号、名称）/污染源</w:t>
            </w:r>
          </w:p>
        </w:tc>
        <w:tc>
          <w:tcPr>
            <w:tcW w:w="1114" w:type="pct"/>
            <w:vAlign w:val="center"/>
          </w:tcPr>
          <w:p w14:paraId="38CD58B1">
            <w:pPr>
              <w:pStyle w:val="30"/>
              <w:rPr>
                <w:color w:val="auto"/>
                <w:highlight w:val="none"/>
              </w:rPr>
            </w:pPr>
            <w:r>
              <w:rPr>
                <w:rFonts w:hint="eastAsia"/>
                <w:color w:val="auto"/>
                <w:highlight w:val="none"/>
              </w:rPr>
              <w:t>污染物项目</w:t>
            </w:r>
          </w:p>
        </w:tc>
        <w:tc>
          <w:tcPr>
            <w:tcW w:w="1074" w:type="pct"/>
            <w:vAlign w:val="center"/>
          </w:tcPr>
          <w:p w14:paraId="43A65EC4">
            <w:pPr>
              <w:pStyle w:val="30"/>
              <w:rPr>
                <w:color w:val="auto"/>
                <w:highlight w:val="none"/>
              </w:rPr>
            </w:pPr>
            <w:r>
              <w:rPr>
                <w:rFonts w:hint="eastAsia"/>
                <w:color w:val="auto"/>
                <w:highlight w:val="none"/>
              </w:rPr>
              <w:t>环境保护措施</w:t>
            </w:r>
          </w:p>
        </w:tc>
        <w:tc>
          <w:tcPr>
            <w:tcW w:w="1074" w:type="pct"/>
            <w:vAlign w:val="center"/>
          </w:tcPr>
          <w:p w14:paraId="5DD91087">
            <w:pPr>
              <w:pStyle w:val="30"/>
              <w:rPr>
                <w:color w:val="auto"/>
                <w:highlight w:val="none"/>
              </w:rPr>
            </w:pPr>
            <w:r>
              <w:rPr>
                <w:rFonts w:hint="eastAsia"/>
                <w:color w:val="auto"/>
                <w:highlight w:val="none"/>
              </w:rPr>
              <w:t>执行标准</w:t>
            </w:r>
          </w:p>
        </w:tc>
      </w:tr>
      <w:tr w14:paraId="427D6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Merge w:val="restart"/>
            <w:vAlign w:val="center"/>
          </w:tcPr>
          <w:p w14:paraId="6611A14B">
            <w:pPr>
              <w:pStyle w:val="30"/>
              <w:rPr>
                <w:color w:val="auto"/>
                <w:highlight w:val="none"/>
              </w:rPr>
            </w:pPr>
            <w:r>
              <w:rPr>
                <w:color w:val="auto"/>
                <w:highlight w:val="none"/>
              </w:rPr>
              <w:t>大气环境</w:t>
            </w:r>
          </w:p>
        </w:tc>
        <w:tc>
          <w:tcPr>
            <w:tcW w:w="1083" w:type="pct"/>
            <w:gridSpan w:val="3"/>
            <w:shd w:val="clear" w:color="auto" w:fill="auto"/>
            <w:vAlign w:val="center"/>
          </w:tcPr>
          <w:p w14:paraId="297372DF">
            <w:pPr>
              <w:pStyle w:val="30"/>
              <w:rPr>
                <w:color w:val="auto"/>
                <w:highlight w:val="none"/>
              </w:rPr>
            </w:pPr>
            <w:r>
              <w:rPr>
                <w:rFonts w:hint="eastAsia"/>
                <w:color w:val="auto"/>
                <w:highlight w:val="none"/>
              </w:rPr>
              <w:t>项目厂界</w:t>
            </w:r>
          </w:p>
        </w:tc>
        <w:tc>
          <w:tcPr>
            <w:tcW w:w="1114" w:type="pct"/>
            <w:shd w:val="clear" w:color="auto" w:fill="auto"/>
            <w:vAlign w:val="center"/>
          </w:tcPr>
          <w:p w14:paraId="69F1A6A9">
            <w:pPr>
              <w:pStyle w:val="30"/>
              <w:rPr>
                <w:color w:val="auto"/>
                <w:highlight w:val="none"/>
              </w:rPr>
            </w:pPr>
            <w:r>
              <w:rPr>
                <w:rFonts w:hint="eastAsia"/>
                <w:color w:val="auto"/>
                <w:highlight w:val="none"/>
              </w:rPr>
              <w:t>颗粒物</w:t>
            </w:r>
          </w:p>
        </w:tc>
        <w:tc>
          <w:tcPr>
            <w:tcW w:w="1074" w:type="pct"/>
            <w:shd w:val="clear" w:color="auto" w:fill="auto"/>
            <w:vAlign w:val="center"/>
          </w:tcPr>
          <w:p w14:paraId="2EEA4057">
            <w:pPr>
              <w:pStyle w:val="30"/>
              <w:rPr>
                <w:color w:val="auto"/>
                <w:highlight w:val="none"/>
              </w:rPr>
            </w:pPr>
            <w:r>
              <w:rPr>
                <w:rFonts w:hint="eastAsia"/>
                <w:color w:val="auto"/>
                <w:highlight w:val="none"/>
              </w:rPr>
              <w:t>2台移动式焊接烟尘净化器，加强车间通风</w:t>
            </w:r>
          </w:p>
        </w:tc>
        <w:tc>
          <w:tcPr>
            <w:tcW w:w="1074" w:type="pct"/>
            <w:shd w:val="clear" w:color="auto" w:fill="auto"/>
            <w:vAlign w:val="center"/>
          </w:tcPr>
          <w:p w14:paraId="21173E10">
            <w:pPr>
              <w:pStyle w:val="30"/>
              <w:rPr>
                <w:color w:val="auto"/>
                <w:highlight w:val="none"/>
              </w:rPr>
            </w:pPr>
            <w:r>
              <w:rPr>
                <w:rFonts w:hint="eastAsia"/>
                <w:color w:val="auto"/>
                <w:highlight w:val="none"/>
              </w:rPr>
              <w:t>《大气污染物综合排放标准》（GB16297-1996）中无组织排放监控浓度限值</w:t>
            </w:r>
          </w:p>
        </w:tc>
      </w:tr>
      <w:tr w14:paraId="144CC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53" w:type="pct"/>
            <w:vMerge w:val="continue"/>
            <w:vAlign w:val="center"/>
          </w:tcPr>
          <w:p w14:paraId="70468722">
            <w:pPr>
              <w:pStyle w:val="30"/>
              <w:rPr>
                <w:color w:val="auto"/>
                <w:highlight w:val="none"/>
              </w:rPr>
            </w:pPr>
          </w:p>
        </w:tc>
        <w:tc>
          <w:tcPr>
            <w:tcW w:w="1083" w:type="pct"/>
            <w:gridSpan w:val="3"/>
            <w:vAlign w:val="center"/>
          </w:tcPr>
          <w:p w14:paraId="6F8CAFFD">
            <w:pPr>
              <w:pStyle w:val="30"/>
              <w:rPr>
                <w:rFonts w:hint="default" w:eastAsia="宋体"/>
                <w:color w:val="auto"/>
                <w:highlight w:val="none"/>
                <w:lang w:val="en-US" w:eastAsia="zh-CN"/>
              </w:rPr>
            </w:pPr>
            <w:r>
              <w:rPr>
                <w:rFonts w:hint="eastAsia"/>
                <w:color w:val="auto"/>
                <w:highlight w:val="none"/>
                <w:lang w:val="en-US" w:eastAsia="zh-CN"/>
              </w:rPr>
              <w:t>DA001</w:t>
            </w:r>
          </w:p>
        </w:tc>
        <w:tc>
          <w:tcPr>
            <w:tcW w:w="1114" w:type="pct"/>
            <w:vAlign w:val="center"/>
          </w:tcPr>
          <w:p w14:paraId="7C606B85">
            <w:pPr>
              <w:pStyle w:val="30"/>
              <w:rPr>
                <w:color w:val="auto"/>
                <w:highlight w:val="none"/>
              </w:rPr>
            </w:pPr>
            <w:r>
              <w:rPr>
                <w:color w:val="auto"/>
                <w:highlight w:val="none"/>
              </w:rPr>
              <w:t>非甲烷总烃</w:t>
            </w:r>
          </w:p>
        </w:tc>
        <w:tc>
          <w:tcPr>
            <w:tcW w:w="1074" w:type="pct"/>
            <w:vAlign w:val="center"/>
          </w:tcPr>
          <w:p w14:paraId="6C8EDA27">
            <w:pPr>
              <w:pStyle w:val="30"/>
              <w:rPr>
                <w:color w:val="auto"/>
                <w:highlight w:val="none"/>
              </w:rPr>
            </w:pPr>
            <w:r>
              <w:rPr>
                <w:rFonts w:hint="eastAsia"/>
                <w:color w:val="auto"/>
                <w:highlight w:val="none"/>
              </w:rPr>
              <w:t>一套</w:t>
            </w:r>
            <w:r>
              <w:rPr>
                <w:rFonts w:hint="eastAsia"/>
                <w:color w:val="auto"/>
                <w:highlight w:val="none"/>
                <w:lang w:eastAsia="zh-CN"/>
              </w:rPr>
              <w:t>三级</w:t>
            </w:r>
            <w:r>
              <w:rPr>
                <w:color w:val="auto"/>
                <w:highlight w:val="none"/>
              </w:rPr>
              <w:t>油气回收</w:t>
            </w:r>
            <w:r>
              <w:rPr>
                <w:rFonts w:hint="eastAsia"/>
                <w:color w:val="auto"/>
                <w:highlight w:val="none"/>
                <w:lang w:eastAsia="zh-CN"/>
              </w:rPr>
              <w:t>装置</w:t>
            </w:r>
          </w:p>
        </w:tc>
        <w:tc>
          <w:tcPr>
            <w:tcW w:w="1074" w:type="pct"/>
            <w:vMerge w:val="restart"/>
            <w:vAlign w:val="center"/>
          </w:tcPr>
          <w:p w14:paraId="69236173">
            <w:pPr>
              <w:pStyle w:val="30"/>
              <w:rPr>
                <w:color w:val="auto"/>
                <w:highlight w:val="none"/>
              </w:rPr>
            </w:pPr>
            <w:r>
              <w:rPr>
                <w:color w:val="auto"/>
                <w:highlight w:val="none"/>
              </w:rPr>
              <w:t>《加油站大气污染物排放标准》（GB20952-2020）</w:t>
            </w:r>
          </w:p>
        </w:tc>
      </w:tr>
      <w:tr w14:paraId="0EED2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53" w:type="pct"/>
            <w:vMerge w:val="continue"/>
            <w:vAlign w:val="center"/>
          </w:tcPr>
          <w:p w14:paraId="0381468C">
            <w:pPr>
              <w:pStyle w:val="30"/>
              <w:rPr>
                <w:color w:val="auto"/>
                <w:highlight w:val="none"/>
              </w:rPr>
            </w:pPr>
          </w:p>
        </w:tc>
        <w:tc>
          <w:tcPr>
            <w:tcW w:w="1083" w:type="pct"/>
            <w:gridSpan w:val="3"/>
            <w:vAlign w:val="center"/>
          </w:tcPr>
          <w:p w14:paraId="5F1B82DB">
            <w:pPr>
              <w:pStyle w:val="30"/>
              <w:rPr>
                <w:rFonts w:hint="eastAsia"/>
                <w:color w:val="auto"/>
                <w:highlight w:val="none"/>
              </w:rPr>
            </w:pPr>
            <w:r>
              <w:rPr>
                <w:rFonts w:hint="eastAsia"/>
                <w:color w:val="auto"/>
                <w:highlight w:val="none"/>
              </w:rPr>
              <w:t>加油站边界</w:t>
            </w:r>
          </w:p>
        </w:tc>
        <w:tc>
          <w:tcPr>
            <w:tcW w:w="1114" w:type="pct"/>
            <w:vAlign w:val="center"/>
          </w:tcPr>
          <w:p w14:paraId="1DCA5976">
            <w:pPr>
              <w:pStyle w:val="30"/>
              <w:rPr>
                <w:color w:val="auto"/>
                <w:highlight w:val="none"/>
              </w:rPr>
            </w:pPr>
            <w:r>
              <w:rPr>
                <w:color w:val="auto"/>
                <w:highlight w:val="none"/>
              </w:rPr>
              <w:t>非甲烷总烃</w:t>
            </w:r>
          </w:p>
        </w:tc>
        <w:tc>
          <w:tcPr>
            <w:tcW w:w="1074" w:type="pct"/>
            <w:vAlign w:val="center"/>
          </w:tcPr>
          <w:p w14:paraId="3D396D0C">
            <w:pPr>
              <w:pStyle w:val="30"/>
              <w:rPr>
                <w:rFonts w:hint="eastAsia"/>
                <w:color w:val="auto"/>
                <w:highlight w:val="none"/>
              </w:rPr>
            </w:pPr>
            <w:r>
              <w:rPr>
                <w:color w:val="auto"/>
                <w:highlight w:val="none"/>
              </w:rPr>
              <w:t>油气平衡</w:t>
            </w:r>
          </w:p>
        </w:tc>
        <w:tc>
          <w:tcPr>
            <w:tcW w:w="1074" w:type="pct"/>
            <w:vMerge w:val="continue"/>
            <w:vAlign w:val="center"/>
          </w:tcPr>
          <w:p w14:paraId="63220775">
            <w:pPr>
              <w:pStyle w:val="30"/>
              <w:rPr>
                <w:color w:val="auto"/>
                <w:highlight w:val="none"/>
              </w:rPr>
            </w:pPr>
          </w:p>
        </w:tc>
      </w:tr>
      <w:tr w14:paraId="7AD28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53" w:type="pct"/>
            <w:vMerge w:val="continue"/>
            <w:vAlign w:val="center"/>
          </w:tcPr>
          <w:p w14:paraId="43F89B2F">
            <w:pPr>
              <w:pStyle w:val="30"/>
              <w:rPr>
                <w:color w:val="auto"/>
                <w:highlight w:val="none"/>
              </w:rPr>
            </w:pPr>
          </w:p>
        </w:tc>
        <w:tc>
          <w:tcPr>
            <w:tcW w:w="1083" w:type="pct"/>
            <w:gridSpan w:val="3"/>
            <w:vAlign w:val="center"/>
          </w:tcPr>
          <w:p w14:paraId="58F31D84">
            <w:pPr>
              <w:pStyle w:val="30"/>
              <w:rPr>
                <w:color w:val="auto"/>
                <w:highlight w:val="none"/>
              </w:rPr>
            </w:pPr>
            <w:r>
              <w:rPr>
                <w:rFonts w:hint="eastAsia"/>
                <w:color w:val="auto"/>
                <w:highlight w:val="none"/>
              </w:rPr>
              <w:t>餐饮油烟废气排放口</w:t>
            </w:r>
          </w:p>
        </w:tc>
        <w:tc>
          <w:tcPr>
            <w:tcW w:w="1114" w:type="pct"/>
            <w:vAlign w:val="center"/>
          </w:tcPr>
          <w:p w14:paraId="2F61C852">
            <w:pPr>
              <w:pStyle w:val="30"/>
              <w:rPr>
                <w:color w:val="auto"/>
                <w:highlight w:val="none"/>
              </w:rPr>
            </w:pPr>
            <w:r>
              <w:rPr>
                <w:rFonts w:hint="eastAsia"/>
                <w:color w:val="auto"/>
                <w:highlight w:val="none"/>
              </w:rPr>
              <w:t>油烟</w:t>
            </w:r>
          </w:p>
        </w:tc>
        <w:tc>
          <w:tcPr>
            <w:tcW w:w="1074" w:type="pct"/>
            <w:shd w:val="clear" w:color="auto" w:fill="auto"/>
            <w:vAlign w:val="center"/>
          </w:tcPr>
          <w:p w14:paraId="4ED68167">
            <w:pPr>
              <w:pStyle w:val="30"/>
              <w:rPr>
                <w:color w:val="auto"/>
                <w:highlight w:val="none"/>
              </w:rPr>
            </w:pPr>
            <w:r>
              <w:rPr>
                <w:color w:val="auto"/>
                <w:highlight w:val="none"/>
              </w:rPr>
              <w:t>经</w:t>
            </w:r>
            <w:r>
              <w:rPr>
                <w:rFonts w:hint="eastAsia"/>
                <w:color w:val="auto"/>
                <w:highlight w:val="none"/>
              </w:rPr>
              <w:t>1台</w:t>
            </w:r>
            <w:r>
              <w:rPr>
                <w:color w:val="auto"/>
                <w:highlight w:val="none"/>
              </w:rPr>
              <w:t>油烟净化器（处理效率</w:t>
            </w:r>
            <w:r>
              <w:rPr>
                <w:rFonts w:hint="eastAsia"/>
                <w:color w:val="auto"/>
                <w:highlight w:val="none"/>
              </w:rPr>
              <w:t>85</w:t>
            </w:r>
            <w:r>
              <w:rPr>
                <w:color w:val="auto"/>
                <w:highlight w:val="none"/>
              </w:rPr>
              <w:t>%）处理后由烟道引至楼顶排放</w:t>
            </w:r>
          </w:p>
        </w:tc>
        <w:tc>
          <w:tcPr>
            <w:tcW w:w="1074" w:type="pct"/>
            <w:shd w:val="clear" w:color="auto" w:fill="auto"/>
            <w:vAlign w:val="center"/>
          </w:tcPr>
          <w:p w14:paraId="34FC2094">
            <w:pPr>
              <w:pStyle w:val="30"/>
              <w:rPr>
                <w:color w:val="auto"/>
                <w:highlight w:val="none"/>
              </w:rPr>
            </w:pPr>
            <w:r>
              <w:rPr>
                <w:color w:val="auto"/>
                <w:highlight w:val="none"/>
              </w:rPr>
              <w:t>《饮食业油烟排放标准》（GB18483-2001）</w:t>
            </w:r>
            <w:r>
              <w:rPr>
                <w:rFonts w:hint="eastAsia"/>
                <w:color w:val="auto"/>
                <w:highlight w:val="none"/>
              </w:rPr>
              <w:t>大</w:t>
            </w:r>
            <w:r>
              <w:rPr>
                <w:color w:val="auto"/>
                <w:highlight w:val="none"/>
              </w:rPr>
              <w:t>型标准</w:t>
            </w:r>
          </w:p>
        </w:tc>
      </w:tr>
      <w:tr w14:paraId="13D5F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Merge w:val="restart"/>
            <w:vAlign w:val="center"/>
          </w:tcPr>
          <w:p w14:paraId="5D755C12">
            <w:pPr>
              <w:pStyle w:val="30"/>
              <w:rPr>
                <w:color w:val="auto"/>
                <w:highlight w:val="none"/>
              </w:rPr>
            </w:pPr>
            <w:r>
              <w:rPr>
                <w:rFonts w:hint="eastAsia"/>
                <w:color w:val="auto"/>
                <w:highlight w:val="none"/>
              </w:rPr>
              <w:t>地表水环境</w:t>
            </w:r>
          </w:p>
        </w:tc>
        <w:tc>
          <w:tcPr>
            <w:tcW w:w="207" w:type="pct"/>
            <w:vMerge w:val="restart"/>
            <w:vAlign w:val="center"/>
          </w:tcPr>
          <w:p w14:paraId="4B4AD0AD">
            <w:pPr>
              <w:pStyle w:val="30"/>
              <w:rPr>
                <w:rFonts w:hint="default" w:eastAsia="宋体"/>
                <w:color w:val="auto"/>
                <w:highlight w:val="none"/>
                <w:lang w:val="en-US" w:eastAsia="zh-CN"/>
              </w:rPr>
            </w:pPr>
            <w:r>
              <w:rPr>
                <w:rFonts w:hint="eastAsia"/>
                <w:color w:val="auto"/>
                <w:highlight w:val="none"/>
                <w:lang w:val="en-US" w:eastAsia="zh-CN"/>
              </w:rPr>
              <w:t>DW001</w:t>
            </w:r>
          </w:p>
        </w:tc>
        <w:tc>
          <w:tcPr>
            <w:tcW w:w="875" w:type="pct"/>
            <w:gridSpan w:val="2"/>
            <w:vAlign w:val="center"/>
          </w:tcPr>
          <w:p w14:paraId="473FBF23">
            <w:pPr>
              <w:pStyle w:val="30"/>
              <w:rPr>
                <w:rFonts w:hint="eastAsia"/>
                <w:color w:val="auto"/>
                <w:highlight w:val="none"/>
              </w:rPr>
            </w:pPr>
            <w:r>
              <w:rPr>
                <w:rFonts w:hint="eastAsia"/>
                <w:color w:val="auto"/>
                <w:highlight w:val="none"/>
              </w:rPr>
              <w:t>生活污水</w:t>
            </w:r>
          </w:p>
        </w:tc>
        <w:tc>
          <w:tcPr>
            <w:tcW w:w="1114" w:type="pct"/>
            <w:vAlign w:val="center"/>
          </w:tcPr>
          <w:p w14:paraId="38C4923A">
            <w:pPr>
              <w:pStyle w:val="30"/>
              <w:rPr>
                <w:color w:val="auto"/>
                <w:highlight w:val="none"/>
              </w:rPr>
            </w:pPr>
            <w:r>
              <w:rPr>
                <w:rFonts w:hint="eastAsia"/>
                <w:color w:val="auto"/>
                <w:highlight w:val="none"/>
              </w:rPr>
              <w:t>pH、CODcr、BOD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-N等</w:t>
            </w:r>
          </w:p>
        </w:tc>
        <w:tc>
          <w:tcPr>
            <w:tcW w:w="1074" w:type="pct"/>
            <w:vMerge w:val="restart"/>
            <w:vAlign w:val="center"/>
          </w:tcPr>
          <w:p w14:paraId="1B21BD47">
            <w:pPr>
              <w:pStyle w:val="30"/>
              <w:rPr>
                <w:color w:val="auto"/>
                <w:highlight w:val="none"/>
              </w:rPr>
            </w:pPr>
            <w:r>
              <w:rPr>
                <w:rFonts w:hint="eastAsia"/>
                <w:color w:val="auto"/>
                <w:highlight w:val="none"/>
              </w:rPr>
              <w:t>1座隔油池（10m</w:t>
            </w:r>
            <w:r>
              <w:rPr>
                <w:rFonts w:hint="eastAsia"/>
                <w:color w:val="auto"/>
                <w:highlight w:val="none"/>
                <w:vertAlign w:val="superscript"/>
              </w:rPr>
              <w:t>3</w:t>
            </w:r>
            <w:r>
              <w:rPr>
                <w:rFonts w:hint="eastAsia"/>
                <w:color w:val="auto"/>
                <w:highlight w:val="none"/>
              </w:rPr>
              <w:t>）+化粪池（20m</w:t>
            </w:r>
            <w:r>
              <w:rPr>
                <w:rFonts w:hint="eastAsia"/>
                <w:color w:val="auto"/>
                <w:highlight w:val="none"/>
                <w:vertAlign w:val="superscript"/>
              </w:rPr>
              <w:t>3</w:t>
            </w:r>
            <w:r>
              <w:rPr>
                <w:rFonts w:hint="eastAsia"/>
                <w:color w:val="auto"/>
                <w:highlight w:val="none"/>
              </w:rPr>
              <w:t>）</w:t>
            </w:r>
          </w:p>
        </w:tc>
        <w:tc>
          <w:tcPr>
            <w:tcW w:w="1074" w:type="pct"/>
            <w:vMerge w:val="restart"/>
            <w:vAlign w:val="center"/>
          </w:tcPr>
          <w:p w14:paraId="5E9C45E1">
            <w:pPr>
              <w:pStyle w:val="30"/>
              <w:jc w:val="both"/>
              <w:rPr>
                <w:color w:val="auto"/>
                <w:highlight w:val="none"/>
              </w:rPr>
            </w:pPr>
            <w:r>
              <w:rPr>
                <w:rFonts w:hint="eastAsia"/>
                <w:color w:val="auto"/>
                <w:highlight w:val="none"/>
              </w:rPr>
              <w:t>从严执行</w:t>
            </w:r>
            <w:r>
              <w:rPr>
                <w:color w:val="auto"/>
                <w:highlight w:val="none"/>
              </w:rPr>
              <w:t>《汽车维修业水污染物排放标准》（GB26877－2011）表2间接排放标准</w:t>
            </w:r>
            <w:r>
              <w:rPr>
                <w:rFonts w:hint="eastAsia"/>
                <w:color w:val="auto"/>
                <w:highlight w:val="none"/>
                <w:lang w:eastAsia="zh-CN"/>
              </w:rPr>
              <w:t>、</w:t>
            </w:r>
            <w:r>
              <w:rPr>
                <w:rFonts w:hint="eastAsia"/>
                <w:color w:val="auto"/>
                <w:highlight w:val="none"/>
              </w:rPr>
              <w:t>淮南</w:t>
            </w:r>
            <w:r>
              <w:rPr>
                <w:rFonts w:hint="eastAsia"/>
                <w:color w:val="auto"/>
                <w:highlight w:val="none"/>
                <w:lang w:eastAsia="zh-CN"/>
              </w:rPr>
              <w:t>石姚湾净水厂</w:t>
            </w:r>
            <w:r>
              <w:rPr>
                <w:rFonts w:hint="eastAsia"/>
                <w:color w:val="auto"/>
                <w:highlight w:val="none"/>
              </w:rPr>
              <w:t>接管标准、</w:t>
            </w:r>
            <w:r>
              <w:rPr>
                <w:color w:val="auto"/>
                <w:highlight w:val="none"/>
              </w:rPr>
              <w:t>《</w:t>
            </w:r>
            <w:r>
              <w:rPr>
                <w:rFonts w:hint="eastAsia"/>
                <w:color w:val="auto"/>
                <w:highlight w:val="none"/>
              </w:rPr>
              <w:t>污水综合排放标准》（</w:t>
            </w:r>
            <w:r>
              <w:rPr>
                <w:color w:val="auto"/>
                <w:highlight w:val="none"/>
              </w:rPr>
              <w:t>GB8978-1996</w:t>
            </w:r>
            <w:r>
              <w:rPr>
                <w:rFonts w:hint="eastAsia"/>
                <w:color w:val="auto"/>
                <w:highlight w:val="none"/>
              </w:rPr>
              <w:t>）中的三级标准</w:t>
            </w:r>
          </w:p>
        </w:tc>
      </w:tr>
      <w:tr w14:paraId="71E07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Merge w:val="continue"/>
            <w:vAlign w:val="center"/>
          </w:tcPr>
          <w:p w14:paraId="671D05ED">
            <w:pPr>
              <w:pStyle w:val="30"/>
              <w:rPr>
                <w:color w:val="auto"/>
                <w:highlight w:val="none"/>
              </w:rPr>
            </w:pPr>
          </w:p>
        </w:tc>
        <w:tc>
          <w:tcPr>
            <w:tcW w:w="207" w:type="pct"/>
            <w:vMerge w:val="continue"/>
            <w:vAlign w:val="center"/>
          </w:tcPr>
          <w:p w14:paraId="224388FD">
            <w:pPr>
              <w:pStyle w:val="30"/>
              <w:rPr>
                <w:color w:val="auto"/>
                <w:highlight w:val="none"/>
              </w:rPr>
            </w:pPr>
          </w:p>
        </w:tc>
        <w:tc>
          <w:tcPr>
            <w:tcW w:w="875" w:type="pct"/>
            <w:gridSpan w:val="2"/>
            <w:vAlign w:val="center"/>
          </w:tcPr>
          <w:p w14:paraId="27B7F4F6">
            <w:pPr>
              <w:pStyle w:val="30"/>
              <w:rPr>
                <w:rFonts w:hint="eastAsia"/>
                <w:color w:val="auto"/>
                <w:highlight w:val="none"/>
              </w:rPr>
            </w:pPr>
            <w:r>
              <w:rPr>
                <w:rFonts w:hint="eastAsia"/>
                <w:color w:val="auto"/>
                <w:highlight w:val="none"/>
              </w:rPr>
              <w:t>餐饮废水</w:t>
            </w:r>
          </w:p>
        </w:tc>
        <w:tc>
          <w:tcPr>
            <w:tcW w:w="1114" w:type="pct"/>
            <w:vAlign w:val="center"/>
          </w:tcPr>
          <w:p w14:paraId="6C7F7E58">
            <w:pPr>
              <w:pStyle w:val="30"/>
              <w:rPr>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-N、动植物油</w:t>
            </w:r>
          </w:p>
        </w:tc>
        <w:tc>
          <w:tcPr>
            <w:tcW w:w="1074" w:type="pct"/>
            <w:vMerge w:val="continue"/>
            <w:vAlign w:val="center"/>
          </w:tcPr>
          <w:p w14:paraId="4D72A388">
            <w:pPr>
              <w:pStyle w:val="30"/>
              <w:rPr>
                <w:color w:val="auto"/>
                <w:highlight w:val="none"/>
              </w:rPr>
            </w:pPr>
          </w:p>
        </w:tc>
        <w:tc>
          <w:tcPr>
            <w:tcW w:w="1074" w:type="pct"/>
            <w:vMerge w:val="continue"/>
            <w:vAlign w:val="center"/>
          </w:tcPr>
          <w:p w14:paraId="7E41AB0A">
            <w:pPr>
              <w:pStyle w:val="30"/>
              <w:rPr>
                <w:color w:val="auto"/>
                <w:highlight w:val="none"/>
              </w:rPr>
            </w:pPr>
          </w:p>
        </w:tc>
      </w:tr>
      <w:tr w14:paraId="7874B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53" w:type="pct"/>
            <w:vMerge w:val="continue"/>
            <w:vAlign w:val="center"/>
          </w:tcPr>
          <w:p w14:paraId="12E27A5B">
            <w:pPr>
              <w:pStyle w:val="30"/>
              <w:rPr>
                <w:color w:val="auto"/>
                <w:highlight w:val="none"/>
              </w:rPr>
            </w:pPr>
          </w:p>
        </w:tc>
        <w:tc>
          <w:tcPr>
            <w:tcW w:w="207" w:type="pct"/>
            <w:vMerge w:val="continue"/>
            <w:shd w:val="clear" w:color="auto" w:fill="auto"/>
            <w:vAlign w:val="center"/>
          </w:tcPr>
          <w:p w14:paraId="785EAEEA">
            <w:pPr>
              <w:pStyle w:val="30"/>
              <w:rPr>
                <w:color w:val="auto"/>
                <w:highlight w:val="none"/>
              </w:rPr>
            </w:pPr>
          </w:p>
        </w:tc>
        <w:tc>
          <w:tcPr>
            <w:tcW w:w="346" w:type="pct"/>
            <w:vMerge w:val="restart"/>
            <w:shd w:val="clear" w:color="auto" w:fill="auto"/>
            <w:vAlign w:val="center"/>
          </w:tcPr>
          <w:p w14:paraId="3F160199">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智慧货运维修中心</w:t>
            </w:r>
          </w:p>
        </w:tc>
        <w:tc>
          <w:tcPr>
            <w:tcW w:w="529" w:type="pct"/>
            <w:shd w:val="clear" w:color="auto" w:fill="auto"/>
            <w:vAlign w:val="center"/>
          </w:tcPr>
          <w:p w14:paraId="0C4AD4B5">
            <w:pPr>
              <w:pStyle w:val="30"/>
              <w:rPr>
                <w:rFonts w:ascii="Times New Roman" w:hAnsi="Times New Roman" w:eastAsia="宋体" w:cs="Times New Roman"/>
                <w:color w:val="auto"/>
                <w:kern w:val="0"/>
                <w:sz w:val="18"/>
                <w:szCs w:val="18"/>
                <w:highlight w:val="none"/>
                <w:lang w:val="en-US" w:eastAsia="zh-CN" w:bidi="ar-SA"/>
              </w:rPr>
            </w:pPr>
            <w:r>
              <w:rPr>
                <w:color w:val="auto"/>
                <w:highlight w:val="none"/>
              </w:rPr>
              <w:t>地面冲洗废水</w:t>
            </w:r>
          </w:p>
        </w:tc>
        <w:tc>
          <w:tcPr>
            <w:tcW w:w="1114" w:type="pct"/>
            <w:shd w:val="clear" w:color="auto" w:fill="auto"/>
            <w:vAlign w:val="center"/>
          </w:tcPr>
          <w:p w14:paraId="2AFF59FB">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CODcr、SS、石油类、</w:t>
            </w:r>
          </w:p>
        </w:tc>
        <w:tc>
          <w:tcPr>
            <w:tcW w:w="1074" w:type="pct"/>
            <w:vMerge w:val="restart"/>
            <w:vAlign w:val="center"/>
          </w:tcPr>
          <w:p w14:paraId="1DCE8548">
            <w:pPr>
              <w:pStyle w:val="30"/>
              <w:rPr>
                <w:color w:val="auto"/>
                <w:highlight w:val="none"/>
              </w:rPr>
            </w:pPr>
            <w:r>
              <w:rPr>
                <w:rFonts w:hint="eastAsia"/>
                <w:color w:val="auto"/>
                <w:highlight w:val="none"/>
              </w:rPr>
              <w:t>1座隔油</w:t>
            </w:r>
            <w:r>
              <w:rPr>
                <w:rFonts w:hint="eastAsia"/>
                <w:color w:val="auto"/>
                <w:highlight w:val="none"/>
                <w:lang w:val="en-US" w:eastAsia="zh-CN"/>
              </w:rPr>
              <w:t>+</w:t>
            </w:r>
            <w:r>
              <w:rPr>
                <w:rFonts w:hint="eastAsia"/>
                <w:color w:val="auto"/>
                <w:highlight w:val="none"/>
              </w:rPr>
              <w:t>沉淀池（</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w:t>
            </w:r>
          </w:p>
        </w:tc>
        <w:tc>
          <w:tcPr>
            <w:tcW w:w="1074" w:type="pct"/>
            <w:vMerge w:val="continue"/>
            <w:vAlign w:val="center"/>
          </w:tcPr>
          <w:p w14:paraId="6FD997E9">
            <w:pPr>
              <w:pStyle w:val="30"/>
              <w:rPr>
                <w:color w:val="auto"/>
                <w:highlight w:val="none"/>
              </w:rPr>
            </w:pPr>
          </w:p>
        </w:tc>
      </w:tr>
      <w:tr w14:paraId="56897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53" w:type="pct"/>
            <w:vMerge w:val="continue"/>
            <w:vAlign w:val="center"/>
          </w:tcPr>
          <w:p w14:paraId="512C3A84">
            <w:pPr>
              <w:pStyle w:val="30"/>
              <w:rPr>
                <w:color w:val="auto"/>
                <w:highlight w:val="none"/>
              </w:rPr>
            </w:pPr>
          </w:p>
        </w:tc>
        <w:tc>
          <w:tcPr>
            <w:tcW w:w="207" w:type="pct"/>
            <w:vMerge w:val="continue"/>
            <w:vAlign w:val="center"/>
          </w:tcPr>
          <w:p w14:paraId="48EC108F">
            <w:pPr>
              <w:pStyle w:val="30"/>
              <w:rPr>
                <w:color w:val="auto"/>
                <w:highlight w:val="none"/>
              </w:rPr>
            </w:pPr>
          </w:p>
        </w:tc>
        <w:tc>
          <w:tcPr>
            <w:tcW w:w="346" w:type="pct"/>
            <w:vMerge w:val="continue"/>
            <w:vAlign w:val="center"/>
          </w:tcPr>
          <w:p w14:paraId="0B9EA7F6">
            <w:pPr>
              <w:pStyle w:val="30"/>
              <w:rPr>
                <w:color w:val="auto"/>
                <w:highlight w:val="none"/>
              </w:rPr>
            </w:pPr>
          </w:p>
        </w:tc>
        <w:tc>
          <w:tcPr>
            <w:tcW w:w="529" w:type="pct"/>
            <w:shd w:val="clear" w:color="auto" w:fill="auto"/>
            <w:vAlign w:val="center"/>
          </w:tcPr>
          <w:p w14:paraId="0298C447">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洗车废水</w:t>
            </w:r>
          </w:p>
        </w:tc>
        <w:tc>
          <w:tcPr>
            <w:tcW w:w="1114" w:type="pct"/>
            <w:shd w:val="clear" w:color="auto" w:fill="auto"/>
            <w:vAlign w:val="center"/>
          </w:tcPr>
          <w:p w14:paraId="1F0B762B">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CODcr、SS、石油类、LAS</w:t>
            </w:r>
          </w:p>
        </w:tc>
        <w:tc>
          <w:tcPr>
            <w:tcW w:w="1074" w:type="pct"/>
            <w:vMerge w:val="continue"/>
            <w:vAlign w:val="center"/>
          </w:tcPr>
          <w:p w14:paraId="6BC00C37">
            <w:pPr>
              <w:pStyle w:val="30"/>
              <w:rPr>
                <w:color w:val="auto"/>
                <w:highlight w:val="none"/>
              </w:rPr>
            </w:pPr>
          </w:p>
        </w:tc>
        <w:tc>
          <w:tcPr>
            <w:tcW w:w="1074" w:type="pct"/>
            <w:vMerge w:val="continue"/>
            <w:vAlign w:val="center"/>
          </w:tcPr>
          <w:p w14:paraId="63A6A8D4">
            <w:pPr>
              <w:pStyle w:val="30"/>
              <w:rPr>
                <w:color w:val="auto"/>
                <w:highlight w:val="none"/>
              </w:rPr>
            </w:pPr>
          </w:p>
        </w:tc>
      </w:tr>
      <w:tr w14:paraId="714B9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3" w:type="pct"/>
            <w:vMerge w:val="continue"/>
            <w:vAlign w:val="center"/>
          </w:tcPr>
          <w:p w14:paraId="2F1E09B3">
            <w:pPr>
              <w:pStyle w:val="30"/>
              <w:rPr>
                <w:color w:val="auto"/>
                <w:highlight w:val="none"/>
              </w:rPr>
            </w:pPr>
          </w:p>
        </w:tc>
        <w:tc>
          <w:tcPr>
            <w:tcW w:w="207" w:type="pct"/>
            <w:vMerge w:val="restart"/>
            <w:shd w:val="clear" w:color="auto" w:fill="auto"/>
            <w:vAlign w:val="center"/>
          </w:tcPr>
          <w:p w14:paraId="646EC810">
            <w:pPr>
              <w:pStyle w:val="30"/>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DW002</w:t>
            </w:r>
          </w:p>
        </w:tc>
        <w:tc>
          <w:tcPr>
            <w:tcW w:w="875" w:type="pct"/>
            <w:gridSpan w:val="2"/>
            <w:shd w:val="clear" w:color="auto" w:fill="auto"/>
            <w:vAlign w:val="center"/>
          </w:tcPr>
          <w:p w14:paraId="27C04B65">
            <w:pPr>
              <w:pStyle w:val="30"/>
              <w:rPr>
                <w:rFonts w:hint="eastAsia" w:eastAsia="宋体"/>
                <w:color w:val="auto"/>
                <w:highlight w:val="none"/>
                <w:lang w:eastAsia="zh-CN"/>
              </w:rPr>
            </w:pPr>
            <w:r>
              <w:rPr>
                <w:rFonts w:hint="eastAsia"/>
                <w:color w:val="auto"/>
                <w:highlight w:val="none"/>
                <w:lang w:eastAsia="zh-CN"/>
              </w:rPr>
              <w:t>生活污水</w:t>
            </w:r>
          </w:p>
        </w:tc>
        <w:tc>
          <w:tcPr>
            <w:tcW w:w="1114" w:type="pct"/>
            <w:shd w:val="clear" w:color="auto" w:fill="auto"/>
            <w:vAlign w:val="center"/>
          </w:tcPr>
          <w:p w14:paraId="3AF7023C">
            <w:pPr>
              <w:pStyle w:val="30"/>
              <w:rPr>
                <w:color w:val="auto"/>
                <w:highlight w:val="none"/>
              </w:rPr>
            </w:pPr>
            <w:r>
              <w:rPr>
                <w:rFonts w:hint="eastAsia"/>
                <w:color w:val="auto"/>
                <w:highlight w:val="none"/>
              </w:rPr>
              <w:t>pH、CODcr、BOD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-N等</w:t>
            </w:r>
          </w:p>
        </w:tc>
        <w:tc>
          <w:tcPr>
            <w:tcW w:w="1074" w:type="pct"/>
            <w:vAlign w:val="center"/>
          </w:tcPr>
          <w:p w14:paraId="04FCDD84">
            <w:pPr>
              <w:pStyle w:val="30"/>
              <w:rPr>
                <w:color w:val="auto"/>
                <w:highlight w:val="none"/>
              </w:rPr>
            </w:pPr>
            <w:r>
              <w:rPr>
                <w:rFonts w:hint="eastAsia"/>
                <w:color w:val="auto"/>
                <w:highlight w:val="none"/>
              </w:rPr>
              <w:t>1座化粪池（</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3</w:t>
            </w:r>
            <w:r>
              <w:rPr>
                <w:rFonts w:hint="eastAsia"/>
                <w:color w:val="auto"/>
                <w:highlight w:val="none"/>
              </w:rPr>
              <w:t>）</w:t>
            </w:r>
          </w:p>
        </w:tc>
        <w:tc>
          <w:tcPr>
            <w:tcW w:w="1074" w:type="pct"/>
            <w:vMerge w:val="restart"/>
            <w:vAlign w:val="center"/>
          </w:tcPr>
          <w:p w14:paraId="02E07F7E">
            <w:pPr>
              <w:pStyle w:val="30"/>
              <w:rPr>
                <w:color w:val="auto"/>
                <w:highlight w:val="none"/>
              </w:rPr>
            </w:pPr>
            <w:r>
              <w:rPr>
                <w:rFonts w:hint="eastAsia"/>
                <w:color w:val="auto"/>
                <w:highlight w:val="none"/>
              </w:rPr>
              <w:t>从严执行淮南</w:t>
            </w:r>
            <w:r>
              <w:rPr>
                <w:rFonts w:hint="eastAsia"/>
                <w:color w:val="auto"/>
                <w:highlight w:val="none"/>
                <w:lang w:eastAsia="zh-CN"/>
              </w:rPr>
              <w:t>石姚湾净水厂</w:t>
            </w:r>
            <w:r>
              <w:rPr>
                <w:rFonts w:hint="eastAsia"/>
                <w:color w:val="auto"/>
                <w:highlight w:val="none"/>
              </w:rPr>
              <w:t>接管标准、</w:t>
            </w:r>
            <w:r>
              <w:rPr>
                <w:color w:val="auto"/>
                <w:highlight w:val="none"/>
              </w:rPr>
              <w:t>《</w:t>
            </w:r>
            <w:r>
              <w:rPr>
                <w:rFonts w:hint="eastAsia"/>
                <w:color w:val="auto"/>
                <w:highlight w:val="none"/>
              </w:rPr>
              <w:t>污水综合排放标准》（</w:t>
            </w:r>
            <w:r>
              <w:rPr>
                <w:color w:val="auto"/>
                <w:highlight w:val="none"/>
              </w:rPr>
              <w:t>GB8978-1996</w:t>
            </w:r>
            <w:r>
              <w:rPr>
                <w:rFonts w:hint="eastAsia"/>
                <w:color w:val="auto"/>
                <w:highlight w:val="none"/>
              </w:rPr>
              <w:t>）中的三级标准</w:t>
            </w:r>
          </w:p>
        </w:tc>
      </w:tr>
      <w:tr w14:paraId="1B494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3" w:type="pct"/>
            <w:vMerge w:val="continue"/>
            <w:vAlign w:val="center"/>
          </w:tcPr>
          <w:p w14:paraId="298A741E">
            <w:pPr>
              <w:pStyle w:val="30"/>
              <w:rPr>
                <w:color w:val="auto"/>
                <w:highlight w:val="none"/>
              </w:rPr>
            </w:pPr>
          </w:p>
        </w:tc>
        <w:tc>
          <w:tcPr>
            <w:tcW w:w="207" w:type="pct"/>
            <w:vMerge w:val="continue"/>
            <w:shd w:val="clear" w:color="auto" w:fill="auto"/>
            <w:vAlign w:val="center"/>
          </w:tcPr>
          <w:p w14:paraId="1BABBD5A">
            <w:pPr>
              <w:pStyle w:val="30"/>
              <w:rPr>
                <w:rFonts w:ascii="Times New Roman" w:hAnsi="Times New Roman" w:eastAsia="宋体" w:cs="Times New Roman"/>
                <w:color w:val="auto"/>
                <w:kern w:val="0"/>
                <w:sz w:val="18"/>
                <w:szCs w:val="18"/>
                <w:highlight w:val="none"/>
                <w:lang w:val="en-US" w:eastAsia="zh-CN" w:bidi="ar-SA"/>
              </w:rPr>
            </w:pPr>
          </w:p>
        </w:tc>
        <w:tc>
          <w:tcPr>
            <w:tcW w:w="346" w:type="pct"/>
            <w:vMerge w:val="restart"/>
            <w:shd w:val="clear" w:color="auto" w:fill="auto"/>
            <w:vAlign w:val="center"/>
          </w:tcPr>
          <w:p w14:paraId="7B7173D3">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lang w:eastAsia="zh-CN"/>
              </w:rPr>
              <w:t>内部</w:t>
            </w:r>
            <w:r>
              <w:rPr>
                <w:rFonts w:hint="eastAsia"/>
                <w:color w:val="auto"/>
                <w:highlight w:val="none"/>
              </w:rPr>
              <w:t>综合能源站</w:t>
            </w:r>
          </w:p>
        </w:tc>
        <w:tc>
          <w:tcPr>
            <w:tcW w:w="529" w:type="pct"/>
            <w:shd w:val="clear" w:color="auto" w:fill="auto"/>
            <w:vAlign w:val="center"/>
          </w:tcPr>
          <w:p w14:paraId="5F4B0CE6">
            <w:pPr>
              <w:pStyle w:val="30"/>
              <w:rPr>
                <w:rFonts w:hint="eastAsia" w:ascii="Times New Roman" w:hAnsi="Times New Roman" w:eastAsia="宋体" w:cs="Times New Roman"/>
                <w:color w:val="auto"/>
                <w:kern w:val="0"/>
                <w:sz w:val="18"/>
                <w:szCs w:val="18"/>
                <w:highlight w:val="none"/>
                <w:lang w:val="en-US" w:eastAsia="zh-CN" w:bidi="ar-SA"/>
              </w:rPr>
            </w:pPr>
            <w:r>
              <w:rPr>
                <w:color w:val="auto"/>
                <w:highlight w:val="none"/>
              </w:rPr>
              <w:t>地面冲洗废水</w:t>
            </w:r>
          </w:p>
        </w:tc>
        <w:tc>
          <w:tcPr>
            <w:tcW w:w="1114" w:type="pct"/>
            <w:shd w:val="clear" w:color="auto" w:fill="auto"/>
            <w:vAlign w:val="center"/>
          </w:tcPr>
          <w:p w14:paraId="2B60D07A">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CODcr、</w:t>
            </w:r>
            <w:r>
              <w:rPr>
                <w:color w:val="auto"/>
                <w:highlight w:val="none"/>
              </w:rPr>
              <w:t>SS、石油类</w:t>
            </w:r>
          </w:p>
        </w:tc>
        <w:tc>
          <w:tcPr>
            <w:tcW w:w="1074" w:type="pct"/>
            <w:vMerge w:val="restart"/>
            <w:shd w:val="clear" w:color="auto" w:fill="auto"/>
            <w:vAlign w:val="center"/>
          </w:tcPr>
          <w:p w14:paraId="70F5509A">
            <w:pPr>
              <w:pStyle w:val="30"/>
              <w:rPr>
                <w:rFonts w:ascii="Times New Roman" w:hAnsi="Times New Roman" w:eastAsia="宋体" w:cs="Times New Roman"/>
                <w:color w:val="auto"/>
                <w:kern w:val="0"/>
                <w:sz w:val="18"/>
                <w:szCs w:val="18"/>
                <w:highlight w:val="none"/>
                <w:lang w:val="en-US" w:eastAsia="zh-CN" w:bidi="ar-SA"/>
              </w:rPr>
            </w:pPr>
            <w:r>
              <w:rPr>
                <w:rFonts w:hint="eastAsia"/>
                <w:color w:val="auto"/>
                <w:highlight w:val="none"/>
              </w:rPr>
              <w:t>1座三级油水分离池（</w:t>
            </w:r>
            <w:r>
              <w:rPr>
                <w:rFonts w:hint="eastAsia"/>
                <w:color w:val="auto"/>
                <w:highlight w:val="none"/>
                <w:lang w:val="en-US" w:eastAsia="zh-CN"/>
              </w:rPr>
              <w:t>6</w:t>
            </w:r>
            <w:r>
              <w:rPr>
                <w:rFonts w:hint="eastAsia"/>
                <w:color w:val="auto"/>
                <w:highlight w:val="none"/>
              </w:rPr>
              <w:t>m</w:t>
            </w:r>
            <w:r>
              <w:rPr>
                <w:rFonts w:hint="eastAsia"/>
                <w:color w:val="auto"/>
                <w:highlight w:val="none"/>
                <w:vertAlign w:val="superscript"/>
              </w:rPr>
              <w:t>3</w:t>
            </w:r>
            <w:r>
              <w:rPr>
                <w:rFonts w:hint="eastAsia"/>
                <w:color w:val="auto"/>
                <w:highlight w:val="none"/>
              </w:rPr>
              <w:t>）</w:t>
            </w:r>
          </w:p>
        </w:tc>
        <w:tc>
          <w:tcPr>
            <w:tcW w:w="1074" w:type="pct"/>
            <w:vMerge w:val="continue"/>
            <w:vAlign w:val="center"/>
          </w:tcPr>
          <w:p w14:paraId="4845C996">
            <w:pPr>
              <w:pStyle w:val="30"/>
              <w:rPr>
                <w:color w:val="auto"/>
                <w:highlight w:val="none"/>
              </w:rPr>
            </w:pPr>
          </w:p>
        </w:tc>
      </w:tr>
      <w:tr w14:paraId="6239C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3" w:type="pct"/>
            <w:vMerge w:val="continue"/>
            <w:vAlign w:val="center"/>
          </w:tcPr>
          <w:p w14:paraId="3B7B88AF">
            <w:pPr>
              <w:pStyle w:val="30"/>
              <w:rPr>
                <w:color w:val="auto"/>
                <w:highlight w:val="none"/>
              </w:rPr>
            </w:pPr>
          </w:p>
        </w:tc>
        <w:tc>
          <w:tcPr>
            <w:tcW w:w="207" w:type="pct"/>
            <w:vMerge w:val="continue"/>
            <w:shd w:val="clear" w:color="auto" w:fill="auto"/>
            <w:vAlign w:val="center"/>
          </w:tcPr>
          <w:p w14:paraId="4D82BE79">
            <w:pPr>
              <w:pStyle w:val="30"/>
              <w:rPr>
                <w:color w:val="auto"/>
                <w:highlight w:val="none"/>
              </w:rPr>
            </w:pPr>
          </w:p>
        </w:tc>
        <w:tc>
          <w:tcPr>
            <w:tcW w:w="346" w:type="pct"/>
            <w:vMerge w:val="continue"/>
            <w:shd w:val="clear" w:color="auto" w:fill="auto"/>
            <w:vAlign w:val="center"/>
          </w:tcPr>
          <w:p w14:paraId="34472502">
            <w:pPr>
              <w:pStyle w:val="30"/>
              <w:rPr>
                <w:color w:val="auto"/>
                <w:highlight w:val="none"/>
              </w:rPr>
            </w:pPr>
          </w:p>
        </w:tc>
        <w:tc>
          <w:tcPr>
            <w:tcW w:w="529" w:type="pct"/>
            <w:shd w:val="clear" w:color="auto" w:fill="auto"/>
            <w:vAlign w:val="center"/>
          </w:tcPr>
          <w:p w14:paraId="2C262895">
            <w:pPr>
              <w:pStyle w:val="30"/>
              <w:rPr>
                <w:rFonts w:hint="eastAsia" w:ascii="Times New Roman" w:hAnsi="Times New Roman" w:eastAsia="宋体" w:cs="Times New Roman"/>
                <w:color w:val="auto"/>
                <w:kern w:val="0"/>
                <w:sz w:val="18"/>
                <w:szCs w:val="18"/>
                <w:highlight w:val="none"/>
                <w:lang w:val="en-US" w:eastAsia="zh-CN" w:bidi="ar-SA"/>
              </w:rPr>
            </w:pPr>
            <w:r>
              <w:rPr>
                <w:color w:val="auto"/>
                <w:highlight w:val="none"/>
              </w:rPr>
              <w:t>初期雨水</w:t>
            </w:r>
          </w:p>
        </w:tc>
        <w:tc>
          <w:tcPr>
            <w:tcW w:w="1114" w:type="pct"/>
            <w:shd w:val="clear" w:color="auto" w:fill="auto"/>
            <w:vAlign w:val="center"/>
          </w:tcPr>
          <w:p w14:paraId="3576178C">
            <w:pPr>
              <w:pStyle w:val="30"/>
              <w:rPr>
                <w:rFonts w:hint="eastAsia" w:ascii="Times New Roman" w:hAnsi="Times New Roman" w:eastAsia="宋体" w:cs="Times New Roman"/>
                <w:color w:val="auto"/>
                <w:kern w:val="0"/>
                <w:sz w:val="18"/>
                <w:szCs w:val="18"/>
                <w:highlight w:val="none"/>
                <w:lang w:val="en-US" w:eastAsia="zh-CN" w:bidi="ar-SA"/>
              </w:rPr>
            </w:pPr>
            <w:r>
              <w:rPr>
                <w:rFonts w:hint="eastAsia"/>
                <w:color w:val="auto"/>
                <w:highlight w:val="none"/>
              </w:rPr>
              <w:t>CODcr、SS、石油类</w:t>
            </w:r>
          </w:p>
        </w:tc>
        <w:tc>
          <w:tcPr>
            <w:tcW w:w="1074" w:type="pct"/>
            <w:vMerge w:val="continue"/>
            <w:vAlign w:val="center"/>
          </w:tcPr>
          <w:p w14:paraId="630E72A4">
            <w:pPr>
              <w:pStyle w:val="30"/>
              <w:rPr>
                <w:color w:val="auto"/>
                <w:highlight w:val="none"/>
              </w:rPr>
            </w:pPr>
          </w:p>
        </w:tc>
        <w:tc>
          <w:tcPr>
            <w:tcW w:w="1074" w:type="pct"/>
            <w:vMerge w:val="continue"/>
            <w:vAlign w:val="center"/>
          </w:tcPr>
          <w:p w14:paraId="56D30D8D">
            <w:pPr>
              <w:pStyle w:val="30"/>
              <w:rPr>
                <w:color w:val="auto"/>
                <w:highlight w:val="none"/>
              </w:rPr>
            </w:pPr>
          </w:p>
        </w:tc>
      </w:tr>
      <w:tr w14:paraId="78B75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Align w:val="center"/>
          </w:tcPr>
          <w:p w14:paraId="6A9C0708">
            <w:pPr>
              <w:pStyle w:val="30"/>
              <w:rPr>
                <w:color w:val="auto"/>
                <w:highlight w:val="none"/>
              </w:rPr>
            </w:pPr>
            <w:r>
              <w:rPr>
                <w:rFonts w:hint="eastAsia"/>
                <w:color w:val="auto"/>
                <w:highlight w:val="none"/>
              </w:rPr>
              <w:t>声环境</w:t>
            </w:r>
          </w:p>
        </w:tc>
        <w:tc>
          <w:tcPr>
            <w:tcW w:w="1083" w:type="pct"/>
            <w:gridSpan w:val="3"/>
            <w:vAlign w:val="center"/>
          </w:tcPr>
          <w:p w14:paraId="44570E0F">
            <w:pPr>
              <w:pStyle w:val="30"/>
              <w:rPr>
                <w:color w:val="auto"/>
                <w:highlight w:val="none"/>
              </w:rPr>
            </w:pPr>
            <w:r>
              <w:rPr>
                <w:color w:val="auto"/>
                <w:highlight w:val="none"/>
              </w:rPr>
              <w:t>厂界四周</w:t>
            </w:r>
          </w:p>
        </w:tc>
        <w:tc>
          <w:tcPr>
            <w:tcW w:w="1114" w:type="pct"/>
            <w:vAlign w:val="center"/>
          </w:tcPr>
          <w:p w14:paraId="08C9C909">
            <w:pPr>
              <w:pStyle w:val="30"/>
              <w:rPr>
                <w:color w:val="auto"/>
                <w:highlight w:val="none"/>
              </w:rPr>
            </w:pPr>
            <w:r>
              <w:rPr>
                <w:rFonts w:hint="eastAsia"/>
                <w:color w:val="auto"/>
                <w:highlight w:val="none"/>
              </w:rPr>
              <w:t>LAeq</w:t>
            </w:r>
          </w:p>
        </w:tc>
        <w:tc>
          <w:tcPr>
            <w:tcW w:w="1074" w:type="pct"/>
            <w:vAlign w:val="center"/>
          </w:tcPr>
          <w:p w14:paraId="4EA5D2BD">
            <w:pPr>
              <w:pStyle w:val="30"/>
              <w:rPr>
                <w:rFonts w:hint="eastAsia" w:eastAsia="宋体"/>
                <w:color w:val="auto"/>
                <w:highlight w:val="none"/>
                <w:lang w:eastAsia="zh-CN"/>
              </w:rPr>
            </w:pPr>
            <w:r>
              <w:rPr>
                <w:color w:val="auto"/>
                <w:highlight w:val="none"/>
              </w:rPr>
              <w:t>距离衰减、绿化、</w:t>
            </w:r>
            <w:r>
              <w:rPr>
                <w:rFonts w:hint="eastAsia"/>
                <w:color w:val="auto"/>
                <w:highlight w:val="none"/>
                <w:lang w:eastAsia="zh-CN"/>
              </w:rPr>
              <w:t>基础减震、</w:t>
            </w:r>
            <w:r>
              <w:rPr>
                <w:color w:val="auto"/>
                <w:highlight w:val="none"/>
              </w:rPr>
              <w:t>优化平面布置</w:t>
            </w:r>
            <w:r>
              <w:rPr>
                <w:rFonts w:hint="eastAsia"/>
                <w:color w:val="auto"/>
                <w:highlight w:val="none"/>
                <w:lang w:eastAsia="zh-CN"/>
              </w:rPr>
              <w:t>等措施</w:t>
            </w:r>
          </w:p>
        </w:tc>
        <w:tc>
          <w:tcPr>
            <w:tcW w:w="1074" w:type="pct"/>
            <w:vAlign w:val="center"/>
          </w:tcPr>
          <w:p w14:paraId="40F756F8">
            <w:pPr>
              <w:pStyle w:val="30"/>
              <w:rPr>
                <w:color w:val="auto"/>
                <w:highlight w:val="none"/>
              </w:rPr>
            </w:pPr>
            <w:r>
              <w:rPr>
                <w:rFonts w:hint="eastAsia"/>
                <w:color w:val="auto"/>
                <w:highlight w:val="none"/>
              </w:rPr>
              <w:t>东、西、南侧</w:t>
            </w:r>
            <w:r>
              <w:rPr>
                <w:rFonts w:hint="eastAsia"/>
                <w:color w:val="auto"/>
                <w:highlight w:val="none"/>
                <w:lang w:val="en-US" w:eastAsia="zh-CN"/>
              </w:rPr>
              <w:t>厂界</w:t>
            </w:r>
            <w:r>
              <w:rPr>
                <w:rFonts w:hint="eastAsia"/>
                <w:color w:val="auto"/>
                <w:highlight w:val="none"/>
              </w:rPr>
              <w:t>执行</w:t>
            </w:r>
            <w:r>
              <w:rPr>
                <w:color w:val="auto"/>
                <w:highlight w:val="none"/>
              </w:rPr>
              <w:t>《工业企业厂界环境噪声排放标准》（GB12348-2008）中</w:t>
            </w:r>
            <w:r>
              <w:rPr>
                <w:rFonts w:hint="eastAsia"/>
                <w:color w:val="auto"/>
                <w:highlight w:val="none"/>
                <w:lang w:val="en-US" w:eastAsia="zh-CN"/>
              </w:rPr>
              <w:t>3</w:t>
            </w:r>
            <w:r>
              <w:rPr>
                <w:color w:val="auto"/>
                <w:highlight w:val="none"/>
              </w:rPr>
              <w:t>类标准</w:t>
            </w:r>
            <w:r>
              <w:rPr>
                <w:rFonts w:hint="eastAsia"/>
                <w:color w:val="auto"/>
                <w:highlight w:val="none"/>
              </w:rPr>
              <w:t>；北侧</w:t>
            </w:r>
            <w:r>
              <w:rPr>
                <w:rFonts w:hint="eastAsia"/>
                <w:color w:val="auto"/>
                <w:highlight w:val="none"/>
                <w:lang w:val="en-US" w:eastAsia="zh-CN"/>
              </w:rPr>
              <w:t>厂界</w:t>
            </w:r>
            <w:r>
              <w:rPr>
                <w:rFonts w:hint="eastAsia"/>
                <w:color w:val="auto"/>
                <w:highlight w:val="none"/>
              </w:rPr>
              <w:t>执行</w:t>
            </w:r>
            <w:r>
              <w:rPr>
                <w:color w:val="auto"/>
                <w:highlight w:val="none"/>
              </w:rPr>
              <w:t>《工业企业厂界环境噪声排放标准》（GB12348-2008）中</w:t>
            </w:r>
            <w:r>
              <w:rPr>
                <w:rFonts w:hint="eastAsia"/>
                <w:color w:val="auto"/>
                <w:highlight w:val="none"/>
                <w:lang w:val="en-US" w:eastAsia="zh-CN"/>
              </w:rPr>
              <w:t>4</w:t>
            </w:r>
            <w:r>
              <w:rPr>
                <w:color w:val="auto"/>
                <w:highlight w:val="none"/>
              </w:rPr>
              <w:t>类标准</w:t>
            </w:r>
          </w:p>
        </w:tc>
      </w:tr>
      <w:tr w14:paraId="0988E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3" w:type="pct"/>
            <w:vAlign w:val="center"/>
          </w:tcPr>
          <w:p w14:paraId="33A49D69">
            <w:pPr>
              <w:pStyle w:val="30"/>
              <w:rPr>
                <w:color w:val="auto"/>
                <w:highlight w:val="none"/>
              </w:rPr>
            </w:pPr>
            <w:r>
              <w:rPr>
                <w:rFonts w:hint="eastAsia"/>
                <w:color w:val="auto"/>
                <w:highlight w:val="none"/>
              </w:rPr>
              <w:t>电磁辐射</w:t>
            </w:r>
          </w:p>
        </w:tc>
        <w:tc>
          <w:tcPr>
            <w:tcW w:w="4346" w:type="pct"/>
            <w:gridSpan w:val="6"/>
            <w:vAlign w:val="center"/>
          </w:tcPr>
          <w:p w14:paraId="4E79E71C">
            <w:pPr>
              <w:pStyle w:val="30"/>
              <w:rPr>
                <w:color w:val="auto"/>
                <w:highlight w:val="none"/>
              </w:rPr>
            </w:pPr>
            <w:r>
              <w:rPr>
                <w:rFonts w:hint="eastAsia"/>
                <w:color w:val="auto"/>
                <w:highlight w:val="none"/>
              </w:rPr>
              <w:t>不涉及</w:t>
            </w:r>
          </w:p>
        </w:tc>
      </w:tr>
      <w:tr w14:paraId="42FE5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53" w:type="pct"/>
            <w:vAlign w:val="center"/>
          </w:tcPr>
          <w:p w14:paraId="60F2BE94">
            <w:pPr>
              <w:pStyle w:val="30"/>
              <w:rPr>
                <w:color w:val="auto"/>
                <w:highlight w:val="none"/>
              </w:rPr>
            </w:pPr>
            <w:r>
              <w:rPr>
                <w:rFonts w:hint="eastAsia"/>
                <w:color w:val="auto"/>
                <w:highlight w:val="none"/>
              </w:rPr>
              <w:t>固体废物</w:t>
            </w:r>
          </w:p>
        </w:tc>
        <w:tc>
          <w:tcPr>
            <w:tcW w:w="4346" w:type="pct"/>
            <w:gridSpan w:val="6"/>
            <w:vAlign w:val="center"/>
          </w:tcPr>
          <w:p w14:paraId="23858555">
            <w:pPr>
              <w:pStyle w:val="30"/>
              <w:jc w:val="left"/>
              <w:rPr>
                <w:color w:val="auto"/>
                <w:highlight w:val="none"/>
              </w:rPr>
            </w:pPr>
            <w:r>
              <w:rPr>
                <w:rFonts w:hint="eastAsia"/>
                <w:color w:val="auto"/>
                <w:highlight w:val="none"/>
              </w:rPr>
              <w:t>生活垃圾委托环卫部门清运；危险废</w:t>
            </w:r>
            <w:r>
              <w:rPr>
                <w:color w:val="auto"/>
                <w:highlight w:val="none"/>
              </w:rPr>
              <w:t>物设置</w:t>
            </w:r>
            <w:r>
              <w:rPr>
                <w:rFonts w:hint="eastAsia"/>
                <w:color w:val="auto"/>
                <w:highlight w:val="none"/>
                <w:lang w:eastAsia="zh-CN"/>
              </w:rPr>
              <w:t>（</w:t>
            </w:r>
            <w:r>
              <w:rPr>
                <w:color w:val="auto"/>
                <w:highlight w:val="none"/>
              </w:rPr>
              <w:t>1</w:t>
            </w:r>
            <w:r>
              <w:rPr>
                <w:rFonts w:hint="eastAsia"/>
                <w:color w:val="auto"/>
                <w:highlight w:val="none"/>
                <w:lang w:val="en-US" w:eastAsia="zh-CN"/>
              </w:rPr>
              <w:t>5</w:t>
            </w:r>
            <w:r>
              <w:rPr>
                <w:color w:val="auto"/>
                <w:highlight w:val="none"/>
              </w:rPr>
              <w:t>m</w:t>
            </w:r>
            <w:r>
              <w:rPr>
                <w:color w:val="auto"/>
                <w:highlight w:val="none"/>
                <w:vertAlign w:val="superscript"/>
              </w:rPr>
              <w:t>2</w:t>
            </w:r>
            <w:r>
              <w:rPr>
                <w:rFonts w:hint="eastAsia"/>
                <w:color w:val="auto"/>
                <w:highlight w:val="none"/>
                <w:lang w:eastAsia="zh-CN"/>
              </w:rPr>
              <w:t>）</w:t>
            </w:r>
            <w:r>
              <w:rPr>
                <w:color w:val="auto"/>
                <w:highlight w:val="none"/>
              </w:rPr>
              <w:t>危废暂存间暂存，并委托有危废处理资质的单位处置；一般固废暂存固废间（1</w:t>
            </w:r>
            <w:r>
              <w:rPr>
                <w:rFonts w:hint="eastAsia"/>
                <w:color w:val="auto"/>
                <w:highlight w:val="none"/>
                <w:lang w:val="en-US" w:eastAsia="zh-CN"/>
              </w:rPr>
              <w:t>5</w:t>
            </w:r>
            <w:r>
              <w:rPr>
                <w:color w:val="auto"/>
                <w:highlight w:val="none"/>
              </w:rPr>
              <w:t>m</w:t>
            </w:r>
            <w:r>
              <w:rPr>
                <w:color w:val="auto"/>
                <w:highlight w:val="none"/>
                <w:vertAlign w:val="superscript"/>
              </w:rPr>
              <w:t>2</w:t>
            </w:r>
            <w:r>
              <w:rPr>
                <w:color w:val="auto"/>
                <w:highlight w:val="none"/>
              </w:rPr>
              <w:t>）</w:t>
            </w:r>
            <w:r>
              <w:rPr>
                <w:rFonts w:hint="eastAsia"/>
                <w:color w:val="auto"/>
                <w:highlight w:val="none"/>
              </w:rPr>
              <w:t>定期外售给物资回收单位。</w:t>
            </w:r>
          </w:p>
        </w:tc>
      </w:tr>
      <w:tr w14:paraId="266CB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Align w:val="center"/>
          </w:tcPr>
          <w:p w14:paraId="1D2890CC">
            <w:pPr>
              <w:pStyle w:val="30"/>
              <w:rPr>
                <w:color w:val="auto"/>
                <w:highlight w:val="none"/>
              </w:rPr>
            </w:pPr>
            <w:r>
              <w:rPr>
                <w:rFonts w:hint="eastAsia"/>
                <w:color w:val="auto"/>
                <w:highlight w:val="none"/>
              </w:rPr>
              <w:t>土壤及地下水污染防治措施</w:t>
            </w:r>
          </w:p>
        </w:tc>
        <w:tc>
          <w:tcPr>
            <w:tcW w:w="4346" w:type="pct"/>
            <w:gridSpan w:val="6"/>
            <w:vAlign w:val="center"/>
          </w:tcPr>
          <w:p w14:paraId="74BD974D">
            <w:pPr>
              <w:pStyle w:val="30"/>
              <w:jc w:val="left"/>
              <w:rPr>
                <w:color w:val="auto"/>
                <w:highlight w:val="none"/>
              </w:rPr>
            </w:pPr>
            <w:r>
              <w:rPr>
                <w:rFonts w:hint="eastAsia"/>
                <w:color w:val="auto"/>
                <w:highlight w:val="none"/>
              </w:rPr>
              <w:t>①项目实施后，建立和完善污、雨水的收集设施，废水通过化粪池处理，在废水收集设施的设计施工中严格执行高标准防渗措施，防止废水泄漏；</w:t>
            </w:r>
          </w:p>
          <w:p w14:paraId="20186954">
            <w:pPr>
              <w:pStyle w:val="30"/>
              <w:jc w:val="left"/>
              <w:rPr>
                <w:color w:val="auto"/>
                <w:highlight w:val="none"/>
              </w:rPr>
            </w:pPr>
            <w:r>
              <w:rPr>
                <w:rFonts w:hint="eastAsia"/>
                <w:color w:val="auto"/>
                <w:highlight w:val="none"/>
              </w:rPr>
              <w:t>②加强日常环境管理，管网维护、日常巡查、对易腐蚀的管网及附属设施等采取防腐蚀措施，严格控制设备和管道的跑、冒、滴、漏现象；</w:t>
            </w:r>
          </w:p>
          <w:p w14:paraId="5D869F40">
            <w:pPr>
              <w:pStyle w:val="30"/>
              <w:jc w:val="left"/>
              <w:rPr>
                <w:color w:val="auto"/>
                <w:highlight w:val="none"/>
              </w:rPr>
            </w:pPr>
            <w:r>
              <w:rPr>
                <w:rFonts w:hint="eastAsia"/>
                <w:color w:val="auto"/>
                <w:highlight w:val="none"/>
              </w:rPr>
              <w:t>③危废暂存间地面采取防腐防渗措施，按《危险废物贮存污染控制标准》（GB18597-2023）进行设计，一般工业固体废物贮存过程应满足相应防渗漏、防雨淋、防扬尘等环境保护要求。</w:t>
            </w:r>
          </w:p>
          <w:p w14:paraId="07016534">
            <w:pPr>
              <w:pStyle w:val="30"/>
              <w:jc w:val="left"/>
              <w:rPr>
                <w:color w:val="auto"/>
                <w:highlight w:val="none"/>
              </w:rPr>
            </w:pPr>
            <w:r>
              <w:rPr>
                <w:rFonts w:hint="eastAsia"/>
                <w:color w:val="auto"/>
                <w:highlight w:val="none"/>
              </w:rPr>
              <w:t>④厂区内严格落实各项防渗、防雨、防晒等措施；</w:t>
            </w:r>
          </w:p>
          <w:p w14:paraId="72E35DB9">
            <w:pPr>
              <w:pStyle w:val="30"/>
              <w:jc w:val="left"/>
              <w:rPr>
                <w:color w:val="auto"/>
                <w:highlight w:val="none"/>
              </w:rPr>
            </w:pPr>
            <w:r>
              <w:rPr>
                <w:rFonts w:hint="eastAsia"/>
                <w:color w:val="auto"/>
                <w:highlight w:val="none"/>
              </w:rPr>
              <w:t>⑤对项目所在区域划分为重点防渗区、一般防渗区、简单防渗等。</w:t>
            </w:r>
          </w:p>
        </w:tc>
      </w:tr>
      <w:tr w14:paraId="4D134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Align w:val="center"/>
          </w:tcPr>
          <w:p w14:paraId="4A3C6DC4">
            <w:pPr>
              <w:pStyle w:val="30"/>
              <w:rPr>
                <w:color w:val="auto"/>
                <w:highlight w:val="none"/>
              </w:rPr>
            </w:pPr>
            <w:r>
              <w:rPr>
                <w:rFonts w:hint="eastAsia"/>
                <w:color w:val="auto"/>
                <w:highlight w:val="none"/>
              </w:rPr>
              <w:t>生态保护措施</w:t>
            </w:r>
          </w:p>
        </w:tc>
        <w:tc>
          <w:tcPr>
            <w:tcW w:w="4346" w:type="pct"/>
            <w:gridSpan w:val="6"/>
            <w:vAlign w:val="center"/>
          </w:tcPr>
          <w:p w14:paraId="578FB212">
            <w:pPr>
              <w:pStyle w:val="30"/>
              <w:jc w:val="both"/>
              <w:rPr>
                <w:color w:val="auto"/>
                <w:highlight w:val="none"/>
                <w:lang w:val="en-GB"/>
              </w:rPr>
            </w:pPr>
            <w:r>
              <w:rPr>
                <w:rFonts w:hint="eastAsia"/>
                <w:color w:val="auto"/>
                <w:highlight w:val="none"/>
              </w:rPr>
              <w:t>本项目位于</w:t>
            </w:r>
            <w:r>
              <w:rPr>
                <w:rFonts w:hint="eastAsia"/>
                <w:color w:val="auto"/>
                <w:highlight w:val="none"/>
                <w:lang w:eastAsia="zh-CN"/>
              </w:rPr>
              <w:t>淮南市田家庵区安成镇王巷村和下陈社区境内淮潘公路南侧</w:t>
            </w:r>
            <w:r>
              <w:rPr>
                <w:rFonts w:hint="eastAsia"/>
                <w:color w:val="auto"/>
                <w:highlight w:val="none"/>
              </w:rPr>
              <w:t>，</w:t>
            </w:r>
            <w:r>
              <w:rPr>
                <w:color w:val="auto"/>
                <w:highlight w:val="none"/>
              </w:rPr>
              <w:t>根据淮南市生态红线图，项目不在自然保护区、风景名胜区、文化自然遗产地等生态红线内，不属于生态保护红线管控的区域</w:t>
            </w:r>
            <w:r>
              <w:rPr>
                <w:rFonts w:hint="eastAsia"/>
                <w:color w:val="auto"/>
                <w:highlight w:val="none"/>
              </w:rPr>
              <w:t>。</w:t>
            </w:r>
          </w:p>
        </w:tc>
      </w:tr>
      <w:tr w14:paraId="09DC6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Align w:val="center"/>
          </w:tcPr>
          <w:p w14:paraId="5B01DCCE">
            <w:pPr>
              <w:pStyle w:val="30"/>
              <w:rPr>
                <w:color w:val="auto"/>
                <w:highlight w:val="none"/>
              </w:rPr>
            </w:pPr>
            <w:r>
              <w:rPr>
                <w:rFonts w:hint="eastAsia"/>
                <w:color w:val="auto"/>
                <w:highlight w:val="none"/>
              </w:rPr>
              <w:t>环境风险</w:t>
            </w:r>
          </w:p>
          <w:p w14:paraId="794E9119">
            <w:pPr>
              <w:pStyle w:val="30"/>
              <w:rPr>
                <w:color w:val="auto"/>
                <w:highlight w:val="none"/>
              </w:rPr>
            </w:pPr>
            <w:r>
              <w:rPr>
                <w:rFonts w:hint="eastAsia"/>
                <w:color w:val="auto"/>
                <w:highlight w:val="none"/>
              </w:rPr>
              <w:t>防范措施</w:t>
            </w:r>
          </w:p>
        </w:tc>
        <w:tc>
          <w:tcPr>
            <w:tcW w:w="4346" w:type="pct"/>
            <w:gridSpan w:val="6"/>
            <w:vAlign w:val="center"/>
          </w:tcPr>
          <w:p w14:paraId="65AFE3E8">
            <w:pPr>
              <w:pStyle w:val="30"/>
              <w:widowControl/>
              <w:adjustRightInd/>
              <w:snapToGrid/>
              <w:jc w:val="left"/>
              <w:rPr>
                <w:rFonts w:hint="eastAsia" w:eastAsia="宋体"/>
                <w:color w:val="auto"/>
                <w:highlight w:val="none"/>
              </w:rPr>
            </w:pPr>
            <w:r>
              <w:rPr>
                <w:rFonts w:hint="eastAsia" w:eastAsia="宋体"/>
                <w:color w:val="auto"/>
                <w:highlight w:val="none"/>
              </w:rPr>
              <w:t>严格执行危废转移联单制度，加强管理，预防事故发生。</w:t>
            </w:r>
          </w:p>
          <w:p w14:paraId="7945BC44">
            <w:pPr>
              <w:pStyle w:val="30"/>
              <w:widowControl/>
              <w:adjustRightInd/>
              <w:snapToGrid/>
              <w:jc w:val="left"/>
              <w:rPr>
                <w:rFonts w:hint="eastAsia" w:eastAsia="宋体"/>
                <w:color w:val="auto"/>
                <w:highlight w:val="none"/>
              </w:rPr>
            </w:pPr>
            <w:r>
              <w:rPr>
                <w:rFonts w:hint="eastAsia" w:eastAsia="宋体"/>
                <w:color w:val="auto"/>
                <w:highlight w:val="none"/>
              </w:rPr>
              <w:t>1、地下储油罐周围设计防渗漏检查孔或检查通道；</w:t>
            </w:r>
          </w:p>
          <w:p w14:paraId="0B2F02C7">
            <w:pPr>
              <w:pStyle w:val="30"/>
              <w:widowControl/>
              <w:adjustRightInd/>
              <w:snapToGrid/>
              <w:jc w:val="left"/>
              <w:rPr>
                <w:rFonts w:hint="eastAsia" w:eastAsia="宋体"/>
                <w:color w:val="auto"/>
                <w:highlight w:val="none"/>
              </w:rPr>
            </w:pPr>
            <w:r>
              <w:rPr>
                <w:rFonts w:hint="eastAsia" w:eastAsia="宋体"/>
                <w:color w:val="auto"/>
                <w:highlight w:val="none"/>
              </w:rPr>
              <w:t>2、主要工艺设备和管道均设有安全泄放装置；</w:t>
            </w:r>
          </w:p>
          <w:p w14:paraId="04E1FCE1">
            <w:pPr>
              <w:pStyle w:val="30"/>
              <w:widowControl/>
              <w:adjustRightInd/>
              <w:snapToGrid/>
              <w:jc w:val="left"/>
              <w:rPr>
                <w:rFonts w:hint="eastAsia" w:eastAsia="宋体"/>
                <w:color w:val="auto"/>
                <w:highlight w:val="none"/>
                <w:lang w:val="en-GB"/>
              </w:rPr>
            </w:pPr>
            <w:r>
              <w:rPr>
                <w:rFonts w:hint="eastAsia" w:eastAsia="宋体"/>
                <w:color w:val="auto"/>
                <w:highlight w:val="none"/>
                <w:lang w:val="en-GB"/>
              </w:rPr>
              <w:t>3、</w:t>
            </w:r>
            <w:r>
              <w:rPr>
                <w:rFonts w:hint="eastAsia" w:eastAsia="宋体"/>
                <w:color w:val="auto"/>
                <w:highlight w:val="none"/>
              </w:rPr>
              <w:t>综合能源站内的电气设备严格按照防爆区划分配置，设置警告牌及灭火器材；</w:t>
            </w:r>
          </w:p>
          <w:p w14:paraId="6D978EC3">
            <w:pPr>
              <w:pStyle w:val="30"/>
              <w:widowControl/>
              <w:adjustRightInd/>
              <w:snapToGrid/>
              <w:jc w:val="left"/>
              <w:rPr>
                <w:rFonts w:hint="eastAsia" w:eastAsia="宋体"/>
                <w:color w:val="auto"/>
                <w:highlight w:val="none"/>
                <w:lang w:val="en-GB"/>
              </w:rPr>
            </w:pPr>
            <w:r>
              <w:rPr>
                <w:rFonts w:hint="eastAsia" w:eastAsia="宋体"/>
                <w:color w:val="auto"/>
                <w:highlight w:val="none"/>
                <w:lang w:val="en-GB"/>
              </w:rPr>
              <w:t>4、</w:t>
            </w:r>
            <w:r>
              <w:rPr>
                <w:rFonts w:hint="eastAsia" w:eastAsia="宋体"/>
                <w:color w:val="auto"/>
                <w:highlight w:val="none"/>
              </w:rPr>
              <w:t>在防爆区内，电气设备和仪表均选用防爆型产品，严格执行防火、防爆、防雷击、防毒害等各项要求；</w:t>
            </w:r>
          </w:p>
          <w:p w14:paraId="63B4E29C">
            <w:pPr>
              <w:pStyle w:val="30"/>
              <w:widowControl/>
              <w:adjustRightInd/>
              <w:snapToGrid/>
              <w:jc w:val="left"/>
              <w:rPr>
                <w:color w:val="auto"/>
                <w:highlight w:val="none"/>
                <w:lang w:val="en-GB"/>
              </w:rPr>
            </w:pPr>
            <w:r>
              <w:rPr>
                <w:rFonts w:hint="eastAsia" w:eastAsia="宋体"/>
                <w:color w:val="auto"/>
                <w:highlight w:val="none"/>
                <w:lang w:val="en-GB"/>
              </w:rPr>
              <w:t>5、</w:t>
            </w:r>
            <w:r>
              <w:rPr>
                <w:rFonts w:hint="eastAsia" w:eastAsia="宋体"/>
                <w:color w:val="auto"/>
                <w:highlight w:val="none"/>
              </w:rPr>
              <w:t>加强职工的安全教育，提高安全防范风险的意识。</w:t>
            </w:r>
          </w:p>
        </w:tc>
      </w:tr>
      <w:tr w14:paraId="16B4A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vAlign w:val="center"/>
          </w:tcPr>
          <w:p w14:paraId="55937678">
            <w:pPr>
              <w:pStyle w:val="30"/>
              <w:rPr>
                <w:color w:val="auto"/>
                <w:highlight w:val="none"/>
              </w:rPr>
            </w:pPr>
            <w:r>
              <w:rPr>
                <w:rFonts w:hint="eastAsia"/>
                <w:color w:val="auto"/>
                <w:highlight w:val="none"/>
              </w:rPr>
              <w:t>其他环境</w:t>
            </w:r>
          </w:p>
          <w:p w14:paraId="7EE31228">
            <w:pPr>
              <w:pStyle w:val="30"/>
              <w:rPr>
                <w:color w:val="auto"/>
                <w:highlight w:val="none"/>
              </w:rPr>
            </w:pPr>
            <w:r>
              <w:rPr>
                <w:rFonts w:hint="eastAsia"/>
                <w:color w:val="auto"/>
                <w:highlight w:val="none"/>
              </w:rPr>
              <w:t>管理要求</w:t>
            </w:r>
          </w:p>
        </w:tc>
        <w:tc>
          <w:tcPr>
            <w:tcW w:w="4346" w:type="pct"/>
            <w:gridSpan w:val="6"/>
            <w:vAlign w:val="center"/>
          </w:tcPr>
          <w:p w14:paraId="4BB47044">
            <w:pPr>
              <w:pStyle w:val="30"/>
              <w:widowControl/>
              <w:adjustRightInd/>
              <w:snapToGrid/>
              <w:ind w:firstLine="360" w:firstLineChars="200"/>
              <w:jc w:val="left"/>
              <w:rPr>
                <w:color w:val="auto"/>
                <w:highlight w:val="none"/>
              </w:rPr>
            </w:pPr>
            <w:r>
              <w:rPr>
                <w:rFonts w:hint="eastAsia"/>
                <w:color w:val="auto"/>
                <w:highlight w:val="none"/>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75D8056E">
            <w:pPr>
              <w:pStyle w:val="30"/>
              <w:widowControl/>
              <w:adjustRightInd/>
              <w:snapToGrid/>
              <w:ind w:firstLine="360" w:firstLineChars="200"/>
              <w:jc w:val="left"/>
              <w:rPr>
                <w:color w:val="auto"/>
                <w:highlight w:val="none"/>
              </w:rPr>
            </w:pPr>
            <w:r>
              <w:rPr>
                <w:rFonts w:hint="eastAsia"/>
                <w:color w:val="auto"/>
                <w:highlight w:val="none"/>
              </w:rPr>
              <w:t>因此，本建设单位设立环境管理机构，负责项目运营期的环境管理工作，其主要的职责与功能如下：</w:t>
            </w:r>
          </w:p>
          <w:p w14:paraId="0BD42057">
            <w:pPr>
              <w:pStyle w:val="30"/>
              <w:widowControl/>
              <w:adjustRightInd/>
              <w:snapToGrid/>
              <w:ind w:firstLine="360" w:firstLineChars="200"/>
              <w:jc w:val="left"/>
              <w:rPr>
                <w:color w:val="auto"/>
                <w:highlight w:val="none"/>
              </w:rPr>
            </w:pPr>
            <w:r>
              <w:rPr>
                <w:color w:val="auto"/>
                <w:highlight w:val="none"/>
              </w:rPr>
              <w:t>本项目属于</w:t>
            </w:r>
            <w:r>
              <w:rPr>
                <w:rFonts w:hint="eastAsia"/>
                <w:color w:val="auto"/>
                <w:highlight w:val="none"/>
              </w:rPr>
              <w:t>G5449其他道路运输和辅助活动、F5265机动车燃油零售；对照《固定污染源排污许可分类管理名录》（2019年版），本项目属于《名录》中：三十七、废弃资源综合利用业42—93非金属废料和碎屑加工处理422中“其他”，实行登记管理；四十二、零售业52-100汽车、摩托车、零配件和燃料及其他动力销售526中“位于城市建成区的加油站”，属简化管理。</w:t>
            </w:r>
            <w:r>
              <w:rPr>
                <w:color w:val="auto"/>
                <w:highlight w:val="none"/>
              </w:rPr>
              <w:t>故本项目的排污许可填报</w:t>
            </w:r>
            <w:r>
              <w:rPr>
                <w:rFonts w:hint="eastAsia"/>
                <w:color w:val="auto"/>
                <w:highlight w:val="none"/>
              </w:rPr>
              <w:t>“</w:t>
            </w:r>
            <w:r>
              <w:rPr>
                <w:color w:val="auto"/>
                <w:highlight w:val="none"/>
              </w:rPr>
              <w:t>管理类别</w:t>
            </w:r>
            <w:r>
              <w:rPr>
                <w:rFonts w:hint="eastAsia"/>
                <w:color w:val="auto"/>
                <w:highlight w:val="none"/>
              </w:rPr>
              <w:t>”</w:t>
            </w:r>
            <w:r>
              <w:rPr>
                <w:color w:val="auto"/>
                <w:highlight w:val="none"/>
              </w:rPr>
              <w:t>应为</w:t>
            </w:r>
            <w:r>
              <w:rPr>
                <w:rFonts w:hint="eastAsia"/>
                <w:color w:val="auto"/>
                <w:highlight w:val="none"/>
              </w:rPr>
              <w:t>“</w:t>
            </w:r>
            <w:r>
              <w:rPr>
                <w:color w:val="auto"/>
                <w:highlight w:val="none"/>
              </w:rPr>
              <w:t>简化管理</w:t>
            </w:r>
            <w:r>
              <w:rPr>
                <w:rFonts w:hint="eastAsia"/>
                <w:color w:val="auto"/>
                <w:highlight w:val="none"/>
              </w:rPr>
              <w:t>”</w:t>
            </w:r>
            <w:r>
              <w:rPr>
                <w:color w:val="auto"/>
                <w:highlight w:val="none"/>
              </w:rPr>
              <w:t>。</w:t>
            </w:r>
            <w:r>
              <w:rPr>
                <w:rFonts w:hint="eastAsia"/>
                <w:color w:val="auto"/>
                <w:highlight w:val="none"/>
              </w:rPr>
              <w:t>规</w:t>
            </w:r>
            <w:r>
              <w:rPr>
                <w:color w:val="auto"/>
                <w:highlight w:val="none"/>
              </w:rPr>
              <w:t>范化设置排污口；按照《安徽省生态环境厅关于统筹做好固定污染源排污许可日常监管工作的通知》（皖环发〔2021〕7号）等要求</w:t>
            </w:r>
            <w:r>
              <w:rPr>
                <w:rFonts w:hint="eastAsia"/>
                <w:color w:val="auto"/>
                <w:highlight w:val="none"/>
              </w:rPr>
              <w:t>，</w:t>
            </w:r>
            <w:r>
              <w:rPr>
                <w:color w:val="auto"/>
                <w:highlight w:val="none"/>
              </w:rPr>
              <w:t>企业应在实际排污前申领排污许可证。</w:t>
            </w:r>
          </w:p>
          <w:p w14:paraId="4A3ADAF7">
            <w:pPr>
              <w:pStyle w:val="30"/>
              <w:widowControl/>
              <w:adjustRightInd/>
              <w:snapToGrid/>
              <w:ind w:firstLine="360" w:firstLineChars="200"/>
              <w:jc w:val="left"/>
              <w:rPr>
                <w:color w:val="auto"/>
                <w:highlight w:val="none"/>
              </w:rPr>
            </w:pPr>
            <w:r>
              <w:rPr>
                <w:rFonts w:hint="eastAsia"/>
                <w:color w:val="auto"/>
                <w:highlight w:val="none"/>
              </w:rPr>
              <w:t>（1）</w:t>
            </w:r>
            <w:r>
              <w:rPr>
                <w:color w:val="auto"/>
                <w:highlight w:val="none"/>
              </w:rPr>
              <w:t>排污口管理：</w:t>
            </w:r>
          </w:p>
          <w:p w14:paraId="1FD6A983">
            <w:pPr>
              <w:pStyle w:val="30"/>
              <w:widowControl/>
              <w:adjustRightInd/>
              <w:snapToGrid/>
              <w:ind w:firstLine="360" w:firstLineChars="200"/>
              <w:jc w:val="left"/>
              <w:rPr>
                <w:color w:val="auto"/>
                <w:highlight w:val="none"/>
              </w:rPr>
            </w:pPr>
            <w:r>
              <w:rPr>
                <w:color w:val="auto"/>
                <w:highlight w:val="none"/>
              </w:rPr>
              <w:t>建设单位应在各排污口处设立较明显的排污口标志牌，其上应注明主要排放污染物的名称以警示周围群众；</w:t>
            </w:r>
          </w:p>
          <w:p w14:paraId="418408CE">
            <w:pPr>
              <w:pStyle w:val="30"/>
              <w:widowControl/>
              <w:adjustRightInd/>
              <w:snapToGrid/>
              <w:ind w:firstLine="360" w:firstLineChars="200"/>
              <w:jc w:val="left"/>
              <w:rPr>
                <w:color w:val="auto"/>
                <w:highlight w:val="none"/>
              </w:rPr>
            </w:pPr>
            <w:r>
              <w:rPr>
                <w:color w:val="auto"/>
                <w:highlight w:val="none"/>
              </w:rPr>
              <w:t>建设单位应如实填写《中华人民共和国规范化排污口标志登记证》的有关内容，由环保主管部门签发登记证；</w:t>
            </w:r>
          </w:p>
          <w:p w14:paraId="411C1D57">
            <w:pPr>
              <w:pStyle w:val="30"/>
              <w:widowControl/>
              <w:adjustRightInd/>
              <w:snapToGrid/>
              <w:ind w:firstLine="360" w:firstLineChars="200"/>
              <w:jc w:val="left"/>
              <w:rPr>
                <w:color w:val="auto"/>
                <w:highlight w:val="none"/>
              </w:rPr>
            </w:pPr>
            <w:r>
              <w:rPr>
                <w:color w:val="auto"/>
                <w:highlight w:val="none"/>
              </w:rPr>
              <w:t>规范化排污口的有关设置属环保设施，建设单位必须负责日常的维护保养，任何单位和个人不得擅自拆除，如果需要变更的必须报环境监察部门同意并办理变更手续；</w:t>
            </w:r>
          </w:p>
          <w:p w14:paraId="50B5E351">
            <w:pPr>
              <w:pStyle w:val="30"/>
              <w:widowControl/>
              <w:adjustRightInd/>
              <w:snapToGrid/>
              <w:ind w:firstLine="360" w:firstLineChars="200"/>
              <w:jc w:val="left"/>
              <w:rPr>
                <w:color w:val="auto"/>
                <w:highlight w:val="none"/>
              </w:rPr>
            </w:pPr>
            <w:r>
              <w:rPr>
                <w:color w:val="auto"/>
                <w:highlight w:val="none"/>
              </w:rPr>
              <w:t>建设单位应将有关排污口的情况，如：排污口的性质、编号，排污口的位置；主要排放的污染物种类、数量、浓度、排放规律、排放去向；污染治理设施的运行情况等进行建档管理，并报送环保主管部门备案。</w:t>
            </w:r>
          </w:p>
          <w:p w14:paraId="79D048BB">
            <w:pPr>
              <w:pStyle w:val="30"/>
              <w:widowControl/>
              <w:adjustRightInd/>
              <w:snapToGrid/>
              <w:ind w:firstLine="360" w:firstLineChars="200"/>
              <w:jc w:val="left"/>
              <w:rPr>
                <w:color w:val="auto"/>
                <w:highlight w:val="none"/>
              </w:rPr>
            </w:pPr>
            <w:r>
              <w:rPr>
                <w:color w:val="auto"/>
                <w:highlight w:val="none"/>
              </w:rPr>
              <w:t>（2）台账的管理：</w:t>
            </w:r>
          </w:p>
          <w:p w14:paraId="56433888">
            <w:pPr>
              <w:pStyle w:val="30"/>
              <w:widowControl/>
              <w:adjustRightInd/>
              <w:snapToGrid/>
              <w:ind w:firstLine="360" w:firstLineChars="200"/>
              <w:jc w:val="left"/>
              <w:rPr>
                <w:color w:val="auto"/>
                <w:highlight w:val="none"/>
              </w:rPr>
            </w:pPr>
            <w:r>
              <w:rPr>
                <w:color w:val="auto"/>
                <w:highlight w:val="none"/>
              </w:rPr>
              <w:t>根据生产特点和污染物排放特点，按照排污口和有组织排放源进行记录。台账记录保存期限不少于五年。</w:t>
            </w:r>
          </w:p>
          <w:p w14:paraId="6AC05812">
            <w:pPr>
              <w:pStyle w:val="30"/>
              <w:widowControl/>
              <w:adjustRightInd/>
              <w:snapToGrid/>
              <w:ind w:firstLine="360" w:firstLineChars="200"/>
              <w:jc w:val="left"/>
              <w:rPr>
                <w:color w:val="auto"/>
                <w:highlight w:val="none"/>
              </w:rPr>
            </w:pPr>
            <w:r>
              <w:rPr>
                <w:color w:val="auto"/>
                <w:highlight w:val="none"/>
              </w:rPr>
              <w:t>（3）严格执行各项环境管理制度，保证各排污口的正常运行；</w:t>
            </w:r>
          </w:p>
          <w:p w14:paraId="6BDFFCD7">
            <w:pPr>
              <w:pStyle w:val="30"/>
              <w:widowControl/>
              <w:adjustRightInd/>
              <w:snapToGrid/>
              <w:ind w:firstLine="360" w:firstLineChars="200"/>
              <w:jc w:val="left"/>
              <w:rPr>
                <w:color w:val="auto"/>
                <w:highlight w:val="none"/>
              </w:rPr>
            </w:pPr>
            <w:r>
              <w:rPr>
                <w:color w:val="auto"/>
                <w:highlight w:val="none"/>
              </w:rPr>
              <w:t>（4）对各项环保设施操作、维护定量考核，建立环保设施运行档案；</w:t>
            </w:r>
          </w:p>
          <w:p w14:paraId="60D3F346">
            <w:pPr>
              <w:pStyle w:val="30"/>
              <w:widowControl/>
              <w:adjustRightInd/>
              <w:snapToGrid/>
              <w:ind w:firstLine="360" w:firstLineChars="200"/>
              <w:jc w:val="left"/>
              <w:rPr>
                <w:color w:val="auto"/>
                <w:highlight w:val="none"/>
              </w:rPr>
            </w:pPr>
            <w:r>
              <w:rPr>
                <w:color w:val="auto"/>
                <w:highlight w:val="none"/>
              </w:rPr>
              <w:t>（5）按规定程序实施竣工环境保护验收，验收合格方可投入生产。</w:t>
            </w:r>
          </w:p>
        </w:tc>
      </w:tr>
    </w:tbl>
    <w:p w14:paraId="23EF3BC9">
      <w:pPr>
        <w:rPr>
          <w:color w:val="auto"/>
          <w:highlight w:val="none"/>
        </w:rPr>
      </w:pPr>
    </w:p>
    <w:p w14:paraId="5EEAA15B">
      <w:pPr>
        <w:rPr>
          <w:color w:val="auto"/>
          <w:highlight w:val="none"/>
        </w:rPr>
        <w:sectPr>
          <w:pgSz w:w="11906" w:h="16838"/>
          <w:pgMar w:top="1440" w:right="1800" w:bottom="1440" w:left="1800" w:header="851" w:footer="992" w:gutter="0"/>
          <w:cols w:space="425" w:num="1"/>
          <w:docGrid w:type="lines" w:linePitch="312" w:charSpace="0"/>
        </w:sectPr>
      </w:pPr>
    </w:p>
    <w:p w14:paraId="306F08FD">
      <w:pPr>
        <w:pStyle w:val="2"/>
        <w:rPr>
          <w:color w:val="auto"/>
          <w:highlight w:val="none"/>
        </w:rPr>
      </w:pPr>
      <w:bookmarkStart w:id="39" w:name="_Toc22712"/>
      <w:r>
        <w:rPr>
          <w:rFonts w:hint="eastAsia"/>
          <w:color w:val="auto"/>
          <w:highlight w:val="none"/>
        </w:rPr>
        <w:t>六、结论</w:t>
      </w:r>
      <w:bookmarkEnd w:id="39"/>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CD6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8" w:hRule="atLeast"/>
        </w:trPr>
        <w:tc>
          <w:tcPr>
            <w:tcW w:w="8522" w:type="dxa"/>
            <w:vAlign w:val="top"/>
          </w:tcPr>
          <w:p w14:paraId="544FEFF2">
            <w:pPr>
              <w:keepNext w:val="0"/>
              <w:keepLines w:val="0"/>
              <w:pageBreakBefore w:val="0"/>
              <w:widowControl w:val="0"/>
              <w:kinsoku/>
              <w:wordWrap/>
              <w:overflowPunct/>
              <w:topLinePunct w:val="0"/>
              <w:autoSpaceDE/>
              <w:autoSpaceDN/>
              <w:bidi w:val="0"/>
              <w:adjustRightInd/>
              <w:snapToGrid/>
              <w:spacing w:before="157" w:beforeLines="50"/>
              <w:ind w:firstLine="480" w:firstLineChars="200"/>
              <w:jc w:val="both"/>
              <w:textAlignment w:val="auto"/>
              <w:rPr>
                <w:color w:val="auto"/>
                <w:highlight w:val="none"/>
              </w:rPr>
            </w:pPr>
            <w:r>
              <w:rPr>
                <w:rFonts w:hint="eastAsia"/>
                <w:color w:val="auto"/>
                <w:highlight w:val="none"/>
              </w:rPr>
              <w:t>综上所述，通过对项目所在地区的环境质量现状以及项目产生的环境影响进行分析，本项目所在区域属于环境空气质量、声环境达标区域。项目建设符合国家产业政策及相关规划，选址合理，布局合理可行，项目产生的污染源包括废气、废水、噪声、固体废弃物等，在采取环评提出的防治措施后，废气、废水、噪声的环境影响可以得到有效控制，可达标排放，固废按相关规定贮存与处置，不会对周围环境产生显著的影响。在认真执行三同时、设计方案及环评中提出的污染防治措施后，在方案不变的情况下，产生的污染物对环境的影响可接受，不会降低项目区域环境功能，从环境保护的角度分析，该项目的建设是可行的。</w:t>
            </w:r>
          </w:p>
        </w:tc>
      </w:tr>
    </w:tbl>
    <w:p w14:paraId="21DDD578">
      <w:pPr>
        <w:numPr>
          <w:ilvl w:val="0"/>
          <w:numId w:val="6"/>
        </w:numPr>
        <w:rPr>
          <w:color w:val="auto"/>
          <w:highlight w:val="none"/>
        </w:rPr>
        <w:sectPr>
          <w:pgSz w:w="11906" w:h="16838"/>
          <w:pgMar w:top="1440" w:right="1800" w:bottom="1440" w:left="1800" w:header="851" w:footer="992" w:gutter="0"/>
          <w:cols w:space="425" w:num="1"/>
          <w:docGrid w:type="lines" w:linePitch="312" w:charSpace="0"/>
        </w:sectPr>
      </w:pPr>
    </w:p>
    <w:p w14:paraId="63C6B7AA">
      <w:pPr>
        <w:widowControl/>
        <w:adjustRightInd w:val="0"/>
        <w:snapToGrid w:val="0"/>
        <w:spacing w:line="300" w:lineRule="exact"/>
        <w:outlineLvl w:val="0"/>
        <w:rPr>
          <w:rFonts w:hint="eastAsia" w:ascii="黑体" w:hAnsi="黑体" w:eastAsia="黑体"/>
          <w:snapToGrid w:val="0"/>
          <w:color w:val="auto"/>
          <w:sz w:val="32"/>
          <w:szCs w:val="32"/>
          <w:highlight w:val="none"/>
        </w:rPr>
      </w:pPr>
      <w:bookmarkStart w:id="40" w:name="_Toc13184"/>
      <w:r>
        <w:rPr>
          <w:rFonts w:hint="eastAsia" w:ascii="黑体" w:hAnsi="黑体" w:eastAsia="黑体"/>
          <w:snapToGrid w:val="0"/>
          <w:color w:val="auto"/>
          <w:sz w:val="32"/>
          <w:szCs w:val="32"/>
          <w:highlight w:val="none"/>
        </w:rPr>
        <w:t>附表</w:t>
      </w:r>
      <w:bookmarkEnd w:id="40"/>
    </w:p>
    <w:p w14:paraId="11C9202D">
      <w:pPr>
        <w:pStyle w:val="6"/>
        <w:rPr>
          <w:color w:val="auto"/>
          <w:highlight w:val="none"/>
        </w:rPr>
      </w:pPr>
      <w:r>
        <w:rPr>
          <w:rFonts w:hint="eastAsia"/>
          <w:color w:val="auto"/>
          <w:highlight w:val="none"/>
        </w:rPr>
        <w:t>建设项目污染物排放量汇总表t/a</w:t>
      </w:r>
    </w:p>
    <w:tbl>
      <w:tblPr>
        <w:tblStyle w:val="24"/>
        <w:tblW w:w="499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789"/>
        <w:gridCol w:w="1474"/>
        <w:gridCol w:w="1634"/>
        <w:gridCol w:w="1634"/>
        <w:gridCol w:w="1634"/>
        <w:gridCol w:w="1634"/>
        <w:gridCol w:w="1954"/>
        <w:gridCol w:w="1319"/>
      </w:tblGrid>
      <w:tr w14:paraId="4D1BC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tcBorders>
              <w:tl2br w:val="single" w:color="auto" w:sz="4" w:space="0"/>
            </w:tcBorders>
            <w:tcMar>
              <w:left w:w="28" w:type="dxa"/>
              <w:right w:w="28" w:type="dxa"/>
            </w:tcMar>
            <w:vAlign w:val="center"/>
          </w:tcPr>
          <w:p w14:paraId="121522C2">
            <w:pPr>
              <w:pStyle w:val="30"/>
              <w:rPr>
                <w:b/>
                <w:bCs/>
                <w:color w:val="auto"/>
                <w:highlight w:val="none"/>
              </w:rPr>
            </w:pPr>
            <w:r>
              <w:rPr>
                <w:rFonts w:hint="eastAsia"/>
                <w:b/>
                <w:bCs/>
                <w:color w:val="auto"/>
                <w:highlight w:val="none"/>
                <w:lang w:val="en-US" w:eastAsia="zh-CN"/>
              </w:rPr>
              <w:t xml:space="preserve">   </w:t>
            </w:r>
            <w:r>
              <w:rPr>
                <w:rFonts w:hint="eastAsia"/>
                <w:b/>
                <w:bCs/>
                <w:color w:val="auto"/>
                <w:highlight w:val="none"/>
              </w:rPr>
              <w:t>分类</w:t>
            </w:r>
          </w:p>
          <w:p w14:paraId="0AD1746C">
            <w:pPr>
              <w:pStyle w:val="30"/>
              <w:jc w:val="both"/>
              <w:rPr>
                <w:b/>
                <w:bCs/>
                <w:color w:val="auto"/>
                <w:highlight w:val="none"/>
              </w:rPr>
            </w:pPr>
            <w:r>
              <w:rPr>
                <w:rFonts w:hint="eastAsia"/>
                <w:b/>
                <w:bCs/>
                <w:color w:val="auto"/>
                <w:highlight w:val="none"/>
              </w:rPr>
              <w:t>项目</w:t>
            </w:r>
          </w:p>
        </w:tc>
        <w:tc>
          <w:tcPr>
            <w:tcW w:w="608" w:type="pct"/>
            <w:tcMar>
              <w:left w:w="28" w:type="dxa"/>
              <w:right w:w="28" w:type="dxa"/>
            </w:tcMar>
            <w:vAlign w:val="center"/>
          </w:tcPr>
          <w:p w14:paraId="6B0BEF51">
            <w:pPr>
              <w:pStyle w:val="30"/>
              <w:rPr>
                <w:b/>
                <w:bCs/>
                <w:color w:val="auto"/>
                <w:highlight w:val="none"/>
              </w:rPr>
            </w:pPr>
            <w:r>
              <w:rPr>
                <w:b/>
                <w:bCs/>
                <w:color w:val="auto"/>
                <w:highlight w:val="none"/>
              </w:rPr>
              <w:t>污染物名称</w:t>
            </w:r>
          </w:p>
        </w:tc>
        <w:tc>
          <w:tcPr>
            <w:tcW w:w="501" w:type="pct"/>
            <w:tcMar>
              <w:left w:w="28" w:type="dxa"/>
              <w:right w:w="28" w:type="dxa"/>
            </w:tcMar>
            <w:vAlign w:val="center"/>
          </w:tcPr>
          <w:p w14:paraId="4825A992">
            <w:pPr>
              <w:pStyle w:val="30"/>
              <w:rPr>
                <w:b/>
                <w:bCs/>
                <w:color w:val="auto"/>
                <w:highlight w:val="none"/>
              </w:rPr>
            </w:pPr>
            <w:r>
              <w:rPr>
                <w:b/>
                <w:bCs/>
                <w:color w:val="auto"/>
                <w:highlight w:val="none"/>
              </w:rPr>
              <w:t>现有工程排放量（固体废物产生量）</w:t>
            </w:r>
            <w:r>
              <w:rPr>
                <w:b/>
                <w:bCs/>
                <w:color w:val="auto"/>
                <w:highlight w:val="none"/>
              </w:rPr>
              <w:fldChar w:fldCharType="begin"/>
            </w:r>
            <w:r>
              <w:rPr>
                <w:b/>
                <w:bCs/>
                <w:color w:val="auto"/>
                <w:highlight w:val="none"/>
              </w:rPr>
              <w:instrText xml:space="preserve"> = 1 \* GB3 \* MERGEFORMAT </w:instrText>
            </w:r>
            <w:r>
              <w:rPr>
                <w:b/>
                <w:bCs/>
                <w:color w:val="auto"/>
                <w:highlight w:val="none"/>
              </w:rPr>
              <w:fldChar w:fldCharType="separate"/>
            </w:r>
            <w:r>
              <w:rPr>
                <w:b/>
                <w:bCs/>
                <w:color w:val="auto"/>
                <w:highlight w:val="none"/>
              </w:rPr>
              <w:t>①</w:t>
            </w:r>
            <w:r>
              <w:rPr>
                <w:b/>
                <w:bCs/>
                <w:color w:val="auto"/>
                <w:highlight w:val="none"/>
              </w:rPr>
              <w:fldChar w:fldCharType="end"/>
            </w:r>
          </w:p>
        </w:tc>
        <w:tc>
          <w:tcPr>
            <w:tcW w:w="555" w:type="pct"/>
            <w:tcMar>
              <w:left w:w="28" w:type="dxa"/>
              <w:right w:w="28" w:type="dxa"/>
            </w:tcMar>
            <w:vAlign w:val="center"/>
          </w:tcPr>
          <w:p w14:paraId="4536E69E">
            <w:pPr>
              <w:pStyle w:val="30"/>
              <w:rPr>
                <w:b/>
                <w:bCs/>
                <w:color w:val="auto"/>
                <w:highlight w:val="none"/>
              </w:rPr>
            </w:pPr>
            <w:r>
              <w:rPr>
                <w:b/>
                <w:bCs/>
                <w:color w:val="auto"/>
                <w:highlight w:val="none"/>
              </w:rPr>
              <w:t>现有工程许可排放量</w:t>
            </w:r>
            <w:r>
              <w:rPr>
                <w:b/>
                <w:bCs/>
                <w:color w:val="auto"/>
                <w:highlight w:val="none"/>
              </w:rPr>
              <w:fldChar w:fldCharType="begin"/>
            </w:r>
            <w:r>
              <w:rPr>
                <w:b/>
                <w:bCs/>
                <w:color w:val="auto"/>
                <w:highlight w:val="none"/>
              </w:rPr>
              <w:instrText xml:space="preserve"> = 2 \* GB3 \* MERGEFORMAT </w:instrText>
            </w:r>
            <w:r>
              <w:rPr>
                <w:b/>
                <w:bCs/>
                <w:color w:val="auto"/>
                <w:highlight w:val="none"/>
              </w:rPr>
              <w:fldChar w:fldCharType="separate"/>
            </w:r>
            <w:r>
              <w:rPr>
                <w:b/>
                <w:bCs/>
                <w:color w:val="auto"/>
                <w:highlight w:val="none"/>
              </w:rPr>
              <w:t>②</w:t>
            </w:r>
            <w:r>
              <w:rPr>
                <w:b/>
                <w:bCs/>
                <w:color w:val="auto"/>
                <w:highlight w:val="none"/>
              </w:rPr>
              <w:fldChar w:fldCharType="end"/>
            </w:r>
          </w:p>
        </w:tc>
        <w:tc>
          <w:tcPr>
            <w:tcW w:w="555" w:type="pct"/>
            <w:tcMar>
              <w:left w:w="28" w:type="dxa"/>
              <w:right w:w="28" w:type="dxa"/>
            </w:tcMar>
            <w:vAlign w:val="center"/>
          </w:tcPr>
          <w:p w14:paraId="63A3CE7D">
            <w:pPr>
              <w:pStyle w:val="30"/>
              <w:rPr>
                <w:b/>
                <w:bCs/>
                <w:color w:val="auto"/>
                <w:highlight w:val="none"/>
              </w:rPr>
            </w:pPr>
            <w:r>
              <w:rPr>
                <w:b/>
                <w:bCs/>
                <w:color w:val="auto"/>
                <w:highlight w:val="none"/>
              </w:rPr>
              <w:t>在建工程排放量（固体废物产生量）</w:t>
            </w:r>
            <w:r>
              <w:rPr>
                <w:b/>
                <w:bCs/>
                <w:color w:val="auto"/>
                <w:highlight w:val="none"/>
              </w:rPr>
              <w:fldChar w:fldCharType="begin"/>
            </w:r>
            <w:r>
              <w:rPr>
                <w:b/>
                <w:bCs/>
                <w:color w:val="auto"/>
                <w:highlight w:val="none"/>
              </w:rPr>
              <w:instrText xml:space="preserve"> = 3 \* GB3 \* MERGEFORMAT </w:instrText>
            </w:r>
            <w:r>
              <w:rPr>
                <w:b/>
                <w:bCs/>
                <w:color w:val="auto"/>
                <w:highlight w:val="none"/>
              </w:rPr>
              <w:fldChar w:fldCharType="separate"/>
            </w:r>
            <w:r>
              <w:rPr>
                <w:b/>
                <w:bCs/>
                <w:color w:val="auto"/>
                <w:highlight w:val="none"/>
              </w:rPr>
              <w:t>③</w:t>
            </w:r>
            <w:r>
              <w:rPr>
                <w:b/>
                <w:bCs/>
                <w:color w:val="auto"/>
                <w:highlight w:val="none"/>
              </w:rPr>
              <w:fldChar w:fldCharType="end"/>
            </w:r>
          </w:p>
        </w:tc>
        <w:tc>
          <w:tcPr>
            <w:tcW w:w="555" w:type="pct"/>
            <w:tcMar>
              <w:left w:w="28" w:type="dxa"/>
              <w:right w:w="28" w:type="dxa"/>
            </w:tcMar>
            <w:vAlign w:val="center"/>
          </w:tcPr>
          <w:p w14:paraId="245445B2">
            <w:pPr>
              <w:pStyle w:val="30"/>
              <w:rPr>
                <w:b/>
                <w:bCs/>
                <w:color w:val="auto"/>
                <w:highlight w:val="none"/>
              </w:rPr>
            </w:pPr>
            <w:r>
              <w:rPr>
                <w:b/>
                <w:bCs/>
                <w:color w:val="auto"/>
                <w:highlight w:val="none"/>
              </w:rPr>
              <w:t>本项目排放量（固体废物产生量）</w:t>
            </w:r>
            <w:r>
              <w:rPr>
                <w:b/>
                <w:bCs/>
                <w:color w:val="auto"/>
                <w:highlight w:val="none"/>
              </w:rPr>
              <w:fldChar w:fldCharType="begin"/>
            </w:r>
            <w:r>
              <w:rPr>
                <w:b/>
                <w:bCs/>
                <w:color w:val="auto"/>
                <w:highlight w:val="none"/>
              </w:rPr>
              <w:instrText xml:space="preserve"> = 4 \* GB3 \* MERGEFORMAT </w:instrText>
            </w:r>
            <w:r>
              <w:rPr>
                <w:b/>
                <w:bCs/>
                <w:color w:val="auto"/>
                <w:highlight w:val="none"/>
              </w:rPr>
              <w:fldChar w:fldCharType="separate"/>
            </w:r>
            <w:r>
              <w:rPr>
                <w:b/>
                <w:bCs/>
                <w:color w:val="auto"/>
                <w:highlight w:val="none"/>
              </w:rPr>
              <w:t>④</w:t>
            </w:r>
            <w:r>
              <w:rPr>
                <w:b/>
                <w:bCs/>
                <w:color w:val="auto"/>
                <w:highlight w:val="none"/>
              </w:rPr>
              <w:fldChar w:fldCharType="end"/>
            </w:r>
          </w:p>
        </w:tc>
        <w:tc>
          <w:tcPr>
            <w:tcW w:w="555" w:type="pct"/>
            <w:tcMar>
              <w:left w:w="28" w:type="dxa"/>
              <w:right w:w="28" w:type="dxa"/>
            </w:tcMar>
            <w:vAlign w:val="center"/>
          </w:tcPr>
          <w:p w14:paraId="0B52E3F8">
            <w:pPr>
              <w:pStyle w:val="30"/>
              <w:rPr>
                <w:b/>
                <w:bCs/>
                <w:color w:val="auto"/>
                <w:highlight w:val="none"/>
              </w:rPr>
            </w:pPr>
            <w:r>
              <w:rPr>
                <w:b/>
                <w:bCs/>
                <w:color w:val="auto"/>
                <w:highlight w:val="none"/>
              </w:rPr>
              <w:t>以新带老削减量（新建项目不填）</w:t>
            </w:r>
            <w:r>
              <w:rPr>
                <w:b/>
                <w:bCs/>
                <w:color w:val="auto"/>
                <w:highlight w:val="none"/>
              </w:rPr>
              <w:fldChar w:fldCharType="begin"/>
            </w:r>
            <w:r>
              <w:rPr>
                <w:b/>
                <w:bCs/>
                <w:color w:val="auto"/>
                <w:highlight w:val="none"/>
              </w:rPr>
              <w:instrText xml:space="preserve"> = 5 \* GB3 \* MERGEFORMAT </w:instrText>
            </w:r>
            <w:r>
              <w:rPr>
                <w:b/>
                <w:bCs/>
                <w:color w:val="auto"/>
                <w:highlight w:val="none"/>
              </w:rPr>
              <w:fldChar w:fldCharType="separate"/>
            </w:r>
            <w:r>
              <w:rPr>
                <w:b/>
                <w:bCs/>
                <w:color w:val="auto"/>
                <w:highlight w:val="none"/>
              </w:rPr>
              <w:t>⑤</w:t>
            </w:r>
            <w:r>
              <w:rPr>
                <w:b/>
                <w:bCs/>
                <w:color w:val="auto"/>
                <w:highlight w:val="none"/>
              </w:rPr>
              <w:fldChar w:fldCharType="end"/>
            </w:r>
          </w:p>
        </w:tc>
        <w:tc>
          <w:tcPr>
            <w:tcW w:w="664" w:type="pct"/>
            <w:tcMar>
              <w:left w:w="28" w:type="dxa"/>
              <w:right w:w="28" w:type="dxa"/>
            </w:tcMar>
            <w:vAlign w:val="center"/>
          </w:tcPr>
          <w:p w14:paraId="59C8E2E9">
            <w:pPr>
              <w:pStyle w:val="30"/>
              <w:rPr>
                <w:b/>
                <w:bCs/>
                <w:color w:val="auto"/>
                <w:highlight w:val="none"/>
              </w:rPr>
            </w:pPr>
            <w:r>
              <w:rPr>
                <w:b/>
                <w:bCs/>
                <w:color w:val="auto"/>
                <w:highlight w:val="none"/>
              </w:rPr>
              <w:t>本项目建成后全厂排放量（固体废物产生量）</w:t>
            </w:r>
            <w:r>
              <w:rPr>
                <w:b/>
                <w:bCs/>
                <w:color w:val="auto"/>
                <w:highlight w:val="none"/>
              </w:rPr>
              <w:fldChar w:fldCharType="begin"/>
            </w:r>
            <w:r>
              <w:rPr>
                <w:b/>
                <w:bCs/>
                <w:color w:val="auto"/>
                <w:highlight w:val="none"/>
              </w:rPr>
              <w:instrText xml:space="preserve"> = 6 \* GB3 \* MERGEFORMAT </w:instrText>
            </w:r>
            <w:r>
              <w:rPr>
                <w:b/>
                <w:bCs/>
                <w:color w:val="auto"/>
                <w:highlight w:val="none"/>
              </w:rPr>
              <w:fldChar w:fldCharType="separate"/>
            </w:r>
            <w:r>
              <w:rPr>
                <w:b/>
                <w:bCs/>
                <w:color w:val="auto"/>
                <w:highlight w:val="none"/>
              </w:rPr>
              <w:t>⑥</w:t>
            </w:r>
            <w:r>
              <w:rPr>
                <w:b/>
                <w:bCs/>
                <w:color w:val="auto"/>
                <w:highlight w:val="none"/>
              </w:rPr>
              <w:fldChar w:fldCharType="end"/>
            </w:r>
          </w:p>
        </w:tc>
        <w:tc>
          <w:tcPr>
            <w:tcW w:w="448" w:type="pct"/>
            <w:tcMar>
              <w:left w:w="28" w:type="dxa"/>
              <w:right w:w="28" w:type="dxa"/>
            </w:tcMar>
            <w:vAlign w:val="center"/>
          </w:tcPr>
          <w:p w14:paraId="0F16CC60">
            <w:pPr>
              <w:pStyle w:val="30"/>
              <w:rPr>
                <w:b/>
                <w:bCs/>
                <w:color w:val="auto"/>
                <w:highlight w:val="none"/>
              </w:rPr>
            </w:pPr>
            <w:r>
              <w:rPr>
                <w:b/>
                <w:bCs/>
                <w:color w:val="auto"/>
                <w:highlight w:val="none"/>
              </w:rPr>
              <w:t>变化量</w:t>
            </w:r>
            <w:r>
              <w:rPr>
                <w:b/>
                <w:bCs/>
                <w:color w:val="auto"/>
                <w:highlight w:val="none"/>
              </w:rPr>
              <w:fldChar w:fldCharType="begin"/>
            </w:r>
            <w:r>
              <w:rPr>
                <w:b/>
                <w:bCs/>
                <w:color w:val="auto"/>
                <w:highlight w:val="none"/>
              </w:rPr>
              <w:instrText xml:space="preserve"> = 7 \* GB3 \* MERGEFORMAT </w:instrText>
            </w:r>
            <w:r>
              <w:rPr>
                <w:b/>
                <w:bCs/>
                <w:color w:val="auto"/>
                <w:highlight w:val="none"/>
              </w:rPr>
              <w:fldChar w:fldCharType="separate"/>
            </w:r>
            <w:r>
              <w:rPr>
                <w:b/>
                <w:bCs/>
                <w:color w:val="auto"/>
                <w:highlight w:val="none"/>
              </w:rPr>
              <w:t>⑦</w:t>
            </w:r>
            <w:r>
              <w:rPr>
                <w:b/>
                <w:bCs/>
                <w:color w:val="auto"/>
                <w:highlight w:val="none"/>
              </w:rPr>
              <w:fldChar w:fldCharType="end"/>
            </w:r>
          </w:p>
        </w:tc>
      </w:tr>
      <w:tr w14:paraId="5161A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454748F5">
            <w:pPr>
              <w:pStyle w:val="30"/>
              <w:rPr>
                <w:color w:val="auto"/>
                <w:highlight w:val="none"/>
              </w:rPr>
            </w:pPr>
            <w:r>
              <w:rPr>
                <w:color w:val="auto"/>
                <w:highlight w:val="none"/>
              </w:rPr>
              <w:t>废气</w:t>
            </w:r>
          </w:p>
        </w:tc>
        <w:tc>
          <w:tcPr>
            <w:tcW w:w="608" w:type="pct"/>
            <w:vAlign w:val="center"/>
          </w:tcPr>
          <w:p w14:paraId="41FAEF75">
            <w:pPr>
              <w:pStyle w:val="30"/>
              <w:rPr>
                <w:color w:val="auto"/>
                <w:highlight w:val="none"/>
              </w:rPr>
            </w:pPr>
            <w:r>
              <w:rPr>
                <w:rFonts w:hint="eastAsia"/>
                <w:color w:val="auto"/>
                <w:highlight w:val="none"/>
              </w:rPr>
              <w:t>非甲烷总烃</w:t>
            </w:r>
          </w:p>
        </w:tc>
        <w:tc>
          <w:tcPr>
            <w:tcW w:w="501" w:type="pct"/>
            <w:vAlign w:val="center"/>
          </w:tcPr>
          <w:p w14:paraId="6897BC37">
            <w:pPr>
              <w:pStyle w:val="30"/>
              <w:rPr>
                <w:color w:val="auto"/>
                <w:highlight w:val="none"/>
              </w:rPr>
            </w:pPr>
            <w:r>
              <w:rPr>
                <w:rFonts w:hint="eastAsia"/>
                <w:color w:val="auto"/>
                <w:highlight w:val="none"/>
              </w:rPr>
              <w:t>0</w:t>
            </w:r>
          </w:p>
        </w:tc>
        <w:tc>
          <w:tcPr>
            <w:tcW w:w="555" w:type="pct"/>
            <w:vAlign w:val="center"/>
          </w:tcPr>
          <w:p w14:paraId="0B955FC6">
            <w:pPr>
              <w:pStyle w:val="30"/>
              <w:rPr>
                <w:color w:val="auto"/>
                <w:highlight w:val="none"/>
              </w:rPr>
            </w:pPr>
            <w:r>
              <w:rPr>
                <w:rFonts w:hint="eastAsia"/>
                <w:color w:val="auto"/>
                <w:highlight w:val="none"/>
              </w:rPr>
              <w:t>0</w:t>
            </w:r>
          </w:p>
        </w:tc>
        <w:tc>
          <w:tcPr>
            <w:tcW w:w="555" w:type="pct"/>
            <w:vAlign w:val="center"/>
          </w:tcPr>
          <w:p w14:paraId="7C751D3A">
            <w:pPr>
              <w:pStyle w:val="30"/>
              <w:rPr>
                <w:color w:val="auto"/>
                <w:highlight w:val="none"/>
              </w:rPr>
            </w:pPr>
            <w:r>
              <w:rPr>
                <w:rFonts w:hint="eastAsia"/>
                <w:color w:val="auto"/>
                <w:highlight w:val="none"/>
              </w:rPr>
              <w:t>0</w:t>
            </w:r>
          </w:p>
        </w:tc>
        <w:tc>
          <w:tcPr>
            <w:tcW w:w="555" w:type="pct"/>
            <w:vAlign w:val="center"/>
          </w:tcPr>
          <w:p w14:paraId="0D51D175">
            <w:pPr>
              <w:pStyle w:val="30"/>
              <w:rPr>
                <w:rFonts w:hint="default" w:eastAsia="宋体"/>
                <w:color w:val="auto"/>
                <w:highlight w:val="none"/>
                <w:lang w:val="en-US" w:eastAsia="zh-CN"/>
              </w:rPr>
            </w:pPr>
            <w:r>
              <w:rPr>
                <w:rFonts w:hint="eastAsia"/>
                <w:color w:val="auto"/>
                <w:highlight w:val="none"/>
                <w:lang w:val="en-US" w:eastAsia="zh-CN"/>
              </w:rPr>
              <w:t>0.720</w:t>
            </w:r>
          </w:p>
        </w:tc>
        <w:tc>
          <w:tcPr>
            <w:tcW w:w="555" w:type="pct"/>
            <w:vAlign w:val="center"/>
          </w:tcPr>
          <w:p w14:paraId="78B9869C">
            <w:pPr>
              <w:pStyle w:val="30"/>
              <w:rPr>
                <w:color w:val="auto"/>
                <w:highlight w:val="none"/>
              </w:rPr>
            </w:pPr>
            <w:r>
              <w:rPr>
                <w:rFonts w:hint="eastAsia"/>
                <w:color w:val="auto"/>
                <w:highlight w:val="none"/>
              </w:rPr>
              <w:t>0</w:t>
            </w:r>
          </w:p>
        </w:tc>
        <w:tc>
          <w:tcPr>
            <w:tcW w:w="664" w:type="pct"/>
            <w:shd w:val="clear" w:color="auto" w:fill="auto"/>
            <w:vAlign w:val="center"/>
          </w:tcPr>
          <w:p w14:paraId="024F2B73">
            <w:pPr>
              <w:pStyle w:val="3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0.720</w:t>
            </w:r>
          </w:p>
        </w:tc>
        <w:tc>
          <w:tcPr>
            <w:tcW w:w="448" w:type="pct"/>
            <w:shd w:val="clear" w:color="auto" w:fill="auto"/>
            <w:vAlign w:val="center"/>
          </w:tcPr>
          <w:p w14:paraId="591B77D6">
            <w:pPr>
              <w:pStyle w:val="30"/>
              <w:rPr>
                <w:rFonts w:hint="default" w:ascii="Times New Roman" w:hAnsi="Times New Roman" w:eastAsia="宋体" w:cs="Times New Roman"/>
                <w:color w:val="auto"/>
                <w:kern w:val="0"/>
                <w:sz w:val="18"/>
                <w:szCs w:val="18"/>
                <w:highlight w:val="none"/>
                <w:lang w:val="en-US" w:eastAsia="zh-CN" w:bidi="ar-SA"/>
              </w:rPr>
            </w:pPr>
            <w:r>
              <w:rPr>
                <w:rFonts w:hint="eastAsia"/>
                <w:color w:val="auto"/>
                <w:highlight w:val="none"/>
                <w:lang w:val="en-US" w:eastAsia="zh-CN"/>
              </w:rPr>
              <w:t>+0.720</w:t>
            </w:r>
          </w:p>
        </w:tc>
      </w:tr>
      <w:tr w14:paraId="16193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14400FC9">
            <w:pPr>
              <w:pStyle w:val="30"/>
              <w:rPr>
                <w:color w:val="auto"/>
                <w:highlight w:val="none"/>
              </w:rPr>
            </w:pPr>
          </w:p>
        </w:tc>
        <w:tc>
          <w:tcPr>
            <w:tcW w:w="608" w:type="pct"/>
            <w:vAlign w:val="center"/>
          </w:tcPr>
          <w:p w14:paraId="4C684956">
            <w:pPr>
              <w:pStyle w:val="30"/>
              <w:rPr>
                <w:rFonts w:hint="eastAsia" w:eastAsia="宋体"/>
                <w:color w:val="auto"/>
                <w:highlight w:val="none"/>
                <w:lang w:eastAsia="zh-CN"/>
              </w:rPr>
            </w:pPr>
            <w:r>
              <w:rPr>
                <w:rFonts w:hint="eastAsia"/>
                <w:color w:val="auto"/>
                <w:highlight w:val="none"/>
                <w:lang w:eastAsia="zh-CN"/>
              </w:rPr>
              <w:t>氨</w:t>
            </w:r>
          </w:p>
        </w:tc>
        <w:tc>
          <w:tcPr>
            <w:tcW w:w="501" w:type="pct"/>
            <w:vAlign w:val="center"/>
          </w:tcPr>
          <w:p w14:paraId="3AC05F14">
            <w:pPr>
              <w:pStyle w:val="30"/>
              <w:rPr>
                <w:rFonts w:hint="eastAsia" w:eastAsia="宋体"/>
                <w:color w:val="auto"/>
                <w:highlight w:val="none"/>
                <w:lang w:val="en-US" w:eastAsia="zh-CN"/>
              </w:rPr>
            </w:pPr>
            <w:r>
              <w:rPr>
                <w:rFonts w:hint="eastAsia"/>
                <w:color w:val="auto"/>
                <w:highlight w:val="none"/>
                <w:lang w:val="en-US" w:eastAsia="zh-CN"/>
              </w:rPr>
              <w:t>0</w:t>
            </w:r>
          </w:p>
        </w:tc>
        <w:tc>
          <w:tcPr>
            <w:tcW w:w="555" w:type="pct"/>
            <w:vAlign w:val="center"/>
          </w:tcPr>
          <w:p w14:paraId="111152AE">
            <w:pPr>
              <w:pStyle w:val="30"/>
              <w:rPr>
                <w:rFonts w:hint="eastAsia" w:eastAsia="宋体"/>
                <w:color w:val="auto"/>
                <w:highlight w:val="none"/>
                <w:lang w:val="en-US" w:eastAsia="zh-CN"/>
              </w:rPr>
            </w:pPr>
            <w:r>
              <w:rPr>
                <w:rFonts w:hint="eastAsia"/>
                <w:color w:val="auto"/>
                <w:highlight w:val="none"/>
                <w:lang w:val="en-US" w:eastAsia="zh-CN"/>
              </w:rPr>
              <w:t>0</w:t>
            </w:r>
          </w:p>
        </w:tc>
        <w:tc>
          <w:tcPr>
            <w:tcW w:w="555" w:type="pct"/>
            <w:vAlign w:val="center"/>
          </w:tcPr>
          <w:p w14:paraId="0DEA8B84">
            <w:pPr>
              <w:pStyle w:val="30"/>
              <w:rPr>
                <w:rFonts w:hint="eastAsia" w:eastAsia="宋体"/>
                <w:color w:val="auto"/>
                <w:highlight w:val="none"/>
                <w:lang w:val="en-US" w:eastAsia="zh-CN"/>
              </w:rPr>
            </w:pPr>
            <w:r>
              <w:rPr>
                <w:rFonts w:hint="eastAsia"/>
                <w:color w:val="auto"/>
                <w:highlight w:val="none"/>
                <w:lang w:val="en-US" w:eastAsia="zh-CN"/>
              </w:rPr>
              <w:t>0</w:t>
            </w:r>
          </w:p>
        </w:tc>
        <w:tc>
          <w:tcPr>
            <w:tcW w:w="555" w:type="pct"/>
            <w:vAlign w:val="center"/>
          </w:tcPr>
          <w:p w14:paraId="27588300">
            <w:pPr>
              <w:pStyle w:val="30"/>
              <w:rPr>
                <w:rFonts w:hint="default"/>
                <w:color w:val="auto"/>
                <w:highlight w:val="none"/>
                <w:lang w:val="en-US" w:eastAsia="zh-CN"/>
              </w:rPr>
            </w:pPr>
            <w:r>
              <w:rPr>
                <w:rFonts w:hint="eastAsia"/>
                <w:color w:val="auto"/>
                <w:highlight w:val="none"/>
                <w:lang w:val="en-US" w:eastAsia="zh-CN"/>
              </w:rPr>
              <w:t>0.137</w:t>
            </w:r>
          </w:p>
        </w:tc>
        <w:tc>
          <w:tcPr>
            <w:tcW w:w="555" w:type="pct"/>
            <w:vAlign w:val="center"/>
          </w:tcPr>
          <w:p w14:paraId="35FCE450">
            <w:pPr>
              <w:pStyle w:val="30"/>
              <w:rPr>
                <w:rFonts w:hint="eastAsia" w:eastAsia="宋体"/>
                <w:color w:val="auto"/>
                <w:highlight w:val="none"/>
                <w:lang w:val="en-US" w:eastAsia="zh-CN"/>
              </w:rPr>
            </w:pPr>
            <w:r>
              <w:rPr>
                <w:rFonts w:hint="eastAsia"/>
                <w:color w:val="auto"/>
                <w:highlight w:val="none"/>
                <w:lang w:val="en-US" w:eastAsia="zh-CN"/>
              </w:rPr>
              <w:t>0</w:t>
            </w:r>
          </w:p>
        </w:tc>
        <w:tc>
          <w:tcPr>
            <w:tcW w:w="664" w:type="pct"/>
            <w:shd w:val="clear" w:color="auto" w:fill="auto"/>
            <w:vAlign w:val="center"/>
          </w:tcPr>
          <w:p w14:paraId="30926503">
            <w:pPr>
              <w:pStyle w:val="30"/>
              <w:rPr>
                <w:rFonts w:hint="default"/>
                <w:color w:val="auto"/>
                <w:highlight w:val="none"/>
                <w:lang w:val="en-US" w:eastAsia="zh-CN"/>
              </w:rPr>
            </w:pPr>
            <w:r>
              <w:rPr>
                <w:rFonts w:hint="eastAsia"/>
                <w:color w:val="auto"/>
                <w:highlight w:val="none"/>
                <w:lang w:val="en-US" w:eastAsia="zh-CN"/>
              </w:rPr>
              <w:t>0.137</w:t>
            </w:r>
          </w:p>
        </w:tc>
        <w:tc>
          <w:tcPr>
            <w:tcW w:w="448" w:type="pct"/>
            <w:shd w:val="clear" w:color="auto" w:fill="auto"/>
            <w:vAlign w:val="center"/>
          </w:tcPr>
          <w:p w14:paraId="5AC4BD83">
            <w:pPr>
              <w:pStyle w:val="30"/>
              <w:rPr>
                <w:rFonts w:hint="default"/>
                <w:color w:val="auto"/>
                <w:highlight w:val="none"/>
                <w:lang w:val="en-US" w:eastAsia="zh-CN"/>
              </w:rPr>
            </w:pPr>
            <w:r>
              <w:rPr>
                <w:rFonts w:hint="eastAsia"/>
                <w:color w:val="auto"/>
                <w:highlight w:val="none"/>
                <w:lang w:val="en-US" w:eastAsia="zh-CN"/>
              </w:rPr>
              <w:t>+0.137</w:t>
            </w:r>
          </w:p>
        </w:tc>
      </w:tr>
      <w:tr w14:paraId="3DA95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6A8272A0">
            <w:pPr>
              <w:pStyle w:val="30"/>
              <w:rPr>
                <w:color w:val="auto"/>
              </w:rPr>
            </w:pPr>
          </w:p>
        </w:tc>
        <w:tc>
          <w:tcPr>
            <w:tcW w:w="608" w:type="pct"/>
            <w:vAlign w:val="center"/>
          </w:tcPr>
          <w:p w14:paraId="182B5FE8">
            <w:pPr>
              <w:pStyle w:val="30"/>
              <w:rPr>
                <w:color w:val="auto"/>
              </w:rPr>
            </w:pPr>
            <w:r>
              <w:rPr>
                <w:rFonts w:hint="eastAsia"/>
                <w:color w:val="auto"/>
              </w:rPr>
              <w:t>餐饮油烟</w:t>
            </w:r>
          </w:p>
        </w:tc>
        <w:tc>
          <w:tcPr>
            <w:tcW w:w="501" w:type="pct"/>
            <w:vAlign w:val="center"/>
          </w:tcPr>
          <w:p w14:paraId="751817E2">
            <w:pPr>
              <w:pStyle w:val="30"/>
              <w:rPr>
                <w:color w:val="auto"/>
              </w:rPr>
            </w:pPr>
            <w:r>
              <w:rPr>
                <w:rFonts w:hint="eastAsia"/>
                <w:color w:val="auto"/>
              </w:rPr>
              <w:t>0</w:t>
            </w:r>
          </w:p>
        </w:tc>
        <w:tc>
          <w:tcPr>
            <w:tcW w:w="555" w:type="pct"/>
            <w:vAlign w:val="center"/>
          </w:tcPr>
          <w:p w14:paraId="68999E4F">
            <w:pPr>
              <w:pStyle w:val="30"/>
              <w:rPr>
                <w:color w:val="auto"/>
              </w:rPr>
            </w:pPr>
            <w:r>
              <w:rPr>
                <w:rFonts w:hint="eastAsia"/>
                <w:color w:val="auto"/>
              </w:rPr>
              <w:t>0</w:t>
            </w:r>
          </w:p>
        </w:tc>
        <w:tc>
          <w:tcPr>
            <w:tcW w:w="555" w:type="pct"/>
            <w:vAlign w:val="center"/>
          </w:tcPr>
          <w:p w14:paraId="5734D45B">
            <w:pPr>
              <w:pStyle w:val="30"/>
              <w:rPr>
                <w:color w:val="auto"/>
              </w:rPr>
            </w:pPr>
            <w:r>
              <w:rPr>
                <w:rFonts w:hint="eastAsia"/>
                <w:color w:val="auto"/>
              </w:rPr>
              <w:t>0</w:t>
            </w:r>
          </w:p>
        </w:tc>
        <w:tc>
          <w:tcPr>
            <w:tcW w:w="555" w:type="pct"/>
            <w:vAlign w:val="center"/>
          </w:tcPr>
          <w:p w14:paraId="1E68B349">
            <w:pPr>
              <w:pStyle w:val="30"/>
              <w:rPr>
                <w:rFonts w:hint="default" w:eastAsia="宋体"/>
                <w:color w:val="auto"/>
                <w:lang w:val="en-US" w:eastAsia="zh-CN"/>
              </w:rPr>
            </w:pPr>
            <w:r>
              <w:rPr>
                <w:rFonts w:hint="eastAsia"/>
                <w:color w:val="auto"/>
                <w:kern w:val="0"/>
                <w:lang w:val="en-US" w:eastAsia="zh-CN"/>
              </w:rPr>
              <w:t>9.855</w:t>
            </w:r>
            <w:r>
              <w:rPr>
                <w:rFonts w:hint="eastAsia"/>
                <w:color w:val="auto"/>
                <w:kern w:val="0"/>
              </w:rPr>
              <w:t>kg/a</w:t>
            </w:r>
          </w:p>
        </w:tc>
        <w:tc>
          <w:tcPr>
            <w:tcW w:w="555" w:type="pct"/>
            <w:vAlign w:val="center"/>
          </w:tcPr>
          <w:p w14:paraId="5636786C">
            <w:pPr>
              <w:pStyle w:val="30"/>
              <w:rPr>
                <w:color w:val="auto"/>
              </w:rPr>
            </w:pPr>
            <w:r>
              <w:rPr>
                <w:rFonts w:hint="eastAsia"/>
                <w:color w:val="auto"/>
              </w:rPr>
              <w:t>0</w:t>
            </w:r>
          </w:p>
        </w:tc>
        <w:tc>
          <w:tcPr>
            <w:tcW w:w="664" w:type="pct"/>
            <w:shd w:val="clear" w:color="auto" w:fill="auto"/>
            <w:vAlign w:val="center"/>
          </w:tcPr>
          <w:p w14:paraId="55667082">
            <w:pPr>
              <w:pStyle w:val="30"/>
              <w:rPr>
                <w:rFonts w:hint="default" w:ascii="Times New Roman" w:hAnsi="Times New Roman" w:eastAsia="宋体" w:cs="Times New Roman"/>
                <w:color w:val="auto"/>
                <w:kern w:val="0"/>
                <w:sz w:val="18"/>
                <w:szCs w:val="18"/>
                <w:lang w:val="en-US" w:eastAsia="zh-CN" w:bidi="ar-SA"/>
              </w:rPr>
            </w:pPr>
            <w:r>
              <w:rPr>
                <w:rFonts w:hint="eastAsia"/>
                <w:color w:val="auto"/>
                <w:kern w:val="0"/>
                <w:lang w:val="en-US" w:eastAsia="zh-CN"/>
              </w:rPr>
              <w:t>9.855</w:t>
            </w:r>
            <w:r>
              <w:rPr>
                <w:rFonts w:hint="eastAsia"/>
                <w:color w:val="auto"/>
                <w:kern w:val="0"/>
              </w:rPr>
              <w:t>kg/a</w:t>
            </w:r>
          </w:p>
        </w:tc>
        <w:tc>
          <w:tcPr>
            <w:tcW w:w="448" w:type="pct"/>
            <w:shd w:val="clear" w:color="auto" w:fill="auto"/>
            <w:vAlign w:val="center"/>
          </w:tcPr>
          <w:p w14:paraId="5588C472">
            <w:pPr>
              <w:pStyle w:val="30"/>
              <w:rPr>
                <w:rFonts w:hint="default" w:ascii="Times New Roman" w:hAnsi="Times New Roman" w:eastAsia="宋体" w:cs="Times New Roman"/>
                <w:color w:val="auto"/>
                <w:kern w:val="0"/>
                <w:sz w:val="18"/>
                <w:szCs w:val="18"/>
                <w:lang w:val="en-US" w:eastAsia="zh-CN" w:bidi="ar-SA"/>
              </w:rPr>
            </w:pPr>
            <w:r>
              <w:rPr>
                <w:rFonts w:hint="eastAsia"/>
                <w:color w:val="auto"/>
                <w:kern w:val="0"/>
                <w:lang w:val="en-US" w:eastAsia="zh-CN"/>
              </w:rPr>
              <w:t>+9.855</w:t>
            </w:r>
            <w:r>
              <w:rPr>
                <w:rFonts w:hint="eastAsia"/>
                <w:color w:val="auto"/>
                <w:kern w:val="0"/>
              </w:rPr>
              <w:t>kg/a</w:t>
            </w:r>
          </w:p>
        </w:tc>
      </w:tr>
      <w:tr w14:paraId="6D1CC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2F792BE7">
            <w:pPr>
              <w:pStyle w:val="30"/>
              <w:rPr>
                <w:color w:val="auto"/>
              </w:rPr>
            </w:pPr>
          </w:p>
        </w:tc>
        <w:tc>
          <w:tcPr>
            <w:tcW w:w="608" w:type="pct"/>
            <w:vAlign w:val="center"/>
          </w:tcPr>
          <w:p w14:paraId="0430D7C4">
            <w:pPr>
              <w:pStyle w:val="30"/>
              <w:rPr>
                <w:color w:val="auto"/>
              </w:rPr>
            </w:pPr>
            <w:r>
              <w:rPr>
                <w:rFonts w:hint="eastAsia"/>
                <w:color w:val="auto"/>
              </w:rPr>
              <w:t>焊接烟尘</w:t>
            </w:r>
          </w:p>
        </w:tc>
        <w:tc>
          <w:tcPr>
            <w:tcW w:w="501" w:type="pct"/>
            <w:vAlign w:val="center"/>
          </w:tcPr>
          <w:p w14:paraId="2871C342">
            <w:pPr>
              <w:pStyle w:val="30"/>
              <w:rPr>
                <w:color w:val="auto"/>
              </w:rPr>
            </w:pPr>
            <w:r>
              <w:rPr>
                <w:rFonts w:hint="eastAsia"/>
                <w:color w:val="auto"/>
              </w:rPr>
              <w:t>0</w:t>
            </w:r>
          </w:p>
        </w:tc>
        <w:tc>
          <w:tcPr>
            <w:tcW w:w="555" w:type="pct"/>
            <w:vAlign w:val="center"/>
          </w:tcPr>
          <w:p w14:paraId="1274B3A1">
            <w:pPr>
              <w:pStyle w:val="30"/>
              <w:rPr>
                <w:color w:val="auto"/>
              </w:rPr>
            </w:pPr>
            <w:r>
              <w:rPr>
                <w:rFonts w:hint="eastAsia"/>
                <w:color w:val="auto"/>
              </w:rPr>
              <w:t>0</w:t>
            </w:r>
          </w:p>
        </w:tc>
        <w:tc>
          <w:tcPr>
            <w:tcW w:w="555" w:type="pct"/>
            <w:vAlign w:val="center"/>
          </w:tcPr>
          <w:p w14:paraId="73F0EB2C">
            <w:pPr>
              <w:pStyle w:val="30"/>
              <w:rPr>
                <w:color w:val="auto"/>
              </w:rPr>
            </w:pPr>
            <w:r>
              <w:rPr>
                <w:rFonts w:hint="eastAsia"/>
                <w:color w:val="auto"/>
              </w:rPr>
              <w:t>0</w:t>
            </w:r>
          </w:p>
        </w:tc>
        <w:tc>
          <w:tcPr>
            <w:tcW w:w="555" w:type="pct"/>
            <w:vAlign w:val="center"/>
          </w:tcPr>
          <w:p w14:paraId="1DD2DA0A">
            <w:pPr>
              <w:pStyle w:val="30"/>
              <w:rPr>
                <w:color w:val="auto"/>
              </w:rPr>
            </w:pPr>
            <w:r>
              <w:rPr>
                <w:rFonts w:hint="eastAsia"/>
                <w:color w:val="auto"/>
              </w:rPr>
              <w:t>0.0</w:t>
            </w:r>
            <w:r>
              <w:rPr>
                <w:rFonts w:hint="eastAsia"/>
                <w:color w:val="auto"/>
                <w:lang w:val="en-US" w:eastAsia="zh-CN"/>
              </w:rPr>
              <w:t>34</w:t>
            </w:r>
            <w:r>
              <w:rPr>
                <w:rFonts w:hint="eastAsia"/>
                <w:color w:val="auto"/>
              </w:rPr>
              <w:t>kg/a</w:t>
            </w:r>
          </w:p>
        </w:tc>
        <w:tc>
          <w:tcPr>
            <w:tcW w:w="555" w:type="pct"/>
            <w:vAlign w:val="center"/>
          </w:tcPr>
          <w:p w14:paraId="01886584">
            <w:pPr>
              <w:pStyle w:val="30"/>
              <w:rPr>
                <w:color w:val="auto"/>
              </w:rPr>
            </w:pPr>
            <w:r>
              <w:rPr>
                <w:rFonts w:hint="eastAsia"/>
                <w:color w:val="auto"/>
              </w:rPr>
              <w:t>0</w:t>
            </w:r>
          </w:p>
        </w:tc>
        <w:tc>
          <w:tcPr>
            <w:tcW w:w="664" w:type="pct"/>
            <w:shd w:val="clear" w:color="auto" w:fill="auto"/>
            <w:vAlign w:val="center"/>
          </w:tcPr>
          <w:p w14:paraId="4E8547E3">
            <w:pPr>
              <w:pStyle w:val="30"/>
              <w:rPr>
                <w:rFonts w:ascii="Times New Roman" w:hAnsi="Times New Roman" w:eastAsia="宋体" w:cs="Times New Roman"/>
                <w:color w:val="auto"/>
                <w:kern w:val="0"/>
                <w:sz w:val="18"/>
                <w:szCs w:val="18"/>
                <w:lang w:val="en-US" w:eastAsia="zh-CN" w:bidi="ar-SA"/>
              </w:rPr>
            </w:pPr>
            <w:r>
              <w:rPr>
                <w:rFonts w:hint="eastAsia"/>
                <w:color w:val="auto"/>
              </w:rPr>
              <w:t>0.0</w:t>
            </w:r>
            <w:r>
              <w:rPr>
                <w:rFonts w:hint="eastAsia"/>
                <w:color w:val="auto"/>
                <w:lang w:val="en-US" w:eastAsia="zh-CN"/>
              </w:rPr>
              <w:t>34</w:t>
            </w:r>
            <w:r>
              <w:rPr>
                <w:rFonts w:hint="eastAsia"/>
                <w:color w:val="auto"/>
              </w:rPr>
              <w:t>kg/a</w:t>
            </w:r>
          </w:p>
        </w:tc>
        <w:tc>
          <w:tcPr>
            <w:tcW w:w="448" w:type="pct"/>
            <w:shd w:val="clear" w:color="auto" w:fill="auto"/>
            <w:vAlign w:val="center"/>
          </w:tcPr>
          <w:p w14:paraId="0C7441CE">
            <w:pPr>
              <w:pStyle w:val="30"/>
              <w:rPr>
                <w:rFonts w:ascii="Times New Roman" w:hAnsi="Times New Roman" w:eastAsia="宋体" w:cs="Times New Roman"/>
                <w:color w:val="auto"/>
                <w:kern w:val="0"/>
                <w:sz w:val="18"/>
                <w:szCs w:val="18"/>
                <w:lang w:val="en-US" w:eastAsia="zh-CN" w:bidi="ar-SA"/>
              </w:rPr>
            </w:pPr>
            <w:r>
              <w:rPr>
                <w:rFonts w:hint="eastAsia"/>
                <w:color w:val="auto"/>
                <w:lang w:val="en-US" w:eastAsia="zh-CN"/>
              </w:rPr>
              <w:t>+</w:t>
            </w:r>
            <w:r>
              <w:rPr>
                <w:rFonts w:hint="eastAsia"/>
                <w:color w:val="auto"/>
              </w:rPr>
              <w:t>0.0</w:t>
            </w:r>
            <w:r>
              <w:rPr>
                <w:rFonts w:hint="eastAsia"/>
                <w:color w:val="auto"/>
                <w:lang w:val="en-US" w:eastAsia="zh-CN"/>
              </w:rPr>
              <w:t>34</w:t>
            </w:r>
            <w:r>
              <w:rPr>
                <w:rFonts w:hint="eastAsia"/>
                <w:color w:val="auto"/>
              </w:rPr>
              <w:t>kg/a</w:t>
            </w:r>
          </w:p>
        </w:tc>
      </w:tr>
      <w:tr w14:paraId="3346AE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6B02DBB8">
            <w:pPr>
              <w:pStyle w:val="30"/>
              <w:rPr>
                <w:color w:val="auto"/>
              </w:rPr>
            </w:pPr>
            <w:bookmarkStart w:id="41" w:name="OLE_LINK39"/>
            <w:r>
              <w:rPr>
                <w:color w:val="auto"/>
              </w:rPr>
              <w:t>废水</w:t>
            </w:r>
          </w:p>
        </w:tc>
        <w:tc>
          <w:tcPr>
            <w:tcW w:w="608" w:type="pct"/>
            <w:vAlign w:val="center"/>
          </w:tcPr>
          <w:p w14:paraId="16EAEFBA">
            <w:pPr>
              <w:pStyle w:val="30"/>
              <w:rPr>
                <w:color w:val="auto"/>
              </w:rPr>
            </w:pPr>
            <w:r>
              <w:rPr>
                <w:rFonts w:hint="eastAsia"/>
                <w:color w:val="auto"/>
              </w:rPr>
              <w:t>废水量</w:t>
            </w:r>
          </w:p>
        </w:tc>
        <w:tc>
          <w:tcPr>
            <w:tcW w:w="501" w:type="pct"/>
            <w:vAlign w:val="center"/>
          </w:tcPr>
          <w:p w14:paraId="10B2DE56">
            <w:pPr>
              <w:pStyle w:val="30"/>
              <w:rPr>
                <w:color w:val="auto"/>
              </w:rPr>
            </w:pPr>
            <w:r>
              <w:rPr>
                <w:rFonts w:hint="eastAsia"/>
                <w:color w:val="auto"/>
              </w:rPr>
              <w:t>0</w:t>
            </w:r>
          </w:p>
        </w:tc>
        <w:tc>
          <w:tcPr>
            <w:tcW w:w="555" w:type="pct"/>
            <w:vAlign w:val="center"/>
          </w:tcPr>
          <w:p w14:paraId="3900C4AF">
            <w:pPr>
              <w:pStyle w:val="30"/>
              <w:rPr>
                <w:color w:val="auto"/>
              </w:rPr>
            </w:pPr>
            <w:r>
              <w:rPr>
                <w:rFonts w:hint="eastAsia"/>
                <w:color w:val="auto"/>
              </w:rPr>
              <w:t>0</w:t>
            </w:r>
          </w:p>
        </w:tc>
        <w:tc>
          <w:tcPr>
            <w:tcW w:w="555" w:type="pct"/>
            <w:vAlign w:val="center"/>
          </w:tcPr>
          <w:p w14:paraId="7D98F07B">
            <w:pPr>
              <w:pStyle w:val="30"/>
              <w:rPr>
                <w:color w:val="auto"/>
              </w:rPr>
            </w:pPr>
            <w:r>
              <w:rPr>
                <w:rFonts w:hint="eastAsia"/>
                <w:color w:val="auto"/>
              </w:rPr>
              <w:t>0</w:t>
            </w:r>
          </w:p>
        </w:tc>
        <w:tc>
          <w:tcPr>
            <w:tcW w:w="555" w:type="pct"/>
            <w:vAlign w:val="center"/>
          </w:tcPr>
          <w:p w14:paraId="5CB2355A">
            <w:pPr>
              <w:pStyle w:val="30"/>
              <w:rPr>
                <w:rFonts w:hint="default" w:eastAsia="宋体"/>
                <w:color w:val="auto"/>
                <w:lang w:val="en-US" w:eastAsia="zh-CN"/>
              </w:rPr>
            </w:pPr>
            <w:r>
              <w:rPr>
                <w:rFonts w:hint="eastAsia"/>
                <w:color w:val="auto"/>
                <w:lang w:val="en-US" w:eastAsia="zh-CN"/>
              </w:rPr>
              <w:t>6271</w:t>
            </w:r>
          </w:p>
        </w:tc>
        <w:tc>
          <w:tcPr>
            <w:tcW w:w="555" w:type="pct"/>
            <w:vAlign w:val="center"/>
          </w:tcPr>
          <w:p w14:paraId="7ABC37A2">
            <w:pPr>
              <w:pStyle w:val="30"/>
              <w:rPr>
                <w:color w:val="auto"/>
              </w:rPr>
            </w:pPr>
            <w:r>
              <w:rPr>
                <w:rFonts w:hint="eastAsia"/>
                <w:color w:val="auto"/>
              </w:rPr>
              <w:t>0</w:t>
            </w:r>
          </w:p>
        </w:tc>
        <w:tc>
          <w:tcPr>
            <w:tcW w:w="1954" w:type="dxa"/>
            <w:shd w:val="clear" w:color="auto" w:fill="auto"/>
            <w:vAlign w:val="center"/>
          </w:tcPr>
          <w:p w14:paraId="2E61DDC6">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6271</w:t>
            </w:r>
          </w:p>
        </w:tc>
        <w:tc>
          <w:tcPr>
            <w:tcW w:w="1319" w:type="dxa"/>
            <w:shd w:val="clear" w:color="auto" w:fill="auto"/>
            <w:vAlign w:val="center"/>
          </w:tcPr>
          <w:p w14:paraId="620230CA">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+6271</w:t>
            </w:r>
          </w:p>
        </w:tc>
      </w:tr>
      <w:bookmarkEnd w:id="41"/>
      <w:tr w14:paraId="3D093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46DE16F3">
            <w:pPr>
              <w:pStyle w:val="30"/>
              <w:rPr>
                <w:color w:val="auto"/>
              </w:rPr>
            </w:pPr>
          </w:p>
        </w:tc>
        <w:tc>
          <w:tcPr>
            <w:tcW w:w="608" w:type="pct"/>
            <w:vAlign w:val="center"/>
          </w:tcPr>
          <w:p w14:paraId="1C7DF052">
            <w:pPr>
              <w:pStyle w:val="30"/>
              <w:rPr>
                <w:color w:val="auto"/>
              </w:rPr>
            </w:pPr>
            <w:r>
              <w:rPr>
                <w:color w:val="auto"/>
              </w:rPr>
              <w:t>COD</w:t>
            </w:r>
            <w:r>
              <w:rPr>
                <w:rFonts w:hint="eastAsia"/>
                <w:color w:val="auto"/>
              </w:rPr>
              <w:t>cr</w:t>
            </w:r>
          </w:p>
        </w:tc>
        <w:tc>
          <w:tcPr>
            <w:tcW w:w="501" w:type="pct"/>
            <w:vAlign w:val="center"/>
          </w:tcPr>
          <w:p w14:paraId="09636000">
            <w:pPr>
              <w:pStyle w:val="30"/>
              <w:rPr>
                <w:color w:val="auto"/>
              </w:rPr>
            </w:pPr>
            <w:r>
              <w:rPr>
                <w:rFonts w:hint="eastAsia"/>
                <w:color w:val="auto"/>
              </w:rPr>
              <w:t>0</w:t>
            </w:r>
          </w:p>
        </w:tc>
        <w:tc>
          <w:tcPr>
            <w:tcW w:w="555" w:type="pct"/>
            <w:vAlign w:val="center"/>
          </w:tcPr>
          <w:p w14:paraId="48BDC35B">
            <w:pPr>
              <w:pStyle w:val="30"/>
              <w:rPr>
                <w:color w:val="auto"/>
              </w:rPr>
            </w:pPr>
            <w:r>
              <w:rPr>
                <w:rFonts w:hint="eastAsia"/>
                <w:color w:val="auto"/>
              </w:rPr>
              <w:t>0</w:t>
            </w:r>
          </w:p>
        </w:tc>
        <w:tc>
          <w:tcPr>
            <w:tcW w:w="555" w:type="pct"/>
            <w:vAlign w:val="center"/>
          </w:tcPr>
          <w:p w14:paraId="55DC25F2">
            <w:pPr>
              <w:pStyle w:val="30"/>
              <w:rPr>
                <w:color w:val="auto"/>
              </w:rPr>
            </w:pPr>
            <w:r>
              <w:rPr>
                <w:rFonts w:hint="eastAsia"/>
                <w:color w:val="auto"/>
              </w:rPr>
              <w:t>0</w:t>
            </w:r>
          </w:p>
        </w:tc>
        <w:tc>
          <w:tcPr>
            <w:tcW w:w="1634" w:type="dxa"/>
            <w:shd w:val="clear" w:color="auto" w:fill="auto"/>
            <w:vAlign w:val="center"/>
          </w:tcPr>
          <w:p w14:paraId="4AAFB71F">
            <w:pPr>
              <w:pStyle w:val="30"/>
              <w:bidi w:val="0"/>
              <w:rPr>
                <w:rFonts w:hint="default"/>
                <w:color w:val="auto"/>
                <w:lang w:val="en-US" w:eastAsia="zh-CN"/>
              </w:rPr>
            </w:pPr>
            <w:r>
              <w:rPr>
                <w:rFonts w:hint="eastAsia"/>
                <w:color w:val="auto"/>
                <w:lang w:val="en-US" w:eastAsia="zh-CN"/>
              </w:rPr>
              <w:t xml:space="preserve">1.303 </w:t>
            </w:r>
          </w:p>
        </w:tc>
        <w:tc>
          <w:tcPr>
            <w:tcW w:w="555" w:type="pct"/>
            <w:vAlign w:val="center"/>
          </w:tcPr>
          <w:p w14:paraId="4AFE805C">
            <w:pPr>
              <w:pStyle w:val="30"/>
              <w:rPr>
                <w:color w:val="auto"/>
              </w:rPr>
            </w:pPr>
            <w:r>
              <w:rPr>
                <w:rFonts w:hint="eastAsia"/>
                <w:color w:val="auto"/>
              </w:rPr>
              <w:t>0</w:t>
            </w:r>
          </w:p>
        </w:tc>
        <w:tc>
          <w:tcPr>
            <w:tcW w:w="1954" w:type="dxa"/>
            <w:shd w:val="clear" w:color="auto" w:fill="auto"/>
            <w:vAlign w:val="center"/>
          </w:tcPr>
          <w:p w14:paraId="000EE860">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1.303 </w:t>
            </w:r>
          </w:p>
        </w:tc>
        <w:tc>
          <w:tcPr>
            <w:tcW w:w="1319" w:type="dxa"/>
            <w:shd w:val="clear" w:color="auto" w:fill="auto"/>
            <w:vAlign w:val="center"/>
          </w:tcPr>
          <w:p w14:paraId="2154F3B7">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+1.303 </w:t>
            </w:r>
          </w:p>
        </w:tc>
      </w:tr>
      <w:tr w14:paraId="22CEA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46F70120">
            <w:pPr>
              <w:pStyle w:val="30"/>
              <w:rPr>
                <w:color w:val="auto"/>
              </w:rPr>
            </w:pPr>
          </w:p>
        </w:tc>
        <w:tc>
          <w:tcPr>
            <w:tcW w:w="608" w:type="pct"/>
            <w:vAlign w:val="center"/>
          </w:tcPr>
          <w:p w14:paraId="5BE11A5B">
            <w:pPr>
              <w:pStyle w:val="30"/>
              <w:rPr>
                <w:color w:val="auto"/>
              </w:rPr>
            </w:pPr>
            <w:r>
              <w:rPr>
                <w:color w:val="auto"/>
              </w:rPr>
              <w:t>BOD</w:t>
            </w:r>
            <w:r>
              <w:rPr>
                <w:color w:val="auto"/>
                <w:vertAlign w:val="subscript"/>
              </w:rPr>
              <w:t>5</w:t>
            </w:r>
          </w:p>
        </w:tc>
        <w:tc>
          <w:tcPr>
            <w:tcW w:w="501" w:type="pct"/>
            <w:vAlign w:val="center"/>
          </w:tcPr>
          <w:p w14:paraId="55AFEEBD">
            <w:pPr>
              <w:pStyle w:val="30"/>
              <w:rPr>
                <w:color w:val="auto"/>
              </w:rPr>
            </w:pPr>
            <w:r>
              <w:rPr>
                <w:rFonts w:hint="eastAsia"/>
                <w:color w:val="auto"/>
              </w:rPr>
              <w:t>0</w:t>
            </w:r>
          </w:p>
        </w:tc>
        <w:tc>
          <w:tcPr>
            <w:tcW w:w="555" w:type="pct"/>
            <w:vAlign w:val="center"/>
          </w:tcPr>
          <w:p w14:paraId="6C89E6EF">
            <w:pPr>
              <w:pStyle w:val="30"/>
              <w:rPr>
                <w:color w:val="auto"/>
              </w:rPr>
            </w:pPr>
            <w:r>
              <w:rPr>
                <w:rFonts w:hint="eastAsia"/>
                <w:color w:val="auto"/>
              </w:rPr>
              <w:t>0</w:t>
            </w:r>
          </w:p>
        </w:tc>
        <w:tc>
          <w:tcPr>
            <w:tcW w:w="555" w:type="pct"/>
            <w:vAlign w:val="center"/>
          </w:tcPr>
          <w:p w14:paraId="0AB094AD">
            <w:pPr>
              <w:pStyle w:val="30"/>
              <w:rPr>
                <w:color w:val="auto"/>
              </w:rPr>
            </w:pPr>
            <w:r>
              <w:rPr>
                <w:rFonts w:hint="eastAsia"/>
                <w:color w:val="auto"/>
              </w:rPr>
              <w:t>0</w:t>
            </w:r>
          </w:p>
        </w:tc>
        <w:tc>
          <w:tcPr>
            <w:tcW w:w="1634" w:type="dxa"/>
            <w:shd w:val="clear" w:color="auto" w:fill="auto"/>
            <w:vAlign w:val="center"/>
          </w:tcPr>
          <w:p w14:paraId="768012AC">
            <w:pPr>
              <w:pStyle w:val="30"/>
              <w:bidi w:val="0"/>
              <w:rPr>
                <w:rFonts w:hint="default"/>
                <w:color w:val="auto"/>
                <w:lang w:val="en-US" w:eastAsia="zh-CN"/>
              </w:rPr>
            </w:pPr>
            <w:r>
              <w:rPr>
                <w:rFonts w:hint="eastAsia"/>
                <w:color w:val="auto"/>
                <w:lang w:val="en-US" w:eastAsia="zh-CN"/>
              </w:rPr>
              <w:t xml:space="preserve">0.372 </w:t>
            </w:r>
          </w:p>
        </w:tc>
        <w:tc>
          <w:tcPr>
            <w:tcW w:w="555" w:type="pct"/>
            <w:vAlign w:val="center"/>
          </w:tcPr>
          <w:p w14:paraId="0EA5C88C">
            <w:pPr>
              <w:pStyle w:val="30"/>
              <w:rPr>
                <w:color w:val="auto"/>
              </w:rPr>
            </w:pPr>
            <w:r>
              <w:rPr>
                <w:rFonts w:hint="eastAsia"/>
                <w:color w:val="auto"/>
              </w:rPr>
              <w:t>0</w:t>
            </w:r>
          </w:p>
        </w:tc>
        <w:tc>
          <w:tcPr>
            <w:tcW w:w="1954" w:type="dxa"/>
            <w:shd w:val="clear" w:color="auto" w:fill="auto"/>
            <w:vAlign w:val="center"/>
          </w:tcPr>
          <w:p w14:paraId="7E7742CE">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0.372 </w:t>
            </w:r>
          </w:p>
        </w:tc>
        <w:tc>
          <w:tcPr>
            <w:tcW w:w="1319" w:type="dxa"/>
            <w:shd w:val="clear" w:color="auto" w:fill="auto"/>
            <w:vAlign w:val="center"/>
          </w:tcPr>
          <w:p w14:paraId="3E5F0FF5">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+0.372 </w:t>
            </w:r>
          </w:p>
        </w:tc>
      </w:tr>
      <w:tr w14:paraId="574E8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064FB018">
            <w:pPr>
              <w:pStyle w:val="30"/>
              <w:rPr>
                <w:color w:val="auto"/>
              </w:rPr>
            </w:pPr>
          </w:p>
        </w:tc>
        <w:tc>
          <w:tcPr>
            <w:tcW w:w="608" w:type="pct"/>
            <w:vAlign w:val="center"/>
          </w:tcPr>
          <w:p w14:paraId="7B49F7B5">
            <w:pPr>
              <w:pStyle w:val="30"/>
              <w:rPr>
                <w:color w:val="auto"/>
              </w:rPr>
            </w:pPr>
            <w:r>
              <w:rPr>
                <w:color w:val="auto"/>
              </w:rPr>
              <w:t>NH</w:t>
            </w:r>
            <w:r>
              <w:rPr>
                <w:color w:val="auto"/>
                <w:vertAlign w:val="subscript"/>
              </w:rPr>
              <w:t>3</w:t>
            </w:r>
            <w:r>
              <w:rPr>
                <w:color w:val="auto"/>
              </w:rPr>
              <w:t>-N</w:t>
            </w:r>
          </w:p>
        </w:tc>
        <w:tc>
          <w:tcPr>
            <w:tcW w:w="501" w:type="pct"/>
            <w:vAlign w:val="center"/>
          </w:tcPr>
          <w:p w14:paraId="3D707143">
            <w:pPr>
              <w:pStyle w:val="30"/>
              <w:rPr>
                <w:color w:val="auto"/>
              </w:rPr>
            </w:pPr>
            <w:r>
              <w:rPr>
                <w:rFonts w:hint="eastAsia"/>
                <w:color w:val="auto"/>
              </w:rPr>
              <w:t>0</w:t>
            </w:r>
          </w:p>
        </w:tc>
        <w:tc>
          <w:tcPr>
            <w:tcW w:w="555" w:type="pct"/>
            <w:vAlign w:val="center"/>
          </w:tcPr>
          <w:p w14:paraId="54CD3D9C">
            <w:pPr>
              <w:pStyle w:val="30"/>
              <w:rPr>
                <w:color w:val="auto"/>
              </w:rPr>
            </w:pPr>
            <w:r>
              <w:rPr>
                <w:rFonts w:hint="eastAsia"/>
                <w:color w:val="auto"/>
              </w:rPr>
              <w:t>0</w:t>
            </w:r>
          </w:p>
        </w:tc>
        <w:tc>
          <w:tcPr>
            <w:tcW w:w="555" w:type="pct"/>
            <w:vAlign w:val="center"/>
          </w:tcPr>
          <w:p w14:paraId="254028CA">
            <w:pPr>
              <w:pStyle w:val="30"/>
              <w:rPr>
                <w:color w:val="auto"/>
              </w:rPr>
            </w:pPr>
            <w:r>
              <w:rPr>
                <w:rFonts w:hint="eastAsia"/>
                <w:color w:val="auto"/>
              </w:rPr>
              <w:t>0</w:t>
            </w:r>
          </w:p>
        </w:tc>
        <w:tc>
          <w:tcPr>
            <w:tcW w:w="1634" w:type="dxa"/>
            <w:shd w:val="clear" w:color="auto" w:fill="auto"/>
            <w:vAlign w:val="center"/>
          </w:tcPr>
          <w:p w14:paraId="3D9CC710">
            <w:pPr>
              <w:pStyle w:val="30"/>
              <w:bidi w:val="0"/>
              <w:rPr>
                <w:rFonts w:hint="default"/>
                <w:color w:val="auto"/>
                <w:lang w:val="en-US" w:eastAsia="zh-CN"/>
              </w:rPr>
            </w:pPr>
            <w:r>
              <w:rPr>
                <w:rFonts w:hint="eastAsia"/>
                <w:color w:val="auto"/>
                <w:lang w:val="en-US" w:eastAsia="zh-CN"/>
              </w:rPr>
              <w:t xml:space="preserve">0.518 </w:t>
            </w:r>
          </w:p>
        </w:tc>
        <w:tc>
          <w:tcPr>
            <w:tcW w:w="555" w:type="pct"/>
            <w:vAlign w:val="center"/>
          </w:tcPr>
          <w:p w14:paraId="55BDFB1C">
            <w:pPr>
              <w:pStyle w:val="30"/>
              <w:rPr>
                <w:color w:val="auto"/>
              </w:rPr>
            </w:pPr>
            <w:r>
              <w:rPr>
                <w:rFonts w:hint="eastAsia"/>
                <w:color w:val="auto"/>
              </w:rPr>
              <w:t>0</w:t>
            </w:r>
          </w:p>
        </w:tc>
        <w:tc>
          <w:tcPr>
            <w:tcW w:w="1954" w:type="dxa"/>
            <w:shd w:val="clear" w:color="auto" w:fill="auto"/>
            <w:vAlign w:val="center"/>
          </w:tcPr>
          <w:p w14:paraId="0F80123A">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0.518 </w:t>
            </w:r>
          </w:p>
        </w:tc>
        <w:tc>
          <w:tcPr>
            <w:tcW w:w="1319" w:type="dxa"/>
            <w:shd w:val="clear" w:color="auto" w:fill="auto"/>
            <w:vAlign w:val="center"/>
          </w:tcPr>
          <w:p w14:paraId="1DD8A3FC">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+0.518 </w:t>
            </w:r>
          </w:p>
        </w:tc>
      </w:tr>
      <w:tr w14:paraId="1E4B5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15A0765D">
            <w:pPr>
              <w:pStyle w:val="30"/>
              <w:rPr>
                <w:color w:val="auto"/>
              </w:rPr>
            </w:pPr>
          </w:p>
        </w:tc>
        <w:tc>
          <w:tcPr>
            <w:tcW w:w="608" w:type="pct"/>
            <w:vAlign w:val="center"/>
          </w:tcPr>
          <w:p w14:paraId="45D51A05">
            <w:pPr>
              <w:pStyle w:val="30"/>
              <w:rPr>
                <w:color w:val="auto"/>
              </w:rPr>
            </w:pPr>
            <w:r>
              <w:rPr>
                <w:color w:val="auto"/>
              </w:rPr>
              <w:t>SS</w:t>
            </w:r>
          </w:p>
        </w:tc>
        <w:tc>
          <w:tcPr>
            <w:tcW w:w="501" w:type="pct"/>
            <w:vAlign w:val="center"/>
          </w:tcPr>
          <w:p w14:paraId="653E8D91">
            <w:pPr>
              <w:pStyle w:val="30"/>
              <w:rPr>
                <w:color w:val="auto"/>
              </w:rPr>
            </w:pPr>
            <w:r>
              <w:rPr>
                <w:rFonts w:hint="eastAsia"/>
                <w:color w:val="auto"/>
              </w:rPr>
              <w:t>0</w:t>
            </w:r>
          </w:p>
        </w:tc>
        <w:tc>
          <w:tcPr>
            <w:tcW w:w="555" w:type="pct"/>
            <w:vAlign w:val="center"/>
          </w:tcPr>
          <w:p w14:paraId="228F4744">
            <w:pPr>
              <w:pStyle w:val="30"/>
              <w:rPr>
                <w:color w:val="auto"/>
              </w:rPr>
            </w:pPr>
            <w:r>
              <w:rPr>
                <w:rFonts w:hint="eastAsia"/>
                <w:color w:val="auto"/>
              </w:rPr>
              <w:t>0</w:t>
            </w:r>
          </w:p>
        </w:tc>
        <w:tc>
          <w:tcPr>
            <w:tcW w:w="555" w:type="pct"/>
            <w:vAlign w:val="center"/>
          </w:tcPr>
          <w:p w14:paraId="52B25402">
            <w:pPr>
              <w:pStyle w:val="30"/>
              <w:rPr>
                <w:color w:val="auto"/>
              </w:rPr>
            </w:pPr>
            <w:r>
              <w:rPr>
                <w:rFonts w:hint="eastAsia"/>
                <w:color w:val="auto"/>
              </w:rPr>
              <w:t>0</w:t>
            </w:r>
          </w:p>
        </w:tc>
        <w:tc>
          <w:tcPr>
            <w:tcW w:w="1634" w:type="dxa"/>
            <w:shd w:val="clear" w:color="auto" w:fill="auto"/>
            <w:vAlign w:val="center"/>
          </w:tcPr>
          <w:p w14:paraId="6651C84E">
            <w:pPr>
              <w:pStyle w:val="30"/>
              <w:bidi w:val="0"/>
              <w:rPr>
                <w:rFonts w:hint="default"/>
                <w:color w:val="auto"/>
                <w:lang w:val="en-US" w:eastAsia="zh-CN"/>
              </w:rPr>
            </w:pPr>
            <w:r>
              <w:rPr>
                <w:rFonts w:hint="eastAsia"/>
                <w:color w:val="auto"/>
                <w:lang w:val="en-US" w:eastAsia="zh-CN"/>
              </w:rPr>
              <w:t xml:space="preserve">0.082 </w:t>
            </w:r>
          </w:p>
        </w:tc>
        <w:tc>
          <w:tcPr>
            <w:tcW w:w="555" w:type="pct"/>
            <w:vAlign w:val="center"/>
          </w:tcPr>
          <w:p w14:paraId="131A5CB8">
            <w:pPr>
              <w:pStyle w:val="30"/>
              <w:rPr>
                <w:color w:val="auto"/>
              </w:rPr>
            </w:pPr>
            <w:r>
              <w:rPr>
                <w:rFonts w:hint="eastAsia"/>
                <w:color w:val="auto"/>
              </w:rPr>
              <w:t>0</w:t>
            </w:r>
          </w:p>
        </w:tc>
        <w:tc>
          <w:tcPr>
            <w:tcW w:w="1954" w:type="dxa"/>
            <w:shd w:val="clear" w:color="auto" w:fill="auto"/>
            <w:vAlign w:val="center"/>
          </w:tcPr>
          <w:p w14:paraId="308ACD05">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0.082 </w:t>
            </w:r>
          </w:p>
        </w:tc>
        <w:tc>
          <w:tcPr>
            <w:tcW w:w="1319" w:type="dxa"/>
            <w:shd w:val="clear" w:color="auto" w:fill="auto"/>
            <w:vAlign w:val="center"/>
          </w:tcPr>
          <w:p w14:paraId="648C90A5">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+0.082 </w:t>
            </w:r>
          </w:p>
        </w:tc>
      </w:tr>
      <w:tr w14:paraId="7BE07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0196F677">
            <w:pPr>
              <w:pStyle w:val="30"/>
              <w:rPr>
                <w:color w:val="auto"/>
              </w:rPr>
            </w:pPr>
          </w:p>
        </w:tc>
        <w:tc>
          <w:tcPr>
            <w:tcW w:w="608" w:type="pct"/>
            <w:vAlign w:val="center"/>
          </w:tcPr>
          <w:p w14:paraId="29C292F2">
            <w:pPr>
              <w:pStyle w:val="30"/>
              <w:rPr>
                <w:color w:val="auto"/>
              </w:rPr>
            </w:pPr>
            <w:r>
              <w:rPr>
                <w:rFonts w:hint="eastAsia"/>
                <w:color w:val="auto"/>
              </w:rPr>
              <w:t>动植物油</w:t>
            </w:r>
          </w:p>
        </w:tc>
        <w:tc>
          <w:tcPr>
            <w:tcW w:w="501" w:type="pct"/>
            <w:vAlign w:val="center"/>
          </w:tcPr>
          <w:p w14:paraId="3386CD68">
            <w:pPr>
              <w:pStyle w:val="30"/>
              <w:rPr>
                <w:color w:val="auto"/>
              </w:rPr>
            </w:pPr>
            <w:r>
              <w:rPr>
                <w:rFonts w:hint="eastAsia"/>
                <w:color w:val="auto"/>
              </w:rPr>
              <w:t>0</w:t>
            </w:r>
          </w:p>
        </w:tc>
        <w:tc>
          <w:tcPr>
            <w:tcW w:w="555" w:type="pct"/>
            <w:vAlign w:val="center"/>
          </w:tcPr>
          <w:p w14:paraId="764D450E">
            <w:pPr>
              <w:pStyle w:val="30"/>
              <w:rPr>
                <w:color w:val="auto"/>
              </w:rPr>
            </w:pPr>
            <w:r>
              <w:rPr>
                <w:rFonts w:hint="eastAsia"/>
                <w:color w:val="auto"/>
              </w:rPr>
              <w:t>0</w:t>
            </w:r>
          </w:p>
        </w:tc>
        <w:tc>
          <w:tcPr>
            <w:tcW w:w="555" w:type="pct"/>
            <w:vAlign w:val="center"/>
          </w:tcPr>
          <w:p w14:paraId="04BEAD3A">
            <w:pPr>
              <w:pStyle w:val="30"/>
              <w:rPr>
                <w:color w:val="auto"/>
              </w:rPr>
            </w:pPr>
            <w:r>
              <w:rPr>
                <w:rFonts w:hint="eastAsia"/>
                <w:color w:val="auto"/>
              </w:rPr>
              <w:t>0</w:t>
            </w:r>
          </w:p>
        </w:tc>
        <w:tc>
          <w:tcPr>
            <w:tcW w:w="1634" w:type="dxa"/>
            <w:shd w:val="clear" w:color="auto" w:fill="auto"/>
            <w:vAlign w:val="center"/>
          </w:tcPr>
          <w:p w14:paraId="6564F44B">
            <w:pPr>
              <w:pStyle w:val="30"/>
              <w:bidi w:val="0"/>
              <w:rPr>
                <w:rFonts w:hint="default"/>
                <w:color w:val="auto"/>
                <w:lang w:val="en-US" w:eastAsia="zh-CN"/>
              </w:rPr>
            </w:pPr>
            <w:r>
              <w:rPr>
                <w:rFonts w:hint="eastAsia"/>
                <w:color w:val="auto"/>
                <w:lang w:val="en-US" w:eastAsia="zh-CN"/>
              </w:rPr>
              <w:t xml:space="preserve">0.042 </w:t>
            </w:r>
          </w:p>
        </w:tc>
        <w:tc>
          <w:tcPr>
            <w:tcW w:w="555" w:type="pct"/>
            <w:vAlign w:val="center"/>
          </w:tcPr>
          <w:p w14:paraId="61AA6B73">
            <w:pPr>
              <w:pStyle w:val="30"/>
              <w:rPr>
                <w:color w:val="auto"/>
              </w:rPr>
            </w:pPr>
            <w:r>
              <w:rPr>
                <w:rFonts w:hint="eastAsia"/>
                <w:color w:val="auto"/>
              </w:rPr>
              <w:t>0</w:t>
            </w:r>
          </w:p>
        </w:tc>
        <w:tc>
          <w:tcPr>
            <w:tcW w:w="1954" w:type="dxa"/>
            <w:shd w:val="clear" w:color="auto" w:fill="auto"/>
            <w:vAlign w:val="center"/>
          </w:tcPr>
          <w:p w14:paraId="37366890">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0.042 </w:t>
            </w:r>
          </w:p>
        </w:tc>
        <w:tc>
          <w:tcPr>
            <w:tcW w:w="1319" w:type="dxa"/>
            <w:shd w:val="clear" w:color="auto" w:fill="auto"/>
            <w:vAlign w:val="center"/>
          </w:tcPr>
          <w:p w14:paraId="036641A5">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+0.042 </w:t>
            </w:r>
          </w:p>
        </w:tc>
      </w:tr>
      <w:tr w14:paraId="1FE42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0AF4B76">
            <w:pPr>
              <w:pStyle w:val="30"/>
              <w:rPr>
                <w:color w:val="auto"/>
              </w:rPr>
            </w:pPr>
          </w:p>
        </w:tc>
        <w:tc>
          <w:tcPr>
            <w:tcW w:w="608" w:type="pct"/>
            <w:vAlign w:val="center"/>
          </w:tcPr>
          <w:p w14:paraId="19297541">
            <w:pPr>
              <w:pStyle w:val="30"/>
              <w:rPr>
                <w:color w:val="auto"/>
              </w:rPr>
            </w:pPr>
            <w:r>
              <w:rPr>
                <w:rFonts w:hint="eastAsia"/>
                <w:color w:val="auto"/>
              </w:rPr>
              <w:t>石油类</w:t>
            </w:r>
          </w:p>
        </w:tc>
        <w:tc>
          <w:tcPr>
            <w:tcW w:w="501" w:type="pct"/>
            <w:vAlign w:val="center"/>
          </w:tcPr>
          <w:p w14:paraId="14386D08">
            <w:pPr>
              <w:pStyle w:val="30"/>
              <w:rPr>
                <w:color w:val="auto"/>
              </w:rPr>
            </w:pPr>
            <w:r>
              <w:rPr>
                <w:rFonts w:hint="eastAsia"/>
                <w:color w:val="auto"/>
              </w:rPr>
              <w:t>0</w:t>
            </w:r>
          </w:p>
        </w:tc>
        <w:tc>
          <w:tcPr>
            <w:tcW w:w="555" w:type="pct"/>
            <w:vAlign w:val="center"/>
          </w:tcPr>
          <w:p w14:paraId="0AF3CF81">
            <w:pPr>
              <w:pStyle w:val="30"/>
              <w:rPr>
                <w:color w:val="auto"/>
              </w:rPr>
            </w:pPr>
            <w:r>
              <w:rPr>
                <w:rFonts w:hint="eastAsia"/>
                <w:color w:val="auto"/>
              </w:rPr>
              <w:t>0</w:t>
            </w:r>
          </w:p>
        </w:tc>
        <w:tc>
          <w:tcPr>
            <w:tcW w:w="555" w:type="pct"/>
            <w:vAlign w:val="center"/>
          </w:tcPr>
          <w:p w14:paraId="3D27142C">
            <w:pPr>
              <w:pStyle w:val="30"/>
              <w:rPr>
                <w:color w:val="auto"/>
              </w:rPr>
            </w:pPr>
            <w:r>
              <w:rPr>
                <w:rFonts w:hint="eastAsia"/>
                <w:color w:val="auto"/>
              </w:rPr>
              <w:t>0</w:t>
            </w:r>
          </w:p>
        </w:tc>
        <w:tc>
          <w:tcPr>
            <w:tcW w:w="1634" w:type="dxa"/>
            <w:shd w:val="clear" w:color="auto" w:fill="auto"/>
            <w:vAlign w:val="center"/>
          </w:tcPr>
          <w:p w14:paraId="4A6D8E4F">
            <w:pPr>
              <w:pStyle w:val="30"/>
              <w:bidi w:val="0"/>
              <w:rPr>
                <w:rFonts w:hint="default"/>
                <w:color w:val="auto"/>
                <w:lang w:val="en-US" w:eastAsia="zh-CN"/>
              </w:rPr>
            </w:pPr>
            <w:r>
              <w:rPr>
                <w:rFonts w:hint="eastAsia"/>
                <w:color w:val="auto"/>
                <w:lang w:val="en-US" w:eastAsia="zh-CN"/>
              </w:rPr>
              <w:t xml:space="preserve">0.011 </w:t>
            </w:r>
          </w:p>
        </w:tc>
        <w:tc>
          <w:tcPr>
            <w:tcW w:w="555" w:type="pct"/>
            <w:vAlign w:val="center"/>
          </w:tcPr>
          <w:p w14:paraId="0EA42EBA">
            <w:pPr>
              <w:pStyle w:val="30"/>
              <w:rPr>
                <w:color w:val="auto"/>
              </w:rPr>
            </w:pPr>
            <w:r>
              <w:rPr>
                <w:rFonts w:hint="eastAsia"/>
                <w:color w:val="auto"/>
              </w:rPr>
              <w:t>0</w:t>
            </w:r>
          </w:p>
        </w:tc>
        <w:tc>
          <w:tcPr>
            <w:tcW w:w="1954" w:type="dxa"/>
            <w:shd w:val="clear" w:color="auto" w:fill="auto"/>
            <w:vAlign w:val="center"/>
          </w:tcPr>
          <w:p w14:paraId="21896BB9">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0.011 </w:t>
            </w:r>
          </w:p>
        </w:tc>
        <w:tc>
          <w:tcPr>
            <w:tcW w:w="1319" w:type="dxa"/>
            <w:shd w:val="clear" w:color="auto" w:fill="auto"/>
            <w:vAlign w:val="center"/>
          </w:tcPr>
          <w:p w14:paraId="34340DF6">
            <w:pPr>
              <w:pStyle w:val="30"/>
              <w:bidi w:val="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+0.011 </w:t>
            </w:r>
          </w:p>
        </w:tc>
      </w:tr>
      <w:tr w14:paraId="37837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3F00A4F">
            <w:pPr>
              <w:pStyle w:val="30"/>
              <w:rPr>
                <w:color w:val="auto"/>
              </w:rPr>
            </w:pPr>
          </w:p>
        </w:tc>
        <w:tc>
          <w:tcPr>
            <w:tcW w:w="608" w:type="pct"/>
            <w:vAlign w:val="center"/>
          </w:tcPr>
          <w:p w14:paraId="7BEB1E14">
            <w:pPr>
              <w:pStyle w:val="30"/>
              <w:rPr>
                <w:color w:val="auto"/>
              </w:rPr>
            </w:pPr>
            <w:r>
              <w:rPr>
                <w:rFonts w:hint="eastAsia"/>
                <w:color w:val="auto"/>
              </w:rPr>
              <w:t>LAS</w:t>
            </w:r>
          </w:p>
        </w:tc>
        <w:tc>
          <w:tcPr>
            <w:tcW w:w="501" w:type="pct"/>
            <w:vAlign w:val="center"/>
          </w:tcPr>
          <w:p w14:paraId="1D741C10">
            <w:pPr>
              <w:pStyle w:val="30"/>
              <w:rPr>
                <w:color w:val="auto"/>
              </w:rPr>
            </w:pPr>
            <w:r>
              <w:rPr>
                <w:rFonts w:hint="eastAsia"/>
                <w:color w:val="auto"/>
              </w:rPr>
              <w:t>0</w:t>
            </w:r>
          </w:p>
        </w:tc>
        <w:tc>
          <w:tcPr>
            <w:tcW w:w="555" w:type="pct"/>
            <w:vAlign w:val="center"/>
          </w:tcPr>
          <w:p w14:paraId="6E75C871">
            <w:pPr>
              <w:pStyle w:val="30"/>
              <w:rPr>
                <w:color w:val="auto"/>
              </w:rPr>
            </w:pPr>
            <w:r>
              <w:rPr>
                <w:rFonts w:hint="eastAsia"/>
                <w:color w:val="auto"/>
              </w:rPr>
              <w:t>0</w:t>
            </w:r>
          </w:p>
        </w:tc>
        <w:tc>
          <w:tcPr>
            <w:tcW w:w="555" w:type="pct"/>
            <w:vAlign w:val="center"/>
          </w:tcPr>
          <w:p w14:paraId="4DF3670D">
            <w:pPr>
              <w:pStyle w:val="30"/>
              <w:rPr>
                <w:color w:val="auto"/>
              </w:rPr>
            </w:pPr>
            <w:r>
              <w:rPr>
                <w:rFonts w:hint="eastAsia"/>
                <w:color w:val="auto"/>
              </w:rPr>
              <w:t>0</w:t>
            </w:r>
          </w:p>
        </w:tc>
        <w:tc>
          <w:tcPr>
            <w:tcW w:w="1634" w:type="dxa"/>
            <w:shd w:val="clear" w:color="auto" w:fill="auto"/>
            <w:vAlign w:val="center"/>
          </w:tcPr>
          <w:p w14:paraId="5FF09806">
            <w:pPr>
              <w:pStyle w:val="30"/>
              <w:bidi w:val="0"/>
              <w:rPr>
                <w:color w:val="auto"/>
                <w:lang w:val="en-US" w:eastAsia="zh-CN"/>
              </w:rPr>
            </w:pPr>
            <w:r>
              <w:rPr>
                <w:rFonts w:hint="eastAsia"/>
                <w:color w:val="auto"/>
                <w:lang w:val="en-US" w:eastAsia="zh-CN"/>
              </w:rPr>
              <w:t xml:space="preserve">0.001 </w:t>
            </w:r>
          </w:p>
        </w:tc>
        <w:tc>
          <w:tcPr>
            <w:tcW w:w="555" w:type="pct"/>
            <w:vAlign w:val="center"/>
          </w:tcPr>
          <w:p w14:paraId="230D824B">
            <w:pPr>
              <w:pStyle w:val="30"/>
              <w:rPr>
                <w:color w:val="auto"/>
              </w:rPr>
            </w:pPr>
            <w:r>
              <w:rPr>
                <w:rFonts w:hint="eastAsia"/>
                <w:color w:val="auto"/>
              </w:rPr>
              <w:t>0</w:t>
            </w:r>
          </w:p>
        </w:tc>
        <w:tc>
          <w:tcPr>
            <w:tcW w:w="1954" w:type="dxa"/>
            <w:shd w:val="clear" w:color="auto" w:fill="auto"/>
            <w:vAlign w:val="center"/>
          </w:tcPr>
          <w:p w14:paraId="40907F39">
            <w:pPr>
              <w:pStyle w:val="30"/>
              <w:bidi w:val="0"/>
              <w:rPr>
                <w:rFonts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0.001 </w:t>
            </w:r>
          </w:p>
        </w:tc>
        <w:tc>
          <w:tcPr>
            <w:tcW w:w="1319" w:type="dxa"/>
            <w:shd w:val="clear" w:color="auto" w:fill="auto"/>
            <w:vAlign w:val="center"/>
          </w:tcPr>
          <w:p w14:paraId="4C4E0584">
            <w:pPr>
              <w:pStyle w:val="30"/>
              <w:bidi w:val="0"/>
              <w:rPr>
                <w:rFonts w:ascii="Times New Roman" w:hAnsi="Times New Roman" w:eastAsia="宋体" w:cs="Times New Roman"/>
                <w:color w:val="auto"/>
                <w:kern w:val="0"/>
                <w:sz w:val="18"/>
                <w:szCs w:val="18"/>
                <w:lang w:val="en-US" w:eastAsia="zh-CN" w:bidi="ar-SA"/>
              </w:rPr>
            </w:pPr>
            <w:r>
              <w:rPr>
                <w:rFonts w:hint="eastAsia"/>
                <w:color w:val="auto"/>
                <w:lang w:val="en-US" w:eastAsia="zh-CN"/>
              </w:rPr>
              <w:t xml:space="preserve">+0.001 </w:t>
            </w:r>
          </w:p>
        </w:tc>
      </w:tr>
      <w:tr w14:paraId="3D288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065FEA64">
            <w:pPr>
              <w:pStyle w:val="30"/>
              <w:rPr>
                <w:color w:val="auto"/>
              </w:rPr>
            </w:pPr>
            <w:r>
              <w:rPr>
                <w:color w:val="auto"/>
              </w:rPr>
              <w:t>一般固废</w:t>
            </w:r>
          </w:p>
        </w:tc>
        <w:tc>
          <w:tcPr>
            <w:tcW w:w="608" w:type="pct"/>
            <w:vAlign w:val="center"/>
          </w:tcPr>
          <w:p w14:paraId="11C3FE72">
            <w:pPr>
              <w:pStyle w:val="30"/>
              <w:rPr>
                <w:color w:val="auto"/>
              </w:rPr>
            </w:pPr>
            <w:r>
              <w:rPr>
                <w:color w:val="auto"/>
              </w:rPr>
              <w:t>生活垃圾</w:t>
            </w:r>
          </w:p>
        </w:tc>
        <w:tc>
          <w:tcPr>
            <w:tcW w:w="501" w:type="pct"/>
            <w:vAlign w:val="center"/>
          </w:tcPr>
          <w:p w14:paraId="79D2EA28">
            <w:pPr>
              <w:pStyle w:val="30"/>
              <w:rPr>
                <w:color w:val="auto"/>
              </w:rPr>
            </w:pPr>
            <w:r>
              <w:rPr>
                <w:rFonts w:hint="eastAsia"/>
                <w:color w:val="auto"/>
              </w:rPr>
              <w:t>0</w:t>
            </w:r>
          </w:p>
        </w:tc>
        <w:tc>
          <w:tcPr>
            <w:tcW w:w="555" w:type="pct"/>
            <w:vAlign w:val="center"/>
          </w:tcPr>
          <w:p w14:paraId="6825C078">
            <w:pPr>
              <w:pStyle w:val="30"/>
              <w:rPr>
                <w:color w:val="auto"/>
              </w:rPr>
            </w:pPr>
            <w:r>
              <w:rPr>
                <w:rFonts w:hint="eastAsia"/>
                <w:color w:val="auto"/>
              </w:rPr>
              <w:t>0</w:t>
            </w:r>
          </w:p>
        </w:tc>
        <w:tc>
          <w:tcPr>
            <w:tcW w:w="555" w:type="pct"/>
            <w:vAlign w:val="center"/>
          </w:tcPr>
          <w:p w14:paraId="43E19CE1">
            <w:pPr>
              <w:pStyle w:val="30"/>
              <w:rPr>
                <w:color w:val="auto"/>
              </w:rPr>
            </w:pPr>
            <w:r>
              <w:rPr>
                <w:rFonts w:hint="eastAsia"/>
                <w:color w:val="auto"/>
              </w:rPr>
              <w:t>0</w:t>
            </w:r>
          </w:p>
        </w:tc>
        <w:tc>
          <w:tcPr>
            <w:tcW w:w="555" w:type="pct"/>
            <w:vAlign w:val="center"/>
          </w:tcPr>
          <w:p w14:paraId="454AB8B8">
            <w:pPr>
              <w:pStyle w:val="30"/>
              <w:rPr>
                <w:rFonts w:hint="default" w:eastAsia="宋体"/>
                <w:color w:val="auto"/>
                <w:lang w:val="en-US" w:eastAsia="zh-CN"/>
              </w:rPr>
            </w:pPr>
            <w:r>
              <w:rPr>
                <w:rFonts w:hint="eastAsia"/>
                <w:color w:val="auto"/>
                <w:lang w:val="en-US" w:eastAsia="zh-CN"/>
              </w:rPr>
              <w:t>124.1</w:t>
            </w:r>
          </w:p>
        </w:tc>
        <w:tc>
          <w:tcPr>
            <w:tcW w:w="555" w:type="pct"/>
            <w:vAlign w:val="center"/>
          </w:tcPr>
          <w:p w14:paraId="3B79E8C0">
            <w:pPr>
              <w:pStyle w:val="30"/>
              <w:rPr>
                <w:color w:val="auto"/>
              </w:rPr>
            </w:pPr>
            <w:r>
              <w:rPr>
                <w:rFonts w:hint="eastAsia"/>
                <w:color w:val="auto"/>
              </w:rPr>
              <w:t>0</w:t>
            </w:r>
          </w:p>
        </w:tc>
        <w:tc>
          <w:tcPr>
            <w:tcW w:w="664" w:type="pct"/>
            <w:shd w:val="clear" w:color="auto" w:fill="auto"/>
            <w:vAlign w:val="center"/>
          </w:tcPr>
          <w:p w14:paraId="5A19A885">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124.1</w:t>
            </w:r>
          </w:p>
        </w:tc>
        <w:tc>
          <w:tcPr>
            <w:tcW w:w="448" w:type="pct"/>
            <w:shd w:val="clear" w:color="auto" w:fill="auto"/>
            <w:vAlign w:val="center"/>
          </w:tcPr>
          <w:p w14:paraId="40A71E3D">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+124.1</w:t>
            </w:r>
          </w:p>
        </w:tc>
      </w:tr>
      <w:tr w14:paraId="09792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64443A22">
            <w:pPr>
              <w:pStyle w:val="30"/>
              <w:rPr>
                <w:color w:val="auto"/>
              </w:rPr>
            </w:pPr>
          </w:p>
        </w:tc>
        <w:tc>
          <w:tcPr>
            <w:tcW w:w="608" w:type="pct"/>
            <w:vAlign w:val="center"/>
          </w:tcPr>
          <w:p w14:paraId="61A9857A">
            <w:pPr>
              <w:pStyle w:val="30"/>
              <w:rPr>
                <w:color w:val="auto"/>
              </w:rPr>
            </w:pPr>
            <w:r>
              <w:rPr>
                <w:rFonts w:hint="eastAsia"/>
                <w:color w:val="auto"/>
              </w:rPr>
              <w:t>废零部件</w:t>
            </w:r>
          </w:p>
        </w:tc>
        <w:tc>
          <w:tcPr>
            <w:tcW w:w="501" w:type="pct"/>
            <w:vAlign w:val="center"/>
          </w:tcPr>
          <w:p w14:paraId="550CD568">
            <w:pPr>
              <w:pStyle w:val="30"/>
              <w:rPr>
                <w:color w:val="auto"/>
              </w:rPr>
            </w:pPr>
            <w:r>
              <w:rPr>
                <w:rFonts w:hint="eastAsia"/>
                <w:color w:val="auto"/>
              </w:rPr>
              <w:t>0</w:t>
            </w:r>
          </w:p>
        </w:tc>
        <w:tc>
          <w:tcPr>
            <w:tcW w:w="555" w:type="pct"/>
            <w:vAlign w:val="center"/>
          </w:tcPr>
          <w:p w14:paraId="7E197A0F">
            <w:pPr>
              <w:pStyle w:val="30"/>
              <w:rPr>
                <w:color w:val="auto"/>
              </w:rPr>
            </w:pPr>
            <w:r>
              <w:rPr>
                <w:rFonts w:hint="eastAsia"/>
                <w:color w:val="auto"/>
              </w:rPr>
              <w:t>0</w:t>
            </w:r>
          </w:p>
        </w:tc>
        <w:tc>
          <w:tcPr>
            <w:tcW w:w="555" w:type="pct"/>
            <w:vAlign w:val="center"/>
          </w:tcPr>
          <w:p w14:paraId="49131CDC">
            <w:pPr>
              <w:pStyle w:val="30"/>
              <w:rPr>
                <w:color w:val="auto"/>
              </w:rPr>
            </w:pPr>
            <w:r>
              <w:rPr>
                <w:rFonts w:hint="eastAsia"/>
                <w:color w:val="auto"/>
              </w:rPr>
              <w:t>0</w:t>
            </w:r>
          </w:p>
        </w:tc>
        <w:tc>
          <w:tcPr>
            <w:tcW w:w="555" w:type="pct"/>
            <w:vAlign w:val="center"/>
          </w:tcPr>
          <w:p w14:paraId="560E03AF">
            <w:pPr>
              <w:pStyle w:val="30"/>
              <w:rPr>
                <w:rFonts w:hint="default" w:eastAsia="宋体"/>
                <w:color w:val="auto"/>
                <w:lang w:val="en-US" w:eastAsia="zh-CN"/>
              </w:rPr>
            </w:pPr>
            <w:r>
              <w:rPr>
                <w:rFonts w:hint="eastAsia"/>
                <w:color w:val="auto"/>
                <w:lang w:val="en-US" w:eastAsia="zh-CN"/>
              </w:rPr>
              <w:t>5</w:t>
            </w:r>
          </w:p>
        </w:tc>
        <w:tc>
          <w:tcPr>
            <w:tcW w:w="555" w:type="pct"/>
            <w:vAlign w:val="center"/>
          </w:tcPr>
          <w:p w14:paraId="7F8325A6">
            <w:pPr>
              <w:pStyle w:val="30"/>
              <w:rPr>
                <w:color w:val="auto"/>
              </w:rPr>
            </w:pPr>
            <w:r>
              <w:rPr>
                <w:rFonts w:hint="eastAsia"/>
                <w:color w:val="auto"/>
              </w:rPr>
              <w:t>0</w:t>
            </w:r>
          </w:p>
        </w:tc>
        <w:tc>
          <w:tcPr>
            <w:tcW w:w="664" w:type="pct"/>
            <w:shd w:val="clear" w:color="auto" w:fill="auto"/>
            <w:vAlign w:val="center"/>
          </w:tcPr>
          <w:p w14:paraId="57FEBEF8">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5</w:t>
            </w:r>
          </w:p>
        </w:tc>
        <w:tc>
          <w:tcPr>
            <w:tcW w:w="448" w:type="pct"/>
            <w:shd w:val="clear" w:color="auto" w:fill="auto"/>
            <w:vAlign w:val="center"/>
          </w:tcPr>
          <w:p w14:paraId="0FF2A24F">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+5</w:t>
            </w:r>
          </w:p>
        </w:tc>
      </w:tr>
      <w:tr w14:paraId="6F59D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2588FD82">
            <w:pPr>
              <w:pStyle w:val="30"/>
              <w:rPr>
                <w:color w:val="auto"/>
              </w:rPr>
            </w:pPr>
          </w:p>
        </w:tc>
        <w:tc>
          <w:tcPr>
            <w:tcW w:w="608" w:type="pct"/>
            <w:vAlign w:val="center"/>
          </w:tcPr>
          <w:p w14:paraId="43060DF7">
            <w:pPr>
              <w:pStyle w:val="30"/>
              <w:rPr>
                <w:color w:val="auto"/>
              </w:rPr>
            </w:pPr>
            <w:r>
              <w:rPr>
                <w:rFonts w:hint="eastAsia"/>
                <w:color w:val="auto"/>
              </w:rPr>
              <w:t>废焊丝</w:t>
            </w:r>
          </w:p>
        </w:tc>
        <w:tc>
          <w:tcPr>
            <w:tcW w:w="501" w:type="pct"/>
            <w:vAlign w:val="center"/>
          </w:tcPr>
          <w:p w14:paraId="71D1CEFD">
            <w:pPr>
              <w:pStyle w:val="30"/>
              <w:rPr>
                <w:color w:val="auto"/>
              </w:rPr>
            </w:pPr>
            <w:r>
              <w:rPr>
                <w:rFonts w:hint="eastAsia"/>
                <w:color w:val="auto"/>
              </w:rPr>
              <w:t>0</w:t>
            </w:r>
          </w:p>
        </w:tc>
        <w:tc>
          <w:tcPr>
            <w:tcW w:w="555" w:type="pct"/>
            <w:vAlign w:val="center"/>
          </w:tcPr>
          <w:p w14:paraId="3DB0373D">
            <w:pPr>
              <w:pStyle w:val="30"/>
              <w:rPr>
                <w:color w:val="auto"/>
              </w:rPr>
            </w:pPr>
            <w:r>
              <w:rPr>
                <w:rFonts w:hint="eastAsia"/>
                <w:color w:val="auto"/>
              </w:rPr>
              <w:t>0</w:t>
            </w:r>
          </w:p>
        </w:tc>
        <w:tc>
          <w:tcPr>
            <w:tcW w:w="555" w:type="pct"/>
            <w:vAlign w:val="center"/>
          </w:tcPr>
          <w:p w14:paraId="692F28BB">
            <w:pPr>
              <w:pStyle w:val="30"/>
              <w:rPr>
                <w:color w:val="auto"/>
              </w:rPr>
            </w:pPr>
            <w:r>
              <w:rPr>
                <w:rFonts w:hint="eastAsia"/>
                <w:color w:val="auto"/>
              </w:rPr>
              <w:t>0</w:t>
            </w:r>
          </w:p>
        </w:tc>
        <w:tc>
          <w:tcPr>
            <w:tcW w:w="555" w:type="pct"/>
            <w:vAlign w:val="center"/>
          </w:tcPr>
          <w:p w14:paraId="4944723B">
            <w:pPr>
              <w:pStyle w:val="30"/>
              <w:rPr>
                <w:rFonts w:hint="default" w:eastAsia="宋体"/>
                <w:color w:val="auto"/>
                <w:lang w:val="en-US" w:eastAsia="zh-CN"/>
              </w:rPr>
            </w:pPr>
            <w:r>
              <w:rPr>
                <w:rFonts w:hint="eastAsia"/>
                <w:color w:val="auto"/>
                <w:lang w:val="en-US" w:eastAsia="zh-CN"/>
              </w:rPr>
              <w:t>0.001</w:t>
            </w:r>
          </w:p>
        </w:tc>
        <w:tc>
          <w:tcPr>
            <w:tcW w:w="555" w:type="pct"/>
            <w:vAlign w:val="center"/>
          </w:tcPr>
          <w:p w14:paraId="135AC34C">
            <w:pPr>
              <w:pStyle w:val="30"/>
              <w:rPr>
                <w:color w:val="auto"/>
              </w:rPr>
            </w:pPr>
            <w:r>
              <w:rPr>
                <w:rFonts w:hint="eastAsia"/>
                <w:color w:val="auto"/>
              </w:rPr>
              <w:t>0</w:t>
            </w:r>
          </w:p>
        </w:tc>
        <w:tc>
          <w:tcPr>
            <w:tcW w:w="664" w:type="pct"/>
            <w:shd w:val="clear" w:color="auto" w:fill="auto"/>
            <w:vAlign w:val="center"/>
          </w:tcPr>
          <w:p w14:paraId="7173F260">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0.001</w:t>
            </w:r>
          </w:p>
        </w:tc>
        <w:tc>
          <w:tcPr>
            <w:tcW w:w="448" w:type="pct"/>
            <w:shd w:val="clear" w:color="auto" w:fill="auto"/>
            <w:vAlign w:val="center"/>
          </w:tcPr>
          <w:p w14:paraId="67164717">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+0.001</w:t>
            </w:r>
          </w:p>
        </w:tc>
      </w:tr>
      <w:tr w14:paraId="527AB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7EB51623">
            <w:pPr>
              <w:pStyle w:val="30"/>
              <w:rPr>
                <w:color w:val="auto"/>
              </w:rPr>
            </w:pPr>
          </w:p>
        </w:tc>
        <w:tc>
          <w:tcPr>
            <w:tcW w:w="608" w:type="pct"/>
            <w:vAlign w:val="center"/>
          </w:tcPr>
          <w:p w14:paraId="68AA62A5">
            <w:pPr>
              <w:pStyle w:val="30"/>
              <w:rPr>
                <w:color w:val="auto"/>
              </w:rPr>
            </w:pPr>
            <w:r>
              <w:rPr>
                <w:rFonts w:hint="eastAsia"/>
                <w:color w:val="auto"/>
              </w:rPr>
              <w:t>废轮胎</w:t>
            </w:r>
          </w:p>
        </w:tc>
        <w:tc>
          <w:tcPr>
            <w:tcW w:w="501" w:type="pct"/>
            <w:vAlign w:val="center"/>
          </w:tcPr>
          <w:p w14:paraId="2234F121">
            <w:pPr>
              <w:pStyle w:val="30"/>
              <w:rPr>
                <w:color w:val="auto"/>
              </w:rPr>
            </w:pPr>
            <w:r>
              <w:rPr>
                <w:rFonts w:hint="eastAsia"/>
                <w:color w:val="auto"/>
              </w:rPr>
              <w:t>0</w:t>
            </w:r>
          </w:p>
        </w:tc>
        <w:tc>
          <w:tcPr>
            <w:tcW w:w="555" w:type="pct"/>
            <w:vAlign w:val="center"/>
          </w:tcPr>
          <w:p w14:paraId="64B9E278">
            <w:pPr>
              <w:pStyle w:val="30"/>
              <w:rPr>
                <w:color w:val="auto"/>
              </w:rPr>
            </w:pPr>
            <w:r>
              <w:rPr>
                <w:rFonts w:hint="eastAsia"/>
                <w:color w:val="auto"/>
              </w:rPr>
              <w:t>0</w:t>
            </w:r>
          </w:p>
        </w:tc>
        <w:tc>
          <w:tcPr>
            <w:tcW w:w="555" w:type="pct"/>
            <w:vAlign w:val="center"/>
          </w:tcPr>
          <w:p w14:paraId="6D0A0EA8">
            <w:pPr>
              <w:pStyle w:val="30"/>
              <w:rPr>
                <w:color w:val="auto"/>
              </w:rPr>
            </w:pPr>
            <w:r>
              <w:rPr>
                <w:rFonts w:hint="eastAsia"/>
                <w:color w:val="auto"/>
              </w:rPr>
              <w:t>0</w:t>
            </w:r>
          </w:p>
        </w:tc>
        <w:tc>
          <w:tcPr>
            <w:tcW w:w="555" w:type="pct"/>
            <w:vAlign w:val="center"/>
          </w:tcPr>
          <w:p w14:paraId="68A528E3">
            <w:pPr>
              <w:pStyle w:val="30"/>
              <w:rPr>
                <w:rFonts w:hint="eastAsia" w:eastAsia="宋体"/>
                <w:color w:val="auto"/>
                <w:lang w:val="en-US" w:eastAsia="zh-CN"/>
              </w:rPr>
            </w:pPr>
            <w:r>
              <w:rPr>
                <w:rFonts w:hint="eastAsia"/>
                <w:color w:val="auto"/>
                <w:lang w:val="en-US" w:eastAsia="zh-CN"/>
              </w:rPr>
              <w:t>8</w:t>
            </w:r>
          </w:p>
        </w:tc>
        <w:tc>
          <w:tcPr>
            <w:tcW w:w="555" w:type="pct"/>
            <w:vAlign w:val="center"/>
          </w:tcPr>
          <w:p w14:paraId="31788B5D">
            <w:pPr>
              <w:pStyle w:val="30"/>
              <w:rPr>
                <w:color w:val="auto"/>
              </w:rPr>
            </w:pPr>
            <w:r>
              <w:rPr>
                <w:rFonts w:hint="eastAsia"/>
                <w:color w:val="auto"/>
              </w:rPr>
              <w:t>0</w:t>
            </w:r>
          </w:p>
        </w:tc>
        <w:tc>
          <w:tcPr>
            <w:tcW w:w="664" w:type="pct"/>
            <w:shd w:val="clear" w:color="auto" w:fill="auto"/>
            <w:vAlign w:val="center"/>
          </w:tcPr>
          <w:p w14:paraId="44E8E43B">
            <w:pPr>
              <w:pStyle w:val="30"/>
              <w:rPr>
                <w:rFonts w:hint="eastAsia" w:ascii="Times New Roman" w:hAnsi="Times New Roman" w:eastAsia="宋体" w:cs="Times New Roman"/>
                <w:color w:val="auto"/>
                <w:kern w:val="0"/>
                <w:sz w:val="18"/>
                <w:szCs w:val="18"/>
                <w:lang w:val="en-US" w:eastAsia="zh-CN" w:bidi="ar-SA"/>
              </w:rPr>
            </w:pPr>
            <w:r>
              <w:rPr>
                <w:rFonts w:hint="eastAsia"/>
                <w:color w:val="auto"/>
                <w:lang w:val="en-US" w:eastAsia="zh-CN"/>
              </w:rPr>
              <w:t>8</w:t>
            </w:r>
          </w:p>
        </w:tc>
        <w:tc>
          <w:tcPr>
            <w:tcW w:w="448" w:type="pct"/>
            <w:shd w:val="clear" w:color="auto" w:fill="auto"/>
            <w:vAlign w:val="center"/>
          </w:tcPr>
          <w:p w14:paraId="7D6DC07B">
            <w:pPr>
              <w:pStyle w:val="30"/>
              <w:rPr>
                <w:rFonts w:hint="eastAsia" w:ascii="Times New Roman" w:hAnsi="Times New Roman" w:eastAsia="宋体" w:cs="Times New Roman"/>
                <w:color w:val="auto"/>
                <w:kern w:val="0"/>
                <w:sz w:val="18"/>
                <w:szCs w:val="18"/>
                <w:lang w:val="en-US" w:eastAsia="zh-CN" w:bidi="ar-SA"/>
              </w:rPr>
            </w:pPr>
            <w:r>
              <w:rPr>
                <w:rFonts w:hint="eastAsia"/>
                <w:color w:val="auto"/>
                <w:lang w:val="en-US" w:eastAsia="zh-CN"/>
              </w:rPr>
              <w:t>+8</w:t>
            </w:r>
          </w:p>
        </w:tc>
      </w:tr>
      <w:tr w14:paraId="7AD8C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051F55FD">
            <w:pPr>
              <w:pStyle w:val="30"/>
              <w:rPr>
                <w:color w:val="auto"/>
              </w:rPr>
            </w:pPr>
            <w:r>
              <w:rPr>
                <w:color w:val="auto"/>
              </w:rPr>
              <w:t>危险废物</w:t>
            </w:r>
          </w:p>
        </w:tc>
        <w:tc>
          <w:tcPr>
            <w:tcW w:w="608" w:type="pct"/>
            <w:shd w:val="clear" w:color="auto" w:fill="auto"/>
            <w:vAlign w:val="center"/>
          </w:tcPr>
          <w:p w14:paraId="6D3289D6">
            <w:pPr>
              <w:pStyle w:val="30"/>
              <w:rPr>
                <w:rFonts w:hint="eastAsia" w:ascii="Times New Roman" w:hAnsi="Times New Roman" w:eastAsia="宋体" w:cs="Times New Roman"/>
                <w:color w:val="auto"/>
                <w:kern w:val="0"/>
                <w:sz w:val="18"/>
                <w:szCs w:val="18"/>
                <w:lang w:val="en-US" w:eastAsia="zh-CN" w:bidi="ar-SA"/>
              </w:rPr>
            </w:pPr>
            <w:r>
              <w:rPr>
                <w:rFonts w:hint="eastAsia"/>
                <w:color w:val="auto"/>
              </w:rPr>
              <w:t>洗车污泥及泥沙</w:t>
            </w:r>
          </w:p>
        </w:tc>
        <w:tc>
          <w:tcPr>
            <w:tcW w:w="501" w:type="pct"/>
            <w:shd w:val="clear" w:color="auto" w:fill="auto"/>
            <w:vAlign w:val="center"/>
          </w:tcPr>
          <w:p w14:paraId="1ABFFE55">
            <w:pPr>
              <w:pStyle w:val="30"/>
              <w:rPr>
                <w:rFonts w:hint="eastAsia" w:ascii="Times New Roman" w:hAnsi="Times New Roman" w:eastAsia="宋体" w:cs="Times New Roman"/>
                <w:color w:val="auto"/>
                <w:kern w:val="0"/>
                <w:sz w:val="18"/>
                <w:szCs w:val="18"/>
                <w:lang w:val="en-US" w:eastAsia="zh-CN" w:bidi="ar-SA"/>
              </w:rPr>
            </w:pPr>
            <w:r>
              <w:rPr>
                <w:rFonts w:hint="eastAsia"/>
                <w:color w:val="auto"/>
              </w:rPr>
              <w:t>0</w:t>
            </w:r>
          </w:p>
        </w:tc>
        <w:tc>
          <w:tcPr>
            <w:tcW w:w="555" w:type="pct"/>
            <w:shd w:val="clear" w:color="auto" w:fill="auto"/>
            <w:vAlign w:val="center"/>
          </w:tcPr>
          <w:p w14:paraId="600E53EF">
            <w:pPr>
              <w:pStyle w:val="30"/>
              <w:rPr>
                <w:rFonts w:hint="eastAsia" w:ascii="Times New Roman" w:hAnsi="Times New Roman" w:eastAsia="宋体" w:cs="Times New Roman"/>
                <w:color w:val="auto"/>
                <w:kern w:val="0"/>
                <w:sz w:val="18"/>
                <w:szCs w:val="18"/>
                <w:lang w:val="en-US" w:eastAsia="zh-CN" w:bidi="ar-SA"/>
              </w:rPr>
            </w:pPr>
            <w:r>
              <w:rPr>
                <w:rFonts w:hint="eastAsia"/>
                <w:color w:val="auto"/>
              </w:rPr>
              <w:t>0</w:t>
            </w:r>
          </w:p>
        </w:tc>
        <w:tc>
          <w:tcPr>
            <w:tcW w:w="555" w:type="pct"/>
            <w:shd w:val="clear" w:color="auto" w:fill="auto"/>
            <w:vAlign w:val="center"/>
          </w:tcPr>
          <w:p w14:paraId="49BB1CCD">
            <w:pPr>
              <w:pStyle w:val="30"/>
              <w:rPr>
                <w:rFonts w:hint="eastAsia" w:ascii="Times New Roman" w:hAnsi="Times New Roman" w:eastAsia="宋体" w:cs="Times New Roman"/>
                <w:color w:val="auto"/>
                <w:kern w:val="0"/>
                <w:sz w:val="18"/>
                <w:szCs w:val="18"/>
                <w:lang w:val="en-US" w:eastAsia="zh-CN" w:bidi="ar-SA"/>
              </w:rPr>
            </w:pPr>
            <w:r>
              <w:rPr>
                <w:rFonts w:hint="eastAsia"/>
                <w:color w:val="auto"/>
              </w:rPr>
              <w:t>0</w:t>
            </w:r>
          </w:p>
        </w:tc>
        <w:tc>
          <w:tcPr>
            <w:tcW w:w="555" w:type="pct"/>
            <w:shd w:val="clear" w:color="auto" w:fill="auto"/>
            <w:vAlign w:val="center"/>
          </w:tcPr>
          <w:p w14:paraId="5BFF06E7">
            <w:pPr>
              <w:pStyle w:val="30"/>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5</w:t>
            </w:r>
          </w:p>
        </w:tc>
        <w:tc>
          <w:tcPr>
            <w:tcW w:w="555" w:type="pct"/>
            <w:shd w:val="clear" w:color="auto" w:fill="auto"/>
            <w:vAlign w:val="center"/>
          </w:tcPr>
          <w:p w14:paraId="572ADA72">
            <w:pPr>
              <w:pStyle w:val="30"/>
              <w:rPr>
                <w:rFonts w:hint="eastAsia" w:ascii="Times New Roman" w:hAnsi="Times New Roman" w:eastAsia="宋体" w:cs="Times New Roman"/>
                <w:color w:val="auto"/>
                <w:kern w:val="0"/>
                <w:sz w:val="18"/>
                <w:szCs w:val="18"/>
                <w:lang w:val="en-US" w:eastAsia="zh-CN" w:bidi="ar-SA"/>
              </w:rPr>
            </w:pPr>
            <w:r>
              <w:rPr>
                <w:rFonts w:hint="eastAsia"/>
                <w:color w:val="auto"/>
              </w:rPr>
              <w:t>0</w:t>
            </w:r>
          </w:p>
        </w:tc>
        <w:tc>
          <w:tcPr>
            <w:tcW w:w="664" w:type="pct"/>
            <w:shd w:val="clear" w:color="auto" w:fill="auto"/>
            <w:vAlign w:val="center"/>
          </w:tcPr>
          <w:p w14:paraId="2B471423">
            <w:pPr>
              <w:pStyle w:val="3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5</w:t>
            </w:r>
          </w:p>
        </w:tc>
        <w:tc>
          <w:tcPr>
            <w:tcW w:w="448" w:type="pct"/>
            <w:shd w:val="clear" w:color="auto" w:fill="auto"/>
            <w:vAlign w:val="center"/>
          </w:tcPr>
          <w:p w14:paraId="4D5215FC">
            <w:pPr>
              <w:pStyle w:val="30"/>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+5</w:t>
            </w:r>
          </w:p>
        </w:tc>
      </w:tr>
      <w:tr w14:paraId="12C66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6401BF37">
            <w:pPr>
              <w:pStyle w:val="30"/>
              <w:rPr>
                <w:color w:val="auto"/>
              </w:rPr>
            </w:pPr>
          </w:p>
        </w:tc>
        <w:tc>
          <w:tcPr>
            <w:tcW w:w="608" w:type="pct"/>
            <w:vAlign w:val="center"/>
          </w:tcPr>
          <w:p w14:paraId="380D24C0">
            <w:pPr>
              <w:pStyle w:val="30"/>
              <w:rPr>
                <w:color w:val="auto"/>
              </w:rPr>
            </w:pPr>
            <w:r>
              <w:rPr>
                <w:rFonts w:hint="eastAsia"/>
                <w:color w:val="auto"/>
              </w:rPr>
              <w:t>清罐油泥</w:t>
            </w:r>
          </w:p>
        </w:tc>
        <w:tc>
          <w:tcPr>
            <w:tcW w:w="501" w:type="pct"/>
            <w:vAlign w:val="center"/>
          </w:tcPr>
          <w:p w14:paraId="5ECD4B29">
            <w:pPr>
              <w:pStyle w:val="30"/>
              <w:rPr>
                <w:color w:val="auto"/>
              </w:rPr>
            </w:pPr>
            <w:r>
              <w:rPr>
                <w:rFonts w:hint="eastAsia"/>
                <w:color w:val="auto"/>
              </w:rPr>
              <w:t>0</w:t>
            </w:r>
          </w:p>
        </w:tc>
        <w:tc>
          <w:tcPr>
            <w:tcW w:w="555" w:type="pct"/>
            <w:vAlign w:val="center"/>
          </w:tcPr>
          <w:p w14:paraId="102C7FDD">
            <w:pPr>
              <w:pStyle w:val="30"/>
              <w:rPr>
                <w:color w:val="auto"/>
              </w:rPr>
            </w:pPr>
            <w:r>
              <w:rPr>
                <w:rFonts w:hint="eastAsia"/>
                <w:color w:val="auto"/>
              </w:rPr>
              <w:t>0</w:t>
            </w:r>
          </w:p>
        </w:tc>
        <w:tc>
          <w:tcPr>
            <w:tcW w:w="555" w:type="pct"/>
            <w:vAlign w:val="center"/>
          </w:tcPr>
          <w:p w14:paraId="73E2A795">
            <w:pPr>
              <w:pStyle w:val="30"/>
              <w:rPr>
                <w:color w:val="auto"/>
              </w:rPr>
            </w:pPr>
            <w:r>
              <w:rPr>
                <w:rFonts w:hint="eastAsia"/>
                <w:color w:val="auto"/>
              </w:rPr>
              <w:t>0</w:t>
            </w:r>
          </w:p>
        </w:tc>
        <w:tc>
          <w:tcPr>
            <w:tcW w:w="555" w:type="pct"/>
            <w:vAlign w:val="center"/>
          </w:tcPr>
          <w:p w14:paraId="36638720">
            <w:pPr>
              <w:pStyle w:val="30"/>
              <w:rPr>
                <w:rFonts w:hint="default" w:eastAsia="宋体"/>
                <w:color w:val="auto"/>
                <w:lang w:val="en-US" w:eastAsia="zh-CN"/>
              </w:rPr>
            </w:pPr>
            <w:r>
              <w:rPr>
                <w:rFonts w:hint="eastAsia"/>
                <w:color w:val="auto"/>
                <w:lang w:val="en-US" w:eastAsia="zh-CN"/>
              </w:rPr>
              <w:t>2.1</w:t>
            </w:r>
          </w:p>
        </w:tc>
        <w:tc>
          <w:tcPr>
            <w:tcW w:w="555" w:type="pct"/>
            <w:vAlign w:val="center"/>
          </w:tcPr>
          <w:p w14:paraId="0F1BB815">
            <w:pPr>
              <w:pStyle w:val="30"/>
              <w:rPr>
                <w:color w:val="auto"/>
              </w:rPr>
            </w:pPr>
            <w:r>
              <w:rPr>
                <w:rFonts w:hint="eastAsia"/>
                <w:color w:val="auto"/>
              </w:rPr>
              <w:t>0</w:t>
            </w:r>
          </w:p>
        </w:tc>
        <w:tc>
          <w:tcPr>
            <w:tcW w:w="664" w:type="pct"/>
            <w:shd w:val="clear" w:color="auto" w:fill="auto"/>
            <w:vAlign w:val="center"/>
          </w:tcPr>
          <w:p w14:paraId="55E0301D">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2.1</w:t>
            </w:r>
          </w:p>
        </w:tc>
        <w:tc>
          <w:tcPr>
            <w:tcW w:w="448" w:type="pct"/>
            <w:shd w:val="clear" w:color="auto" w:fill="auto"/>
            <w:vAlign w:val="center"/>
          </w:tcPr>
          <w:p w14:paraId="561DBD5A">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+2.1</w:t>
            </w:r>
          </w:p>
        </w:tc>
      </w:tr>
      <w:tr w14:paraId="63FE0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48B452F5">
            <w:pPr>
              <w:pStyle w:val="30"/>
              <w:rPr>
                <w:color w:val="auto"/>
              </w:rPr>
            </w:pPr>
          </w:p>
        </w:tc>
        <w:tc>
          <w:tcPr>
            <w:tcW w:w="608" w:type="pct"/>
            <w:vAlign w:val="center"/>
          </w:tcPr>
          <w:p w14:paraId="26DA45F9">
            <w:pPr>
              <w:pStyle w:val="30"/>
              <w:rPr>
                <w:color w:val="auto"/>
              </w:rPr>
            </w:pPr>
            <w:r>
              <w:rPr>
                <w:rFonts w:hint="eastAsia"/>
                <w:color w:val="auto"/>
              </w:rPr>
              <w:t>清罐废液</w:t>
            </w:r>
          </w:p>
        </w:tc>
        <w:tc>
          <w:tcPr>
            <w:tcW w:w="501" w:type="pct"/>
            <w:vAlign w:val="center"/>
          </w:tcPr>
          <w:p w14:paraId="263A13EE">
            <w:pPr>
              <w:pStyle w:val="30"/>
              <w:rPr>
                <w:color w:val="auto"/>
              </w:rPr>
            </w:pPr>
            <w:r>
              <w:rPr>
                <w:rFonts w:hint="eastAsia"/>
                <w:color w:val="auto"/>
              </w:rPr>
              <w:t>0</w:t>
            </w:r>
          </w:p>
        </w:tc>
        <w:tc>
          <w:tcPr>
            <w:tcW w:w="555" w:type="pct"/>
            <w:vAlign w:val="center"/>
          </w:tcPr>
          <w:p w14:paraId="12E1D075">
            <w:pPr>
              <w:pStyle w:val="30"/>
              <w:rPr>
                <w:color w:val="auto"/>
              </w:rPr>
            </w:pPr>
            <w:r>
              <w:rPr>
                <w:rFonts w:hint="eastAsia"/>
                <w:color w:val="auto"/>
              </w:rPr>
              <w:t>0</w:t>
            </w:r>
          </w:p>
        </w:tc>
        <w:tc>
          <w:tcPr>
            <w:tcW w:w="555" w:type="pct"/>
            <w:vAlign w:val="center"/>
          </w:tcPr>
          <w:p w14:paraId="5F318C77">
            <w:pPr>
              <w:pStyle w:val="30"/>
              <w:rPr>
                <w:color w:val="auto"/>
              </w:rPr>
            </w:pPr>
            <w:r>
              <w:rPr>
                <w:rFonts w:hint="eastAsia"/>
                <w:color w:val="auto"/>
              </w:rPr>
              <w:t>0</w:t>
            </w:r>
          </w:p>
        </w:tc>
        <w:tc>
          <w:tcPr>
            <w:tcW w:w="555" w:type="pct"/>
            <w:vAlign w:val="center"/>
          </w:tcPr>
          <w:p w14:paraId="3EE5CAF9">
            <w:pPr>
              <w:pStyle w:val="30"/>
              <w:rPr>
                <w:rFonts w:hint="default" w:eastAsia="宋体"/>
                <w:color w:val="auto"/>
                <w:lang w:val="en-US" w:eastAsia="zh-CN"/>
              </w:rPr>
            </w:pPr>
            <w:r>
              <w:rPr>
                <w:rFonts w:hint="eastAsia"/>
                <w:color w:val="auto"/>
                <w:lang w:val="en-US" w:eastAsia="zh-CN"/>
              </w:rPr>
              <w:t>10.5</w:t>
            </w:r>
          </w:p>
        </w:tc>
        <w:tc>
          <w:tcPr>
            <w:tcW w:w="555" w:type="pct"/>
            <w:vAlign w:val="center"/>
          </w:tcPr>
          <w:p w14:paraId="7D2C2B81">
            <w:pPr>
              <w:pStyle w:val="30"/>
              <w:rPr>
                <w:color w:val="auto"/>
              </w:rPr>
            </w:pPr>
            <w:r>
              <w:rPr>
                <w:rFonts w:hint="eastAsia"/>
                <w:color w:val="auto"/>
              </w:rPr>
              <w:t>0</w:t>
            </w:r>
          </w:p>
        </w:tc>
        <w:tc>
          <w:tcPr>
            <w:tcW w:w="664" w:type="pct"/>
            <w:shd w:val="clear" w:color="auto" w:fill="auto"/>
            <w:vAlign w:val="center"/>
          </w:tcPr>
          <w:p w14:paraId="78FC0086">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10.5</w:t>
            </w:r>
          </w:p>
        </w:tc>
        <w:tc>
          <w:tcPr>
            <w:tcW w:w="448" w:type="pct"/>
            <w:shd w:val="clear" w:color="auto" w:fill="auto"/>
            <w:vAlign w:val="center"/>
          </w:tcPr>
          <w:p w14:paraId="1DFC03EB">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+10.5</w:t>
            </w:r>
          </w:p>
        </w:tc>
      </w:tr>
      <w:tr w14:paraId="1948A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7806D92">
            <w:pPr>
              <w:pStyle w:val="30"/>
              <w:rPr>
                <w:color w:val="auto"/>
              </w:rPr>
            </w:pPr>
          </w:p>
        </w:tc>
        <w:tc>
          <w:tcPr>
            <w:tcW w:w="608" w:type="pct"/>
            <w:vAlign w:val="center"/>
          </w:tcPr>
          <w:p w14:paraId="0D529EFD">
            <w:pPr>
              <w:pStyle w:val="30"/>
              <w:rPr>
                <w:rFonts w:hint="eastAsia" w:eastAsia="宋体"/>
                <w:color w:val="auto"/>
                <w:lang w:eastAsia="zh-CN"/>
              </w:rPr>
            </w:pPr>
            <w:r>
              <w:rPr>
                <w:rFonts w:hint="eastAsia"/>
                <w:color w:val="auto"/>
                <w:lang w:eastAsia="zh-CN"/>
              </w:rPr>
              <w:t>废含油抹布手套</w:t>
            </w:r>
          </w:p>
        </w:tc>
        <w:tc>
          <w:tcPr>
            <w:tcW w:w="501" w:type="pct"/>
            <w:vAlign w:val="center"/>
          </w:tcPr>
          <w:p w14:paraId="3240EAA3">
            <w:pPr>
              <w:pStyle w:val="30"/>
              <w:rPr>
                <w:color w:val="auto"/>
              </w:rPr>
            </w:pPr>
            <w:r>
              <w:rPr>
                <w:rFonts w:hint="eastAsia"/>
                <w:color w:val="auto"/>
              </w:rPr>
              <w:t>0</w:t>
            </w:r>
          </w:p>
        </w:tc>
        <w:tc>
          <w:tcPr>
            <w:tcW w:w="555" w:type="pct"/>
            <w:vAlign w:val="center"/>
          </w:tcPr>
          <w:p w14:paraId="74824F1E">
            <w:pPr>
              <w:pStyle w:val="30"/>
              <w:rPr>
                <w:color w:val="auto"/>
              </w:rPr>
            </w:pPr>
            <w:r>
              <w:rPr>
                <w:rFonts w:hint="eastAsia"/>
                <w:color w:val="auto"/>
              </w:rPr>
              <w:t>0</w:t>
            </w:r>
          </w:p>
        </w:tc>
        <w:tc>
          <w:tcPr>
            <w:tcW w:w="555" w:type="pct"/>
            <w:vAlign w:val="center"/>
          </w:tcPr>
          <w:p w14:paraId="5E768C50">
            <w:pPr>
              <w:pStyle w:val="30"/>
              <w:rPr>
                <w:color w:val="auto"/>
              </w:rPr>
            </w:pPr>
            <w:r>
              <w:rPr>
                <w:rFonts w:hint="eastAsia"/>
                <w:color w:val="auto"/>
              </w:rPr>
              <w:t>0</w:t>
            </w:r>
          </w:p>
        </w:tc>
        <w:tc>
          <w:tcPr>
            <w:tcW w:w="555" w:type="pct"/>
            <w:vAlign w:val="center"/>
          </w:tcPr>
          <w:p w14:paraId="3550C792">
            <w:pPr>
              <w:pStyle w:val="30"/>
              <w:rPr>
                <w:rFonts w:hint="default" w:eastAsia="宋体"/>
                <w:color w:val="auto"/>
                <w:lang w:val="en-US" w:eastAsia="zh-CN"/>
              </w:rPr>
            </w:pPr>
            <w:r>
              <w:rPr>
                <w:rFonts w:hint="eastAsia"/>
                <w:color w:val="auto"/>
                <w:lang w:val="en-US" w:eastAsia="zh-CN"/>
              </w:rPr>
              <w:t>0.05</w:t>
            </w:r>
          </w:p>
        </w:tc>
        <w:tc>
          <w:tcPr>
            <w:tcW w:w="555" w:type="pct"/>
            <w:vAlign w:val="center"/>
          </w:tcPr>
          <w:p w14:paraId="0AE6A593">
            <w:pPr>
              <w:pStyle w:val="30"/>
              <w:rPr>
                <w:color w:val="auto"/>
              </w:rPr>
            </w:pPr>
            <w:r>
              <w:rPr>
                <w:rFonts w:hint="eastAsia"/>
                <w:color w:val="auto"/>
              </w:rPr>
              <w:t>0</w:t>
            </w:r>
          </w:p>
        </w:tc>
        <w:tc>
          <w:tcPr>
            <w:tcW w:w="664" w:type="pct"/>
            <w:shd w:val="clear" w:color="auto" w:fill="auto"/>
            <w:vAlign w:val="center"/>
          </w:tcPr>
          <w:p w14:paraId="27A64B03">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0.05</w:t>
            </w:r>
          </w:p>
        </w:tc>
        <w:tc>
          <w:tcPr>
            <w:tcW w:w="448" w:type="pct"/>
            <w:shd w:val="clear" w:color="auto" w:fill="auto"/>
            <w:vAlign w:val="center"/>
          </w:tcPr>
          <w:p w14:paraId="3FCBDA8B">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+0.05</w:t>
            </w:r>
          </w:p>
        </w:tc>
      </w:tr>
      <w:tr w14:paraId="3FC58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785FA02F">
            <w:pPr>
              <w:pStyle w:val="30"/>
              <w:rPr>
                <w:color w:val="auto"/>
              </w:rPr>
            </w:pPr>
          </w:p>
        </w:tc>
        <w:tc>
          <w:tcPr>
            <w:tcW w:w="608" w:type="pct"/>
            <w:vAlign w:val="center"/>
          </w:tcPr>
          <w:p w14:paraId="564DC5A1">
            <w:pPr>
              <w:pStyle w:val="30"/>
              <w:rPr>
                <w:color w:val="auto"/>
              </w:rPr>
            </w:pPr>
            <w:r>
              <w:rPr>
                <w:rFonts w:hint="eastAsia"/>
                <w:color w:val="auto"/>
              </w:rPr>
              <w:t>含油废沙</w:t>
            </w:r>
          </w:p>
        </w:tc>
        <w:tc>
          <w:tcPr>
            <w:tcW w:w="501" w:type="pct"/>
            <w:vAlign w:val="center"/>
          </w:tcPr>
          <w:p w14:paraId="423ABABA">
            <w:pPr>
              <w:pStyle w:val="30"/>
              <w:rPr>
                <w:color w:val="auto"/>
              </w:rPr>
            </w:pPr>
            <w:r>
              <w:rPr>
                <w:rFonts w:hint="eastAsia"/>
                <w:color w:val="auto"/>
              </w:rPr>
              <w:t>0</w:t>
            </w:r>
          </w:p>
        </w:tc>
        <w:tc>
          <w:tcPr>
            <w:tcW w:w="555" w:type="pct"/>
            <w:vAlign w:val="center"/>
          </w:tcPr>
          <w:p w14:paraId="12B98540">
            <w:pPr>
              <w:pStyle w:val="30"/>
              <w:rPr>
                <w:color w:val="auto"/>
              </w:rPr>
            </w:pPr>
            <w:r>
              <w:rPr>
                <w:rFonts w:hint="eastAsia"/>
                <w:color w:val="auto"/>
              </w:rPr>
              <w:t>0</w:t>
            </w:r>
          </w:p>
        </w:tc>
        <w:tc>
          <w:tcPr>
            <w:tcW w:w="555" w:type="pct"/>
            <w:vAlign w:val="center"/>
          </w:tcPr>
          <w:p w14:paraId="4BBD7B03">
            <w:pPr>
              <w:pStyle w:val="30"/>
              <w:rPr>
                <w:color w:val="auto"/>
              </w:rPr>
            </w:pPr>
            <w:r>
              <w:rPr>
                <w:rFonts w:hint="eastAsia"/>
                <w:color w:val="auto"/>
              </w:rPr>
              <w:t>0</w:t>
            </w:r>
          </w:p>
        </w:tc>
        <w:tc>
          <w:tcPr>
            <w:tcW w:w="555" w:type="pct"/>
            <w:vAlign w:val="center"/>
          </w:tcPr>
          <w:p w14:paraId="37FF76B5">
            <w:pPr>
              <w:pStyle w:val="30"/>
              <w:rPr>
                <w:rFonts w:hint="default" w:eastAsia="宋体"/>
                <w:color w:val="auto"/>
                <w:lang w:val="en-US" w:eastAsia="zh-CN"/>
              </w:rPr>
            </w:pPr>
            <w:r>
              <w:rPr>
                <w:rFonts w:hint="eastAsia"/>
                <w:color w:val="auto"/>
                <w:lang w:val="en-US" w:eastAsia="zh-CN"/>
              </w:rPr>
              <w:t>0.1</w:t>
            </w:r>
          </w:p>
        </w:tc>
        <w:tc>
          <w:tcPr>
            <w:tcW w:w="555" w:type="pct"/>
            <w:vAlign w:val="center"/>
          </w:tcPr>
          <w:p w14:paraId="6F3DFA33">
            <w:pPr>
              <w:pStyle w:val="30"/>
              <w:rPr>
                <w:color w:val="auto"/>
              </w:rPr>
            </w:pPr>
            <w:r>
              <w:rPr>
                <w:rFonts w:hint="eastAsia"/>
                <w:color w:val="auto"/>
              </w:rPr>
              <w:t>0</w:t>
            </w:r>
          </w:p>
        </w:tc>
        <w:tc>
          <w:tcPr>
            <w:tcW w:w="664" w:type="pct"/>
            <w:shd w:val="clear" w:color="auto" w:fill="auto"/>
            <w:vAlign w:val="center"/>
          </w:tcPr>
          <w:p w14:paraId="38575343">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0.1</w:t>
            </w:r>
          </w:p>
        </w:tc>
        <w:tc>
          <w:tcPr>
            <w:tcW w:w="448" w:type="pct"/>
            <w:shd w:val="clear" w:color="auto" w:fill="auto"/>
            <w:vAlign w:val="center"/>
          </w:tcPr>
          <w:p w14:paraId="22778915">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+0.1</w:t>
            </w:r>
          </w:p>
        </w:tc>
      </w:tr>
      <w:tr w14:paraId="582DD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640BB17E">
            <w:pPr>
              <w:pStyle w:val="30"/>
              <w:rPr>
                <w:color w:val="auto"/>
              </w:rPr>
            </w:pPr>
          </w:p>
        </w:tc>
        <w:tc>
          <w:tcPr>
            <w:tcW w:w="608" w:type="pct"/>
            <w:vAlign w:val="center"/>
          </w:tcPr>
          <w:p w14:paraId="3464BED9">
            <w:pPr>
              <w:pStyle w:val="30"/>
              <w:rPr>
                <w:color w:val="auto"/>
              </w:rPr>
            </w:pPr>
            <w:r>
              <w:rPr>
                <w:rFonts w:hint="eastAsia"/>
                <w:color w:val="auto"/>
              </w:rPr>
              <w:t>废机油</w:t>
            </w:r>
          </w:p>
        </w:tc>
        <w:tc>
          <w:tcPr>
            <w:tcW w:w="501" w:type="pct"/>
            <w:vAlign w:val="center"/>
          </w:tcPr>
          <w:p w14:paraId="58233BB5">
            <w:pPr>
              <w:pStyle w:val="30"/>
              <w:rPr>
                <w:color w:val="auto"/>
              </w:rPr>
            </w:pPr>
            <w:r>
              <w:rPr>
                <w:rFonts w:hint="eastAsia"/>
                <w:color w:val="auto"/>
              </w:rPr>
              <w:t>0</w:t>
            </w:r>
          </w:p>
        </w:tc>
        <w:tc>
          <w:tcPr>
            <w:tcW w:w="555" w:type="pct"/>
            <w:vAlign w:val="center"/>
          </w:tcPr>
          <w:p w14:paraId="0539D4EA">
            <w:pPr>
              <w:pStyle w:val="30"/>
              <w:rPr>
                <w:color w:val="auto"/>
              </w:rPr>
            </w:pPr>
            <w:r>
              <w:rPr>
                <w:rFonts w:hint="eastAsia"/>
                <w:color w:val="auto"/>
              </w:rPr>
              <w:t>0</w:t>
            </w:r>
          </w:p>
        </w:tc>
        <w:tc>
          <w:tcPr>
            <w:tcW w:w="555" w:type="pct"/>
            <w:vAlign w:val="center"/>
          </w:tcPr>
          <w:p w14:paraId="106E591F">
            <w:pPr>
              <w:pStyle w:val="30"/>
              <w:rPr>
                <w:color w:val="auto"/>
              </w:rPr>
            </w:pPr>
            <w:r>
              <w:rPr>
                <w:rFonts w:hint="eastAsia"/>
                <w:color w:val="auto"/>
              </w:rPr>
              <w:t>0</w:t>
            </w:r>
          </w:p>
        </w:tc>
        <w:tc>
          <w:tcPr>
            <w:tcW w:w="555" w:type="pct"/>
            <w:vAlign w:val="center"/>
          </w:tcPr>
          <w:p w14:paraId="3D76E3B7">
            <w:pPr>
              <w:pStyle w:val="30"/>
              <w:rPr>
                <w:rFonts w:hint="default" w:eastAsia="宋体"/>
                <w:color w:val="auto"/>
                <w:lang w:val="en-US" w:eastAsia="zh-CN"/>
              </w:rPr>
            </w:pPr>
            <w:r>
              <w:rPr>
                <w:rFonts w:hint="eastAsia"/>
                <w:color w:val="auto"/>
                <w:lang w:val="en-US" w:eastAsia="zh-CN"/>
              </w:rPr>
              <w:t>1.5</w:t>
            </w:r>
          </w:p>
        </w:tc>
        <w:tc>
          <w:tcPr>
            <w:tcW w:w="555" w:type="pct"/>
            <w:vAlign w:val="center"/>
          </w:tcPr>
          <w:p w14:paraId="2CE9392C">
            <w:pPr>
              <w:pStyle w:val="30"/>
              <w:rPr>
                <w:color w:val="auto"/>
              </w:rPr>
            </w:pPr>
            <w:r>
              <w:rPr>
                <w:rFonts w:hint="eastAsia"/>
                <w:color w:val="auto"/>
              </w:rPr>
              <w:t>0</w:t>
            </w:r>
          </w:p>
        </w:tc>
        <w:tc>
          <w:tcPr>
            <w:tcW w:w="664" w:type="pct"/>
            <w:shd w:val="clear" w:color="auto" w:fill="auto"/>
            <w:vAlign w:val="center"/>
          </w:tcPr>
          <w:p w14:paraId="0C082DBB">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1.5</w:t>
            </w:r>
          </w:p>
        </w:tc>
        <w:tc>
          <w:tcPr>
            <w:tcW w:w="448" w:type="pct"/>
            <w:shd w:val="clear" w:color="auto" w:fill="auto"/>
            <w:vAlign w:val="center"/>
          </w:tcPr>
          <w:p w14:paraId="4C708041">
            <w:pPr>
              <w:pStyle w:val="30"/>
              <w:rPr>
                <w:rFonts w:hint="default" w:ascii="Times New Roman" w:hAnsi="Times New Roman" w:eastAsia="宋体" w:cs="Times New Roman"/>
                <w:color w:val="auto"/>
                <w:kern w:val="0"/>
                <w:sz w:val="18"/>
                <w:szCs w:val="18"/>
                <w:lang w:val="en-US" w:eastAsia="zh-CN" w:bidi="ar-SA"/>
              </w:rPr>
            </w:pPr>
            <w:r>
              <w:rPr>
                <w:rFonts w:hint="eastAsia"/>
                <w:color w:val="auto"/>
                <w:lang w:val="en-US" w:eastAsia="zh-CN"/>
              </w:rPr>
              <w:t>+1.5</w:t>
            </w:r>
          </w:p>
        </w:tc>
      </w:tr>
      <w:tr w14:paraId="5F1E2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7F6EBB2">
            <w:pPr>
              <w:pStyle w:val="30"/>
              <w:rPr>
                <w:color w:val="auto"/>
              </w:rPr>
            </w:pPr>
          </w:p>
        </w:tc>
        <w:tc>
          <w:tcPr>
            <w:tcW w:w="608" w:type="pct"/>
            <w:vAlign w:val="center"/>
          </w:tcPr>
          <w:p w14:paraId="3B4EAE7B">
            <w:pPr>
              <w:pStyle w:val="30"/>
              <w:rPr>
                <w:color w:val="auto"/>
              </w:rPr>
            </w:pPr>
            <w:r>
              <w:rPr>
                <w:rFonts w:hint="eastAsia"/>
                <w:color w:val="auto"/>
              </w:rPr>
              <w:t>废机油桶</w:t>
            </w:r>
          </w:p>
        </w:tc>
        <w:tc>
          <w:tcPr>
            <w:tcW w:w="501" w:type="pct"/>
            <w:vAlign w:val="center"/>
          </w:tcPr>
          <w:p w14:paraId="2F2F5A5A">
            <w:pPr>
              <w:pStyle w:val="30"/>
              <w:rPr>
                <w:color w:val="auto"/>
              </w:rPr>
            </w:pPr>
            <w:r>
              <w:rPr>
                <w:rFonts w:hint="eastAsia"/>
                <w:color w:val="auto"/>
              </w:rPr>
              <w:t>0</w:t>
            </w:r>
          </w:p>
        </w:tc>
        <w:tc>
          <w:tcPr>
            <w:tcW w:w="555" w:type="pct"/>
            <w:vAlign w:val="center"/>
          </w:tcPr>
          <w:p w14:paraId="5CE75CCE">
            <w:pPr>
              <w:pStyle w:val="30"/>
              <w:rPr>
                <w:color w:val="auto"/>
              </w:rPr>
            </w:pPr>
            <w:r>
              <w:rPr>
                <w:rFonts w:hint="eastAsia"/>
                <w:color w:val="auto"/>
              </w:rPr>
              <w:t>0</w:t>
            </w:r>
          </w:p>
        </w:tc>
        <w:tc>
          <w:tcPr>
            <w:tcW w:w="555" w:type="pct"/>
            <w:vAlign w:val="center"/>
          </w:tcPr>
          <w:p w14:paraId="6DE5CD05">
            <w:pPr>
              <w:pStyle w:val="30"/>
              <w:rPr>
                <w:color w:val="auto"/>
              </w:rPr>
            </w:pPr>
            <w:r>
              <w:rPr>
                <w:rFonts w:hint="eastAsia"/>
                <w:color w:val="auto"/>
              </w:rPr>
              <w:t>0</w:t>
            </w:r>
          </w:p>
        </w:tc>
        <w:tc>
          <w:tcPr>
            <w:tcW w:w="555" w:type="pct"/>
            <w:vAlign w:val="center"/>
          </w:tcPr>
          <w:p w14:paraId="0B193BD6">
            <w:pPr>
              <w:pStyle w:val="30"/>
              <w:rPr>
                <w:color w:val="auto"/>
              </w:rPr>
            </w:pPr>
            <w:r>
              <w:rPr>
                <w:rFonts w:hint="eastAsia"/>
                <w:color w:val="auto"/>
              </w:rPr>
              <w:t>0.5</w:t>
            </w:r>
          </w:p>
        </w:tc>
        <w:tc>
          <w:tcPr>
            <w:tcW w:w="555" w:type="pct"/>
            <w:vAlign w:val="center"/>
          </w:tcPr>
          <w:p w14:paraId="1CBCB715">
            <w:pPr>
              <w:pStyle w:val="30"/>
              <w:rPr>
                <w:color w:val="auto"/>
              </w:rPr>
            </w:pPr>
            <w:r>
              <w:rPr>
                <w:rFonts w:hint="eastAsia"/>
                <w:color w:val="auto"/>
              </w:rPr>
              <w:t>0</w:t>
            </w:r>
          </w:p>
        </w:tc>
        <w:tc>
          <w:tcPr>
            <w:tcW w:w="664" w:type="pct"/>
            <w:shd w:val="clear" w:color="auto" w:fill="auto"/>
            <w:vAlign w:val="center"/>
          </w:tcPr>
          <w:p w14:paraId="0652549B">
            <w:pPr>
              <w:pStyle w:val="30"/>
              <w:rPr>
                <w:rFonts w:ascii="Times New Roman" w:hAnsi="Times New Roman" w:eastAsia="宋体" w:cs="Times New Roman"/>
                <w:color w:val="auto"/>
                <w:kern w:val="0"/>
                <w:sz w:val="18"/>
                <w:szCs w:val="18"/>
                <w:lang w:val="en-US" w:eastAsia="zh-CN" w:bidi="ar-SA"/>
              </w:rPr>
            </w:pPr>
            <w:r>
              <w:rPr>
                <w:rFonts w:hint="eastAsia"/>
                <w:color w:val="auto"/>
              </w:rPr>
              <w:t>0.5</w:t>
            </w:r>
          </w:p>
        </w:tc>
        <w:tc>
          <w:tcPr>
            <w:tcW w:w="448" w:type="pct"/>
            <w:shd w:val="clear" w:color="auto" w:fill="auto"/>
            <w:vAlign w:val="center"/>
          </w:tcPr>
          <w:p w14:paraId="7182D31A">
            <w:pPr>
              <w:pStyle w:val="30"/>
              <w:rPr>
                <w:rFonts w:ascii="Times New Roman" w:hAnsi="Times New Roman" w:eastAsia="宋体" w:cs="Times New Roman"/>
                <w:color w:val="auto"/>
                <w:kern w:val="0"/>
                <w:sz w:val="18"/>
                <w:szCs w:val="18"/>
                <w:lang w:val="en-US" w:eastAsia="zh-CN" w:bidi="ar-SA"/>
              </w:rPr>
            </w:pPr>
            <w:r>
              <w:rPr>
                <w:rFonts w:hint="eastAsia"/>
                <w:color w:val="auto"/>
                <w:lang w:val="en-US" w:eastAsia="zh-CN"/>
              </w:rPr>
              <w:t>+</w:t>
            </w:r>
            <w:r>
              <w:rPr>
                <w:rFonts w:hint="eastAsia"/>
                <w:color w:val="auto"/>
              </w:rPr>
              <w:t>0.5</w:t>
            </w:r>
          </w:p>
        </w:tc>
      </w:tr>
      <w:tr w14:paraId="2815B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737E950C">
            <w:pPr>
              <w:pStyle w:val="30"/>
              <w:rPr>
                <w:color w:val="auto"/>
              </w:rPr>
            </w:pPr>
          </w:p>
        </w:tc>
        <w:tc>
          <w:tcPr>
            <w:tcW w:w="608" w:type="pct"/>
            <w:vAlign w:val="center"/>
          </w:tcPr>
          <w:p w14:paraId="0E29479B">
            <w:pPr>
              <w:pStyle w:val="30"/>
              <w:rPr>
                <w:color w:val="auto"/>
              </w:rPr>
            </w:pPr>
            <w:r>
              <w:rPr>
                <w:rFonts w:hint="eastAsia"/>
                <w:color w:val="auto"/>
              </w:rPr>
              <w:t>废电池</w:t>
            </w:r>
          </w:p>
        </w:tc>
        <w:tc>
          <w:tcPr>
            <w:tcW w:w="501" w:type="pct"/>
            <w:vAlign w:val="center"/>
          </w:tcPr>
          <w:p w14:paraId="74B124B1">
            <w:pPr>
              <w:pStyle w:val="30"/>
              <w:rPr>
                <w:color w:val="auto"/>
              </w:rPr>
            </w:pPr>
            <w:r>
              <w:rPr>
                <w:rFonts w:hint="eastAsia"/>
                <w:color w:val="auto"/>
              </w:rPr>
              <w:t>0</w:t>
            </w:r>
          </w:p>
        </w:tc>
        <w:tc>
          <w:tcPr>
            <w:tcW w:w="555" w:type="pct"/>
            <w:vAlign w:val="center"/>
          </w:tcPr>
          <w:p w14:paraId="5DCF6BE4">
            <w:pPr>
              <w:pStyle w:val="30"/>
              <w:rPr>
                <w:color w:val="auto"/>
              </w:rPr>
            </w:pPr>
            <w:r>
              <w:rPr>
                <w:rFonts w:hint="eastAsia"/>
                <w:color w:val="auto"/>
              </w:rPr>
              <w:t>0</w:t>
            </w:r>
          </w:p>
        </w:tc>
        <w:tc>
          <w:tcPr>
            <w:tcW w:w="555" w:type="pct"/>
            <w:vAlign w:val="center"/>
          </w:tcPr>
          <w:p w14:paraId="4092B4A0">
            <w:pPr>
              <w:pStyle w:val="30"/>
              <w:rPr>
                <w:color w:val="auto"/>
              </w:rPr>
            </w:pPr>
            <w:r>
              <w:rPr>
                <w:rFonts w:hint="eastAsia"/>
                <w:color w:val="auto"/>
              </w:rPr>
              <w:t>0</w:t>
            </w:r>
          </w:p>
        </w:tc>
        <w:tc>
          <w:tcPr>
            <w:tcW w:w="555" w:type="pct"/>
            <w:vAlign w:val="center"/>
          </w:tcPr>
          <w:p w14:paraId="474BA009">
            <w:pPr>
              <w:pStyle w:val="30"/>
              <w:rPr>
                <w:color w:val="auto"/>
              </w:rPr>
            </w:pPr>
            <w:r>
              <w:rPr>
                <w:rFonts w:hint="eastAsia"/>
                <w:color w:val="auto"/>
              </w:rPr>
              <w:t>0.4</w:t>
            </w:r>
          </w:p>
        </w:tc>
        <w:tc>
          <w:tcPr>
            <w:tcW w:w="555" w:type="pct"/>
            <w:vAlign w:val="center"/>
          </w:tcPr>
          <w:p w14:paraId="635727BE">
            <w:pPr>
              <w:pStyle w:val="30"/>
              <w:rPr>
                <w:color w:val="auto"/>
              </w:rPr>
            </w:pPr>
            <w:r>
              <w:rPr>
                <w:rFonts w:hint="eastAsia"/>
                <w:color w:val="auto"/>
              </w:rPr>
              <w:t>0</w:t>
            </w:r>
          </w:p>
        </w:tc>
        <w:tc>
          <w:tcPr>
            <w:tcW w:w="664" w:type="pct"/>
            <w:shd w:val="clear" w:color="auto" w:fill="auto"/>
            <w:vAlign w:val="center"/>
          </w:tcPr>
          <w:p w14:paraId="2552B013">
            <w:pPr>
              <w:pStyle w:val="30"/>
              <w:rPr>
                <w:rFonts w:ascii="Times New Roman" w:hAnsi="Times New Roman" w:eastAsia="宋体" w:cs="Times New Roman"/>
                <w:color w:val="auto"/>
                <w:kern w:val="0"/>
                <w:sz w:val="18"/>
                <w:szCs w:val="18"/>
                <w:lang w:val="en-US" w:eastAsia="zh-CN" w:bidi="ar-SA"/>
              </w:rPr>
            </w:pPr>
            <w:r>
              <w:rPr>
                <w:rFonts w:hint="eastAsia"/>
                <w:color w:val="auto"/>
              </w:rPr>
              <w:t>0.4</w:t>
            </w:r>
          </w:p>
        </w:tc>
        <w:tc>
          <w:tcPr>
            <w:tcW w:w="448" w:type="pct"/>
            <w:shd w:val="clear" w:color="auto" w:fill="auto"/>
            <w:vAlign w:val="center"/>
          </w:tcPr>
          <w:p w14:paraId="07A3B4A9">
            <w:pPr>
              <w:pStyle w:val="30"/>
              <w:rPr>
                <w:rFonts w:ascii="Times New Roman" w:hAnsi="Times New Roman" w:eastAsia="宋体" w:cs="Times New Roman"/>
                <w:color w:val="auto"/>
                <w:kern w:val="0"/>
                <w:sz w:val="18"/>
                <w:szCs w:val="18"/>
                <w:lang w:val="en-US" w:eastAsia="zh-CN" w:bidi="ar-SA"/>
              </w:rPr>
            </w:pPr>
            <w:r>
              <w:rPr>
                <w:rFonts w:hint="eastAsia"/>
                <w:color w:val="auto"/>
                <w:lang w:val="en-US" w:eastAsia="zh-CN"/>
              </w:rPr>
              <w:t>+</w:t>
            </w:r>
            <w:r>
              <w:rPr>
                <w:rFonts w:hint="eastAsia"/>
                <w:color w:val="auto"/>
              </w:rPr>
              <w:t>0.4</w:t>
            </w:r>
          </w:p>
        </w:tc>
      </w:tr>
    </w:tbl>
    <w:p w14:paraId="351B550D">
      <w:pPr>
        <w:pStyle w:val="30"/>
        <w:spacing w:before="192" w:beforeLines="80" w:after="24" w:line="220" w:lineRule="exact"/>
        <w:jc w:val="left"/>
        <w:rPr>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7D1B1340">
      <w:pPr>
        <w:rPr>
          <w:color w:val="auto"/>
        </w:rPr>
      </w:pPr>
    </w:p>
    <w:sectPr>
      <w:headerReference r:id="rId12" w:type="default"/>
      <w:footerReference r:id="rId13" w:type="default"/>
      <w:pgSz w:w="16838" w:h="11906" w:orient="landscape"/>
      <w:pgMar w:top="1440" w:right="1080" w:bottom="1440" w:left="1080"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80"/>
    <w:family w:val="auto"/>
    <w:pitch w:val="default"/>
    <w:sig w:usb0="00000000" w:usb1="00000000" w:usb2="00000000" w:usb3="00000000" w:csb0="00020000" w:csb1="00000000"/>
  </w:font>
  <w:font w:name="FZShuSong-Z01">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2FF" w:usb1="420024FF" w:usb2="00000000" w:usb3="00000000" w:csb0="2000019F" w:csb1="00000000"/>
  </w:font>
  <w:font w:name="瀹嬩綋">
    <w:altName w:val="Segoe Print"/>
    <w:panose1 w:val="00000000000000000000"/>
    <w:charset w:val="00"/>
    <w:family w:val="auto"/>
    <w:pitch w:val="default"/>
    <w:sig w:usb0="00000000" w:usb1="00000000" w:usb2="00000000" w:usb3="00000000" w:csb0="00000000" w:csb1="00000000"/>
  </w:font>
  <w:font w:name="DejaVu Sans">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021AF">
    <w:pPr>
      <w:tabs>
        <w:tab w:val="center" w:pos="4153"/>
        <w:tab w:val="right" w:pos="8306"/>
      </w:tabs>
      <w:ind w:right="360" w:firstLine="360"/>
      <w:jc w:val="center"/>
    </w:pPr>
  </w:p>
  <w:p w14:paraId="17B332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6573">
    <w:pPr>
      <w:framePr w:wrap="around" w:vAnchor="text" w:hAnchor="margin" w:xAlign="center" w:y="1"/>
      <w:tabs>
        <w:tab w:val="center" w:pos="4153"/>
        <w:tab w:val="right" w:pos="8306"/>
      </w:tabs>
    </w:pPr>
    <w:r>
      <w:fldChar w:fldCharType="begin"/>
    </w:r>
    <w:r>
      <w:instrText xml:space="preserve">PAGE  </w:instrText>
    </w:r>
    <w:r>
      <w:fldChar w:fldCharType="end"/>
    </w:r>
  </w:p>
  <w:p w14:paraId="4D4179E9">
    <w:pPr>
      <w:tabs>
        <w:tab w:val="center" w:pos="4153"/>
        <w:tab w:val="right" w:pos="8306"/>
      </w:tabs>
      <w:ind w:right="360" w:firstLine="360"/>
    </w:pPr>
  </w:p>
  <w:p w14:paraId="212DB14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2797E">
    <w:pPr>
      <w:tabs>
        <w:tab w:val="center" w:pos="4153"/>
        <w:tab w:val="right" w:pos="8306"/>
      </w:tabs>
    </w:pPr>
  </w:p>
  <w:p w14:paraId="568B34A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CAFC5">
    <w:pPr>
      <w:tabs>
        <w:tab w:val="center" w:pos="4153"/>
        <w:tab w:val="right" w:pos="8306"/>
      </w:tabs>
      <w:ind w:right="360" w:firstLine="360"/>
      <w:jc w:val="center"/>
    </w:pPr>
  </w:p>
  <w:p w14:paraId="787E5D9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8678E">
    <w:pPr>
      <w:tabs>
        <w:tab w:val="center" w:pos="4153"/>
        <w:tab w:val="right" w:pos="8306"/>
      </w:tabs>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4FE63">
                          <w:pPr>
                            <w:pStyle w:val="1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354FE63">
                    <w:pPr>
                      <w:pStyle w:val="1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24B1A">
    <w:pPr>
      <w:tabs>
        <w:tab w:val="center" w:pos="4153"/>
        <w:tab w:val="right" w:pos="8306"/>
      </w:tabs>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FB6A2F">
                          <w:pPr>
                            <w:tabs>
                              <w:tab w:val="center" w:pos="4153"/>
                              <w:tab w:val="right" w:pos="8306"/>
                            </w:tabs>
                          </w:pPr>
                          <w:r>
                            <w:fldChar w:fldCharType="begin"/>
                          </w:r>
                          <w:r>
                            <w:instrText xml:space="preserve"> PAGE  \* MERGEFORMAT </w:instrText>
                          </w:r>
                          <w:r>
                            <w:fldChar w:fldCharType="separate"/>
                          </w:r>
                          <w:r>
                            <w:t>70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3EFB6A2F">
                    <w:pPr>
                      <w:tabs>
                        <w:tab w:val="center" w:pos="4153"/>
                        <w:tab w:val="right" w:pos="8306"/>
                      </w:tabs>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84B3C">
    <w:pPr>
      <w:tabs>
        <w:tab w:val="center" w:pos="4153"/>
        <w:tab w:val="right" w:pos="8306"/>
      </w:tabs>
    </w:pPr>
  </w:p>
  <w:p w14:paraId="0C5A00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B619">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ADF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D83C83"/>
    <w:multiLevelType w:val="singleLevel"/>
    <w:tmpl w:val="CFD83C83"/>
    <w:lvl w:ilvl="0" w:tentative="0">
      <w:start w:val="2"/>
      <w:numFmt w:val="chineseCounting"/>
      <w:suff w:val="nothing"/>
      <w:lvlText w:val="%1、"/>
      <w:lvlJc w:val="left"/>
      <w:rPr>
        <w:rFonts w:hint="eastAsia"/>
      </w:rPr>
    </w:lvl>
  </w:abstractNum>
  <w:abstractNum w:abstractNumId="1">
    <w:nsid w:val="D05302B3"/>
    <w:multiLevelType w:val="singleLevel"/>
    <w:tmpl w:val="D05302B3"/>
    <w:lvl w:ilvl="0" w:tentative="0">
      <w:start w:val="4"/>
      <w:numFmt w:val="decimal"/>
      <w:suff w:val="nothing"/>
      <w:lvlText w:val="（%1）"/>
      <w:lvlJc w:val="left"/>
    </w:lvl>
  </w:abstractNum>
  <w:abstractNum w:abstractNumId="2">
    <w:nsid w:val="4151A3B0"/>
    <w:multiLevelType w:val="singleLevel"/>
    <w:tmpl w:val="4151A3B0"/>
    <w:lvl w:ilvl="0" w:tentative="0">
      <w:start w:val="2"/>
      <w:numFmt w:val="chineseCounting"/>
      <w:suff w:val="nothing"/>
      <w:lvlText w:val="（%1）"/>
      <w:lvlJc w:val="left"/>
      <w:rPr>
        <w:rFonts w:hint="eastAsia"/>
      </w:rPr>
    </w:lvl>
  </w:abstractNum>
  <w:abstractNum w:abstractNumId="3">
    <w:nsid w:val="4ADEC289"/>
    <w:multiLevelType w:val="singleLevel"/>
    <w:tmpl w:val="4ADEC289"/>
    <w:lvl w:ilvl="0" w:tentative="0">
      <w:start w:val="6"/>
      <w:numFmt w:val="chineseCounting"/>
      <w:suff w:val="nothing"/>
      <w:lvlText w:val="%1、"/>
      <w:lvlJc w:val="left"/>
      <w:rPr>
        <w:rFonts w:hint="eastAsia"/>
      </w:rPr>
    </w:lvl>
  </w:abstractNum>
  <w:abstractNum w:abstractNumId="4">
    <w:nsid w:val="66AFF2B0"/>
    <w:multiLevelType w:val="singleLevel"/>
    <w:tmpl w:val="66AFF2B0"/>
    <w:lvl w:ilvl="0" w:tentative="0">
      <w:start w:val="4"/>
      <w:numFmt w:val="decimal"/>
      <w:suff w:val="nothing"/>
      <w:lvlText w:val="%1、"/>
      <w:lvlJc w:val="left"/>
    </w:lvl>
  </w:abstractNum>
  <w:abstractNum w:abstractNumId="5">
    <w:nsid w:val="6F79AEC0"/>
    <w:multiLevelType w:val="singleLevel"/>
    <w:tmpl w:val="6F79AEC0"/>
    <w:lvl w:ilvl="0" w:tentative="0">
      <w:start w:val="5"/>
      <w:numFmt w:val="decimal"/>
      <w:suff w:val="nothing"/>
      <w:lvlText w:val="%1、"/>
      <w:lvlJc w:val="left"/>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0NGRhMzQ5NzUyYjE4OGQ5MDJmZWJhODE4N2QxMmEifQ=="/>
  </w:docVars>
  <w:rsids>
    <w:rsidRoot w:val="079A2219"/>
    <w:rsid w:val="00014162"/>
    <w:rsid w:val="00092509"/>
    <w:rsid w:val="001B27E5"/>
    <w:rsid w:val="001C5FC6"/>
    <w:rsid w:val="002869F6"/>
    <w:rsid w:val="002A13FE"/>
    <w:rsid w:val="003D550F"/>
    <w:rsid w:val="003D5DCE"/>
    <w:rsid w:val="00A952BF"/>
    <w:rsid w:val="00D42B17"/>
    <w:rsid w:val="00D570F8"/>
    <w:rsid w:val="00DE6C68"/>
    <w:rsid w:val="00F03505"/>
    <w:rsid w:val="01CA5480"/>
    <w:rsid w:val="038C6C59"/>
    <w:rsid w:val="03B15E5A"/>
    <w:rsid w:val="03C52BEB"/>
    <w:rsid w:val="03E33071"/>
    <w:rsid w:val="04012AB3"/>
    <w:rsid w:val="04651CD8"/>
    <w:rsid w:val="05791EDF"/>
    <w:rsid w:val="058D14E6"/>
    <w:rsid w:val="05DF50E2"/>
    <w:rsid w:val="06225F86"/>
    <w:rsid w:val="06585F98"/>
    <w:rsid w:val="06924A43"/>
    <w:rsid w:val="06E54177"/>
    <w:rsid w:val="07340849"/>
    <w:rsid w:val="078E5346"/>
    <w:rsid w:val="079A2219"/>
    <w:rsid w:val="08880D15"/>
    <w:rsid w:val="08BC1CEF"/>
    <w:rsid w:val="098C12E6"/>
    <w:rsid w:val="09D516AE"/>
    <w:rsid w:val="0A7333A0"/>
    <w:rsid w:val="0AC853EE"/>
    <w:rsid w:val="0AC97464"/>
    <w:rsid w:val="0AF64E58"/>
    <w:rsid w:val="0B444D3D"/>
    <w:rsid w:val="0B786046"/>
    <w:rsid w:val="0BE45BD8"/>
    <w:rsid w:val="0BE91440"/>
    <w:rsid w:val="0C193BDB"/>
    <w:rsid w:val="0C623FD9"/>
    <w:rsid w:val="0C7156BE"/>
    <w:rsid w:val="0CC0446B"/>
    <w:rsid w:val="0D6C0249"/>
    <w:rsid w:val="0DDB3D42"/>
    <w:rsid w:val="0E092FDC"/>
    <w:rsid w:val="0E22385E"/>
    <w:rsid w:val="0ECF491D"/>
    <w:rsid w:val="0F0547E3"/>
    <w:rsid w:val="0F31382A"/>
    <w:rsid w:val="0F905347"/>
    <w:rsid w:val="10204EAA"/>
    <w:rsid w:val="10A73DA4"/>
    <w:rsid w:val="10CF6C3D"/>
    <w:rsid w:val="10EB15D4"/>
    <w:rsid w:val="119105B0"/>
    <w:rsid w:val="12957C2C"/>
    <w:rsid w:val="12C038EB"/>
    <w:rsid w:val="12DD4211"/>
    <w:rsid w:val="13FA243C"/>
    <w:rsid w:val="140E413A"/>
    <w:rsid w:val="14700951"/>
    <w:rsid w:val="147A0CD9"/>
    <w:rsid w:val="15065869"/>
    <w:rsid w:val="161578BF"/>
    <w:rsid w:val="16607A4B"/>
    <w:rsid w:val="16F87CC8"/>
    <w:rsid w:val="177120AC"/>
    <w:rsid w:val="178E4281"/>
    <w:rsid w:val="17F600E7"/>
    <w:rsid w:val="18A33066"/>
    <w:rsid w:val="18E138A3"/>
    <w:rsid w:val="18F514C8"/>
    <w:rsid w:val="19CD4417"/>
    <w:rsid w:val="19EE5D48"/>
    <w:rsid w:val="1A0E6E8A"/>
    <w:rsid w:val="1A835647"/>
    <w:rsid w:val="1B5302F1"/>
    <w:rsid w:val="1B966EEF"/>
    <w:rsid w:val="1B9C53F7"/>
    <w:rsid w:val="1D0B2F0F"/>
    <w:rsid w:val="1D497F91"/>
    <w:rsid w:val="1DCF2715"/>
    <w:rsid w:val="1E64324C"/>
    <w:rsid w:val="1E68082D"/>
    <w:rsid w:val="1E68712E"/>
    <w:rsid w:val="1EC10726"/>
    <w:rsid w:val="1EF02260"/>
    <w:rsid w:val="1F552056"/>
    <w:rsid w:val="1F8535E2"/>
    <w:rsid w:val="1F901EA7"/>
    <w:rsid w:val="1FD54D23"/>
    <w:rsid w:val="203E5DA7"/>
    <w:rsid w:val="20463A5B"/>
    <w:rsid w:val="21093CBF"/>
    <w:rsid w:val="210D6BC4"/>
    <w:rsid w:val="210D7225"/>
    <w:rsid w:val="218D1A9A"/>
    <w:rsid w:val="21A97250"/>
    <w:rsid w:val="21B87493"/>
    <w:rsid w:val="21EA32B2"/>
    <w:rsid w:val="21FA7AAB"/>
    <w:rsid w:val="223905D4"/>
    <w:rsid w:val="22396826"/>
    <w:rsid w:val="22435C5C"/>
    <w:rsid w:val="22857CBD"/>
    <w:rsid w:val="22D327D6"/>
    <w:rsid w:val="23007343"/>
    <w:rsid w:val="238E02F1"/>
    <w:rsid w:val="23C14CCA"/>
    <w:rsid w:val="2492221D"/>
    <w:rsid w:val="24B837B0"/>
    <w:rsid w:val="24C37A52"/>
    <w:rsid w:val="2511267B"/>
    <w:rsid w:val="252B5D5D"/>
    <w:rsid w:val="254D72F8"/>
    <w:rsid w:val="25581716"/>
    <w:rsid w:val="255D1B3E"/>
    <w:rsid w:val="2584600A"/>
    <w:rsid w:val="25873A81"/>
    <w:rsid w:val="26B96187"/>
    <w:rsid w:val="26E33204"/>
    <w:rsid w:val="26EC1165"/>
    <w:rsid w:val="27364886"/>
    <w:rsid w:val="27505FA6"/>
    <w:rsid w:val="28D635FE"/>
    <w:rsid w:val="28FC52BC"/>
    <w:rsid w:val="29B76DCB"/>
    <w:rsid w:val="29EF3C6E"/>
    <w:rsid w:val="2A7B2A03"/>
    <w:rsid w:val="2AA41950"/>
    <w:rsid w:val="2AAE41CD"/>
    <w:rsid w:val="2AD702E8"/>
    <w:rsid w:val="2B06580B"/>
    <w:rsid w:val="2B0B33E2"/>
    <w:rsid w:val="2B1E7D4C"/>
    <w:rsid w:val="2B2F736B"/>
    <w:rsid w:val="2B3836F1"/>
    <w:rsid w:val="2B5C5333"/>
    <w:rsid w:val="2BAE3DE1"/>
    <w:rsid w:val="2C576226"/>
    <w:rsid w:val="2C721580"/>
    <w:rsid w:val="2C8E14E5"/>
    <w:rsid w:val="2D176752"/>
    <w:rsid w:val="2DC14574"/>
    <w:rsid w:val="2DC731A9"/>
    <w:rsid w:val="2E3A7BAD"/>
    <w:rsid w:val="2E8828C1"/>
    <w:rsid w:val="2EB72FAC"/>
    <w:rsid w:val="2F1321AD"/>
    <w:rsid w:val="2F880DEC"/>
    <w:rsid w:val="2F8B384C"/>
    <w:rsid w:val="2F9678CF"/>
    <w:rsid w:val="2FAF129D"/>
    <w:rsid w:val="2FCC5836"/>
    <w:rsid w:val="301E36B5"/>
    <w:rsid w:val="30290494"/>
    <w:rsid w:val="30833CFD"/>
    <w:rsid w:val="309D2676"/>
    <w:rsid w:val="30DD4B47"/>
    <w:rsid w:val="30FC55EE"/>
    <w:rsid w:val="317666FF"/>
    <w:rsid w:val="32885B42"/>
    <w:rsid w:val="32CB0CF8"/>
    <w:rsid w:val="33531E79"/>
    <w:rsid w:val="3383387C"/>
    <w:rsid w:val="3476679F"/>
    <w:rsid w:val="3514601C"/>
    <w:rsid w:val="35345272"/>
    <w:rsid w:val="36392E40"/>
    <w:rsid w:val="366A2726"/>
    <w:rsid w:val="366E7993"/>
    <w:rsid w:val="373927D7"/>
    <w:rsid w:val="379E7531"/>
    <w:rsid w:val="37F033D3"/>
    <w:rsid w:val="37FF7772"/>
    <w:rsid w:val="38071350"/>
    <w:rsid w:val="381256F7"/>
    <w:rsid w:val="38404012"/>
    <w:rsid w:val="389425B0"/>
    <w:rsid w:val="39893797"/>
    <w:rsid w:val="39B653FD"/>
    <w:rsid w:val="3A693903"/>
    <w:rsid w:val="3ABF4BFC"/>
    <w:rsid w:val="3B001460"/>
    <w:rsid w:val="3B9A6C94"/>
    <w:rsid w:val="3BB30F9F"/>
    <w:rsid w:val="3BC1546A"/>
    <w:rsid w:val="3BCA7106"/>
    <w:rsid w:val="3C112BA4"/>
    <w:rsid w:val="3C1A3252"/>
    <w:rsid w:val="3C4C4E53"/>
    <w:rsid w:val="3C863D78"/>
    <w:rsid w:val="3DA44C15"/>
    <w:rsid w:val="3DAF5C9B"/>
    <w:rsid w:val="3E5534AE"/>
    <w:rsid w:val="3E5F6721"/>
    <w:rsid w:val="3EE75E58"/>
    <w:rsid w:val="3F510C2F"/>
    <w:rsid w:val="3F976328"/>
    <w:rsid w:val="3FFA53EF"/>
    <w:rsid w:val="40074C3E"/>
    <w:rsid w:val="400C0DB8"/>
    <w:rsid w:val="40307DF2"/>
    <w:rsid w:val="403B1563"/>
    <w:rsid w:val="40C00228"/>
    <w:rsid w:val="40CC5EDF"/>
    <w:rsid w:val="40FE0F0E"/>
    <w:rsid w:val="41073F35"/>
    <w:rsid w:val="41D97316"/>
    <w:rsid w:val="41E27280"/>
    <w:rsid w:val="422C6DC0"/>
    <w:rsid w:val="423A0699"/>
    <w:rsid w:val="424467F9"/>
    <w:rsid w:val="42EA5AF6"/>
    <w:rsid w:val="43967580"/>
    <w:rsid w:val="43FB7987"/>
    <w:rsid w:val="4441103E"/>
    <w:rsid w:val="445118C0"/>
    <w:rsid w:val="445A6FD5"/>
    <w:rsid w:val="45086E44"/>
    <w:rsid w:val="45AD2F03"/>
    <w:rsid w:val="45C70650"/>
    <w:rsid w:val="46F801AE"/>
    <w:rsid w:val="471B463B"/>
    <w:rsid w:val="473436BE"/>
    <w:rsid w:val="475B557B"/>
    <w:rsid w:val="47727274"/>
    <w:rsid w:val="478E3235"/>
    <w:rsid w:val="480D0195"/>
    <w:rsid w:val="489D100D"/>
    <w:rsid w:val="489F4D2E"/>
    <w:rsid w:val="48D16F09"/>
    <w:rsid w:val="49156DF5"/>
    <w:rsid w:val="492301AD"/>
    <w:rsid w:val="4A9B5868"/>
    <w:rsid w:val="4AE363DE"/>
    <w:rsid w:val="4B5E0F27"/>
    <w:rsid w:val="4BA76886"/>
    <w:rsid w:val="4BE46948"/>
    <w:rsid w:val="4C115F9A"/>
    <w:rsid w:val="4C1C72D0"/>
    <w:rsid w:val="4C326298"/>
    <w:rsid w:val="4C3B3017"/>
    <w:rsid w:val="4C814F84"/>
    <w:rsid w:val="4CD314A1"/>
    <w:rsid w:val="4D13189E"/>
    <w:rsid w:val="4E834E5B"/>
    <w:rsid w:val="4F1B2991"/>
    <w:rsid w:val="4FB020EE"/>
    <w:rsid w:val="50B261BD"/>
    <w:rsid w:val="50F364F6"/>
    <w:rsid w:val="516A1CA8"/>
    <w:rsid w:val="518F2DEA"/>
    <w:rsid w:val="51F06651"/>
    <w:rsid w:val="53FD39CF"/>
    <w:rsid w:val="543C5B7E"/>
    <w:rsid w:val="544D1B39"/>
    <w:rsid w:val="545F0163"/>
    <w:rsid w:val="54DC4C6B"/>
    <w:rsid w:val="54EF2BF0"/>
    <w:rsid w:val="556E620B"/>
    <w:rsid w:val="564A7404"/>
    <w:rsid w:val="56E17D8F"/>
    <w:rsid w:val="571F1279"/>
    <w:rsid w:val="574F4687"/>
    <w:rsid w:val="58670CF0"/>
    <w:rsid w:val="588673C8"/>
    <w:rsid w:val="58AE4B70"/>
    <w:rsid w:val="58C12AF6"/>
    <w:rsid w:val="59383AB7"/>
    <w:rsid w:val="596045A4"/>
    <w:rsid w:val="59723494"/>
    <w:rsid w:val="59EE3DEB"/>
    <w:rsid w:val="5A0B06CF"/>
    <w:rsid w:val="5A736072"/>
    <w:rsid w:val="5AA601F5"/>
    <w:rsid w:val="5AB3646E"/>
    <w:rsid w:val="5AEB7274"/>
    <w:rsid w:val="5B215ACE"/>
    <w:rsid w:val="5B8322E4"/>
    <w:rsid w:val="5B8D7C5D"/>
    <w:rsid w:val="5B9E0ECC"/>
    <w:rsid w:val="5D2C71FC"/>
    <w:rsid w:val="5D5F0352"/>
    <w:rsid w:val="5DA77C46"/>
    <w:rsid w:val="5DD402EC"/>
    <w:rsid w:val="5E1B6804"/>
    <w:rsid w:val="5E753610"/>
    <w:rsid w:val="5E786A5C"/>
    <w:rsid w:val="5EA2252E"/>
    <w:rsid w:val="5F385850"/>
    <w:rsid w:val="5F5538BD"/>
    <w:rsid w:val="5F5D4BFA"/>
    <w:rsid w:val="5F740E47"/>
    <w:rsid w:val="5F881C77"/>
    <w:rsid w:val="5FA62F8D"/>
    <w:rsid w:val="5FAC27D3"/>
    <w:rsid w:val="5FC56F95"/>
    <w:rsid w:val="60F03F78"/>
    <w:rsid w:val="60F56C65"/>
    <w:rsid w:val="61446072"/>
    <w:rsid w:val="617050B9"/>
    <w:rsid w:val="61B256D1"/>
    <w:rsid w:val="61B7701C"/>
    <w:rsid w:val="61EE3DCB"/>
    <w:rsid w:val="6309505C"/>
    <w:rsid w:val="635D2CCF"/>
    <w:rsid w:val="639727E0"/>
    <w:rsid w:val="643F1AE5"/>
    <w:rsid w:val="64546740"/>
    <w:rsid w:val="64B34D12"/>
    <w:rsid w:val="64C80D68"/>
    <w:rsid w:val="65507082"/>
    <w:rsid w:val="66D15330"/>
    <w:rsid w:val="67355330"/>
    <w:rsid w:val="67A7735B"/>
    <w:rsid w:val="68880F3A"/>
    <w:rsid w:val="68D00016"/>
    <w:rsid w:val="68D512E8"/>
    <w:rsid w:val="68DA0E00"/>
    <w:rsid w:val="69EA4783"/>
    <w:rsid w:val="6A1F5CB3"/>
    <w:rsid w:val="6A9C0CCD"/>
    <w:rsid w:val="6B0845B4"/>
    <w:rsid w:val="6B172CFA"/>
    <w:rsid w:val="6B2A0087"/>
    <w:rsid w:val="6B5C027E"/>
    <w:rsid w:val="6B6802F9"/>
    <w:rsid w:val="6C7E71BC"/>
    <w:rsid w:val="6CC369E5"/>
    <w:rsid w:val="6CD3474E"/>
    <w:rsid w:val="6CEA3D42"/>
    <w:rsid w:val="6CFA48AE"/>
    <w:rsid w:val="6D257696"/>
    <w:rsid w:val="6D2C27DC"/>
    <w:rsid w:val="6D7D43AF"/>
    <w:rsid w:val="6DC42A14"/>
    <w:rsid w:val="6DEE5CE3"/>
    <w:rsid w:val="6E25156C"/>
    <w:rsid w:val="6E8D72AA"/>
    <w:rsid w:val="6E9543B1"/>
    <w:rsid w:val="6FC736E2"/>
    <w:rsid w:val="6FD5500D"/>
    <w:rsid w:val="6FEA44DF"/>
    <w:rsid w:val="709A5CAE"/>
    <w:rsid w:val="70DC62C7"/>
    <w:rsid w:val="70FB54A5"/>
    <w:rsid w:val="71614339"/>
    <w:rsid w:val="71C57BBC"/>
    <w:rsid w:val="7213485D"/>
    <w:rsid w:val="73164B3A"/>
    <w:rsid w:val="735F0AE9"/>
    <w:rsid w:val="736013B0"/>
    <w:rsid w:val="73E45F6C"/>
    <w:rsid w:val="740D49E9"/>
    <w:rsid w:val="74A964C0"/>
    <w:rsid w:val="763149BF"/>
    <w:rsid w:val="7713264A"/>
    <w:rsid w:val="776863BD"/>
    <w:rsid w:val="77B77146"/>
    <w:rsid w:val="78462278"/>
    <w:rsid w:val="785A65CD"/>
    <w:rsid w:val="78A8767C"/>
    <w:rsid w:val="79171E9E"/>
    <w:rsid w:val="79F71936"/>
    <w:rsid w:val="79F75F20"/>
    <w:rsid w:val="7A04063C"/>
    <w:rsid w:val="7A513882"/>
    <w:rsid w:val="7B8A691F"/>
    <w:rsid w:val="7BB44BC0"/>
    <w:rsid w:val="7BEC3136"/>
    <w:rsid w:val="7C044924"/>
    <w:rsid w:val="7C17072E"/>
    <w:rsid w:val="7C2A3DF4"/>
    <w:rsid w:val="7C75137E"/>
    <w:rsid w:val="7D7D498E"/>
    <w:rsid w:val="7D957CE1"/>
    <w:rsid w:val="7E1A39AA"/>
    <w:rsid w:val="7E1D3A7B"/>
    <w:rsid w:val="7E2B263C"/>
    <w:rsid w:val="7E7E6C0F"/>
    <w:rsid w:val="7E9C13E9"/>
    <w:rsid w:val="7EEB2AB4"/>
    <w:rsid w:val="7EED42DB"/>
    <w:rsid w:val="7F2F7F0A"/>
    <w:rsid w:val="7F6A0F42"/>
    <w:rsid w:val="7FB2301B"/>
    <w:rsid w:val="7FD10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spacing w:before="340" w:after="330" w:line="480" w:lineRule="auto"/>
      <w:jc w:val="center"/>
      <w:outlineLvl w:val="0"/>
    </w:pPr>
    <w:rPr>
      <w:rFonts w:eastAsia="黑体"/>
      <w:kern w:val="44"/>
      <w:sz w:val="28"/>
    </w:rPr>
  </w:style>
  <w:style w:type="paragraph" w:styleId="3">
    <w:name w:val="heading 2"/>
    <w:basedOn w:val="1"/>
    <w:next w:val="1"/>
    <w:autoRedefine/>
    <w:qFormat/>
    <w:uiPriority w:val="0"/>
    <w:pPr>
      <w:keepNext/>
      <w:keepLines/>
      <w:spacing w:before="260" w:after="260"/>
      <w:ind w:firstLine="540" w:firstLineChars="168"/>
      <w:outlineLvl w:val="1"/>
    </w:pPr>
    <w:rPr>
      <w:rFonts w:ascii="Arial" w:hAnsi="Arial" w:eastAsia="黑体"/>
      <w:b/>
      <w:bCs/>
      <w:sz w:val="32"/>
      <w:szCs w:val="32"/>
    </w:rPr>
  </w:style>
  <w:style w:type="paragraph" w:styleId="4">
    <w:name w:val="heading 3"/>
    <w:basedOn w:val="1"/>
    <w:next w:val="1"/>
    <w:autoRedefine/>
    <w:semiHidden/>
    <w:unhideWhenUsed/>
    <w:qFormat/>
    <w:uiPriority w:val="0"/>
    <w:pPr>
      <w:keepNext/>
      <w:keepLines/>
      <w:spacing w:before="260" w:after="260"/>
      <w:outlineLvl w:val="2"/>
    </w:pPr>
    <w:rPr>
      <w:b/>
      <w:sz w:val="28"/>
      <w:szCs w:val="28"/>
    </w:rPr>
  </w:style>
  <w:style w:type="paragraph" w:styleId="5">
    <w:name w:val="heading 4"/>
    <w:basedOn w:val="1"/>
    <w:next w:val="1"/>
    <w:autoRedefine/>
    <w:qFormat/>
    <w:uiPriority w:val="0"/>
    <w:pPr>
      <w:keepNext/>
      <w:spacing w:line="240" w:lineRule="auto"/>
      <w:jc w:val="center"/>
      <w:outlineLvl w:val="3"/>
    </w:pPr>
    <w:rPr>
      <w:rFonts w:hint="eastAsia"/>
      <w:b/>
      <w:spacing w:val="-11"/>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unhideWhenUsed/>
    <w:qFormat/>
    <w:uiPriority w:val="0"/>
    <w:pPr>
      <w:jc w:val="center"/>
    </w:pPr>
    <w:rPr>
      <w:b/>
    </w:rPr>
  </w:style>
  <w:style w:type="paragraph" w:styleId="7">
    <w:name w:val="annotation text"/>
    <w:basedOn w:val="1"/>
    <w:link w:val="34"/>
    <w:autoRedefine/>
    <w:qFormat/>
    <w:uiPriority w:val="0"/>
    <w:pPr>
      <w:jc w:val="left"/>
    </w:pPr>
  </w:style>
  <w:style w:type="paragraph" w:styleId="8">
    <w:name w:val="Salutation"/>
    <w:basedOn w:val="1"/>
    <w:next w:val="1"/>
    <w:autoRedefine/>
    <w:unhideWhenUsed/>
    <w:qFormat/>
    <w:uiPriority w:val="99"/>
    <w:rPr>
      <w:sz w:val="21"/>
    </w:rPr>
  </w:style>
  <w:style w:type="paragraph" w:styleId="9">
    <w:name w:val="Body Text"/>
    <w:basedOn w:val="1"/>
    <w:next w:val="10"/>
    <w:autoRedefine/>
    <w:qFormat/>
    <w:uiPriority w:val="1"/>
    <w:pPr>
      <w:ind w:left="221"/>
    </w:pPr>
  </w:style>
  <w:style w:type="paragraph" w:customStyle="1" w:styleId="10">
    <w:name w:val="xl27"/>
    <w:basedOn w:val="1"/>
    <w:next w:val="11"/>
    <w:autoRedefine/>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eastAsia="宋体" w:cs="Times New Roman"/>
      <w:kern w:val="0"/>
      <w:szCs w:val="21"/>
    </w:rPr>
  </w:style>
  <w:style w:type="paragraph" w:customStyle="1" w:styleId="11">
    <w:name w:val="A正文"/>
    <w:basedOn w:val="12"/>
    <w:next w:val="9"/>
    <w:autoRedefine/>
    <w:qFormat/>
    <w:uiPriority w:val="0"/>
    <w:pPr>
      <w:widowControl/>
      <w:overflowPunct w:val="0"/>
      <w:autoSpaceDE w:val="0"/>
      <w:autoSpaceDN w:val="0"/>
      <w:jc w:val="left"/>
      <w:textAlignment w:val="baseline"/>
    </w:pPr>
  </w:style>
  <w:style w:type="paragraph" w:customStyle="1" w:styleId="12">
    <w:name w:val="正文格式"/>
    <w:basedOn w:val="1"/>
    <w:next w:val="13"/>
    <w:autoRedefine/>
    <w:qFormat/>
    <w:uiPriority w:val="0"/>
    <w:pPr>
      <w:widowControl/>
      <w:ind w:firstLine="482"/>
      <w:jc w:val="left"/>
    </w:pPr>
    <w:rPr>
      <w:rFonts w:ascii="宋体" w:hAnsi="Calibri" w:cs="Times New Roman"/>
    </w:rPr>
  </w:style>
  <w:style w:type="paragraph" w:styleId="13">
    <w:name w:val="List Paragraph"/>
    <w:basedOn w:val="1"/>
    <w:autoRedefine/>
    <w:qFormat/>
    <w:uiPriority w:val="0"/>
    <w:pPr>
      <w:ind w:firstLine="420"/>
    </w:pPr>
    <w:rPr>
      <w:rFonts w:ascii="Calibri" w:hAnsi="Calibri" w:cs="Times New Roman"/>
    </w:rPr>
  </w:style>
  <w:style w:type="paragraph" w:styleId="14">
    <w:name w:val="Plain Text"/>
    <w:basedOn w:val="1"/>
    <w:next w:val="15"/>
    <w:autoRedefine/>
    <w:qFormat/>
    <w:uiPriority w:val="0"/>
    <w:rPr>
      <w:rFonts w:ascii="宋体" w:hAnsi="Courier New" w:cs="Courier New"/>
      <w:szCs w:val="21"/>
    </w:rPr>
  </w:style>
  <w:style w:type="paragraph" w:styleId="15">
    <w:name w:val="toc 1"/>
    <w:basedOn w:val="1"/>
    <w:next w:val="1"/>
    <w:autoRedefine/>
    <w:qFormat/>
    <w:uiPriority w:val="39"/>
    <w:rPr>
      <w:caps/>
    </w:rPr>
  </w:style>
  <w:style w:type="paragraph" w:styleId="16">
    <w:name w:val="Body Text Indent 2"/>
    <w:basedOn w:val="1"/>
    <w:autoRedefine/>
    <w:unhideWhenUsed/>
    <w:qFormat/>
    <w:uiPriority w:val="99"/>
    <w:pPr>
      <w:spacing w:line="480" w:lineRule="exact"/>
      <w:ind w:firstLine="480" w:firstLineChars="200"/>
    </w:pPr>
    <w:rPr>
      <w:kern w:val="0"/>
      <w:sz w:val="24"/>
    </w:rPr>
  </w:style>
  <w:style w:type="paragraph" w:styleId="17">
    <w:name w:val="footer"/>
    <w:basedOn w:val="1"/>
    <w:autoRedefine/>
    <w:qFormat/>
    <w:uiPriority w:val="99"/>
    <w:pPr>
      <w:tabs>
        <w:tab w:val="center" w:pos="4153"/>
        <w:tab w:val="right" w:pos="8306"/>
      </w:tabs>
      <w:snapToGrid w:val="0"/>
      <w:jc w:val="left"/>
    </w:pPr>
    <w:rPr>
      <w:kern w:val="0"/>
      <w:sz w:val="18"/>
      <w:szCs w:val="20"/>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footnote text"/>
    <w:basedOn w:val="1"/>
    <w:autoRedefine/>
    <w:unhideWhenUsed/>
    <w:qFormat/>
    <w:uiPriority w:val="0"/>
    <w:pPr>
      <w:spacing w:before="60" w:line="240" w:lineRule="auto"/>
      <w:ind w:firstLine="482"/>
      <w:jc w:val="left"/>
    </w:pPr>
    <w:rPr>
      <w:rFonts w:ascii="Arial" w:hAnsi="Arial" w:eastAsia="仿宋_GB2312"/>
      <w:kern w:val="0"/>
      <w:sz w:val="18"/>
      <w:szCs w:val="18"/>
    </w:rPr>
  </w:style>
  <w:style w:type="paragraph" w:styleId="20">
    <w:name w:val="toc 2"/>
    <w:basedOn w:val="1"/>
    <w:next w:val="1"/>
    <w:autoRedefine/>
    <w:qFormat/>
    <w:uiPriority w:val="39"/>
    <w:pPr>
      <w:ind w:left="210"/>
      <w:jc w:val="left"/>
    </w:pPr>
    <w:rPr>
      <w:smallCaps/>
      <w:szCs w:val="20"/>
    </w:rPr>
  </w:style>
  <w:style w:type="paragraph" w:styleId="21">
    <w:name w:val="Normal (Web)"/>
    <w:basedOn w:val="1"/>
    <w:autoRedefine/>
    <w:qFormat/>
    <w:uiPriority w:val="0"/>
    <w:pPr>
      <w:widowControl/>
      <w:spacing w:before="100" w:beforeAutospacing="1" w:after="100" w:afterAutospacing="1"/>
    </w:pPr>
    <w:rPr>
      <w:rFonts w:hint="eastAsia"/>
    </w:rPr>
  </w:style>
  <w:style w:type="paragraph" w:styleId="22">
    <w:name w:val="annotation subject"/>
    <w:basedOn w:val="7"/>
    <w:next w:val="7"/>
    <w:link w:val="35"/>
    <w:autoRedefine/>
    <w:qFormat/>
    <w:uiPriority w:val="0"/>
    <w:rPr>
      <w:b/>
      <w:bCs/>
    </w:rPr>
  </w:style>
  <w:style w:type="paragraph" w:styleId="23">
    <w:name w:val="Body Text First Indent 2"/>
    <w:basedOn w:val="1"/>
    <w:next w:val="1"/>
    <w:autoRedefine/>
    <w:unhideWhenUsed/>
    <w:qFormat/>
    <w:uiPriority w:val="0"/>
    <w:pPr>
      <w:spacing w:after="120" w:line="240" w:lineRule="auto"/>
      <w:ind w:left="420" w:leftChars="200" w:firstLine="420"/>
    </w:pPr>
    <w:rPr>
      <w:sz w:val="21"/>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0"/>
    <w:rPr>
      <w:b/>
    </w:rPr>
  </w:style>
  <w:style w:type="character" w:styleId="28">
    <w:name w:val="page number"/>
    <w:autoRedefine/>
    <w:qFormat/>
    <w:uiPriority w:val="0"/>
  </w:style>
  <w:style w:type="character" w:styleId="29">
    <w:name w:val="annotation reference"/>
    <w:autoRedefine/>
    <w:qFormat/>
    <w:uiPriority w:val="0"/>
    <w:rPr>
      <w:sz w:val="21"/>
    </w:rPr>
  </w:style>
  <w:style w:type="paragraph" w:customStyle="1" w:styleId="30">
    <w:name w:val="表格"/>
    <w:basedOn w:val="14"/>
    <w:autoRedefine/>
    <w:qFormat/>
    <w:uiPriority w:val="0"/>
    <w:pPr>
      <w:adjustRightInd w:val="0"/>
      <w:snapToGrid w:val="0"/>
      <w:spacing w:line="240" w:lineRule="auto"/>
      <w:jc w:val="center"/>
    </w:pPr>
    <w:rPr>
      <w:rFonts w:ascii="Times New Roman" w:hAnsi="Times New Roman" w:cs="Times New Roman"/>
      <w:kern w:val="0"/>
      <w:sz w:val="18"/>
      <w:szCs w:val="18"/>
    </w:rPr>
  </w:style>
  <w:style w:type="table" w:customStyle="1" w:styleId="31">
    <w:name w:val="Table Normal"/>
    <w:autoRedefine/>
    <w:unhideWhenUsed/>
    <w:qFormat/>
    <w:uiPriority w:val="0"/>
    <w:tblPr>
      <w:tblCellMar>
        <w:top w:w="0" w:type="dxa"/>
        <w:left w:w="0" w:type="dxa"/>
        <w:bottom w:w="0" w:type="dxa"/>
        <w:right w:w="0" w:type="dxa"/>
      </w:tblCellMar>
    </w:tblPr>
  </w:style>
  <w:style w:type="paragraph" w:customStyle="1" w:styleId="32">
    <w:name w:val="0正文"/>
    <w:qFormat/>
    <w:uiPriority w:val="0"/>
    <w:pPr>
      <w:adjustRightInd w:val="0"/>
      <w:snapToGrid w:val="0"/>
      <w:spacing w:line="460" w:lineRule="exact"/>
      <w:ind w:firstLine="480" w:firstLineChars="200"/>
      <w:jc w:val="both"/>
    </w:pPr>
    <w:rPr>
      <w:rFonts w:ascii="Times New Roman" w:hAnsi="Times New Roman" w:eastAsia="宋体" w:cs="Arial"/>
      <w:snapToGrid w:val="0"/>
      <w:color w:val="000000"/>
      <w:sz w:val="24"/>
      <w:szCs w:val="21"/>
      <w:lang w:val="en-US" w:eastAsia="zh-CN" w:bidi="en-US"/>
    </w:rPr>
  </w:style>
  <w:style w:type="paragraph" w:customStyle="1" w:styleId="33">
    <w:name w:val="0表内"/>
    <w:qFormat/>
    <w:uiPriority w:val="0"/>
    <w:pPr>
      <w:adjustRightInd w:val="0"/>
      <w:snapToGrid w:val="0"/>
      <w:jc w:val="center"/>
    </w:pPr>
    <w:rPr>
      <w:rFonts w:ascii="Times New Roman" w:hAnsi="Times New Roman" w:eastAsia="宋体" w:cs="Arial"/>
      <w:bCs/>
      <w:snapToGrid w:val="0"/>
      <w:color w:val="000000"/>
      <w:sz w:val="18"/>
      <w:szCs w:val="21"/>
      <w:lang w:val="zh-CN" w:eastAsia="zh-CN" w:bidi="ar-SA"/>
    </w:rPr>
  </w:style>
  <w:style w:type="character" w:customStyle="1" w:styleId="34">
    <w:name w:val="批注文字 字符"/>
    <w:basedOn w:val="26"/>
    <w:link w:val="7"/>
    <w:qFormat/>
    <w:uiPriority w:val="0"/>
    <w:rPr>
      <w:kern w:val="2"/>
      <w:sz w:val="24"/>
      <w:szCs w:val="24"/>
    </w:rPr>
  </w:style>
  <w:style w:type="character" w:customStyle="1" w:styleId="35">
    <w:name w:val="批注主题 字符"/>
    <w:basedOn w:val="34"/>
    <w:link w:val="22"/>
    <w:autoRedefine/>
    <w:qFormat/>
    <w:uiPriority w:val="0"/>
    <w:rPr>
      <w:b/>
      <w:bCs/>
      <w:kern w:val="2"/>
      <w:sz w:val="24"/>
      <w:szCs w:val="24"/>
    </w:rPr>
  </w:style>
  <w:style w:type="character" w:customStyle="1" w:styleId="36">
    <w:name w:val="font11"/>
    <w:basedOn w:val="26"/>
    <w:autoRedefine/>
    <w:qFormat/>
    <w:uiPriority w:val="0"/>
    <w:rPr>
      <w:rFonts w:hint="default" w:ascii="Times New Roman" w:hAnsi="Times New Roman" w:cs="Times New Roman"/>
      <w:color w:val="000000"/>
      <w:sz w:val="18"/>
      <w:szCs w:val="18"/>
      <w:u w:val="none"/>
    </w:rPr>
  </w:style>
  <w:style w:type="paragraph" w:customStyle="1" w:styleId="37">
    <w:name w:val="标准文本 首行缩进:2 字符 行距1倍"/>
    <w:basedOn w:val="1"/>
    <w:autoRedefine/>
    <w:qFormat/>
    <w:uiPriority w:val="0"/>
    <w:pPr>
      <w:adjustRightInd w:val="0"/>
      <w:snapToGrid w:val="0"/>
      <w:spacing w:beforeLines="50" w:afterLines="50" w:line="400" w:lineRule="exact"/>
      <w:ind w:firstLine="482" w:firstLineChars="200"/>
      <w:jc w:val="center"/>
      <w:textAlignment w:val="center"/>
    </w:pPr>
    <w:rPr>
      <w:rFonts w:cs="宋体"/>
      <w:b/>
      <w:sz w:val="24"/>
      <w:szCs w:val="20"/>
    </w:rPr>
  </w:style>
  <w:style w:type="paragraph" w:customStyle="1" w:styleId="38">
    <w:name w:val="Default"/>
    <w:autoRedefine/>
    <w:qFormat/>
    <w:uiPriority w:val="99"/>
    <w:pPr>
      <w:widowControl w:val="0"/>
      <w:autoSpaceDE w:val="0"/>
      <w:autoSpaceDN w:val="0"/>
      <w:adjustRightInd w:val="0"/>
    </w:pPr>
    <w:rPr>
      <w:rFonts w:ascii="宋体" w:hAnsi="Times New Roman" w:eastAsia="宋体" w:cs="Times New Roman"/>
      <w:color w:val="000000"/>
      <w:sz w:val="24"/>
      <w:szCs w:val="24"/>
      <w:lang w:bidi="ar-SA"/>
    </w:rPr>
  </w:style>
  <w:style w:type="paragraph" w:customStyle="1" w:styleId="39">
    <w:name w:val="0报告正文"/>
    <w:basedOn w:val="40"/>
    <w:autoRedefine/>
    <w:qFormat/>
    <w:uiPriority w:val="0"/>
    <w:pPr>
      <w:ind w:firstLine="480"/>
    </w:pPr>
  </w:style>
  <w:style w:type="paragraph" w:customStyle="1" w:styleId="40">
    <w:name w:val="0报告正文格式1"/>
    <w:basedOn w:val="1"/>
    <w:autoRedefine/>
    <w:qFormat/>
    <w:uiPriority w:val="0"/>
    <w:pPr>
      <w:widowControl/>
      <w:wordWrap w:val="0"/>
      <w:adjustRightInd w:val="0"/>
      <w:snapToGrid w:val="0"/>
      <w:spacing w:after="0" w:line="460" w:lineRule="exact"/>
      <w:ind w:firstLine="200" w:firstLineChars="200"/>
    </w:pPr>
    <w:rPr>
      <w:lang w:bidi="en-US"/>
    </w:rPr>
  </w:style>
  <w:style w:type="paragraph" w:customStyle="1" w:styleId="41">
    <w:name w:val="177正文"/>
    <w:basedOn w:val="1"/>
    <w:autoRedefine/>
    <w:qFormat/>
    <w:uiPriority w:val="0"/>
    <w:pPr>
      <w:adjustRightInd w:val="0"/>
      <w:snapToGrid w:val="0"/>
      <w:spacing w:after="0" w:line="360" w:lineRule="auto"/>
      <w:ind w:firstLine="720" w:firstLineChars="200"/>
      <w:jc w:val="both"/>
    </w:pPr>
    <w:rPr>
      <w:rFonts w:ascii="Times New Roman" w:hAnsi="Times New Roman" w:eastAsia="宋体"/>
      <w:color w:val="auto"/>
      <w:szCs w:val="24"/>
    </w:rPr>
  </w:style>
  <w:style w:type="character" w:customStyle="1" w:styleId="42">
    <w:name w:val="0表头 字符"/>
    <w:basedOn w:val="26"/>
    <w:link w:val="43"/>
    <w:qFormat/>
    <w:uiPriority w:val="0"/>
    <w:rPr>
      <w:b/>
      <w:sz w:val="21"/>
      <w:szCs w:val="22"/>
    </w:rPr>
  </w:style>
  <w:style w:type="paragraph" w:customStyle="1" w:styleId="43">
    <w:name w:val="0表头"/>
    <w:basedOn w:val="1"/>
    <w:link w:val="42"/>
    <w:autoRedefine/>
    <w:qFormat/>
    <w:uiPriority w:val="0"/>
    <w:pPr>
      <w:framePr w:hSpace="180" w:wrap="around" w:vAnchor="text" w:hAnchor="text" w:xAlign="center" w:y="1"/>
      <w:suppressOverlap/>
      <w:adjustRightInd w:val="0"/>
      <w:snapToGrid w:val="0"/>
      <w:spacing w:after="0" w:line="460" w:lineRule="exact"/>
      <w:jc w:val="center"/>
    </w:pPr>
    <w:rPr>
      <w:b/>
      <w:sz w:val="21"/>
      <w:szCs w:val="22"/>
    </w:rPr>
  </w:style>
  <w:style w:type="paragraph" w:customStyle="1" w:styleId="44">
    <w:name w:val="表内最终版"/>
    <w:basedOn w:val="45"/>
    <w:unhideWhenUsed/>
    <w:qFormat/>
    <w:uiPriority w:val="0"/>
    <w:pPr>
      <w:adjustRightInd w:val="0"/>
      <w:snapToGrid w:val="0"/>
      <w:spacing w:line="240" w:lineRule="auto"/>
      <w:ind w:firstLine="0" w:firstLineChars="0"/>
      <w:jc w:val="center"/>
      <w:textAlignment w:val="baseline"/>
    </w:pPr>
    <w:rPr>
      <w:rFonts w:ascii="Times New Roman" w:hAnsi="Times New Roman" w:eastAsia="宋体"/>
      <w:sz w:val="21"/>
    </w:rPr>
  </w:style>
  <w:style w:type="paragraph" w:customStyle="1" w:styleId="45">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2.wmf"/><Relationship Id="rId37" Type="http://schemas.openxmlformats.org/officeDocument/2006/relationships/image" Target="media/image21.wmf"/><Relationship Id="rId36" Type="http://schemas.openxmlformats.org/officeDocument/2006/relationships/image" Target="media/image20.wmf"/><Relationship Id="rId35" Type="http://schemas.openxmlformats.org/officeDocument/2006/relationships/oleObject" Target="embeddings/oleObject1.bin"/><Relationship Id="rId34" Type="http://schemas.openxmlformats.org/officeDocument/2006/relationships/image" Target="media/image19.wmf"/><Relationship Id="rId33" Type="http://schemas.openxmlformats.org/officeDocument/2006/relationships/image" Target="media/image18.wmf"/><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webp"/><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file:///C:\Users\&#26446;&#38738;&#38738;\AppData\Roaming\Tencent\Users\403002229\QQ\WinTemp\RichOle\030%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UR9BYU3GM772(UBEC80.png" TargetMode="Externa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5NjY0NTczODQwIiwKCSJHcm91cElkIiA6ICIxMjM4MDY5Nzc1IiwKCSJJbWFnZSIgOiAiaVZCT1J3MEtHZ29BQUFBTlNVaEVVZ0FBQmFvQUFBTS9DQVlBQUFBd1l1V3RBQUFBQVhOU1IwSUFyczRjNlFBQUlBQkpSRUZVZUp6czNYbDRsTlhkLy9IUG1abHNRRmhDa0VWa0RiSUlTU1pSRVpSU2E0c1diUkcxVnF0UVVZcmRwRSsxVlg2dFNLRW90QllWWE5pcUNMVllMUFdwb0ZEMVVSUXFXSVNFaEIwaUJBeUVWUk1DWkp1NXorOFBralRMSkdTRHlmSitYVmV1ekp6dC9wNWs3cG5KTjJmT0xR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m9VRXl3QXdBQUFNQUY1NHFQang5ampMblBHTk5QVWh0SkI2eTEvK3Z6K1o3ZXVuWHJWK1hhbS9qNCtCKzZYSzRIcmJVRGpURWVTVHVzdFF1VGs1UG5TN0tsRzN1OTN1NlNucEIwazZSb1kweUd0ZmExbkp5Y3A5TFMwdkl2eGdRQkFBQUFORzRrcWdFQUFKcTQrUGo0dGk2WDZ5dEp5ZGJhYlpKQ2pESERKWFdXdE12bjgxMlptcHA2cHJpOTErdDkzaGp6YzBtZlM5cGdyVzB0NlFaalRFdHI3U3ZKeWNrUEZMZU5qWTBkNkhhN1B6YkdSRmxyMTBvNllJd1pLcW0zdFhaMWNuTHl6U3FYMkFZQUFBQ0E4anpCRGdBQUFLQXg2TldyVjV1MmJkdmVaYTM5M0hHY25Ta3BLWWVDSFZOMW5UNTlPamN5TW5Kb2NuTHlodUt5SGoxNmhFZEZSYTJYNUhXNzNiZEora3VwTGpHU3hpUWxKYjFXWERCdzRNRExRa0pDUGpYRzNKK1FrUEJTVWxMU1prbnllRHl2U29xU2RIOXljdklpU1lxSmlRbHIzYnIxNjhhWTBWNnZkMHh5Y3ZLU2l6RlBBQUFBQUkyWEs5Z0JBQUFBTkFadDJyUnBLK2xaU2ErNVhLNFB2Vjd2KzE2dmQzSjhmUHkxZmZ2MmpReDJmRlZKUzB2TEw1MmtscVQwOVBROGErMC9KY2xhRzFXdXk5alNTV3BKMnJadDJ4ZVM1aFcxSHlwSmNYRnhsMHRLbFBTZnBLU2tSYVdQWjR6NW1TUy9NV1o4dlU4SUFBQUFRSlBEaW1vQUFJQnF5TS9Qenc4TEN6dHFqT2xocmUxb2pMbGMwamVOTWROYXRHaHh5dXYxSmx0cjM1ZjBVWDUrL3I3OC9QeXo3ZHExTzd0NTgrYkNZTWRlbWFJNVNOS20wdVhKeWNuSEsrbVNYZFN2ZU4vcEhwSmtyZDFUdnVIbXpac3pFeElTMHEyMVYwdHlTL0xYUzlBQUFBQUFtaVFTMVFBQUFOWGc4WGdjWTB4ZThYMXIvN3Z0c2pHbXRhVGhSZnMrS3p3OC9IQjRlUGhPeDNIMnhzZkhmMjZ0M1dXdDNadWFtdnE1Sk45RkQ3NlV4TVRFRnRiYTdwTEdTYnJIV2p0L3k1WXRuMVN6K3pCSmNoeG51eVJaYTRzVDEzMEN0RFdTMmhoandtSmpZenVucHFabTFFUDRBQUFBQUpvb0V0VUFBQURWNEhLNUNpUWRsOVN2ZkYzcHBMVWtHV082U09vaTZRWkpoUzZYSzl0YW0rUDFlazlaYS8vdGNybmVQWDM2OUlZOWUvYWN1Qml4UzFKaVltSS9hKzNPNGxpdHRVY2R4L2wrU2tyS0c5WHBuNUNROEExcjdXM1cydTNGaWUyUWtKQWt4M0dPR1dPdUtkcUx1bmlmYTVPUWtEQmRVblJSdTFZWFlFb0FBQUFBbWhCM3NBTUFBQUJvb053REJneG8yYTFiTjA5bVptWmhpeFl0d3NMQ3d1NHd4dlNTSkdOTXdLL3lqREZ1U1MyTU1lMGtYV0tNNld1TTZlSHhlQTRjT1hKazc4V2FUUHYyN2QxdXR6dEMwZzVyN1VsSmw3dGNydHM3ZGVya09YTGt5RnBKdHJLKzhmSHh0MHI2dXpHbXdPLzNqenA2OUdpbUpHVm1aam9kTzNZOGFJeTUzUmh6VzZkT25XN3AwcVhMdHpwMzd2eDdTVitUbENhcG8rTTRzNDRjT1pKMUVhWUpBQUFBb0pHcStOY1VBQUJBTTlXM2I5L0kwTkRReTkxdTkwQkpBNHErTnAwNGNlS1BraFFkSGIzQTVYTGRhNjBObUpRdXY3SmFPcGZRdHRZNmtsSWx2ZXM0enJ2WjJka2IwdFBUOHlvMHZvZ0dEaHpZTVNRazVBMWp6TmVzdFJPVGs1T2ZMOThtTVRFeHhGcjdSMG4vWTYzTk1NYmNtcFNVdExsOHU2TFYxcE9OTVZkTDhsdHJQNUgwaURIbVpVblhHR1BhYnQ2OE9mdkN6d29BQUFCQVkwV2lHZ0FBTkh2eDhmSHhrc1liWTY0MXhyUzMxcmJUdVZYUUxtdnQvL245L250T25UcDFLaW9xYXE2ayt3SWxxZ05zLzFGYy9wbmpPSE1LQ3d2WFJrUkVaRGFraXlzbUpDVEVTTnBycmQyUm5KeDhSZW02Z1FNSGRnd05EWDFMMG1CcjdUOEtDZ29tYk4rKy9jc2Fqbi9DV3B1Zm5KeDhhWDNHRFFBQUFLRHBZWTlxQUFEUTdBd1lNQ0JVVXFld3NMQ3ZTM3JZR0JNblNkWmF4MXFiSyttTXBJUFcyZzhkeDFsNTl1elo3UFQwOVB5b3FLaDBxV1NWZElWeFM2MmV6cmJXN3ZYNy9kTlRVMVAvSmFuQkpLZExTMHBLU2t0SVNNaVQxTDEwdWRmcjdTRHAzOWJheTZ5MUU3WnMyYkt3cG1QSHhjVjVKYlUzeGxSckQyd0FBQUFBelJ1SmFnQUEwT3k0WEs3WWtKQ1FWY2FZRGtWRk9kYmEveGhqUHJIV2J2UDVmTnUyYnQyYUpzbFhycXZQV3VzWVkxeWxDMHV0bms2UnROcHhuSGZPbkRueldWcGFXdjRGbjB3ZGVMM2U3cExDSmUwc1Y3VlFVaS9IY2I2ZGtwTHlYbTNHZHJsY3Z5cTYrWmNxR3dJQUFBQ0FTRlFEQUlCbUtDc3JhM3VIRGgwY2ErMSthKzF5YSsxaWErM3gxTlRVRTVLY3l2bzVqblBVR0pNcnFXWHBZa25icmJWUDUrZm5meXpweUk0ZE93b3U4QlJxSkQ0Ky9qNWp6SnJrNU9RRHhXVXhNVEd0alRIekpjbGFXNUpNVGt4TTdHYXRIU1ZwVFhXUzFIRnhjWmVtcEtRY2tlUXZMdk42dlk4WVkzNWdyVjJibkp6OGR2M09CZ0FBQUVCVFJLSWFBQUEwWlo2NHVMaGUxdHBlcWFtcDc2c29tWnFSa1pIYnNtWExCTC9mZjdJbXE1Nk5NUVhHR01kYWE0MHhwNnkxZTR3eHMwNmRPdlhQaHJ4NjJ1VnlmVlBTUXEvWCsyOWp6RjVKMFpLR0ZYMS90NkNnWUZaeFcydHQ4VFlvdmJ4ZTd6OERqV2VNK1NvcEtXbGMwZGpqRWhJU0prajZWTkpwYSswMXhwaitrbmJuNStkLy84TE9EQUFBQUVCVFFhSWFBQUEwU1VYYld2eFkwZ09Tc2djTkd2U2RyVnUzN2lxdTM3MTc5K0ZhREh2WVdydkZXcnRCMHZzNU9UbnJHbktDdXBqZjc1L2pkcnRESkYxdHJSMWlqQ213MW00enhqeWVsSlMwVUtWV2tUdU8wOXJsY3NrWTAxM2w5cTR1WnEwOVd1cjJmeVNOTXNiY0tDbEUwbjVKdi9QNWZIL2FzV1BIbVFzNk1RQUFBQUJOaGpsL0V3QUFnTVlsTmpaMnNOdnRmczRZazJpdGRSdGpQdkw3L1dOVFVsSU8xV1hjeE1URUZvV0ZoVkdwcWFsSDFVQXZrQWdBQUFBQWpSR0phZ0FBMEdSMDdkbzFva09IRGhPTk1UT0x0K2R3SEdmcDZkT25KNldscFowS2Rud0FBQUFBZ01CSVZBTUFnQ2FoYTlldUVaZGNjc2xUa2g3VXVTMG8vdVgzKzE5SVNVbDVOOGloQVFBQUFBRE9nejJxQVFCQWt4QWRIZjJremlXcEk2eTFpeVg5T2lVbDVVU1F3d0lBQUFBQVZBTXJxZ0VBUUtQV3RXdlhpT2pvNkNkZEx0Y3ZyYlVGMXRxbFc3WnNHUmZzdUFBQUFBQUExZWNLZGdBQUFBQjFZRHAwNkREU0dQTkRhMjJCTWVhbFU2ZE8vVSt3Z3dJQUFBQUExSXc3MkFFQUFBRFVSYWRPblRKZExsZWV0ZlpJZG5iMnBIMzc5bVVIT3lZQUFBQUFBQUFBQUFBQUFBQUFBQUFBQUFBQUFBQ2dldGo2QXdBQU5EcXhzYkY5TzNUbzBQYllzV05mQlRzV0FBQUFBRURkY1RGRkFBRFFxQ1FtSm9aNFBKNkpvYUdoYWZIeDhjOEVPeDRBQUFBQVFOMlJxQVlBQUkxS2ZuNStKMnZ0Q0VteTFoNE5kandBQUFBQWdMb2pVUTBBQUJvVmo4ZnpOVW05ckxYSDgvTHlYZ3AyUEFBQUFBQ0F1aU5SRFFBQUdoVmp6UGVOTVM1SmIrM2V2VHNuMlBFQUFBQUFBT3FPUkRVQUFHZzArdlhyMTE3U2NFayt4M0dXQmpzZUFBQUFBRUQ5SUZFTkFBQWFqYkN3c1A3R21OYlcycVBHbUl4Z3h3TUFBQUFBcUI4a3FnRUFRS1BoZHJ2akpja1lzOXZuODUwS2Rqd0FBQUFBZ1BwQm9ob0FBRFFhanVQMGx5UnI3Ykd6WjgvbUJUc2VBQUFBQUVEOUlGRU5BQUFhRFdOTVdOSDN2UER3Y0grdzR3RUFBQUFBMUE5UHNBTUFBRlROV211REhVTnRHV05Nc0dOQWs5TlZrcXkxbVR0MjdEZ2I3R0RRdERYbTUxK0o1MkFBQUFBMExpU3FBUUROU3BmZUF5OExEZkgwRG5ZY3FCMmZZNDNiYUV1aDN6RTkrc1YvcmE3aldaL05QcENXc2xXU3J4N0NBd0FBQUFEVUVxc3NBS0NCYTh3citocmFhcjdMWWdiMjlvUzRsMXFaeTRNZEMyckhXQm5KeWhyWituZ2JZNnc5N2JmNmZ3ZDNwN3hXRCtHaGlXbk16NzlTdzNzT0JnQUFBS3JDaW1vQVFMUGg5bmd1czdMZFhNYTBiUjBacVpDUWtHQ0hoQ0N4c3NyT1BxWENRbCtra2UwYjdIZ0FBQUFBb0xralVRMEFhSFphUjBicW9aOU0wSUQrNUNlYnEvejhBajMxOURQYXMvZnpZSWNDQUFBQUFCQ0phZ0JBTXhRU0VxSUIvZnZxbXF1dkRIWW9DSkxjM0R4RnRtb1Y3REFBQUFBQUFFVmN3UTRBQUZCemp1Tm8rZkxsR2pwMHFQTHo4NnRzbTVHUm9XblRwbW5reUpFYVBIaXdicmpoQmsyYU5LbktQbjYvWDdmZmZyc1NFeE8xYXRXcUNzZGV1WEtsSmt5WW9CRWpSbWpvMEtHNi9mYmI5Y0lMTCtqVXFWTjFuaHNBTkdUVmVmN2R2SG16SG4zMFVkMXl5eTBhTW1TSWJyNzVaazJlUEZrSERoeW84OWpsclY2OVdvbUppUm8xYWxTTjV3SUFBQUEwSkt5b0JvQkd4RnFydFd2WGFzR0NCZHExYTlkNTIzLzY2YWQ2NUpGSGxKK2ZyOFRFUkEwWk1rUmZmdm1sdG03ZFdtVy9GU3RXS0QwOVBXRGRtVE5uOUx2Zi9VNTkrL2JWNE1HRDVmUDVsSlNVcEVXTEZtbk5talY2N2JYWEZCRVJVYXY1QVVCRFZaUG4zNmVmZmxxblQ1OVcvLzc5MWJKbFMrM2N1Vk9yVnEzU21qVnJ0R2pSSXZYcDA2ZldZNWRXV0Zpb2wxNTZxVmJ6QVFBQUFCb2FFdFVBMEVpa3A2ZnJKei81aVk0ZE82Wk9uVHFwYmR1MnlzcktxclQ5NGNPSDljZ2pqeWc4UEZ3TEZpelFGVmRjVVZMbjgva3E3WGYyN0ZuTm16ZFBMcGRManVOVXFBOExDOU9pUllzVUd4dGJVcGFmbjY5eDQ4WnA5KzdkK3ZEREQzWHp6VGZYY3BZQTBQRFU5UG4zMFVjZlZYeDh2Rnl1LzM1NGNjYU1HVnErZkxtV0xsMnFLVk9tMUhyczBwWXRXNmJEaHcvTEdGUDd5UUVBQUFBTkJGdC9BRUFqOGRWWFg2bWdvRUFUSmt6UTMvLytkMFZGUlZYWmZzNmNPY3JMeTlOVFR6MVZKa2t0U1I1UDVmK25mUEhGRjVXZG5hMWJiNzAxWUgxb2FHaVpKTFYwTG5uOTlhOS9YWktVbloxZG5la0FRS05SMCtmZmhJU0VNa2xxU2JyeHhoc2xxY0lXU1RVZHU5aVJJMGMwYjk0OGZmZTczMVZZV0ZnTlpnTUFBQUEwVEt5b0JvQkdZc0NBQVhydnZmZmtkcnZQMnpZckswdHIxcXpSb0VHRE5Ianc0R29mWS92MjdWcTJiSm5HalJ1bnlNaklHc1YzOE9EQmtqZ0JvQ21weWZOdlpZcjNweTcvajhQYWpqMXo1a3g1UEI1Tm5EaFI3NzMzWHEzakFnQUFBQm9LRXRVQTBFalVaTVhjNXMyYjVmUDVkTzIxMXlvdkwwOGZmUENCOXUzYnA4aklTQTBiTmt5OWUvZXUwS2Vnb0VEVHBrMVR4NDRkOWNBREQraU5OOTQ0NzNIeTh2S1VtWm1wRlN0V2FQWHExYnJ0dHRzVUh4OWZvM2tCUUVOWDJ4WExoWVdGT25ueXBQNzk3MzlyenB3NTZ0Ky92NzcvL2UvWGVlelZxMWRyM2JwMWV1eXh4OVN1WGJ0YXhRWUFBQUEwTkNTcUFhQUpTa3RMa3lTMWF0Vks5OTU3ci9idjMxOVM5OElMTCtpblAvMnA3ci8vL2pKOVpzK2VyYlMwTkQzMzNITUtEdyt2Y3Z6MDlIVGRmdnZ0SmZlam9xSTBZOFlNalJneG9oNW5BUUNOMTdlKzlTMTkrZVdYa3M1dHQvU2pILzFJWThhTXFmTTJIWm1abVpvNWM2WUdEaHlvTys2NG96NUNCUUFBQUJvRTlxZ0dnQ2FvK0VKY2l4WXQwb0FCQS9UV1cyL3BvNDgrMGxOUFBhV1dMVnZxeFJkZjFLWk5tMHJhcjErL1huLzcyOTkwNjYyM2F0aXdZZWNkUHpJeVVuZmVlYWUrODUzdjZLcXJybEpPVG80bVQ1NnNlZlBtQmJ3QUl3QTBONk5HamRMbzBhTjEzWFhYcVZXclZwbzdkNjUrKzl2ZlZ0aWp1aWI4ZnI4ZWYveHgrWHcrVFpzMnJjSSsyQUFBQUVCanhvcHFBR2lDOHZQekpVbGR1blRSMUtsVFpZeVJkTzVpWHFkT25kTE1tVFAxajMvOFExZGVlYVVPSFRxa3h4OS9YRDE2OU5Bamp6eFNyZkhidDIrdnh4NTdyT1QreVpNbjlkaGpqMm5od29WcTI3YXQ3cnJycnZxZkZBQTBJai8vK2M5TGJ1Zm41K3Y1NTUvWDY2Ky9Ma242MDUvK1ZLc3huM3Z1T1czWnNrV1RKMDlXOSs3ZDZ5Vk9BQUFBb0tGZ0dRWUFORUV0V3JTUUpIM2pHOThvU1ZJWEd6cDBxQ1JwLy83OXlzM04xU09QUEtMOC9Iejk4WTkvTE9sWFUrM2J0OWVVS1ZNa1NjdVhMNjlENUFEUTlJU0ZoZW5oaHg5V3AwNmR0R2JOR24zMTFWYzFIdU9kZDk3UjBxVkxkZlBOTit2V1cyKzlBRkVDQUFBQXdjV0thZ0JvZ2k2OTlGSkprcy9ucTFEWHNtVkxTWksxVnV2V3JkUGV2WHNsU1hmZWVXZkFzU1pQbnF6Smt5ZnI3cnZ2MXE5KzlhdEtqM25aWlpjcE5EUlVtWm1aZFEwZkFKb2NsOHVsbmoxNzZzaVJJOHJNekt6eFJSQmZlZVVWU2VjUzF1Kzg4MDZGK295TURDVW1Ka3FTUHZyb0kwVkdSdFk5YUFBQUFPQWlJbEVOQUUyUTErdVZKQ1VsSlZXNGFPS3VYYnNrU1QxNzl0UmxsMTFXYVlKNjkrN2RTa2xKMGVEQmc5VzllL2VTTVN1VG1abXBnb0lDOWVqUm94NW1BQUJOaTdWV0J3NGNrQ1IxN05peHh2Mi8vZTF2NitUSmt3SHIzbnp6VFlXSGgydmt5SkdTcEpDUWtOb0hDZ0FBQUFRSmlXb0FhSUw2OWV1bkFRTUdhTU9HRFZxM2JsM0pCUkp6Y25MMHdnc3ZTSkp1dWVVVzllL2ZYLzM3OXc4NHhwSWxTNVNTa3FKYmJybWxKUGtoU1N0V3JOQlZWMTJsenAwN2w1U2RQbjFhVHo3NXBDVHA1cHR2dmxEVEFvQUdiK1BHalFvSkNTbnp6ejIvMzY5NTgrYnA4T0hEdXVhYWE5UytmZnNhanp0Ky9QaEs2MWFzV0tHMmJkdVd1WFlBQUFBQTBOaVFxQWFBSm1yeTVNa2FQMzY4ZnZuTFgrcTY2NjVUWkdTa05tN2NxQk1uVHVpMjIyN1RkZGRkVjZ0eE4yN2NxT25UcHlzK1BsN2R1blZUVmxhV2twT1RsWldWcFNGRGhtak1tREgxUEJNQWFEd09IVHFrNmRPbnEwK2ZQdXJmdjc4S0N3dTFiZHMyZmZIRkYrcmN1Yk1tVDU0YzdCQUJBQUNBQm9sRU5RQTBVWmRmZnJtV0xGbWlGMTU0UVpzMmJWSmVYcDU2OXV5cENSTW02TGJiYnF2MXVIZmRkWmQ4UHArMmJkdW0xTlJVaFlTRXFIZnYzdnJwVDMrcTBhTkh5K1hpT3IwQW1xK2hRNGZxN3J2djFvWU5HL1QrKysvTDcvZXJhOWV1dXYvKyt6VjI3RmoyamdZQUFBQXFZWUlkQUFDZ2F0WmFHK3dZYXNzWTA2QmVaM3IwaS8rNmpIMjlRL3ZvVG5ObXpkUTFWMThaN0pBUUpMbTVlUnJ6d0krMU9UbkZiNjJkY1dCM0NzdGNVVUZqZnY2Vkd0NXpNQUFBQUZBVmxyMEJBQUFBQUFBQUFJS0tSRFVBQUVIMCtlZWZhLzM2OWFydXdzM0N3c0lMSE5HRmtaV1ZwUlVyVnVqUW9VUEJEZ1VBQUFBQTBBQ1JxQVlBNENJNWN1U0lqaDgvWHFic3IzLzlxeDU2NkNINS9mN3o5ajkrL0xoR2p4NnRKVXVXVkpyWUxpd3NWSFoydG80Y09hSzllL2RxNDhhTit0ZS8vcVdsUzVmcXhSZGYxSXdaTTByNmZ2REJCNW8wYVpKeWNuTHFQcm56T0h6NHNLWk9uYXB0MjdaZDhHTUJBQUFBQUJvZkxxWUlBR2pRRWhNVDJ4UVdGdlpPVFUxTmtYVCtiRzREOXZUVFQydjkrdlY2NzczM2FuVkJ0Ull0V3VqeXl5L1g3Tm16dFduVEprMmJOazNIangvWFF3ODlwTnpjWE9YbTVwNDM0ZDJtVFJ1Tkd6ZE9uVHAxMHJGangvVEJCeDhvTlRWVmYvakRIelJvMENCOS9QSEgrdFd2ZmxYdG1PYk1tYU1oUTRiVWVDNEFBQUFBQUpSR29ob0FHcmptZmpFc3gzRjZlRHllelY2dmQ1ZTE5bmxyN1Z0bnpwdzVrWmFXVmlDcDBWem83Tml4WTFxM2JwMXV2UEhHV2lXcEphbGx5NWFhTld1V1hucnBKYjN5eWl1YU5HbVNubnZ1T1YxLy9mV0tpSWdvOC9Yc3M4OHFMaTVPRHo3NG9DSWpJOVc2ZFd1MWFkTkdIczkvWC9ydnZ2dHV4Y1RFNk5GSEg5WDQ4ZU0xZi81ODllclZTdzg5OUZDMVkrcmV2WHVONWxEWlN2Q3paOCtxUllzV05Sb0x1TkNhKy9NdkFBQUFjREdScUFZQU5BckdtSDdHbUJldHRkTWpJeU0vOUhxOUgwdmE2ZmY3VTFOVFU0OEZPNzd6V2JSb2tmeCt2L3IzNzYvazVPU1M4aSsvL0ZLU2xKS1NJcGNyOEk1Y3ZYdjNWdXZXclNWSnhoajk3R2MvVTlldVhUVmd3QUNGaDRmcnNjY2VxOURueFJkZlZIUjB0R0pqWTZ1TTY2cXJydExpeFl1MWVQRmlEUnc0VUI2UFIyUEhqcTN0Tk0vclAvLzVqMjY2NmFZeVpaOTk5cGttVFpxa3A1OStXZ2tKQ1JmczJBQUFBQUNBaG90RU5RQ2cwYkRXeWhqVFR0THQxdHJSa282NzNlNDk4Zkh4bTYyMUsxSlNVdFpKOGdVNXpBb3lNelAxNXB0dlNwSm16Wm9Wc00yRUNSTXE3Zi9jYzg5cDJMQmhaY3BHalJwVmIvRjE2OVpOa3lkUHJ0TVkrL2J0MC92dnZ4K3dyblNzNzczM25oNTU1QkcxYXRWS2tyUno1MDQ5L1BERE1zYkk3WGJYS1FZQUFBQUFRT05Gb2hvQTBLZ1VieDFoakhGSjZpaXBvekZtbUtUL2lZK1B6ekRHTE1qUHoxKzRZOGVPSThHTXM3UVpNMmJJY1J6Tm1ERkRIVHAwS0ZPM2VQRmlyVnUzVGdzV0xLaHlSYlhqT0hyNDRZY1ZIeCt2ZSsrOXQyUUxqeTFidHNqbnE1aWI5L2w4T25ueXBEWnQybFNoTGlJaVFnVUZCWm96WjQ1Kzg1dmZxRStmUHBLa1hidDJhYytlUFRXZTMxVlhYYVVEQnc1b3laSWxaY29keDFGQlFZRUdEeDZzME5CUVNWSmVYcDZXTDErdSsrNjdUOXUzYjlkRER6MGtsOHVsRjE5OFVRTUhEcXp4c1FFQUFBQUFUUU9KYWdCQW8xRjZ1OWhBZXgyN1hLNnVrcWFGaFlWTlNraEkyR3F0L2RCYSsyK2Z6N2Q3MjdadG4xL0VVRXVzWExsU24zenlpZTYrKzI2TkdERWlZTDBreGNYRmxkay91cnljbkJ5ZFBYdFd6ei8vdk41Nzd6MDk5ZFJUNnRHamh4NSsrR0ZsWjJjSDdMTmh3d1p0MkxDaFFubXZYcjAwZnZ4NDdkbXpSL2ZjYzQvR2p4K3ZCeDU0UUI5ODhJRmVlZVdWR3MveEQzLzRnNzc1elcvcWswOCtLVk8rYU5FaXpaczNUekV4TVRwNDhLQWtLVEl5VW4vNXkxL1VxMWN2L2VZM3YxSExsaTAxZCs1YzllM2J0OGJIclEvV1dybU0wOWJyOWNZVmx4bGpiT25iQlFVRnFxeXU5Rmd1bHl0Z3Y2cjZWRlpYUEZaK2ZuNlp1cXI2QjRvaFVIbCtmbjYxK2hUWG5UMTd0bHJ0eXJlUkpMZmJYU2FHbkp5Y0NtTUZhbGRaWGVuYjJkblpBY3ZMMy9kNFBDVzNUNXc0VWVuY1M3Y3JmVHMwTkxSTW40aUlDQ3RKbXpkdmxzcnVrMS8rU2FsUlgvd1ZBQUFBdU5oSVZBTm83dHhlci9kcVNUVzdJaHd1cG9DL20wQko2MUtyclZ0SUdpenBhbVBNVjZHaG9mdmo0K09UY2d2dHdYem5nc2RiWXRldVhab3hZNGE2ZHUycW4vNzBwM1VhS3pJeVV2UG16ZE9mLy94bnpaOC9YL2ZlZTY5V3JseXBCUXNXeU8rdm1BK2JNR0dDdkY2dmZ2S1RuMVNvQ3dzTFU0OGVQZFNuVHg5Tm1qUko4K2ZQVjI1dXJoNTg4RUhkYzg4OWtxU1pNMmZxNDQ4LzF0dHZ2MzNlTFRsYXRtd1pzUHo5OTkvWGtDRkRTcmI1a0tRZi9PQUhXcmh3b1g3NXkxOHFKaVpHczJmUFZxZE9uV3J5bzZoWFJsS3JVUGUxeHBodlNyTFcydEwvQkxIVzJ0TC9RS2d5U1Z5K1BpUWtwTXI2Nm93WEZoWldhWHRiOGI4MWxkNHYzYlo0ZFh0MXh5dTZ5T1g1WXEzMGVNVkZqdU9VZnF4VWU3elN2dy9IS1RtQmJibUxrbGJyZDlPeFk4ZUE3Yzkzdi9SNFJmSFljdnVwVjRqVkdGTnZ6emJXV3NjWTQvdnYzWklEbGZsZXVyeFV6S1hyeXBTVmIxTzZ2T2huWGRrNEFmdFVWbGI2OTFZUGNRVnFZNlZ6bitJb0YwZUZ1RXIvTG92R3F0QTJ3RGdCNHlwOXY1SzR5c1FjNkdkUVZWMkFZMVRheHUvM1Z4WmZtWEdzdFdsYnRtejVUQUFBQUEwUWlXb0F6VnA4ZlB5TmtsNDF4blE0YjJNMFdNVko2OUlKYTJPTXpMbUtLRWxSTHBlcmc4dmx2Q3ZIbXNwSHFsKzV1YmtLQ1FuUk04ODhVNXpzcXhPWHk2VUpFeWFvYjkrKzJyZHZuOXExYTZkMjdkb0ZiT3QydTlXbVRac3FWeXIzNnRWTFM1WXMwWUlGQ3pSMjdGaUZoNGNyUER4Y2tyUjc5MjcxNjlkUDdkdTNyMVdzZS9mdTFlN2R1L1dESC95Z1RIbjM3dDExODgwM2ErWEtsZnJ0YjM4YjFDUzFWUExZYVMycGQ2bjc5VG4yQlZQZjR6ZlV1VGZVc1M3bStPWEhyZXc0VlIyL3ByRlZ0aFZSYmVaWTJWaTFHYStxc1dxNnozMWxZOVZtdi95cTRxcXZtS3RxVzlVbmNrb3p4cHlOalkyOUlUVTE5ZE5xSHhnQUFPQWlJVkVOb0xucllJeHBLYW5RV3B0dWpPR2oyZzJNdFRiTUdOTXpRSG5BOWtWSkQ3K2tNOWJhTEVrSC9INy8wNm1wcVN0NzlJdi91b3krYzBFRExzWHI5ZW9mLy9pSDh2THl0R0xGaW9CdGlyZkVlT2VkZHdJbWJOcTNiNjlycjcyMlRObnc0Y00xZlBqd2Vva3hQRHhjRXlkT0xGT1dsWldsZ3djUDZ0cHJydzI0LzNXeHFpNkFPSC8rZkVWRlJlbGIzL3BXaGJxZi9PUW5Xck5talo1NjZpa3RXYktrOUFyZmk4NUt5dmZiOVI2M25XeHR5VDh4akNTVnYrOXl1VXFYbDl3dUxxK3NYN243Z2NZNjd6RksxMGt5cGZxVnYxL21lOUUvYTZwOXJNcmFtdjgrT0FQR1ZUNmVVdU5WR04rVWZhQ1hpYjBvb1ZmdHVFcUZWajZ1NHRqS2p4UG81eFZvamlvZlY2QSs1WTR2U2ZYMllDNDZucXZvSUNXeGwydFc0VW1qM08raU9uMU1aZVBYWnF4U2c5WW12cXBpcTNOODVSOTdOWXl0UXF4VnhWYStySTYvbC9vWUwxelNwWkxjYnJlN2E0QllBUUFBZ281RU5RQklzdForYWEyZFVKVFlSQU5pcmIzYzdYWXZLN29kc0UycEZkVmZTZnJJY1p3UEpHVllhMDlLT2hZU0VyTC9Jb1ZiUVhSMHRGYXRXcVdwVTZkVzJXN2F0R2tCeStQaTRpb2txdlB6ODFWNlM0aFBQLzFVQnc0Y3FOQW1QVDFkeTVZdEsxTStaTWdRZGV2V3JVelp3WU1IeTVSdDNicFZrdlQ2NjYvcjlkZGZyelRtdUxpNGdIdGE3OXk1VTJ2V3JOSEVpUk5WYnVzS1NlZTJYL2oxcjMrdEtWT21hT2JNbVhyaWlTY3FQY2JGa08vVGdUM2JreXVmS0JBY0pZbnFVdmZMMUNjbUprcVNjbk56UytvS0Nnckt0UFA1ZktiMDkyS080NVRjajQ2T051WGJGL1A3L1NiUWJVbHEwNlpOcFhXbHh5bDlyUEx0aXV0YXRteFo2WEZMOXk5OVd5cWJzSFVjeHhSL2VxVjB1L0pKM2ZMalJVUkVCR3hYZkwrcVk1YnZFeG9hR2pEV3lzYXVxaTRrSktSYjI0VmVBQUFnQUVsRVFWVFN1Q3ZySHhvYUdyRE9XbnU1TWVacFNjSDlHQXNBQUVBVlNGUUR3TGsvL2d2UG5qMjdiYytlUFNlQ0hReks4bnE5NWZlS3JkREdXcHRxclgyMm9LQmc2WTRkT3dvcU5BaXlHMjY0UVZkZmZYWEF1bWVmZlZiLyt0ZS90SHIxNm9BZkR3OEpDYWxROXVxcnIyckRoZzJhT1hPbU9uWHFwTGZmZmx1clY2OHUyYmFqV0ZwYW11Yk1tVk55UHk4dlQwODk5VlNacFBTWk0yZjB2ZTk5VDZOR2pkSnZmdk1iU2RJbGwxeWlSeDk5dE1vNXpaa3pKK0MySTRXRmhabzZkYXJhdG0yck8rNjRvOUwrdDl4eWk5YXVYYXUzM25wTG5UdDMxbzkrOUtNcWp3YzBRMWJudVNCajBRVWQ2K3p3NGNQMU1nNGFya0dEQmprZWp5Yy8ySEVBQUFCVWhVUTFBS0RSS0VwUzUxcHIwNjIxbnh0alBpc3NMUHo3dG0zYmRnWTd0cXFFaFlVRlhGbGNYQ2RKVVZGUjFkNWpkTjI2ZFVwUFQxZmJ0bTFMeXJwMzc2NDMzM3l6MGo1ZmZQR0ZicjMxMWdybEd6ZHVsTS9uSzMyUk9mWHQyN2ZLdmEydHRabzFhNWFpb3FJcTFNMmJOMDk3OSs3VmpCa3pLcjNJWXJHcFU2Y3FNek5UOCtiTms3VldFeVpNcUxJOUFBQUFBS0RwSWxFTkFHZ1VyTFdISmEyV3ROWVlzK1g0OGVON016SXljb01kMThWMi9QaHg3ZHk1VXpmZGRGT0ZGZFMxOGNrbm4waFNqZmE4enNuSmtkL3ZyNUNvL3ZEREQ3VjQ4V0lOSHo1Y0kwYU1PTzg0RVJFUm1qTm5qc2FORzZmNTgrZnIrUEhqK3ZXdmZ4M1VQYXNCQUFBQUFNRkJvaG9BMEtENS9mNU10OXM5eXVmenJmUDcvV2NhNHRZZUY5T2FOV3NrU1RmZGRGT2R4L0w3L1ZxM2JwMHV2ZlJTeGNURVZMdGY4VFlCN2R1M0x5bmJ1bldySG4vOGNWMTY2YVUxMm5PNlhidDJXcmh3b1NaT25LZzMzM3hUZS9iczBjc3Z2MXp0MWVVQUFBQUFnS2FCdndJQkFBMWFhbXJxTVVrcmdoMUhiUlFVRkNnL3Yrb3RRUXNMQ3lWSnAwK2ZsdHZ0cnJSZFJFU0VQQjZQVnF4WW9kYXRXMnZJa0NGMWp1OC8vL21QVHB3NG9YdnZ2YmRHL2RhdFd5ZEo2dG16WjBuWlo1OTlwdERRVU0yZVBidk1saVRGamg0OUtra3F2dEJaYVIwNmRORExMNytzU1pNbWFkU29VU1NwQVFBQUFLQVo0aTlCQUFBdWtMLzk3VythUFh0MnRkcmVjTU1OVmRiLzRROS9VTGR1M2JSejUwN2RldXV0RlpLNUJ3NGMwTFhYWGx1aitGYXVYQ2xKK3NZM3ZoR3dQaU1qUTlPblQxZmJ0bTBWRVJFaFk0d3lNelAxMldlZktUbzZXdkh4OFNWdDc3Ly9mbzBjT1ZLZE9uV1NkRzU3a0tsVHA2cE5temF5MXVyamp6K1d4K05Sbno1OUFoNnJSWXNXWlM3OENBQUFBQUJvWGtoVUF3QndnUXdiTmt6UjBkSDFNdGJBZ1FOMTRNQUJYWG5sbFJvNWNtU0YrcWlvS0kwZlA3N1MvbGxaV1Zxd1lFR1pzc3pNVExWdjMxNnhzYkVCKzNUdTNGbDc5dXhSZG5aMlNWbElTSWppNHVMMHlDT1BLQ1FrcEV6NzRpUzFKRVZHUmlvcEtVbloyZGt5eHFoTGx5NTYrT0dIeTdRQkFBQUFBS0FZaVdvQUFDNlFuajE3bHRrZW82NDZkZXFrd1lNSFZ5aWZQbjE2dGZvLytPQ0RaZTYvK3Vxck9uandvSXd4QWR1NzNXNTkrT0dIa2lTZnp5ZHJiWVhrZEZXSyt3SUFBQUFBY0Q0a3FnRUFhTWE2ZGV0V3JYYnNHdzBBQUFBQXVKQmN3UTRBQUFBQUFBQUFBTkM4a2FnR0FBQUFBQUFBQUFRVmlXb0FBQUFBQUFBQVFGQ1JxQVlBQUFBQUFBQUFCQldKYWdBQUFBQUFBQUJBVUpHb0JnQUFBQUFBQUFBRUZZbHFBQUFBQUFBQUFFQlFrYWdHQUFBQUFBQUFBQVFWaVdvQUFBQUFBQUFBUUZDUnFBWUFBQUFBQUFBQUJCV0phZ0FBQUFBQUFBQkFVSkdvQmdBQUFBQUFBQUFFRllscUFBQUFBQUFBQUVCUWthZ0dBQUFBQUFBQUFBUVZpV29BQUFBQUFBQUFRRkNScUFZQUFBQUFBQUFBQkJXSmFnQUFBQUFBQUFCQVVIbUNIUUFBQUJmYjZUTm50UGl2ZjlONy83Y20yS0VnU0h4K256SU9IUXAyR0FBQUFBQ0FJaVNxQVFETmh1TlluOHRsbkx5OFBMMzcvZ2ZCRGdjTmdER3lrdlVIT3c0QUFBQUFhTzVJVkFNQW1nMi9LMytueTRTOUptdDZCVHNXTkF4VzlyVFByOVhCamdNQUFBQUFtanNTMVFDQVp1UFFybDBuWTJKaW52RDVXa1VFT3hZMERHZk9GUHFPSDk5eE90aHhBQUFBQUVCelI2SWFBTkNzcEtXbDVVdktEM1ljQUFBQUFBRGd2MXpCRGdBQUFBQUFBQUFBMEx5UnFBWUFBQUFBQUFBQUJCV0phZ0FBQUFBQUFBQkFVSkdvQmdBQUFBQUFBQUFFRllscUFBQUFBQUFBQUVCUWthZ0dBQUFBQUFBQUFBUVZpV29BQUFBQUFBQUFRRkNScUFZQUFBQUFBQUFBQkJXSmFnQUFBQUFBQUFCQVVKR29CZ0FBQUFBQUFBQUVGWWxxQUFBQUFBQUFBRUJRZVlJZEFBQUFBQzQ4cjllN3hCZ3pwcExxN3lRbEpiMGRxR0xBZ0FHdHdzUEQveUFwSVNrcGFjaDVEdVB5ZXIwVGpESFBmUG5sbDFIcDZlbDVkUW9hQUFBQVFMTkJvaG9BQUtCNWlMYldPcEwrdDN5Rk1TYXpmRmxpWW1JTHgzRWVNTWI4UDBtZEpmMm5pckdOMSt2OWpqRm1pcVNFZW9zWUFBQUFRTE5Cb2hvQUFLQ09ZbUppd3RMUzB2S0RIY2Q1dEpkMElqazUrWTd6TmZSNnZYZGJhK2NiWXlJbGJkYTVSSFZBaVltSi9SekhlZDhZMDFYU1FXdnRjV05NaC9vTEd3QUFBRUJ6UUtJYUFBQ2dqbHEzYnYwanI5ZmJ4VnE3M1hHY2c5YmFiVnUzYnYwcTJIR1Zab3lKdHRZZXIyYnozdGJhTDZ5MWYzUWNaN1hINHpsYVdVT2Z6eGZ0Y3JuQ0pFM055OHY3VTFoWTJLZVNTRlFEQUFBQXFCRVMxUUFBQUhXWFdMVC9zOC9qOGZnbEZYcTkzbTNXMms4Y3gva2tOVFgxSFVuK0lNY1liWXpaWEoyR2ZyLy8yZFRVMU9tU2xKaVlHRzJ0cmJSdGRuYjJwdlQwOU00cW1wL1g2NjJQV0FFQUFBQTBNeVNxQVFBQTZzaHhuQzB1bCtzK1NlN2lwSzR4NWxwanpMVXVsMHNKQ1FteTF1NDN4bXh4SEdlRHRUWkYwbkZyYmRiWnMyZFBwcVdsbmRHRlRXUjdKTFcyMXZieWVyMS9scFJyak5sWFdGajQxdGF0Vy9lVmI1eWFtbnFtdWdOendVUUFBQUFBOVlGRU5RQUFRTjJkS0Y5UWZoV3lNYWFucEo0dWwydTBKSisxOXBpa2pNakl5UDFlci9lNHRUYk41WEp0TFNnbzJMdHQyN1pEa3B6NkNtN0FnQUhSUlRGMGwvUkFjYm5INC9tVDErdWRucHljUEtXK2pnVUFBQUFBdGVFS2RnQUFBQUJOd0NGSk1zYVVmSlZuclMzNWt1UXh4blF4eGx4dGpQbStwSis1WEs0L1dXdmZDZ2tKZVNFdUxxNS9mUWEzWThlT0U4YVlEc2FZMEZPblRvVTdqbk81dGZZSm5WdFovVVJDUXNLNCtqd2VBQUFBQU5RVUs2b0JBQUJxS0NZbUpxeFZxMWFkWFM1WEoydnRjR1BNTUd1dHp4ampzZFpXbWF3dS9kMFlJMnV0SStta3RUYlZXdnZDbGkxYjNwRlVXTThoK3padjNseDYxZmRlU2IvM2VyMXBrcFphYTM4aGFWRTlIeE1BQUFBQXFvMUVOUUFBUURYRnhjVmQ0WGE3cjdmV3hobGpCa25xYjR4cFhkWEZCb3VWYmxPY3hMYldabGxyMzVDMElqYzNkKzN1M2J0ekxsRG9BU1VuSjcrUmtKRHdzakhtQ2tsRzB2a25BZ0FBQUFBWEFJbHFBQUNBNnJ0ZTB0T1N3blF1c1N2SGNYWkwrc3psY2cyWGRGbjVsZFFCOXFxV3BGUFcycm1GaFlVTHM3S3lEbWRrWk9SZWhOZ0Q4VnRyYzQweElVRTZQZ0FBQUFCSUlsRU5BQUJRUWRldVhTTXV1ZVNTUzVPU2t2Wkw4aGVYVzJ0VHJMVjdKWjF5SEdlVjMrOWZ1WFhyMW0zOSt2V0xpb2lJV0dhTXVTelE2dXFpNUhTaHRmYVF0ZlpmZnIvL3VkVFUxTjBYYlVLVkdEUm8wQ0JqVEpTa1ZMR2FHZ0FBQUVBUWthZ0dBQUFvRWhzYjI5TGxjbjNUR1BOdFNTTVRFaEltSkNVbC9hdTQzdWZ6SlR1T00zcmJ0bTM3SlRuRjVhZE9uY3B0MGFMRnFmTGpsVXBRYjdIV3Z1TTR6ajlTVTFOM2xPNTdNY1RHeGc1MHVWejVXN1pzMlZ1cXJLdkg0M20xNk83Q2l4a1BBQUFBQUpSSG9ob0FBRUJTZkh6OFVHUE03eVFsRnEweWx1TTRQNWRVa3FqZXNXUEhhVW1ueS9jOWZQancyWTRkTzU0cXZlMUgwZTNQcmJVei9INy91Nm1wcVVjaytTN3dOQUp5dTkwREpmM1Y2L1Z1TU1ic2tkVEZXbnVkcEphU2xpVWxKYjBVakxnQUFBQUFvQmlKYWdBQTBKeTVZMk5qdTduZDdqOGFZKzRvS3N1VHRNM3Y5eitia3BMeVNuVUhzdGFtRzJOOHhoaWZ0WGFmNHpoUEhUdDI3SDhQSHo1ODlzS0VYbjErdnovWjdYYS9hNHk1U3RJMWtzNFlZNUlkeDNsNXk1WXRpOFcySHdBQUFBQ0NqRVExQUFCb2xtSmlZbHBIUmtiZUorbm54cGcra25LdHRlc2R4L2xuWVdIaDhoMDdkaHlweVhqVzJzOGwvYS9mNzEvcjkvdi92bTNidHFNWEpQQmFLTm9QZTJSdCttN2V2UG1FaWk0Y1dSM0p5Y2tEYTNNY0FBQUFBTTBiaVdvQUFORHNEQm8wYUlqSDQ1a21hYWd4cG9XMTlvaTFkbkp1YnU2cTNidDNINjdObURrNU9TdGF0MjY5TWlVbEphdWV3d1VBQUFDQUpvOUVOUUFBYUZZU0VoSmlKRDByYWJDa1U0N2pMRHA5K3ZUL3BLV2xWYmdZWWszczI3Y3Z1MTRDQkFBQUFJQm15QlhzQUFBQUFDNm1wS1NrTkd2dDA1SSs5Zmw4OTJkbFpmMjBya2xxQUFBQUFFRGRzS0lhQUFBME95NlhhNFhmNzkrY21wcWFIdXhZQUFBQUFBQWtxZ0VBUUJQWHIxKy85aTFhdEJoNzdOaXhlUmtaR2JtU3RIbno1a0pKSktrQkFBQUFvSUZnNnc4QUFOQmtEUm8wcUY5RVJNUkthKzIwRGgwNjNCSHNlQUFBQUFBQWdaR29CZ0FBVGRLZ1FZUDZlVHllRjR3eFE0d3hYMWxyandRN0pnQUFBQUJBWUd6OUFRQUFtcHl1WGJ0R2hJU0VMSlIwbmJXMndGbzdiY3VXTGU4SE95NEFBQUFBUUdDc3FBWUFBRTFLcjE2OTJuVG8wT0ZablV0U0gzY2NaK0tXTFZ2K0hPeTRBQUFBQUFDVkkxRU5BQUNhRW5lYk5tMG1HbU1ldE5abUcyT21wYVNrekE5MlVBQUFBQUNBcXBHb0JnQUFUVVpjWEZ5aXBBbldXaXRwZVZKU0VrbHFBQUFBQUdnRVNGUURBSUFtSVRZMnRxWEw1Zm9mWTB4WFNaLzdmTDZuSkJVR095NEFBQUFBd1BtUnFBWUFBRTJDMiswZWE0d1pMU25QY1p5ZmI5MjZkVit3WXdJQUFBQUFWSThuMkFFQUFBRFVrMjZTckxWMlZrcEt5cnZCRGdZQUFBQUFVSDJzcUFZQUFFMUNjbkx5Ly9QNWZGNUpjNElkQ3dBQUFBQ2dabGhSRFFBQW1velUxTlRkd1k0QkFBQUFBRkJ6cktnR0FBQUFBQUFBQUFRVmlXb0FBTkNZdVFZTkd0VEw2L1YyQ0hZZ0FBQUFBSURhSTFFTkFBQWFyYjU5KzdiMGVEenZHV05laTRtSkNRdDJQQUFBQUFDQTJtR1BhZ0FBMEdoRlJFUWtHbU42VzJ0RDA5TFNDb01kRHdBQUFBQ2dkbGhSRFFBQUdpMWp6TzFGTnorUzVBUXpGZ0FBQUFCQTdaR29CZ0FBamRLQUFRTkNKWDIzNk83SHdZd0ZBQUFBQUZBM0pLb0JBRUNqNUhhN0J4bGp1bGxycy8xKy8vWmd4d01BQUFBQXFEMFMxUUFBb0ZGeXU5MkRpbTVtT0k1elBLakJBQUFBQUFEcWhFUTFBQUJvckRvVWZjL3krLzFuZ3hvSkFBQUFBS0JPU0ZRREFJREc2dEtpN3psaFlXRzVRWTBFQUFBQUFGQW5KS29CQUVDalpJd3hSVGZ0cVZPbmJGQ0RBUUFBQUFEVUNZbHFBQURRV0hVditwNjFiOTgrdHY0QUFBQUFnRWJNRSt3QUF1bmE5WW9vVHd2WEpjR09BdzFEZ2M5Lzl2QytIUm1TbkdESGNpRlpheHYxYXNCU0t4dFJDL3orTHg1ZVk1b09hMjFuWTR3Y2E4TjdYRDZvZDIzR0NPWnJUR00rNzRONXpuTU9vN1Q2T0ljYjg3a29OYTdYWUltZmQyM3gzSWZTbXN2ZnlBQ2Fud2FYcU83ZXZYOW5FeEV5UTBaeHdZNEZEVU9veTUzVnJjK2dKdy91M2ZwL3dZNEZRT1BHYTB6VGtwTnZJNHh4MHZ6VzZTZTMrL1hhak1GclRPUENPWXp5T0lmUkhQRGNoL0o0N2dQUVZEVzRSTFVUNnVuamxrWVlxWE93WTBIRFlDVy95KzBhSm9rWFlRQjF3bXRNMCtMSVNGYVNYS3J0OGpaZVl4b1h6bUdVeHptTTVvRG5QcFRIY3grQXBxckJKYXJkYnJkTHhwcklWcEg2NGIxM3EwL3ZYc0VPQ1VGU1VGaW9sK2IvV2Z2U0Q4cGE5bE1IVUhlOHhxQVlyekdORStjd2luRU9vem5odVEvRmVPNEQwTlExdUVSMXNiQ3dNQTI5NW1wZGMvV1Z3UTRGUVpLYm02ZlgzL2lIbEg0dzJLRUFhR0o0alFHdk1ZMGI1ekE0aDlFYzhkd0hudnNBTkhYOEJ3NEFBQUFBQUFBQUVGUU5ka1UxMEp4bFpHUm8xS2hSQWV2NjkrK3YxMTU3cmRLK216WnQwcFFwVS9UYjMvNVdRNGNPRGRobTc5NjltanQzcnBLVGsxVlFVS0NZbUJqZGQ5OTl1djc2Nnl1MHpjN08xb0lGQy9UUlJ4L3A1TW1UNnRDaGcwYU1HS0VISG5oQUxWcTBxTjBFVWFYTXpFd3RYTGhRNjlldjExZGZmYVhXclZ0cjhPREJldkRCQjNYWlpaZVZhVnZUeDhySWtTTjE5T2pSZ08zWHJWdFg1bmY2MWx0dmFkcTBhUUhiM252dnZmcmxMMzlaazJrQnFJUzFWaXRYcnRTYmI3NnB0TFEwK2YxKzllclZTNk5IajlidHQ5OHVZeXJ1d0wxbXpSb3RYcnhZZS9mdWxjZmprZGZyMWM5Ly9uUEZ4TVJVZVN5LzM2ODc3N3hUNmVucCt2M3ZmNitSSTBkVzJYNzE2dFY2L1BISDFiVnJWNzMxMWx0MW1pZlFHT1RtNW1ySmtpVjY5OTEzZGZqd1lZV0ZoV25BZ0FFYU4yNmNycjc2NmdydHM3S3lOSGZ1WEgzODhjZkt5c3BTNTg2ZE5XclVLSTBaTTBadXQ3dktZOVhrL0tycHVkc1k1T1RrNk85Ly83cysrT0FESFRwMFNOWmFYWGJaWmJydHR0czBhdFNvQ2orL3paczNhOW15WmRxeFk0ZE9uanlwcUtnb0pTUWthUHo0OGVyZXZYdUY4V3Z5bmtlUzFxNWRxeVZMbG1qMzd0MHl4dWlLSzY3US9mZmZyNnV1dXFyK0pnMEFBS3BFb2hwb2dMS3lzaVJKdlh2M3J2REd1MnZYcmdINzdOcTFTeSsvL0xJKy9QRERLc2ZldW5XckpreVlJR3V0aGcwYkpvL0hvN1ZyMStwWHYvcVZwa3lab3U5Kzk3c2xiVStmUHEzNzc3OWY2ZW5wR2pod29LNjU1aHJ0M0xsVHI3NzZxajc5OUZPOThzb3JDZ3NMcStOc1Vkb1hYM3loTVdQR0tEYzNWMWRkZFpYYXRXdW5QWHYyYVBYcTFWcTdkcTFlZWVXVk1vbW9tajVXc3JLeUZCVVZwZmo0K0FwMTVmOGdMQjc3eWl1dlZPdldyY3ZVOWVuVHAzWVRCRkRCSC8vNFI3M3h4aHZxMnJXcnJyLytlcDArZlZvYk4yN1VqQmt6dEgzN2RrMlpNcVZNKzZWTGwycldyRmxxMjdhdHZ2bk5iK3JFaVJOYXQyNmRObTNhcEZkZmZiWEtaUFdLRlN1VW5wNWVyYmdLQ3d2MTBrc3YxV2x1UUdOaXJkVzRjZU8wZCs5ZURSdzRVQ05Hak5DUkkwZTBjZU5HYmR5NFVWT25UdFV0dDl4UzBqNHJLMHMvL09FUGxaR1JvY1RFUkEwWk1rVHIxNi9YODg4L3IvMzc5MnZxMUttVkhxdW01MWROenQzR1l0T21UWm8vZjc3aTR1SjAvZlhYS3pzN1c1OSsrcW1lZlBKSkpTY242L2UvLzMyWjlrOC8vYlJPbno2dC92MzdxMlhMbHRxNWM2ZFdyVnFsTld2V2FOR2lSUlhlbTlUa1BjK2JiNzZwSjU5OFVxMWF0ZEx3NGNQbDkvdTFkdTFhL2ZqSFA5YU1HVE0wWXNTSSt2OEJBQUNBQ2toVUF3MVFkbmEySk9sNzMvdWV2dmU5NzUyMy9iMzMzcXVkTzNjcUxDeE1QWHYyMVA3OSt3TzI4L3Y5ZXVLSkorVDMrN1Z3NFVMRnhjVkprbmJzMktGeDQ4YnBtV2VlMFEwMzNLQ1dMVnRLT3ZlbVBUMDlYV1BIanRVdmZ2RUxTZWYraUpzNWM2YVdMMSt1VmF0V2FmVG8wZlV4WlJRNWZQaXdZbU5qTlhueVpIWG8wS0drZk83Y3VmcnpuLytzRjE1NFFjODk5MXhKZVUwZUszbDVlY3JQejlmWHZ2WTF6Wnc1ODd5eEZDZXFKMDJhcEo0OWU5Wm1PZ0NxNFlzdnZxaXdRdkxJa1NQNjRROS9xQlVyVnVqT08rOVUvLzc5SlVtSERoM1M3Tm16MWJselp5MVpza1JSVVZHUy9wdThualZybHViT25SdndPR2ZQbnRXOGVmUGtjcm5rT001NTQxcTJiSmtPSHo0Y2NFVTMwQlQ1L1g3bDUrZHI4ZUxGR2pod1lFbjVoZzBiTkhIaVJNMmFOVXMzM1hTVFBKNXpmMExObmoxYkdSa1orc1V2ZnFHeFk4ZEtPdmU2UEhic1dMMzk5dHNhUFhwMHdDU3BWTFB6cTZibmJtTngrZVdYNjUvLy9LYzZkKzVjVXBhUmthRzc3cnBMcTFhdDBzOSs5ak4xNnRTcHBPN1JSeDlWZkh5OFhLNy83bDQ1WThZTUxWKytYRXVYTGkzelQ3MmF2T2NwTEN6VW5EbHoxTFp0Vy8zMXIzOHRPV2J4ZStCbm5ubUdSRFVBQUJjSmUxUUREVkJ4Z3JCZHUzYlZhcCtlbnE3dmZPYzdXcjU4ZVpVZlQvejAwMDkxOE9CQmZmdmIzeTVKVWt2U2dBRURkT09OTnlvbkowZHIxNjR0S2QrN2Q2OGs2YTY3N2lvcE04Ym9ubnZ1S1ZPUCt0T3ZYejg5Kyt5elpaTFVrdlNqSC8xSUlTRWhTa2xKS1ZOZWs4ZEtUUjlYTlcwUG9IWUNmWXkvVTZkT3V1T09PeVNwekhtL2ZQbHkrWHcrVFpnd29TUkpMVWwzMzMyM09uZnVySTBiTityWXNXTUJqL1BpaXk4cU96dGJ0OTU2NjNsak9uTGtpT2JObTZmdmZ2ZTdmSElHelliYjdkYWlSWXZLSktrbGFjaVFJVXBNVE5TcFU2ZEtGZ09jUG4xYXExYXRVcGN1WFRSbXpKaVN0bTNhdE5FRER6d2dTWHI3N2JjREhxZW01MWROenQzRzVOSkxMeTJUcEpiT2ZScnNpaXV1a0NTZE9uV3FURjFDUWtLWkpMVWszWGpqalFIYjF1UTl6TkdqUjVXVGs2UGh3NGVYU1l6MzZORkR3NFlOMC9Iangwc1dCZ0FBZ0F1TFJEWFFBQlcvdVM2ZGhLaksrKysvcjkvOTduZnEwcVZMbGUzV3IxOHZTUm8rZkhpRnVtdXZ2VmFTbEp5Y1hGSld2Qi95a1NOSHlyUTlkT2lRSktsYnQyN1ZpZy9WMTZaTm00QjdXbm84SG9XSGh5czBOTFJNZVUwZUs3VkpWTHRjcmdyYmZnQ29YNVdkazYxYXRaS2tNdWY5aGcwYkpFbGYrOXJYeXJRMXhtaklrQ0dTcEMxYnRsUVlhL3YyN1ZxMmJKbkdqQmxUWWEvN1FHYk9uQ21QeDZPSkV5ZFdieEpBRTJDTVVkdTJiUVBXbFQ4ZlAvdnNNL2w4UGcwYk5xekNxdWppYTRTVWZrOVZXazNPcjVxZXU0MmR6K2RUUmthR1dyVnFWYTMzbVFjT0hKQ2trdVIyc1pxODU0bU9qbFo0ZUhpRjk3dlN1VSs2dFczYmx2ZENBQUJjSkd6OUFUUkF4Vyt1bHk1ZHF0V3JWNnQxNjlZYU5HaVFycnZ1dXBLUG01WVdFUkZSclhFLy8veHpTUXE0ZjJtUEhqMGtTUWNQSGl3cHUvUE9PMHN1cVBmRUUwK29iOSsrU2sxTjFmVHAwOVdqUjQ4eSsxbmp3dnI4ODgrVms1TlQ4dkgvWWpWNXJCU3ZCbHEvZnIyT0hqMnFGaTFhS0NZbVJ0LzR4amNVR1JsWjRaaloyZGx5dVZ5YVBuMjZRa0pDRkIwZHJjR0RCeXMyTnZZQ3pSSkFhY1ZKcmw2OWVrazZ0eTNCL3YzN0ZSMGRIVENaVnJ4RlQrbm5jVWtxS0NqUXRHblQxTEZqUnozd3dBTjY0NDAzcWp6dTZ0V3J0VzdkT2ozMjJHTjhvZ0xRdWEwaHRtN2RxdkR3OEpJVndGVzlwNHFPamxhclZxMlVrWkVoeDNIS3JBS3V5ZmxWMDNPM01jdkp5ZEgrL2Z2MXlpdXY2UGp4NDVveVpZckN3OE1EdGkwc0xOVEpreWYxNzMvL1czUG16RkgvL3YzMS9lOS92MHlibXJ6bkNROFAxNE1QUHFqWnMyZHI3dHk1dXZ2dS84L2VmY2MzVmZWL0FQK2NKSjIwVUhZQmxjb3VvelF0eUtoTWdRZVpvc2dEQ2pKa2lBd2ZDeWg3RkdRTGxqMWt5MGFtb2d4cDJXS2h1MFdnTWxzb1VHaHJkNXZrL1A0b3lhOGhvWU9WUWovdjE0dVh5YjNuM3B6RW5qdSs5NXp2NlFXTlJvTzFhOWNpTkRRVUV5ZE9aQW9rSWlLaWw0U0JhcUpDU0I5ODlQUHpNMXJ1NHVLQzc3Ly8zaEJVTHFqNzkrOERNTi83VnI4c0tTbkpzTXpKeVFscjFxeEIzNzU5TVdEQUFNUHlpaFVyWXVYS2xTYXpwZE9Mb2RGbzhQMzMzd01BUHZyb0k2TjFCZmxiMFpjTkN3dERXRmlZWWZtQ0JRdmc0K05qMHRNK0lTRUJHbzBHKy9idE15eGJzV0lGbWpWcmhsbXpadVg3QVFrUkZWeEFRQUNPSFR1R0tsV3FHSExjSmlZbVFxUFJvSFRwMG1hMzBRZTlIaDhDNyt2cmk2aW9LUHp3d3c5UERQem8zYmx6QjdObnowYmR1blVOcVVlSWlycDE2OVloTGk0T1BYcjBNUFNvMWw5VDVkWWViOTI2aGJTME5NUGNId1Z0WHdWcHU2K3FYYnQyWWRhc1dZYjNycTZ1MkxoeEkyclZxbVcyZk51MmJmSHc0VU1BMmFQTkJnMGFoRDU5K3Bpa1VDbm9OYzlubjMyRzVPUmsvUGpqai9qeHh4OE55MGVPSE1uNVdJaUlpRjRpcHY0Z0tvUkdqaHlKMDZkUEl5QWdBRWVQSHNXeVpjdmc3dTZPNjlldjQ2dXZ2a0pXVnRaVDdUYzlQUjBBek9aRDFOOTRaV1ptR3BiOSsrKy9HRHQyTE9MaTRsQ3JWaTIwYTljTzFhcFZ3KzNidHpGaHdnU2twYVU5VlQwby81S1RrK0h0N1kxejU4NmhmZnYyYU5PbWpkSDZndnl0TkcvZUhNZVBIOGU1YytkdzRzUUovUFRUVCtqU3BRdVNrNVB4elRmZjRQcjE2MGI3WHJ0MkxjNmVQWXUvL3ZvTHYvNzZLM3g4Zk9EczdJeVRKMDhhM1ZRUzBmUGw1K2VILy8zdmY3Q3pzNE9QajQ5aHVmNFkvbmdLSUQzOXNUMW51ejl6NWd5MmJkdUdEejc0QU0yYU5jdjFjN1ZhTFNaT25BaU5SZ01mSHgrVFhMQkVSWTFPcDhPeVpjdXdjdVZLdlAzMjIvanl5eThONndyYUhndmF2Z3JTZGw5bFZhdFdSWThlUGRDdVhUdlVxVk1IRnk5ZXhMQmh3M0RzMkRHejVidDI3WXB1M2JyaDNYZmZoWU9EQTVZdlg0NEpFeWFZUEtBcjZEWFAvdjM3c1hIalJqZzZPcUo1OCtidzh2S0N2YjA5VnExYWhULysrT09GZlg4aUlpSXl4aDdWUklWUXppR0pKVXVXUktOR2phQldxL0haWjUvaHlwVXJPSFhxRkZxMWFsWGcvZXBUUVdpMVdsaFpXUm10MDk5STVleXhNMlhLRklTRmhXSHk1TW5vMnJXcllmbm16WnV4WU1FQ3pKMDcxMmlHZFhxK0lpSWlNSGJzV055K2ZSczlldlRBNk5HalRjb1U1RzhsWnc5b2xVb0ZWMWRYVEpreUJTcVZDcnQzNzhhdVhidU1QaU5uYWdGbloyZDA3TmdSYm01dTZObXpKdzRlUEFodmIrOG41dklrb29MVGFEVHc5ZlhGbGkxYlVLNWNPU3hZc01BbzNZOCtmNzFXcXpXNy9lUEg4WmlZR0V5Y09CRXVMaTRZTldwVW5wLy93dzgvSURnNEdKTW1UVUxseXBXZjllc1F2ZEllUEhpQUNSTW1JQ0FnQUdxMUd2UG16VE02NXhhMFBSYWtmUlcwN2I3SzFHbzExR3ExNGYzbHk1Zng1WmRmNHR0dnY4V21UWnRNZWxZUEh6N2M4RG9qSXdPTEZ5L0cxcTFiQVFEejU4ODNyQ3ZJTlU5a1pDUjhmSHhRcTFZdExGcTB5RERLOE83ZHV4ZzJiQmpHangrUG5UdDNjbTRXSWlLaWw0QmRaWWhlRWRiVzFtalhyaDBBSUNvcTZxbjJvYi9CTWpkenVYNklwSDRJYTB4TURFNmNPSUZHalJvWkJha0I0Tk5QUDRXYm14dCsrZVVYem9MK2d1emV2UnNEQmd4QVNrb0s1czJiaDIrLy9kYnNKSXZtRlBSdnBWT25Udmt1KythYmI2SisvZnFRVXVMYXRXdjVxZzhSNWUzQmd3ZjQvUFBQc1dYTEZyUnUzUnJidG0wenlVbXZQNFkvM25OUUwrZmtxbWxwYVJnMWFoUXlNakl3ZCs3Y1BGTTEvZnJycjlpeVpRczZkdXlJRHo3NDREbDhJNkpYVjFoWUdIcjE2b1hBd0VBTUdUSUVLMWV1Tk1rbnJaOWNMN2YyYUdkbkIxdGIyd0sxcjRLMjNkZE5qUm8xTUd6WU1PaDBPdXpkdXpmWHNqWTJOdkQyOW9henN6UDgvUHdRSHgrZjUvN05YZk5zMzc0ZFVrcU1HVFBHS0QxZStmTGxNWHIwYUdnMEd1emN1Zk1wdnhFUkVSRVZCSHRVRTcxQzlEY3JUenVoUytYS2xYSHg0a1ZjdTNZTjVjdVhOMXFuSHdLcG43UkxQeGxYMWFwVnplNnJXclZxQ0EwTnhhMWJ0MUNpUkltbnFnK1pwKyt4cmxhck1XdldMSlF0VzdiQSt5akkzMHBCYjRLTDJrMHowWXNXSHgrUEFRTUc0TzdkdTVnd1lRSSsvUEJEcytYczdlMVJwa3daM0xsekIrbnA2U1k1YS9YSDhhcFZxK0xreVpPNGN1VUtnT3lKY2MyWk5Ha1NKazJhaEY2OWV1SHMyUnFBb21ZQUFDQUFTVVJCVkxNQXNnUFd2Lzc2cTBuWjZPaG9lSHA2QWdEOC9mMmY3b3NTdlFLQ2dvSXdmUGh3RkM5ZUhLdFhyMGI5K3ZYTmx0UDNyalgzMERZaElRR0ppWW1vVzdjdWdPeFVXa0QrMnRma3laTUwxSGJOamJaNjFla25xTHh6NTA2ZVpSVUtCZDUrKzIzRXhzYml6cDA3ZVU1UWFlNGE1c2FOR3dETVgvUHE2L0o0cWhBaUlpSjZNUmlvSm5xRm5EOS9Ic0NUZzhkNThmVDB4TysvLzQ1VHAwNmhjZVBHUnV0T256NE5BUER5OGdMdy81TnkzYnAxeSt5KzlCZjE1aVptcEtkMzhlSkZMRnk0RUEwYk5zVGl4WXROVXJUa1YwSCtWaTVjdUpEdnNoa1pHUWdQRDRjUUFtKy8vZlpUMVkySWpFMmZQaDB4TVRGWXZIZ3htalJwa212WkJnMGE0UGZmZjhmWnMyZU5Va0JKS1hIbXpCblkydHJDdzhNRDE2NWRlMktRNjlLbFN3Z0pDVUdqUm8xUXVYSmxxTlZxT0RrNTRjR0RCMmJMNzk2OUc3YTJ0dWpRb1FNQVBQVnhpYWl3UzA5UHg5aXhZK0hnNElCMTY5YkIyZG41aVdVYk5HZ0FBRGg1OGlTR0RSdG10Tzd4YTZyMzMzOC8zKzJyY3VYS0JXcTdyeU45VURpMzMxOVBTbW00Sm4yOEU0WTU1cTU1Y2w3elBqNlNoZGU3UkVSRUx4Y0QxVVNGMElrVEo5QzBhVk5EVG1rQTJMbHpKL3o4L0ZDdVhEazBiZHIwcWZiYnRtMWIrUHI2WXMrZVBmamdndzhNdlVRaUl5Tng4T0JCMUtoUkF4NGVIZ0NBbWpWcjRzMDMzOFNwVTZkdzZ0UXB2UHZ1dTRiOS9QTExMN2h3NFFKY1hWMVJzV0xGWi9pbTlMZ2RPM1pBU29uQmd3Zm5LeGhVa0wrVmdJQUExS3BWeXlqSFptaG9LSll2WHc0aGhORnc1SlNVRklTSGg2TlJvMGFHWmVucDZaZzFheGJ1MzcrUDFxMWJNejgxMFhNUUd4dUw0OGVQbzBHREJua0dxUUdnVzdkdStQMzMzN0Y4K1hJMGJOZ1FEZzRPQUlCdDI3WWhPam9hdlhyMWdxMnRMVnhkWFUwQ0xub2JOMjVFU0VnSU9uWHFaQWlPNVdiLy92MXdjbkxDdDk5K1c3QXZSL1NLK2VPUFB4QVhGNGNoUTRia0dTUjk2NjIzNE9IaGdjREFRT3pidDgrUUppMHhNUkdyVnEyQ2pZME51blhyQmdBWU9IRGdFL2Rqcm4yNXU3dWJMVnZRdGx2WWJkcTBDUjkrK0NHS0ZTdG1XSGJyMWkwc1c3WU1BSXkrNDE5Ly9RVXJLeXVqNEx4V3E4V0tGU3R3Ky9adE5HN2MySkMrRGlqWU5VL2J0bTF4NHNRSitQcjZZc0dDQllaZTF3a0pDVmk0Y0NFQW1FeG1UVVJFUkM4R0E5VkVoZEFQUC95QTZkT253OFBEQXlxVkNwY3VYY0sxYTlmZzRPQ0EyYk5uRzJhU0x5aEhSMGQ4ODgwM21EeDVNdnIyN1lzV0xWcEFTb25qeDQvRHlzb0tVNmRPTmFTS0VFSmcrdlRwK09LTEwvRFZWMS9CMDlNVGxTcFZ3clZyMXhBV0ZnWUhCd2RPcFBnQ1hMNThHVUQyTU9HZmZ2ckpiSm1QUC83WUVOQXF5Ti9LNGNPSDhiLy8vUStlbnA0b1diSWtvcU9qRVJ3Y0RBQVlNMllNcWxldmJpaWJscGFHTDcvOEVpNHVMcWhkdXpiUzB0SVFGaGFHdUxnNHVMaTRZTUtFQ1MvcUp5QXFVdlJ0UGpvNkd0N2UzbWJMRkM5ZUhGT25UZ1dRM1l1elM1Y3UyTDkvUHo3KytHTTBidHdZZCsvZXhibHo1MUNsU2hWODhjVVhMNjN1UksrYlM1Y3VBY2grQ1B6MzMzK2JMYU5XcTlHblR4OEF3Tml4WTlHL2YzLzQrUGpneUpFaktGdTJMTTZjT1lPNHVEaE1uRGp4cVZKM0ZTV2JOMi9HNnRXcjRlbnBpZEtsU3lNMk5oWUJBUUhRYURRWU1tU0lVZHFWbUpnWXpKZ3hBOVdyVjRlcnF5dXlzcklRSGg2T1c3ZHVvVUtGQ3BnMGFaTFJ2Z3R5emZQKysrL0QzOThmZi96eEI3cDE2d1pQVDA5b3RWb0VCQVFnTVRFUlhicDBRYk5telY3T2owSkVSRlRFTVZCTlZBaDE3dHdadi96eUMwNmNPQUdkVG9jeVpjcmd3dzgvUkw5Ky9WQ3BVcVZuMm5mSGpoM2g2T2lJTld2V3dOL2ZIelkyTm1qYXRDbUdEeDhPRnhjWG83TDE2dFhEOXUzYnNXYk5HcHc5ZXhZaElTRW9YYm8wUHZ6d1EzeisrZWY1R3BKSkJaT2NuQXdBaG55eDV1VHNKVjJRdjVYbXpadmo4dVhMQ0FvS1FucDZPb29YTDQ0V0xWcWdUNTgrSnNPSEhSd2MwTGx6WndRRUJPRHc0Y05RS3BWNDQ0MDM4TkZISDZGMzc5N01VMDMwbk9qYmZHeHNMR0pqWTgyV2VYekkrYVJKazFDbFNoWHMzcjBiQnc4ZVJLbFNwZEN6WjA4TUhUclUwTU9haUFvdUpTVUZRSFlhcm9zWEw1b3RrL01CY05XcVZiRisvWG9zWHJ3WWdZR0IwR2cwcUZXckZpWk5tbVEwRW8zTTgvYjJ4dTdkdXhFWkdZbUVoQVE0T0RpZ1NaTW02Tm16cDBtS3VxWk5teHJ5NlI4NWNnUmFyUlp2dlBFR0Jnd1lnTTgrKzh5bzV6UlFzR3NlSVFUbXpKbURQWHYyWU8vZXZUaHg0Z1NFRUtoZXZUbysrdWdqZE96WThZWC9Ga1JFUkpUdDZXWmtlNEZjYXJtM2hKQmJ5NVl1NDd6bys5bG8vRTREUzFlSkxDUXRMUjE5UHY4Q0Y0SkN0RkxLV1RjdWhVektlNnRYbDVSU1dyb096MEk4N1F5UEZ1YnU3dDVYb1ZBc2wxSStTRWxKVVYrK2ZEbk9FdlhnLy8rWGcrY1kwaXNNNTVoWHVkMWJxczJ6RFpQZTgyekRyM0piQlBMWEh1dlZxMWRQcFZMdEFsQVpRTytnb0tCZEw3NW01aFdGMy90NTQ3R1A5QXJEOVFzUjBZdWtzSFFGaUlpSWlJaUlpSWlJaUtob1k2QTZINEtDZ2l4ZEJRUDlFT0hjYURRYVpHUmtGSGpmQ1FrSjJMOS9QMkppWXA2bWFrUkU5SXE3ZVBFaVRwOCsvVXo3U0U1T1JtcHE2aFBYNjRmV0U5SHpjZS9lUGR5NWMrZTU3RXVyMVNJMU5SVTZuZTY1N0krSTZGV1JtcG9LalVaajZXb1FFUlY1REZUbllmUG16Umc0Y0NBT0hqejQzUGM5ZnZ4NHpKa3pKOS9sNzl5NWd6WnQydURZc1dNQWdMQ3dNSGg2ZXVMUW9VTkc1Wll0VzRhbVRac1dPRmg5Ky9adFRKczJEZUhoNFFYYWpvaUluczc5Ky9meDBVY2ZvVW1USmsvTVQyeU9sQkxyMXEzRC9mdjNqWlpIUkVUQXk4c0xFUkVSUnN1VGs1T3hjT0ZDSkNRazVMcmZZOGVPWWNPR0RVaE5UVFg4azFMaTh1WExpSXlNTlB2djhhRDBwazJiMEtaTkc2U25wNXZzUHpRMEZLMWJ0ODQxQnp2UnF5b3NMQXhIang0MSt2ZlBQLzhnT0RnWWh3NGR5dGUvRXlkT0dQYTNjdVZLQkFRRTVQbTVzMmZQeHBneFkzSXRrNXljREY5ZjMxd2ZJZ0hBdVhQbjBLeFpzeWRPSkVoRWxCZjkvZlAxNjljTnkrTGk0dUR0N1cxeTM1cWJQWHYyWU0rZVBYZzhVMHlMRmkxTUpoeFBTa3JDbENsVGNPWEtGYVBsVWtxc1dyVUt0MjdkeXZXek1qSXkwS3haTTJ6WnNpWGY5U01pb2hlRGt5bm1vV3ZYcmxpL2ZqMFdMbHlJWnMyYW1VelU4YmlFaElROFQ0UWxTcFNBblowZGpodzVncDQ5ZSthN0xyLzg4Z3UwV2kzcTFhdVg3MjJJaUY1MTllclZLNmxRS0txSGhJUmNBS0MxZEgyZWw3dDM3MkxJa0NGSVMwdER1WExsTUdqUUlDeGZ2aHh2dlBGR3ZyYmR0V3NYTm16WWdMRmp4Nko5Ky9ZQUFKMU9oL1QwZEtQZWtHRmhZUmcvZmp6dTNMbUR5cFVyNDhNUFB6VFpuMWFyaFZLcEJBQUVCd2ZqL2ZmZk42emJ0V3NYZkh4OEVCOGZiN1JOV2xvYUVoTVRzWDc5ZXFQejBzbVRKK0h1N2c1YlcxdVR6emw0OENDVVNpWGMzTnp5L0k3MCtxaFJvMFlaZTN2N040S0RnME1CdkxaZGRUZHUzQWgvZjM5WVcxc0RBTkxUMC9INTU1OGpQajRlSjArZXpOYytuSjJkMGJ4NWM2U2twT0RFaVJQNDhjY2ZNWHo0Y1BUdDIvZVo2aFlVRklUTm16ZmoxS2xUV0xod1liNk9NMFQwYk56ZDNaMmtsSlZDUWtMK3htdDAvWktYL2Z2MzQ5NjllNmhRb1lKaFdWcGFHbzRmUDQ2YU5Xdm1leitob2FIWXYzOC85dTNiaDNIanhobTIxV2cwUnRjNXdjSEJtREJoQXVMaTRsQy9mbjFVcjE3ZHNDNDJOaFk3ZCs3RTVzMmJNV3ZXTEtNSnlZbUlxSEFxOG9IcTVPVGtQSWM1ZTNwNjR0NjllMFkzSCtZMGJOZ1FBUUVCR0Q5K2ZLNzdhOTI2TlNwVnFnUWhCSHIxNnBXdmVtcTFXaHc0Y0FDTkd6ZEcyYkpsODdYTjAzclMvQ2FwcWFtd3Q3ZC9vWjlkbEwwcWs5SFJpOEgvLzArbVVxbmVFa0tjVTZ2VlY2U1VxN1JhN1M4cEtTbDNybDY5bW94WDlNYnYvUG56R0RkdUhHeHRiZkhqanoraVdMRmlHRGx5SlByMzd3OGZIeDgwYWRJazErMmRuWjJ4ZWZObVRKdzRFZE9tVFVPdFdyWGc0dUppVWk0Mk5oYURCZzFDMmJKbHNYcjFhcWpWYXBNeUNRa0o2TldybCtIYzVlSGhnUlVyVmhpVkdUcDBLT3JVcVFNbkp5Y0FRSFIwTkw3ODhrczBhOWJNS0VoOTc5NDlYTHAwQ1owNmRjS1pNMmNNeXowOFBLQlNxWERreUJGVXFWSUZJU0VoVC94dTVjdVhSOVdxVlhQOS9xK0xvdEx1N2V6c2Fpa1VpcDFxdFZvTFlKMUdvOW1oMCtsaUlpSWkvZ1h3V28yemJ0cTBxYUhuY3F0V3JWQzFhbFg4NXovL0tmQitpaFVyaGg5Ly9CSGp4bzNEb2tXTGNQWHFWVXliTnUycDY5V3NXVFA0K3ZwaXpKZ3grT3l6ei9EOTk5L0QxZFVWZmZyMFFmLysvZEdoUTRlbjN2ZnJvS2kweGNLaXFQemVtWm1aTlcxc2JINTNkM2ZYU0NtMzZYUzZuZkh4OGVIUjBkR3YzYkZQNytMRmk0aUtpc0tubjM0S0d4dWJmRzNqNStlSGV2WHFvVXlaTWtiTHAweVpnbmJ0Mm1IbXpKbFl2SGd4bGl4WllySnRYRndjaGcwYmhvb1ZLMkw5K3ZWd2RYVTFXbCtoUWdXc1g3OGV3NGNQeDFkZmZZWFJvMGZqdi8vOUw4YU5HNGRTcFVybE9ScUZpSWhldmlJZnFJNk5qYzB6c0t5WDI0MDFrRDFFczNuejVqaHc0SUJoV1VwS0NucjI3SW14WThmQ3k4c0xRSGJBdDErL2ZuQnhjY0g1OCtmTjdzdmUzaDV0MnJReHZEOTI3QmhpWW1Md3pUZmY1S3V1eitMY3VYT0czbmw2QVFFQkdEdDJMT2JObXdjUEQ0OFhYZ2Npb3NjSklhb0xJZVlwRklwSkpVcVVPTy91N240ZVFLaEdvemtSSGg2ZSsxQ1dRaUlyS3d2cjE2L0hxbFdyNE83dURtOXZiNHdaTXdhalJvM0M2dFdyTVc3Y09Bd2ZQaHlmZlBJSmhnNGRhdkp3TURrNUdiLysrcXZodlplWEZ5cFVxSUJ6NTg3aDNMbHp1SDM3TmdEZzZOR2ppSXlNQkpEOXNOWFQweE9YTDEvRzVjdVhBUUQvK2M5LzRPVGtCSzFXaXlsVHB1RGV2WHNZTzNhc29aZVMvbngxNk5BaFdGbFpZZlhxMWJoeTVRcTZkZXVHR2pWcVlNR0NCV2phdENrbVRUS2VhRjdmYTlUZjN4LysvdjdRYURSSVQwL0h2bjM3Y08zYU5TUWtKQ0FoSVFFalJveDQ0bS9VdFd0WFRKNDgrUmwvYVNxTWhCQ1ZBRXhVcVZUZUFNTFZhdlVwblU1M1RxRlFuQW9LQ3JwdDZmbzlUK2ZPblFNQVExdmF1bldyMlNCTFRqNCtQbmp2dmZjTTcrM3M3REIvL256NCtQaWdmdjM2dUhidEducjM3bTJ5WFdabUpxU1Vocy9LYWNHQ0JXalVxQkVBb0VtVEpsaStmRG5Hang4UE96czc2SFE2WEwxNk5jK1VRTkhSMFFnSkNVR2pSbzFNQWtsRTlHUktwVklCd0VhaFVEaEpLWWNyRklxaFpjcVVpU3RUcHN5ZlVzcjlXcTMyeUt0eS9aSmZHelpzZ0ZLcHpIZG5yTE5ueitLYmI3NUJ6Wm8xOGROUFB5RTFOUlhyMXEwekt0T3laVXVrcDZkajZkS2xBTEo3Vko4NWN3WkpTVWtBZ0xwMTY4TFYxUlhIamgwenBNaXNXN2N1V3JSb0FRQ29WS2tTMXF4WmcySERoaGxHZTkyNmRTdlBOSmtKQ1FrSURnNUdtVEpsVUxkdTNmei9DRVJFOUV5S2ZLRGF4Y1Vsei96VG8wZVBCZ0RNbno4LzEzSWxTNWFFdGJVMTdPenNETXYwSjlDU0pVdWlZc1dLQUlCSmt5WWhMUzBOTVRFeFJqbXFkVG9kTWpNellXdHJpd29WS2hnRnFqZHUzSWczMzN3VFhsNWVtRFJwRW80ZE8yYm8rVHhseWhUNCtQZ1l5dW9uZ1dqZHVqVUFRSzFXWThtU0piaDY5U3FPSERsaXR1NWR1M1kxdkQ1OCtEQkdqUm9GQndjSEFObFB4cjI5dlNHRU1Bd05KeUt5QkNrbGhCREZoUkN0QWJRVVFpUmJXVm5kZFhkM0QxSW9GRDhGQmdiK2hrTGFTK212di83Q25EbHpjT3ZXTFF3Y09CQURCdzZFUXFHQXRiVTE1c3laZzIzYnRtSGh3b1hZdVhNbmZIMTk4ZHR2djJIdzRNSDQ0SU1QREtONTR1UGpNWGZ1WERnNU9jSEt5c3F3NzV4cEJjcVdMV3VTQS9LZmYvNEJrQjBvVDBoSWdMdTdPeHdjSERCKy9IZzhlUEFBUjQ4ZU5mUjh5c3pNeElnUkkxQzZkR25ZMjl0RG9WQmczYnAxMkxkdkgyYk1tQUVwSldyVXFBRWZIeCtvVk1hWEVmdjM3NGVIaHdkV3IxNE5BUEQxOWNYaHc0ZFJvVUlGekpneHc5Q3p5WnpBd0VDTUd6Y083dTd1ei9oTFUySDJxQTNiQTNoSFN0bEFvVkQ4QytDZVdxMytXNmZUN1F3SkNkbUdRdHFHQytMa3laTm8wS0NCNFZvcUt5c0xLcFVLcTFhdE1pbXIwK25RdTNkdnM1TjRxVlFxd3pWZVZGUVUwdFBUMGExYk42T2g3WHYyN0VGU1VoSSsrK3d6dzdMWTJGaHMzTGdSV3EzeG9KTjY5ZXBoejU0OVVLbFVadk5WNjY4dER4dzRnSFhyMWlFa0pBUVBIandBQU96WXNZT0JhcUtuOUtnVHVSSkFlUUJkQVhTeHNySktkSE56TzZOU3FSWUhCZ1lleFN0KzdJdU9qc1lmZi95Qjl1M2JHNlg5ZUpKcjE2NWg3Tml4c0xLeXdvUUpFd0JrSHl2Lyt1c3ZzK1V6TXpNTkQ5d0RBZ0p3L2ZwMWxDOWZIa0IyZXFPY0hCd2NESUZxQUNoVnFoUTJiZHBrY3QyaXB6LzJCUVVGNGRxMWF3Z0pDY0dOR3pjQUFOOSsreTBEMVVSRUwxR1JEMVNyVkNyRENlNUo5TUdBdk1ybGg1K2ZueUV3dm43OWVwTWJqUmt6WnVESWtTTkd2ZWowUGVOYXRHZ0JJUVE2ZHV5SSt2WHJJeVltQmhzM2JrU0hEaDFRdTNadFEzbC9mMytjUFhzV0kwZU9oRktwTktRS3VYSGpCalp1M0doVUgzMXd2RkdqUmtZNUZYZnQyb1YrL2ZvaElpSUNJMGFNZ0VLaHdOS2xTM21TSmlLTHk1R2VTQ0dsTEE2Z3VFS2hxQTZnaDFxdHZnTmdxMWFyM1d4bFpYWHp3WU1IeWRldlh6ZWQxZThsT252MkxOYXZYNC96NTg5RHFWVGkwMDgvaFl1TEM0NGVQUW9ndThmemd3Y1A4TWNmZndESW5zZGd3SUFCV0x0MkxlYk1tWVBseTVlamZmdjJHREJnZ0dHZk0yZk9OUFNTTElpd3NERDA2OWNQUVBiTldGaFlHSll2WDQ2QkF3ZkMyOXNibnA2ZW1ESmxDdXpzN0RCbnpod29GTmx6TGg4NWNnUXJWcXlBVXFtRVdxMUdRRUFBZXZmdWpjbVRKeHZPUDJGaFlRZ1BEOGZVcVZNQlpKOUw5dTdkaTc1OSt5SWlJZ0lCQVFINCt1dXZVYVpNR2NNNWF0V3FWWVowSkx0Mzc4YWJiNzVaNUZNUUZBVTUyekFBSndCT1FvZ2FTcVd5aTFxdFhpcWwzQ2FsM0tSUUtDNGxKU1g5R3hVVlZiRFpvUzFNcTlYaStQSGorUExMTDQyV0s1VktzL2xaelFXb0Z5NWNpR0xGaWhrZWFPWGs1ZVdGVnExYUdkNmZPM2NPOSs3ZHczLy8rMS9Ec3NqSVNNTTFYMXBhR21iT25Ja2hRNGJnalRmZU1BblVYTHg0RWI2K3ZnZ0pDVEdNeE5pN2R5L3ExS21ERHo3NEFHbHBhZGl5WlV1K2gvRVRrYW5IVXlzcUZBb0J3RW1wVkhhUVVuWndkM2RQQVhCVXA5TnRTMHBLOHBOU0pscjYrcVdnRmkxYUJKMU9sNi83eFppWUdJd1lNUUtwcWFtWU0yZU9JV1ZIaVJJbHNHSERCcU95bVptWk9IandJRmF2WGcxM2QzZUVoNGVqY3VYS2lJbUpRWnMyYmRDblQ1OG4zcWY3K3ZxaVVhTkdhTnk0c2NteDcvNzkrMWl6WmcxQ1FrSVFHaG9LSVBzaFk3VnExZENvVVNQMDZ0VUxzMmZQempYMUp4RVJQWDlGUGxDdGQvUG1UZHk1Yzhmc3V1VGtaQUQvUDR6emNhVktsVElLT0I4OGVCQnIxNjdGcmwyN1RNcHUyTEFCTGk0dXVINzlPaTVmdm15MDNjMmJOMUdxVkNtaklIVldWaFlXTDE1c3RJL0dqUnNEeUE0S2JOeTRFWTBhTlRMS2Yzajc5bTJjUFhzV0gzendnZEZOUmF0V3JVenljYTlidHc0clZxeEF0V3JWY1BQbVRRQ0FvNk1qTm0zYWhDcFZxbUQ4K1BFb1Zxd1lsaTlmWHFESkw1NG5yVVlEZTJ1MGNuTnoyMm1SQ3RCclRhZlR2YW5UNlpSS3BkTEd4c2JHeTkzZFBkSFNkU0lUaG9URk9kTmE1cnpwMDc4V1FsUUE0SzFTcWI2VVVrWTVPVGtGMUs5ZlB3akFxWkNRRU9QdU5pOUJVRkFRaGc4ZkRtZG5aMHllUEJsejU4N0ZqaDA3ekFaOFRwMDZaWGlka3BJQ3RWcU5QbjM2WVBYcTFUaHg0Z1JHamh5SjlQVC92MmZkdTNjdjVzMmJsKys2akJrenhpajNjOE9HRGJGbnp4N1kydHFpVjY5ZUdEVnFGTjU2NnkyNHVycGkzcng1aUl5TXhMaHg0d0FBZmZyMFFjMmFOVEZpeEFoVXExWU5BUUVCbUQxN052cjI3WXNSSTBiZ3M4OCt3NVl0VzFDOGVIR1VLVk1HKy9idHc5dHZ2dzByS3l0MDY5WU5FeVpNZ0lPREF6NzQ0QU1BMlRlZE9wM09FSUE3ZWZJa0FnSUNNSDM2OUNmMmRucFJwSlJRQ1YxWmQzZjNsaS8xZzRzUUlVUTlLYVcxdnYzcS8ydXVEU1A3d2ROZ0tXVi9BSmNkSFIzL2RIZDNENU5TbnMzS3lncE9mUVdtWXJ4dzRRSVNFaExRc3FYeG4xUmlZcUxaOUJ5UDAycTFpSTJOeGRHalJ4RVVGSVJaczJZWjhzTS9qWnMzYitMMDZkTTRlZklrWnN5WWdYZmZmUmRMbHk0MWpMSTdlUEFnU3BZc0NUYzNON1J0MjlZUUVOSUhtMzc1NVJjQUtMVEJta2R0dUJ6YmNPNjBXdTNiQU95US9aQzNqcnU3ZTV5bDYxUUUxSkZTS25JZSsvVEh1cHpIUHlFRWhCREZwSlJkRlFwRmx4SWxTaVFBQ0hWM2R6K3MwV2grQ1E4UEQ3VkU1UXNpTUREUThNQTlMMWV1WE1IdzRjTVJGeGVIcVZPbkdrWUJQeTRpSWdKSGpoekJnUU1IVUx4NGNRd2JOZ3dkT25TQWw1Y1hPblhxaE1hTkcyUFJva1hvMUtrVEdqVnFoQll0V3FCaHc0YUdPVHVTazVQeDU1OS9ZdE9tVFJnNmRDZ0dEQmlBdzRjUFk5T21UYmgwNlpJaC9WSGR1blh4NFljZllzT0dEUmd4WW9SaDh0clkyRmdHcW9tSUxJQ0I2a2QrL3Zsbi9QVFRUN21XZWJ4bmpGN3IxcTJOZ2dXcHFha21RZStyVjYvaS9Qbno2TkdqQjZwWHI0NnhZOGNpSkNRRUhUdDJOSlM1ZlBteXlXUllxMWF0UW5SMDlBdTdjVDl5NUFpYU5HbGlHSm9LQUo5ODhnbFdyMTZOcjcvK0d0V3FWWU92cnkrY25aMWZ5T2ZuaHdJU2R0WldUWXZLeEN0a01hVlZLdFZLSVlUNTJVVEprc3dlQU0wRnJYTUVyRzBCMUJWQzFCRkNmQ0tFdUt0V3F5TlNNM1doR1RxOHRHT0pXcTNHZ2dVTDBLUkpFMWhiVzJQdTNMa1lNbVNJMFJCOWM4YU1HWU9rcENSNGVYbkJ5OHNMOGZIeFJtbWxnUC92aFptZmZNNHpac3d3MjJ2VDF0WVdVVkZSaUlpSVFMRml4ZEN6WjA5MDdkb1ZtemR2eHJKbHk5Q2pSdzg4ZlBnUWE5YXN3ZVRKazFHdFdqVUEyVUh1N2R1M1k5T21UV2pRb0FFeU1qSVFFQkNBSGoxNklDQWdBSWNPSGNLdnYvNkszMzc3RFE4ZlBrUmdZQ0Q2OU9sak9OZm9BKzc2ZEZLM2J0MUN2WHIxVE9aSGVCa0VBSHNiVldPRlFuVE5zekE5TFNzQUpSNWZtTWVESnlzaFJCMHBaVzBoUkpZUTRwNk5qYzFWcVpFWDByS2dlSHhmaFVtNWN1VmdiVzBOUHo4L2RPL2VIVUQyaEY3Tm16ZkhGMTk4WVZKZXA5UEIxOWNYcFV1WEJwRGRMbWJQbm8xbHk1Wmg3ZHExR0Rod0lMWnYzLzdVOWFsWnN5WTJidHlJa1NOSDRxdXZ2c0szMzM0THJWWUxOemMzM0xwMUMxOTg4UVVHRFJvRUFEaHo1Z3dPSGp4bzFJczdLeXNMQUFwdGorcnNOcXowVWlnVVhTeGRsOEpNQ0tFQ1VCS0FVZ2d4VmtvNXl0SjFLZ0tVQUl3YVRtNFA2aDRGcklXVXNpU0FGbExLRmtxbGNwSzd1M3Q0V3FiT1AwTVd6bHVoek14TXpKbzFDd3FGQWpwZDdrOFRJeUlpc0hYclZzTklqOGNubXcwSkNjSDI3ZHR4NGNJRlBIandBTys4OHc3R2pSdUgxcTFibTR3dXFWR2pCcFlzV1lLb3FDanMyN2NQNjlhdHcrelpzMkZyYTR0cTFhcGh4WW9WV0x0MkxTWk1tSUJseTVZaEtpb0tMVnEwUUtWS2xYRHYzajFVcjE0ZHZyNitVS2xVeU1qSXdJWU5HNHpPUy9wam56NnZOUkVSdlJ3TVZPZGdiMitQTFZ1Mm1Delg5eWliTld1V3lici8vZTkvK2RyM3lwVXJEYStYTFZzR056YzNuRGx6eHJCTW85RWdKQ1FFbjN6eWlXSFp4WXNYc1dIREJyejMzbnU0ZHUxYXZyOUhmbDI1Y2dXWExsMHkra3dBcUZ5NU1qcDI3SWdEQnc1Z3dvUUpGZzFTQTlCSGxBcm5sUm05Rm9RUSt2eWh0dkx4c1psa2NVS0lBaWZIZjVRSFY3KzlBb0E5Z09JS2hiQ0c3dVgrTDg2Wkl4SEl6ak9yVC92eEpQZnYzemU2TVNwWnNpU0E3R0RYenovL0RHZG5aOXk2ZFFzcWxjcmtKczhjL1h3SU5XclV3TTgvLzR5S0ZTc2lNREFROCtmUHh6Ly8vSU1PSFRwZ3g0NGRlUGp3SWZyMTY0ZC8vLzBYdnI2K2lJcUtRdWZPblZHL2ZuMk1HemNPNzd6ekRrYU5Hb1UzMzN3VEtwVUsvZnYzTjN6RzNyMTdBUUJyMTY0MUxOT25uOXE3ZDYvUmFLRzdkKzhDQU1MRHcxRzNibDE4OHNrbkp1ZWlsMHNxcFFUdlJGOFFJWVJTU3ZuVXo1c2Z0V0U3S1dWeG5VNW5VOWd2Q1Z4Y1hQRHBwNTlpK2ZMbDZOU3BFK0xqNCtIczdJd0JBd1lnTXpQVDdEYkRoZzBEa04wMnlwY3ZEeUVFaGcwYkJoY1hGOWpiMnovekhDRnZ2UEVHMXE1ZGk2bFRwNkpSbzBhb1hMa3lVbE5UOGV1dnY2SllzV0s1YnF1ZmNLeFFCMnNrRkZMS1FseEJ5M3ZVczFmZkRtMGZQZENsRnlpM1M4ckhqNGRTU3FPQWRZNy8ya29wUGUyc2xSVjBtVHA3RkVMNnVaRDBhY3R5Yy9yMGFSUXZYaHlMRmkweW04S3NmUG55U0UxTnhlZWZmNDRXTFZxZ2ZQbnl1SGJ0R2paczJJQlBQLzBVMXRiVzhQTHl3cHR2dmdrZ08xZjF6WnMzTVdyVUtIaDdleU1xS3NxUXIxci9nSC9ldkhtWU4yOGVHalJvZ0RadDJxQjkrL2JvM2JzM2JHeHNjdTBNcG4rb1hxaVBmVVJFcnlFR3FuTlFLQlNHazE1Tyt1RSs1dGJsbk13cU54TW5Ua1N6WnMwQVpPZmVTazVPeHY3OSt4RVdGb1o2OWVyaHp6Ly9SRnBhR2hvMmJHalk1djc5K3loZXZEaSsvZlpic3oxd250WEtsU3RScWxRcHRHM2IxbVRkMEtGRDRlZm5oNWt6WjJManhvMFdIZktra1VCR1p0WjFHMnVydktKTHVkMjVQdTFkN1hPL0c1WXl6KzRRSnV1ZlUyZnlndTdFWEhsTC9CN21HRzJUejkvSFhDR0hSNU42UVVwNVRFcjUzVlBVaFY2OHFrS0lIeDlmK0tRYndFZC9EK2tBb3FTVTV3RUVhclhhMDZHaG9ZRXV0ZHhiUWlCL1U5Ry9JTWVQSDMvaVJFRjYvLzc3TDl6YzNFeVdxMVFxbzVFM0dvM0daT0pFYzNMMmlOUnZYN3QyYmJScDB3YSt2cjZRVW1MWnNtWFl2MzgvM25ubkhZd2ZQeDUyZG5hWU5Xc1dnb09ETVd6WU1NeVpNd2Z6NTg5SDkrN2QwYTVkTy9UcDB3YzFhdFF3ZkViT2tUbVBLMWV1bk5INzZPaG9BTUNmZi82Sm5qMTc1bG4vRjBrQ1NNM1FubmEwVlc2emFFVmViL1VBVEFWUUt1ZkNQTnB3bHBUeU1vQS9kVHBkdUpUeVRGWldWbkNHenJvcGhQendSVmY0V1hYdjNoM3IxcTNEeVpNbkVSSVNnbTNidHVYWkl6azlQUjJEQncvR2tDRkRETXR5anJ6VG16cDFLbWJPbkdsNG41U1VCSjFPWjNROTkvZ2tpZ0RnNU9TRUgzNzRvY0RmSlRFeEVkYlcxb1cyUjdVRWtKcXBQZWxvcTl4cTZib1VabHF0MWs2cFZQYVVVdGF5ZEYyS0NpR0VnNVN5MXFPSGJXWTk2VGo0YUhtYWxESkFDTEV4UFZObmx5WGxSQURGWDB4dG4wNWFXaHEyYjkrT2poMDdvazJiTm1ZRDFURXhNWmc5ZXpZQW9HclZxbGk0Y0NFcVZhcGtkbi9PenM0bXg2bkxseTlqeVpJbDZONjl1MkYwbXQ2cFU2Zmc3KytQano3NkNFSUlWSzllM1NpMUpwRDkwSHpzMkxFRi9tNkppZG5aQUIwZEhRdThMUkVSUFQwR3FsOFNSMGRIbzVuU216WnRDanM3Tyt6YXRRdjE2dFhEdm4zN1VLNWNPWGg2ZWhxVm1UZHZubUVvS0pCOXdveUppUUVBUXkvcm1KZ1l3K1EzQUF5enMvLzk5OStHUUhxRkNoVU1QZktBN043YWZuNStHRGx5cE5rYmovTGx5MlBNbURHWW5NSjV6UUFBSUFCSlJFRlVNbVVLWnMrZW5hK2g1UytLeXNvS3lWbmFueTVHQmsreldDV01HUUtlT2Y5L0ZRWnBhV21Gc3B0WlptWm1vYXlYdmIzOWQwcWxjaFFBWkdSaytJYUhoL3RidWs1a1NxMVd4K3RmNXhIWWdwVHlycFJ5dDVSeWh4RGlXbVptNW9QSXlNamtsMVBUL1BuODg4L3puZm9qTCtucDZmRHg4VEc4bDFJaUl5TUROalkyUmc5d2N1YTIxck8xdFVXN2R1MndidDA2N05tekJ4cU5Cc1dMRjBkaVlpSysreTc3bVkyRGd3UHUzTG1EaVJNbkFzZ09kR3MwR29TSGg2TlhyMTZvVTZjTzJyWnRpNDRkTzZKVXFWSW1uL0Vrb2FHaEVFTGd3b1VMU0U5UHQyaHZKU0VFTkZKeFB6ZzRtTzMvQmFsZnY3NUdxVlFhdWhLYmE4YzUybkR5b3phOFhRZ1JvZFZxNDBKRFExUDA1VnhxdWIrTUtqOHpaMmRuT0RzNzQ5S2xTd0NBT25YcVlQMzY5Wmc5ZXpZNmRlcUVldlhxQWNqTy8zejc5bTBNSGp3WUgzNW9HbisvZnYwNlNwVXFoZUxGL3o4MjFiWnRXNVBKdUpPU2tveU9LN0d4c1NZVGFBUEFuVHQzVUtGQ2hUenJuNW1aaWQ5Kyt3ME9EZzQ0ZE9pUTJjNGFoY1dqTm55UGJUaGZqcmk0dVBEKzd5VnhkSFJzcEZLcGZrTjJibkNEM0s1bHBKU1pVa28vclZiN1kycHE2bUVBR1ZGUlVSbVBIclFYdWxGL2RuWjI2TldyRndZT0hHaTRSOVZMUzB2RDFxMWJzV2JOR3NOMXlIdnZ2ZmZFSUxYZXVISGpjT0xFQ2NONy9ZTTNjK25CTkJvTk5CcU5TZjcvQXdjT0dGMlh4TWJHb2x5NWNpYnBROHc1Y2VJRWhCRFl0MjhmZ093UktVUkU5UEx3UXNWQzdPenMwTGx6Wit6YXRRdU5HemVHbjU4ZkJnMGFaSFR5VktsVVVLdlZSdHVkUG4wYWt5Wk5NbHEyZE9sU0xGMjYxT1F6Qmd3WVlIZzlidHc0UTU3RXJLd3NUSnMyRFU1T1RvWmw1blRxMUFrblRwekF2bjM3VUtGQ0JVUCtRa3Q0OUx1WUpsaTFzQXNYTGxpNkN2UU02dGV2YitoeUpvUjRCYWJvSXNBb29DV0ZFT2tBRXFTVXdRRFdCZ1VGN1FPUVpjbjY1ZVh2di8vR3dZTUhjeTBUR3h1YjUzRDhDaFVxb0YyN2RrWnBxZlRwbkZhdVhHa0loQUhBaEFrVFRJSlQ2OWV2eDVJbFMxQ2xTaFZNbno0ZGZuNSt5TXJLZXVKOERFQjJrR3Y0OE9GWXQyNGQvdm5uSDBPZTZ2ZmZmei9YdXVZVUV4T0RLMWV1b0gvLy9saS9majEyNzk1dDRiUWZaQW1QQWpJU1FLb1FJbEZLZVVWSytWTndjUEI2Rk1Mei9kTW9VYUlFVWxKU0RHazdoQkRJeU1qQTFLbFRzWFZyZHVmZjVjdVhHMGJjbWJOMjdWb2NQMzRjdi8vK3UyR1psNWNYV3JWcVpYaC83dHc1M0x0M0QvLzk3MzhOeXlJakkwMEMxUnFOQmoxNzlrVExsaTB4YlZydXovNnRyS3d3YTlZc3BLU2tRS0ZRR0I1VzBTdFBjLzM2OWRlaWZiMEs2dFdyWjVUcjUvRUpGQjh0MHdLNEF5QWN3SzhaR1JuN0l5TWpiNzdFYWo0emM2a3dEeDQ4aUlVTEYrTGh3NGRvMnJRcHVuZnZEbTl2NzN6dGI4Q0FBWWJKbHdIZy9QbnpXTHQyTGI3NzdqdVQrVHAyNzk2TjRPQmdvNGYyZ0drdjZGbXpaaUU2T2hxYk4yL084K0g0N3QyN2NmTGtTUUJBNTg2ZGpUcDdFUkhSaThkQXRRWDE3ZHNYKy9mdng4U0pFK0hrNUlSUFAvMDB6MjJhTjIrT24zLysyZkErTFMwTkFJeE8ycmR1M1RMcCtaS3pWL2FLRlN0dzVjb1Z6Sm8xSzg5QXlMUnAwM0Ruemgyc1dMRUNVa29NSGp3NFg5K05pT2hGZUhSajl5K0E4MUxLOHpxZExpd3JLK3ZFcTNSVGQvcjBhUVFHQnVaYVJwLzZJeTB0emV3a2l2Lzg4dy9LbENtRGZ2MzZHWHBzQXNDTkd6Y0FBRGR2M2pSSzJhVHZhWG5wMGlXOC9mYmJzTGEyUnZ2MjdWR3hZa1cwYmRzV1FnajQrL3NqS0NqSTVHWXZwNXo1ZFQwOVBlSHA2WW1zckt4OHA4RUNnQzFidGtDcFZLSjM3OTZJakl6RWhnMGJETU41NmZYM0tFQ2RLcVdNQUhCU3A5UDlCZUJVU0VoSVRGN2J2Z3IwRTRucFI4QzFhZE1HRHg4K05Lei82cXV2TUhQbVRDUW1KdUwzMzMrSFRxZkRpQkVqek81TFNva3paODZnYXRXcUpzZUJweEVXRm9iazVHU2ozdGxQSW9UQXhvMGJrWjZlRG1kblp5UWtKR0Rac21YbzNyMjdTU29mSXNxL1I4ZEFuVTZuaXdWd0NNQWZRb2lnb0tDZ3Z3RzhOcDBtU3BjdWpkS2xTMlA2OU9sbzNMZ3hidDI2bFd2NVpjdVdvVW1USmxDcjFTYXBPeElTRWdCa1gzYzhIb0ErYytZTWJHMXR6ZWE3MXN2TXpNVDU4K2Z4MWx0djVXc0UxL2p4NC9IZ3dRT1VMRmtTenM3T21EdDNManAzN2d4WFY5Yzh0eVVpb21mSFFQVXowdWwwK2M0Zm5KeWNqTXVYTHlNdExRMWVYbDV3ZG5aR2t5Wk40T2ZuQjNkMzkxenplK281T0RnWXltazBHb3dhTlFwWHIxN0ZsaTFiNE9qb2lLaW9LSXdlUFJydDI3ZkhwRW1UVENhSU9IYnNHRFpzMklBV0xWcWdYYnQyZVg2ZW5aMGRGaTFhaFA3OSsyUGx5cFc0Zi84K3hvd1p3NEFDRWIxME9wM3VxaEJpZzA2bisxMnIxZDRJRHc5L2dGZXc1NlUrOVVkVVZCUisvdmxuZE8zYUZiVnFHYWNNWGJ0MkxUWnUzSWcrZmZyZ3A1OStNcnF4U2toSXlMTUhjbTdwbW43KytXZTR1TGdZVWhQa1ZMOSsvVnpuUkxoNzl5NUdqaHhwdEN5dklIWE9WQU1YTDE3RXpwMDcwYVZMRnpnNU9hRi8vLzc0NG9zdnNHTEZDcFA5MHV0SFNoa0xZUE9qMUI0M3NyS3k3a2RHUnBxZlhmQVZkZTNhTmJSczJSS1ptWmtRUXFCTm16YllzV01IZ093SnZmU3YvZjM5RFVIdGxpMWI0dlBQUHpmWlYyUmtKT0xqNDlHdlg3L25VcmZUcDA4RE1KM2c5VWx5NXNNUENnckNtalZyNE9ycXlrQTEwVk1RUWtDbjB5VkpLWTlxTkpybEFFTFQwOU1Ub3FLaU1peGR0eGVoVWFORzJMWXQvMU0vYk42OEdhR2hvUmcxYXBUaG9idGVlSGc0Z093NVBoNFBOTis0Y1FOcGFXbG1KNmx1MWFvVmxFcWxJYzFZeTVZdDgxV1hjdVhLR1k1elNVbEoyTDU5TzRRUURGUVRFYjBrREZRWDBQWHIxL0h3NFVOWVcxc2pPam9hTjI3Y01KdW5XRW9KUHo4L1JFUkVBQUNtVDUrTzVPVHNOS2xlWGw3dzh2TEMyclZyNGVmbmgxS2xTc0hmM3gvejU4K0h0N2Qzdm5KbkFjQ01HVE53NnRRcFRKa3l4ZkIwdVZxMWFoZzFhaFRtenAyTGUvZnVZZDY4ZVliQWRsaFlHQ1pPbkloS2xTb1ZLT2QweVpJbHNYcjFhb3djT1JLN2QrL0c1Y3VYc1diTm1seG5TU1lpZWw0eU16TnZXVmxaZVFVSEI1OERZRHBEMkN2cTZ0V3JPSDc4T0hiczJJSHExYXVqYTlldUtGYXNHRFp2M295b3FDaDRlbnFpVDU4K0p2TUlsQ3haRWdjT0hIamlQci82Nml2TW56OGZOV3ZXTkZzbXR5QlRVRkFRcGsrZkRpQTdUWlJLcFRKNkdLdnZVWDM2OUduNCtmbGh3b1FKVHh3U201eWNqS1ZMbHlJNE9CaGJ0MjdGM2J0MzhmWFhYOFBSMGRFUWxHN1lzQ0ZhdDI2TkRSczJ3TlhWMWV6a3Z2VHFVeWdVbDdSYWJadVFrSkJJb1BEbFdIMmVxbGF0aXZyMTZ3TUEyclJwZzdmZWVzdXdic0NBQWZqNDQ0OEJBRE5uemtUcDBxVU5FeWM2T1RuaDhPSERSdnZ5OTg5T3VkeTZkZXZuVWpkL2YzODRPanJDM2YzSmViNHJWcXlJWHIxNm1lU2MxL2VHZlB2dHQ1OUxYWWlLZ29TRWhCdWxTcFg2V1FoUlRFcTVTYWZUK1llRmhjWG52V1hSRWg4ZmovVDBkRlNxVkFuSGp4L0hybDI3VE1xVUxWc1dTNVlzTWJ1OVFxSEEvUG56VFphLysrNjdVQ3FWaG1OcDgrYk5uMWdIcFZLSlhyMTZtUVNqYjk3TUhyREhZeDhSMGN2RFNHTUJuVGx6QnQ5Ly83M2h2WU9EQTdwMjdXcDRQMkhDQlBqNyt5TWpJd09qUjQrR3JhMHQ2dFNwZ3hvMWFxQkdqUnFvWHIwNktsZXVqT25UcDJQdjNyMW8yYklsdnZ2dU8weWZQaDFidDI3RnRXdlhNSFhxVkpRdFcvYUpkY2pLeXNMTW1UTng0TUFCakIwN0ZsMjZkREZhMzZOSER4UXZYaHlUSjAvRzRNR0RzV1RKRXBRcVZRb0JBUUd3dHJhR3I2OHZuSnljVFBaNzkrNWRBSUM5dmIzSnVySmx5MkxObWpVWU8zWXN1bmJ0eWlBMUViMDBFUkVSRHdHY3NYUTlucmQyN2RxaFRaczJPSFhxRlBidTNZdUZDeGRDcTlWQ0NJR3Z2LzRhdlh2M05ydWRVcWxFeFlvVnphN1RUOEJZcGt5Wko1YkpUWXNXTFF3UE1sZXZYbzF0MjdaQnJWYkR3OE1ERFJvMHdJTUhEN0I0OFdJc1hyd1lBd1lNTUJtQ0N3QnhjWEZJU0VoQXQyN2RvTlZxTVh6NGNGeTllaFVqUm94QWZIdzhmdmpoQjZQVUEyUEhqa1Y0ZURpbVRwMEtLeXVyZlBkNG9sZEhVRkRRZlFEM0xWMlBseVhuSENFNTZZZkNBOWtqMWh3Y0hJeDZMVDgrd2RydnYvK09talZybXJUbCtQaDQzTDU5Mi9BK1BUMGRXVmxaUnN2aTR1S010cmw0OFNLdVhidUdEaDA2R0s3aHJLMnRJWVF3U2szaTR1S0MwYU5IbTlROUpDUUU5dmIyUm9GM0lzcmRyVnUzN3BRclYyN0loUXNYMHZDYVA2VExpMzcwbGI3alZrNzZqbDFWcWxUQnA1OStpb0VEQnhxdGo0dUx3OTY5ZTFHcVZDbWpTV2NmUG55STFhdFhvM256NW1qWXNLSForMU9OUm9NalI0NmdmUG55UmtGb0d4c2JvMk9mU3FWNjRyRVBBR3JYcmwyUXIwdEVSTStBMGNaSDNOM2Q4OVdUdVdQSGpuQjFkWVdVRWlxVkNsV3FWREZLMlZHbFNoV1VLMWNPdFdyVlFvMGFOVkM1Y21Xai9WNjhlQkZEaHc1RlZGUVVldlRvZ2RHalIwT3BWR0w2OU9rb1diSWt0bTdkaXU3ZHUyUHc0TUg0NUpOUFROS0t4TWZIWTh5WU1RZ0xDNE9Qanc4NmR1eG90cDd0MjdlSFNxWEN1SEhqTUhEZ1FLeGF0UW9EQmd4QWh3NGRERU85azVLU01HM2FOSlFvVVFKU1Nody9maHdxbGNva0w1aWV2YjA5RmkxYWxPZHZSRVJFcHRMVDA1R1JrWUdrcENTY09uVUs0ZUhoQ0FrSlFVUkVCUHo4L0JBZkg0ODllL1pnNTg2ZFdMaHdJZmJzMllPUFAvNFluVHAxTXB4bit2VHBnNnRYcno3eE0vU0JyaUZEaHVTYWxxcDY5ZXBZdjM2OTBUS3ROcnV6K3NPSER4RVJFWUdzckN4MDZOQUJiNzc1SnM2Y09ZT2xTNWNpUFQwZEpVcVVnTGUzTjFxMmJHbHlVNWlWbFlWVHAwNGhQVDBkNzcvL1BrYU9ISWxUcDA2aFg3OStTRTlQeDV3NWM5Q2tTUk9qYlVxWExvMEZDeFpnNE1DQkdEVnFGUHIzNzQ5aHc0YmxPNjBXMGF2czdObXpocUhyMGRIUmhselVJU0VodUgzN05vWU9IV3F5elhmZmZXZDJYNTA3ZDM3aTUrZ25jTTNabzFDbFVxRkdqUnJZdW5VclVsTlRVYUpFQ2JQYlhyOStIZjcrL3VqU3BVdStSLzBSRVFCQVhyaHdJZFhTbFNnTXlwVXJCeWNuSit6WnN3Y0toY0x3b0Rzakl3TUhEaHlBRUFKZVhsNkc4cG1abWZqenp6OXg0TUFCSEQ5K0hGWldWdWpjdVROME9wM2hPUFRQUC84Z05EUVVPM2JzZ0lPREE1bzNiNDUyN2RxaGNlUEdoc0Q0cVZPbmtKaVlhSkx5c25idDJ0aXlaUXZHangrUHlwVXJtNjF6UWtJQ0RodzRnRXFWS3Bta2FDTWlvaGVIZ2VwSFdyVnFaVFNEK3BPVUtGRUNhclg2aWV2TjVSalVpNGlJUU4rK2ZWR3NXREhNbURFRDc3Ly92bUdkUXFIQTZOR2owYWhSSS9qNCtPQ2ZmLzR4ZTVPZW5wNk85UFIwTEZteUJBMGJOc3kxcm0zYXRJRkdvOEhwMDZjTnZkZHk1aU4xZEhSRVlHQWdFaE1USVlSQXhZb1Y0ZTN0YlpLemxJaUludDMrL2ZzaHBjVGF0V3NCWlBkNmRuVjFSYjkrL2FCVUtsR21UQmtNR2pRSS9mcjF3K0hEaDdGMTYxYk1temNQKy9idHc5YXRXd0VBZ3djUE52U2FmaGFQVDZhbTBXZ1FFQkNBcEtRazdOdTNEK1hLbFlPcnF5czZkKzZNVnExYW9VZVBIb2FieGtPSERtSDI3Tm1ZUG4wNjJyZHZqMm5UcGhuMlkyVmxoVW1USnNIVzFoWk5talJCV0ZnWUprMmFoSExseW1IaHdvVm1VMlVCZ0t1cksxYXVYSW12dnZyS2NFNGlLZ3B1M0xpQnBVdVhBZ0JxMXF4cFNIOFRGeGVIaWhVcm1rMzdNWFRvMEZ6VGQrajNPM1BtVE1QN3YvLytHeXFWQ2syYk5qVXFOMjNhTk15ZE94ZS8vZmFiMFdTcE9kbmIyNk5kdTNidzl2WXUwSGNqSXRKVEtCU1lQWHMyZkgxOXNYZnZYbWcwR3NQeTh1WExZK1RJa1hCeGNVRktTZ3BtelpxRkV5ZE9JQ1VsQlM0dUxoZzVjaVM2ZHUxcU1vcXJZY09HMkx4NU02S2pvM0hvMENFY09uUUlCdzhlaEtPakl3WU9ISWpldlhzYkpweCtQRGYvb0VHRDhPREJBMXk0Y0FISGp4ODNXMmNyS3l1NHVycmltMisrNFVNNklxS2l6S1dXZTBzWDEvcDNHcjc3bmp4N0xrQyticlp1M1NydjNidVhhNW40K0hpWmtaSHhrbXBVZUtXbXBzbVBldldWTHJYY05aVnIxcDl1NmI5TmV2M1VyMTkvamxxdGxoNGVIckpHalJvZExGMGZldkVzZVk2Smk0dVRRNFlNa1h2MjdKSFIwZEg1MmlZb0tFZ0dCZ2ErNEpwbDI3bHpwOXkzYjUrOGZmdDJubVhUMHRMa2tTTkhwSitmWDU1bGYvdnRONW1Ra0pDdk90eTVjMGRxTkpwOGxYMVdQTWU4bWw3RjY4U3NyQ3labVpuNXpQdlJhclV5SlNYbHFkcUlUcWVURVJFUnoxeUh3b1J0bUlxU1YvSFk5N1RHang4dkZ5eFlJQ01qSXd1ODdjV0xGK1hzMmJQbFgzLzlaVmgyNmRLbDUzSU1MaXg0N0NPaTF4MTdWTDlrUFh2MnpMT011ZnpSUkVUMGFpdGR1alJXckZoUm9HM3k2alg1UEhYdjNqM2ZaVzF0YmRHbVRadDhsVzNmdm4yKzk4c1JQZlE2ZWw3emVpZ1VDclB6aU9TSEVJSTVWb25vbGZDazlFYjVVYXRXTFpNMEhUVnExSGpXS2hFUjBVdkVNU3hFUkVSRVJFUkVSRVJFWkZFTVZCTVJFUkVSRVJFUkVSR1JSVEZRVFVSRVJFUkVSRVJFUkVRV3hVQTFFUkVSRVJFUkVSRVJFVmtVQTlWRVJFUkVSRVJFUkVSRVpGRU1WQk1SRVJFUkVSRVJFUkdSUlRGUVRVUkVSRVJFUkVSRVJFUVd4VUExRVJFUkVSRVJFUkVSRVZrVUE5VkVSRVJFUkVSRVJFUkVaRkVNVkJNUkVSRVJFUkVSRVJHUlJURlFUVVJFUkVSRVJFUkVSRVFXeFVBMUVSRVJFUkVSRVJFUkVWa1VBOVZFUkVSRVJFUkVSRVJFWkZFTVZCTVJFUkVSRVJFUkVSR1JSVEZRVFVSRVJFUkVSRVJFUkVRV3hVQTFFUkVSRVJFUkVSRVJFVmtVQTlWRVJFUkVSRVJFUkVSRVpGRXFTMWZnU1JJVEUrRXpheDZLT3pwYXVpcGtJVHFkRHBlam9peGREU0o2RGZFY1F6ekh2TnJZaG9sdG1Jb2lIdnVJeHo0aWV0MFZ1a0MxVnBlVm9sS29ORmthRGY2K2ROblMxYUZDUUFpcEJaQmk2WG9RMGF1UDV4aDZITTh4cnhhMllYb2MyekFWQlR6MlpaTlNRdWhmQXhCQzVGYjh0Y1pqSHhHOXJncGRvRHBOYVA1MmhKV1BsTEtLcGV0Q2hZT0VUTkptWnYxczZYb1EwYXVQNXhoNkhNOHhyeGEyWVhvYzJ6QVZCVHoyWlZNQ3BleXRGVTJFa0xZcEdmSzBWc3BZUzlmSlVuanNJNkxYVldGOUJDa0FLQzFkQ1NvMEpBQ3RwU3RCcjUvNjlldlBVU2dVM3dnaGtKeWMzUEh5NWNzSExWMG5laWw0anFHY2VJNTU5YkFOVTA1c3cxUlVGUGxqWDUwNmRScFpXMXYvSklSdzF1bDBId1VIQngrMmRKMHNpTWMrSW5vdEZib2UxWTlJQUJwTFY0S0lpRjVMUE1jUXZkcllob21vS0NyeXh6NmxVbWtJekNvVUNoMksrTzlCUlBRNlVsaTZBa1JFUkVSRVJFUkVSRVJVdERGUVRVUkVSRVJFUkVSRVJFUVd4VUExRVJFUkVSRVJFUkVSRVZrVUE5VkVSRVJFUkVSRVJFUkVaRkVNVkJNUkVSRVJFUkVSRVJHUlJURlFUVVJFUkVSRVJFUkVSRVFXeFVBMUVSRVJFUkVSRVJFUkVWa1VBOVZFUkVSRVJFUkVSRVJFWkZFTVZCTVJFUkVSRVJFUkVSR1JSVEZRVFVSRVJFUkVSRVJFUkVRV3hVQTFFUkVSRVJFUkVSRVJFVmtVQTlWRVJFUkVSRVJFUkVSRVpGRU1WQk1SRVJFUkVSRVJFUkdSUlRGUVRVUkVSRVJFUkVSRVJFUVd4VUExRVJFUkVSRVJFUkVSRVZrVUE5VkVSRVJFUkVSRVJFUkVaRkVNVkJNUkVSRVJFUkVSRVJHUlJURlFUVVJFUkVSRVJFUkVSRVFXcGJKMEJZaUlpSWpJNG9TN3Uvdm5Db1hpY3dCMUFDaWxsTmQxT3QzWElTRWhoL1dGMUdwMVpRQ1RBTFFYUXBTVFVqNFVRaHdGTURVd01EREtRblVuSWlJaUlxTFhBSHRVRXhFUkVSVmh0V3ZYdHZidzhOaXZVQ2hXU3luZkFyQlBTcmxMQ0pFaGhIRFZsL1B3OEtnR0lBaEFIeUZFdUpSeW14RGlIb0JQQVZ4d2MzT3JhNkd2UUVSRVJFUkVyd0gycUNZaUlpSXF3bXh0YlJjQzZDU2xYSm1Sa1RFeU1qSXlVNy9PMDlQVFN2OWFTdWtDNEN5QVFZR0JnYmYxeTlWcXRZOFFZcEpTcVp3Sm9NdkxyRHNSRVJFUkViMCtHS2dtSWlJaWVrYnU3dTVkcFpRUEZBckZwYUNnb1B1V3JrOSt1Ym01MVpWU2ZpR0VPQmtVRkRRVWdNeTUvc0tGQzFuNjE1bVptWUVSRVJGZEFHaHpsZ2tLQ3ZKUnE5WGZBUEI2S1pVbUlpSWlJcUxYRWdQVlJFUkVSTS91RTZWUzJRbUFScTFXeHdNNEFTQlNTdmw3Wm1abVpNNWV5b1dKUXFFWUlJUlFhTFhhR1hnc1NQMjRpSWlJaDA5WXBRR1FLb1RJZU80VkpDSWlJaUtpSW9PQmFpSWlJcUpuOUNoWHMvMmoxOFVCOUhuMGVwYU5qVTJHV3EyK0JDQkVTbmtSd0hraFJMeVVNbEVJa1hELy92M2s2T2pvTkV2VVc2RlF0SlZTWnFoVUtqOFBEdzgzWktjQWNaUlNoaVVuSi84Y0ZSV1ZaL0M1ZnYzNmRZUVFKYVdVUjE5Q2xZbUlpSWlJNkRYRlFEVVJFUkhSczRzRUFDbE5PeVVMSVd3QXVBRndFMExnVWJrNElVU01FQ0s2Yk5teWNXWExsbzFGZGcvc214a1pHWmN1WHJ4NEY0RHVCZGRaQmFDV0VDSktwOU45QWNCWFpJTVFBc1dMRjUvczZlblo3c0tGQ3pkejI0ZENvVmo0NlBYS0YxeGZJaUlpSWlKNmpURlFUVVJFUlBTTXRGcnRKWlhLL0dYVkU0TFhaUUNVQVZCZkNBR1pYU2hMb1ZCb2JXMXR6OVdyVjI5a1dGaFkySXVzczZlbnA1T1VVZ1dnTElCdnBaUWZKaVVsSFN0V3JKaXpVcW1jRGFDYlRxZmJDS0RsRTdZdm9kUHB0Z2doMmtvcHR3UUZCZTE2a2ZVbElpSWlJcUxYR3dQVlJFUkVSRStoWXNXSzlzN096aFdsbEJWMU9sMWJLV1dtRU1KYVNnbDl6Mmx6cEpTRzRIV09JSFdpRUNKUXE5V3V1My8vL3U3YnQyK252dWo2WjJWbDJUNEtycGNXUXJRUENnbzY5R2pWdjlXcVZldFZ2SGp4SzBLSUZtNXVialZEUTBNdjVkelczZDI5b1U2bjJ5NkVlRnRLdVNRb0tPaC9MN3ErUkVSRVJFVDBlbU9nbW9pSWlDaWZQRDA5clRJek0yc3BsVXBQSVVRckFQV0VFRzRLaFVLWjE3YVA5NngrRk14T0YwSWMwR2cwdTFOVFV3OUdSVVg5KzJKcWJrcWhVQ1EvcWxkS1VGRFE0Wnpyb3FLaU10UnF0WjhRNGpPVlNsVWJnQ0ZRN2VIaE1WaEt1VmdJa1FUZ282Q2dvTjB2cTg1RVJFUkVSUFQ2WXFDYWlJaUlLSiswV3UweGxVcFZBMEF4SVVTeEhLdHVDU0djQURpYTI4NU1rRm9qcGZUVGFyV1RNekl5SWk1ZHVwVDA0bXB0WG5Cd2NJSmFyWDRvaExBM3QvNVJJQm9BRE4zRFBUdzh2Z2F3UUFoeFVrclpNeWdvNlBiTHFDc1JFUkVSRWIzK0ZKYXVBQkVSRVZFaFpTNS9SNVlRd2tFSThWQksrYWVVY2x4NmVucmx4TVRFZWxMS1UvcEMrdlFlT2ROOEFKQkNpRVFBQVZxdHRvZENvZWdZR2hyNnB5V0MxRG1jQW1EcjV1YjJ6dU1ycEpUcVJ5OHZBb0NIaDRlbmxISStnR1BwNmVsdEdLUW1JaUlpSXFMbmlUMnFpWWlJaUI3ajV1YjJua0toZURNNE9IajlZNnNXU1NrcmFMWGFjd0F1aFlhR3BnQkE3ZHExclFHWVRkdnhLQTkxSW9COVVzcmZFaE1UZjd0NjlXcmlpLzBHK1NPbFhDbUU2S0pTcWVhN3VMaTB2WDc5ZWpvQWVIaDQ5QWJRVkVvWkVCUVVkUEZSMlMrRkVBb3A1YlRJeU1oTWkxYWNpSWlJaUloZU93eFVFeEVSRVQxU3QyN2RxbFpXVm1NQmRCWkMyTldzV2ZQbm5EMmVnNE9ERHdEUUFUREs1UkVaR1pucDd1NStCNER1VVRCWHZ5cERwOU1kRUVMTVNFMU52V3JoM3RNbWdvT0RENnJWNmcxQ2lMNGxTNWE4V0xKa3lXTkNDQmNBcmFXVUQzVTZYWDk5V1NHRSs2UC9qbGVyMWQ3bTlpZUVXQjRZR0hqSTNEb2lJaUlpSXFMY01GQk5SRVJFUloxUXE5VmxwSlNEaEJDamhCQ2xwSlFaVXNyYk5qWTJkUUQ4bWFPc05wZjl4QWdodEZKS0lZUklsbEtHYXpTYWNXRmhZY2RmY1AyZlNWQlEwT2NlSGg3QkFBWUQ2QzJsVEJSQ2JOWm9OSlBEd3NLdTZzdEpLWXMvbWdEeVA0LythMEpLK2Z0THFUUVJFUkVSRWIxMkdLZ21JaUtpSXF0bXpacU85dmIybllRUTQ0UVE5UUJBU2hrSllLdVU4cWZRME5EckJkamREU2xsZ2hEQ1g2ZlQ3UXdPRHQ2TjNBUGJoWVUyTUREd0J3QS81RllvS0NpbytrdXFEeEVSRVJFUkZVRU1WQk1SRVZHUlZMdDJiUWNiRzVzbEFEb0RLQ21sdkN1bC9GNnIxUjZ3dHJiKzU4S0ZDMWtGMlorVThveE9wK3VzMVdxdlJFUkVQSHd4dFNZaUlpSWlJbm85TVZCTlJFUkVSVXExYXRWc2loVXIxbGFoVUd3V1FoUUhrQ3FsUEt2VDZmcUZoSVJjZnRyOWhvU0V4QUNJZVg0MUpTSWlJaUlpS2pvWXFDWWlJcUlpeGQ3ZXZycENvWmd0aENndXBmd2J3TEw3OSsvL0dCMGRuV2JwdWhFUkVSRVJFUlZWREZRVC9SOTdkeDVYVS83L0FmeDE3dEtpSW9TWVVCR0tVa2kyeG1UOTJyZXhEbUhJTm95eE14akxHTXVRYldJc0V5UGIySGRtckdNWlpDc2lrN0tOa0JTbDdWYjMzdlA3Zys2djY3YXB1QzJ2NStQUncrM3orWnozZVo4bXgvVHVjOStIaUlpS0ZhVlNlVThxbFc0UVJiRzFLSXJUQWdNRDd3RDRvRFlmUkVSRVJFUkVsTDlZcUNZaUlxSmlKVGc0T0FYQTBuY2ZSRVJFUkVSRVZBQ3dVRTFFUkVSRm1wT1RVMDJKUkZKRktwWCsvYUVQU0NRaUlpSWlJcUpQUTZMdkJJaUlpSWcrRmtkSFIwZXBWTHBERUlSMWFyVzZuYjd6SVNJaUlpSWlvb3l4VUUxRVJFUkZVdTNhdGN0SXBkTDVnaURVQlZCU3JWYXI5WjBURVJFUkVSRVJaWXlGYWlJaUlpcHlhdFNvWVNHWHk1ZElKSkwvaWFLWUFHRHl6WnMzaitrN0x5SWlJaUlpSXNvWWUxUVRFUkZSa1ZLOWVuWERFaVZLL0NTUlNBYUlvcWhTcTlVekV4SVN0Z0JRNlRzM0lpSWlJaUlpeWhnTDFVUkVSRlNrbEN4WjBndkFNRkVVVTlScTljU2JOMi82NkRzbklpSWlJaUlpeWhvTDFVUkVSRlJrT0RvNk9vcWlPQmFBV2hURlhXcTFlcXUrY3lJaUlpSWlJcUxzc1ZCTlJFUkVSWUtEZzRPQlRDWWJKUWlDRFlCWEFCWUhCUVc5MW5kZVJFUkVSRVJFbEQwV3FvbUlpS2hJa012bEhvSWdEQUVnVlNxVkkyL2R1blZUM3prUkVSRVJFUkZSenJCUVRVUkVSRVdDUkNMNVJoVEZlRUVRanQ2NmRXdTN2dk1oSWlJaUlpS2luR09obW9pSWlJb0VwVkk1VUNLUnRCWkY4YXErY3lFaUlpSWlJcUlQdzBJMUVSRVJGUW52K2xIdjFIY2VSRVJFUkVSRTlPRWsrazZBaUlpSWlJaUlpSWlJaUlvM0ZxcUppSWlvTUpQWTI5dFhCZDhsUmtSRVJFUkVWS2l4VUUxRVJFU0Zsb3VMaTZXUmtkRUpaMmZucmZyT2hZaUlpSWlJaUhLUHU0K0lpSWlvMEZLcjFSMmxVcWtkZ0VSOTUwSkVSRVJFUkVTNXh4M1ZSRVJFVkdoSkpKS2U3MTRlMDJzaVJFUkVSRVJFbENjc1ZCTVJFVkdoVkt0V3JiSUFQZ2VRS29yaWFYM25RMFJFUkVSRVJMbkhRalVSRVJFVlNrWkdSbTBGUVRBQThFUWlrWVRyT3g4aUlpSWlJaUxLUGZhb0ppSWlva0pKRUlUR0FDQ0s0b09VbEpRWCtzNkhpSWlJaUlpSWNvK0ZhaUlpSWlxVUJFR284ZTdQaUR0MzdzVHFPNTlQUlJSRlVkODV2RThRQkVIZk9SQVJFUkVSVWVIR1FqVVJFUkVWU3FJb0dyejlRMHdGb05KM1BrUkVSRVJFUkpSNzdGRk5SRVJFaGM2N0J5bWFDSUtnQnZCTTMva1FFUkVSRVJGUjNuQkhOUkVSRlN0V1ZyWEx5RXBJeXVzN0Q4b2JKVkJCQkV3RlFGU0pvckYxRGNkYXVZbVRvbFFsUG5zUUhBNUFuYzhwRWhFUkVSRVIwUWRnb1pxSXFBQXJhTDFvQzNzZjJxcFY3U3UwWEhRS0FBQWdBRWxFUVZRS3h2SUZFRkJYMzdsUTNvZ1FqVVVSMW1xSTBtU2wwQU5TYVl2Y3hER1FTR09xMkRuKzlGOW8wTW44enBHSWlJaUlpSWh5am9WcUlpSXFOZ1JqdzVvUXhMWUNCRXQ5NTBKNW94WUJoVktFQUVBbG9xb0FWTTFOSEJGUUNSSkpjd0FzVkJNUkVSRVJFZWtSQzlWRVJGVHNtSm1hWW1EL3ZyQ3JacXZ2VkVoUFVsSlRzWHJ0YjNqdzZEOTlwNUlub2lqaTBLRkQyTHQzTDhMQ3dxQlNxV0JyYTR0dTNicWhSNDhlZVA5TkVETm56c1RSbzBjempMVjgrWEs0dTd0cmpZV0dodUxYWDM5RlFFQUFVbEpTVUwxNmRRd2FOQWdlSGg0ZjdacUlpSWlJaUtoNFlxR2FpSWlLSFVORFF6UnAxQkNOR2piUWR5cWtKMGxKQ216ZnVRY281SVhxbjMvK0dUdDM3b1NWbFJVOFBEd1FIeCtQSzFldVlNR0NCYmh6NXc1bXpacWx0VDRtSmdhQ0lHUllhTGF3c05ENlBDZ29DTU9HRFlNb2luQjNkNGRNSnNPNWMrY3djZUpFekpvMUM1MDdkLzZvMTBaRVJFUkVSTVVMQzlWRVJFUkVoZFNUSjAvdzQ0OC9vbjM3OXBxeGlJZ0lEQnc0RUFjUEhrU3ZYcjFnYjIrdm1ZdU5qWVc1dVRrV0wxNmNaVnlWU29VZmZ2Z0JLcFVLNjlldlI5MjZiOXU2QndjSFkvRGd3Vmk2ZENsYXRtd0pFeE9UajNOaFJFUkVSRVJVN0VqMG5RQVJFUkVSNWM3N1JXb0FzTFMweEpkZmZna0F1SG56cHRaY1RFd01TcGN1blczY3k1Y3Y0Ny8vL2tPN2R1MDBSV29BY0hCd1FOdTJiUkVYRjRkejU4N2x3eFVRRVJFUkVSRzl4VUkxRVZFaG9GYXJjZWpRSVF3Yk5neHQyclJCa3laTjBLTkhEL2o0K09ETm16ZFpIcHVZbUlpRkN4ZGkwS0JCbWE0SkNBakEyTEZqNGVIaEFUYzNOM1RwMGdVclZxeEFRa0pDZmw4S0VlV2p6SXJPcHFhbUFBQURBd090OFppWUdKUXBVeWJidUJjdlhnUUFORy9lWEdldWFkT21BTjdlTjRpSWlJaUlpUElMVzM4UUVSVUNDUWtKbUQxN05tcldyQWszTnpjb2xVcmN1SEVER3pkdXhKa3paN0JseXhZWUd4dHJIYU5RS0xCLy8zNXMzTGdSVVZGUnFGT25Ub2F4VDV3NGdXblRwc0hNekF5dXJxNlFTcVVJQ0FpQW41OGZMbDI2aEkwYk4rckVKcUtDTGEySWJHdjcvdzhNVlNxVlNFaElRSGg0T09iT25RdERRME5ZV1ZtaGVmUG1zTEt5MGpyKy92MzdBSURxMWF2cnhMYTJ0Z1lBL1BkZjRlN3ZUVVJFUkVSRUJRc0wxVVJFaFlDaG9TRTJidHdJSnljbnpWaHljaklHRHg2TWtKQVFuRDU5R2gwNmRORE0vZm5ubi9qcHA1K1FtSmdJZTN0N1JFVkZaUm83TkRRVW5wNmVHRDU4T0F3TkRRRzhMWEpQbURBQmx5OWZ4cDQ5ZTlDL2YvK1BkM0ZFbEsrdVhyMkswNmRQdzliV0ZzN096cHJ4bUpnWUFHOTdXQjg0Y0VBenZtelpNZ3dkT2hRalJvelFqTDE4K1JJQU10eDluVFlXRnhmM1VmSW5JaUlpSXFMaWlhMC9pSWdLQVFNREE2MGlOZkMyZVAzRkYxOEFlUHVBdFBUQ3c4TlJvVUlGeko0OUd5dFhyc3d5ZHQrK2ZmSHR0OTlxaXRRQVlHUmtoS0ZEaHdJQUFnTUQ4K01TaU9nVE9IUG1ETDc3N2pzWUd4dGo3dHk1V25QbTV1WTRkZW9VL1AzOWNlblNKZXpidHc4alJveUFvYUVoMXE5Zmo0TUhEMnJXS2hRS0FOQzZMNlJKYXllU2twTHlFYStFaUlpSWlJaUtHeGFxaVlnS3NiUzMzanM0T0dpTmYvWFZWOWk5ZXpjNmRlb0VpU1RyVy8ySDlyZ2xvb0pIcVZUQzI5c2JFeWRPUk1tU0piRnUzVHJZMjl0cnJaSEpaREEzTjRkTUpvT0JnUUdxVktrQ0x5OHZ6Snc1RXdDd2JkczJyYlVBb0ZLcGRNNlZtcG9LNE8wdnRJaUlpSWlJaVBJTEM5VkVSSVdNUXFIQXc0Y1BzV0xGQ2h3N2RnemR1M2ZYZW5zL2dIenBLWjNXNDdaYXRXcDVqbFdVeGNiRzR0U3BVeG51THZYMzk4ZUxGeThBQUpHUmtZaUlpTWcybmxLcGhGcXR6bkJPRk1WTTV6N0U2dFdyOGIvLy9VK3phell2bEVxbHpvNysvQklXRm9ibzZPaVBFcnNvaVk2T3hwQWhRN0J0MnphMGFORUNmL3p4aDA2Uk9pdXRXN2VHb2FFaEhqeDRBRkVVQVFCbVptWUFkTit0QWZ4L0M1R3laY3ZtUS9aRVJFUkVSRVJ2c1ZCTlJGUklQSHIwQ1BYcjEwZlRwazN4NVpkZjR2RGh3MWl3WUFHbVQ1K2U3K2VLaW9xQ3I2OHZaRElaT25YcWxPL3hpNUtEQnc5aTh1VEorUGZmZjdYRzQrUGpNV0hDQlBqNitrSVVSWHp6elRlWU5HbVNaamRxWm80ZVBRcDNkM2Zjdlh0WForN3Z2LzlHNjlhdDhmejU4enpsSEJjWGg1Y3ZYK2E1NkMyS0lnWU5Hb1FaTTJiaytKalkyRmhNblRvVjRlSGhPbk9CZ1lGYS9kUjc5KzZOclZ1MzVpbkhvdTcxNjlmNCt1dXZFUklTZ3VuVHAyUHg0c1VvVmFyVUI4V1FTcVU2TFQ2cVZxMEtBSGo0OEtITytrZVBIZ0hRZmxBakVSRVJFUkZSWHJGUVRVUlVTSmlabWFGWHIxN28xS2tUWEYxZEVSY1hoNWt6WjJMTm1qWDVzc3MyemNPSER6Rmt5QkJFUlVWaHlwUXBLRisrZkw3RkxtcEVVY1NlUFh0UXYzNTluUjdpQnc0Y1FISnlNanc5UFNFSUFpWlBub3pnNEdENCt2cG1HZlBLbFNzd01qSkNqUm8xdE1iVmFqVisrKzAzVkt4WUVVcWxFaytlUE5INnlNbHU3ZndtQ0FKYXRteUppeGN2NHZ6NTh6azZKakl5RW9HQmdSZ3dZQUQ4L2YwMTR3a0pDUmcrZkRqV3JWdjNzZEl0a243ODhVYzhmZm9VeTVZdFEvZnUzWE1WSXpRMEZHL2V2SUd0clMwRVFRQUExSzlmSHdCdzRjSUZuZlgvL1BNUEFLQnAwNmE1ekpxSWlJaUlpRWdYQzlWRVJJVkUyYkpsTVdYS0ZNeWVQUnRyMXF6QmtTTkg0T2pvaVBYcjEyUG56cDM1Y281RGh3NmhmLy8raUl5TXhPelpzM05kK0NvdS9QMzk4ZVRKRTN6OTlkZGE0MnExR2p0MzdrU3JWcTFnWldVRkFIQjFkVVh2M3IyemJKZWdWcXZoNysrUEZpMWFRQlJGSkNVbGFlYjI3Tm1EZi8vOUYzZnYza1hYcmwxMVBrYU5HdlZ4TGpJYi9mcjFRNFVLRmVEdDdRMmxVcG50ZWpzN08yemF0QWtXRmhZWU0yWU1qaDA3QmdDNGRPa1NsRW9sUER3OFBuYktSVVpFUkFUT25qMkwrdlhybzNIanh0bXVEd3NMMC9TMVQvUGl4UXZNbmowYkFOQ3RXemZOZU92V3JXRnFhb3A5Ky9ZaExDeE1NeDRjSEl5alI0K2lSbzBhcUZldlhqNWRDUkVSRVJFUkVTRFRkd0pFUkpRN1pjdVd4YXhaczlDMWExZnMzcjBiZmZyMHlYVXNwVktKQlFzV1lQLysvYWhldlRybXpac0hPenU3Zk15MmFOcThlVE1jSFIzUnFGRWpYTGh3QVdmT25NRzRjZU53NDhZTmhJZUg0L1hyMTJqZHVyWE9jZWwzRGMrWk13ZE5talFCQU55NGNRT3ZYcjFDKy9idGNlalFJZnp5eXk4NGZmbzBIajkrak9YTGwwTW1rOEhIeDBkcjkvYkZpeGN4Y2VKRWRPellVZXNja1pHUm1uN0Q3MHNyZ0w5OCtUTFRCK0tWTEZreTAxN25lL2JzZ2FXbEpabzJiUXBEUTBONGVYbGgzcng1T2Y0K3JGQ2hBbng5ZmJGdzRVSzR1TGdBQU02ZVBRc0FtRGh4b3RiYXJWdTNZc2VPSFZwajNicDEwMWxYSE4yN2R3OEFFQjRlanZIangyZTRwbVRKa3BwQzlQMzc5ekY5K25RNE9UbWhhdFdxZVBueUpRSUNBcUJRS05DbVRSdjA3TmxUYzV5Wm1Sa21UNTZNSDM3NEFRTUhEa1R6NXMwaGlpTE9uajBMdVZ5TzJiTm5hM1pmRXhFUkVSRVI1UWNXcW9tSUNySEtsU3ZEd01BZ1R6MkwxV28xcGs2ZGlqTm56cUJuejU0WVAzNDhEQXdNOGpITG91bjY5ZXU0ZlBteXB1anM2K3VMMU5SVUdCa1p3Y2ZIQjZWS2xjS1lNV00wNjY5ZHU0WS8vL3dUMDZkUDF5cncyZGpZYUY0ZlAzNGNKaVltY0hGeDBmUUJmdlBtRGNhUEh3OGJHeHZZMk5oZzJyUnBXTDkrUFd4c2JCQVVGSVRaczJlalpjdVdPcnU2TzNUb2tHMUxtS3gyekUrZVBCbTllL2ZPY0c3VnFsVndjM1BUdEg3bzJMRWoxcTlmai9YcjE2TlRwMDR3TVRISjhyekEyd0xxL1BuekFienRpWDd5NUVrMGFkSUVycTZ1bWpVclZxeUFzN096VG91Sm1qVnJaaHUvT0lpUGp3ZndkbWQxWnExZnlwUXBvM2xkczJaTk5HN2NHTUhCd1FnS0NvS3hzVEZxMWFxRkxsMjZvRk9uVGpxRjV3NGRPc0RNekF5K3ZyNzQrKysvWVdob2lDWk5tbUQwNk5Hd3RyYitlQmRHUkVSRVJFVEZFZ3ZWUkVTRjJQUG56NUdTa3BLbm90RWZmL3lCTTJmT1lNaVFJWHBySDFFWStmajRvRm16WnFoZnZ6NnVYYnVHVzdkdVljMmFOZGk1Y3lmdTM3OFBTMHRMclZZS0tTa3ArUFBQUDlHNWMyZklaTHIvL0NZbUp1S3Z2LzdTbWJ0ejV3NFVDZ1YrL2ZWWGxDNWRHdVBIajhmQWdRUFJyMTgvK1BuNW9Ybno1cGc3ZDI2R09UWnQybFFyaHpUNzl1M0RQLy84Zy9uejUrdjhVaUk2T2hvTEZpelFPU1lnSUFBMk5qWXdOemZYbVpQTDVSZzhlREJDUWtJMDdUK3VYcjJLWmN1V1llWEtsYkN3c0FEd2R1Zit4SWtUMGJCaFEvVHIxMDl6L01hTkc1R2Ftb3JKa3llamN1WEttdkVWSzFhZ2R1M2E4UFQwelBENmlydjI3ZHVqZmZ2Mk9WNXZiVzJOWDM3NTVZUE84Zm5ubitQenp6Ly8wTlNJaUlpSWlJZytHQXZWUkVTRndNR0RCK0hxNm9xS0ZTdHF4dUxqNC9IVFR6OEJlTHZ6TWJmKytPTVB5T1Z5ZUhsNTVUblA0dUxSbzBlNGRlc1d6TTNOMGJGalI3eDU4d2JObWpXRHJhMHRKa3lZa0t1WWh3OGZSbng4UEVxVktxVTEzcmh4WSt6YnQwOVRVSjR3WVFJR0RScUU5ZXZYbzFTcFV1amR1emZrY25tR01ULzc3TE1NZXo1ZnVYSUZBT0R1N280U0pVcG96VDE1OGtSbnZTaUtHRDkrUE9yWHI0OGxTNVprZUs3MGJTTUF3TmpZR0NFaElkaTRjU01tVFpvRTRHMmhXaTZYdzl2Ylc3TWJYQ0tSNE9USmszQjNkOWNxVWhNUkVSRVJFVkh4d2tJMUVWRWhjT1hLRmN5Yk53L096czZvVXFVS1ltSmlFQkFRZ0ppWUdEUnUzQmdEQmd6SVZkeUVoQVE4ZmZvVVJrWkdtREpsU3FicnBrNmRpdkxseStjMi9TS25TcFVxNk42OU8wcVhMbzJJaUFqOCtlZWZHRGR1SExaczJZTGs1R1M0dXJvaU5EUVVKMCtlMUJ3VEVoSUNBRGg5K2pRa2t2OS9sbkhqeG8xaGFHaUlyVnUzWnJqVEdnQU1EQXh3Ky9adDdONjlHMGVQSG9XdHJTMkdEUnVHSFR0MllNaVFJYkMxdFVXelpzMVFyMTQ5dUxpNHdOVFVORit2OThHREIzano1czBIUFR5dlRwMDZjSE56dzk2OWV6Rnc0RUNVTDE4ZVJrWkcrUG5ubitIdDdZM3QyN2ZqMWF0WFdMdDJMWGJ1M0lrM2I5N2thODVFUkVSRVJFUlV1TEJRVFVSVUNQVHAwd2RLcFJLM2I5L0dyVnUzSUpmTFVhMWFOWXdhTlFyZHVuWFRLbngraUlTRUJBQ0FRcUhRUE13dUk5OSsrMjJ1NGhkVkVva0UwNmRQaDFxdGhxZW5KM3IzN2cxcmEydjA2TkVEcFV1WHh2UG56M0gxNmxYTW1qVkxjMHhhUzR3NWMrWm94ZHEyYlJ0dTNMaUJwMCtmb2x1M2JqaDE2cFRXL05HalI3RnExU3BFUkVUQXdjRUI4K2ZQUjh1V0xSRWRIUTAzTnplRWg0Zmo4T0hEMkxsekp6WnYzb3k5ZS9mbWU2RTZJQ0FBQURRUFBzd3BMeTh2REIwNkZKczJiZExzcWhZRUFSTW5Ua1RwMHFWaGEydUxvS0FnVGZ5TTNMbHpCMzUrZmpyajl2YjJXdjJzaVlpSWlJaUlxSEJqb1pxSXFCQ29VNmNPRmk1Y21LdGp6YzNOY2YzNjlRem55cGN2bitrY1pXL0xsaTJJakl6RThPSERBUUJXVmxidzlQVEVva1dMWUdscGlTTkhqbWpXN3RpeEF6Ly8vRFBPbmoycnMzTjZ5NVl0Nk5DaGc5YURGZE00T3p2RDNkMGRuVHAxUXUzYXRhRlVLckZueng3NCtQaWdaczJhV0xObURabzNiNDdrNUdTRWhZV2hTcFVxK1g2ZEFRRUJLRkdpQkdyVXFQRkJ4N200dU1EUjBSSDc5KytIbDVlWFZuL3JJVU9HQUFBMmJkcWtlU0FsOExhWHR5aUtNRFEwaEpHUkVRSURBM0h0MmpVWUdSbHB4ZTdWcXhjTDFVUkVSRVJFUkVVSUM5VkVSRVM1RUJ3Y2pOV3JWMlB1M0xrd05EUkVlSGc0WHI5K0RVZEh4dytPMWIxN2Q1UXJWdzdIangvWG1hdFVxUkttVHAyS3hNUkU3TnExQzF1MmJFRk1UQXlHRHgrT1hyMTZJU3dzREthbXBxaFlzU0pxMTY2dGRlemV2WHR4OE9CQm5aaHB1N3RidDI2ZGJXNHFsUW9YTDE1RS9mcjFJWlZLUC9qYWV2ZnVqUmt6Wm1EbnpwMFlObXdZZ0xjOXJ4ODhlSUJxMWFwaDRNQ0JHRGh3b0diOTZOR2o4ZnIxYTJ6ZHVoWEEyd2N0K3ZqNDRQVHAwekEwTlB6Zzh4ZEZnaUFJK3M2QmlJaUlpSWdvdjdGUVRVUkVsQXN6WnN4QWFtb3FGaTllakduVHBnRUFhdFNvZ2UzYnR3TjQyMDRscHoycTdlM3RzenpYNHNXTHNYLy9maGdiRzZOYnQyN28xNjhmU3BZc2laMDdkMkxseXBWbzE2NGRmdmpoQjUzamF0ZXVqUysrK0VKbi9PKy8vOGJObXpjeFpNZ1FuZDNkc2JHeCtQMzMzeldmQndRRTRNMmJOM0IzZDgvdVM1S2gxcTFiWTlteVpkaXhZd2M4UFQxaFpHU0V4NDhmbzFldlhwZzBhUkw2OU9tanRUNDZPbHJuZ1pKRVJFUkVSRVJVOUxGUVRVUkVsQXN0VzdaRVFrSUNxbFNwZ3M4Kyt3eVZLbFZDeFlvVk5mTXhNVEU1N2xGdFltS1M1YmxhdFdvRmUzdDd0R25UQmdZR0JyaDA2UkpXckZpQlo4K2VZY3lZTWVqVHB3OWlZbUswV212MDZ0VUx6czdPR2U2YWZ2NzhPVzdldklrK2ZmcWdSSWtTV25NeE1URklURXlFblowZEFHaDZsemR0MmpRblh4YU5nd2NQSWlVbEJWMjZkTUdvVWFOZ1ptYW0yUkY5NTg0ZEFOQnBVNUtjbkl4SGp4NmhVNmRPSDNRdUlpSWlJaUlpS3Z4WXFDWWlJc3FGYjc3NUpzdjVEK2xSblIwWEZ4ZlkyOXZqNU1tVDJMcDFLeDQ4ZUlCdTNicGh6Wm8xTURFeGdhK3ZMelp1M0lqRml4ZHJDc3BwRHkvOFVPYm01cGd5WllybWN6czdPN1JvMFFLV2xwWWZGT2ZxMWFzNGV2UW9PblRvZ0s1ZHUyck5CUVlHUWlLUndNbkpTV3Y4NHNXTFNFbEpRYjE2OWJLTWZmRGdRVmhZV0tCSmt5WWZsQk1SRVJFUkVSRVZYQ3hVRXhFVllNV3hGNjJUazVPTlJDTHhGZ1RoZ2txbDJwbVltUGdtTEN3c0FZQkszN2xsSlNJaUFuZnUzRUg1OHVYekpWNnRXclUwdlp2Mzd0Mkw1Y3VYdzlEUUVGMjdkc1V2di95Q2tpVkw0dGl4WS9EMTljWExseTh4WXNRSXVMbTU1Y3U1MCt2Y3VUTTZkKzZzTXk2S1lwYkhQWG55QkphV2xqQTJOdGFadTNuekptclVxQUZUVTFQTm1FcWxncSt2TDB4TlRkR3NXYk1zWTU4K2ZScXhzYkVzVkJNUkVSRVJFUlVoTEZRVEVWR0JvbEtwcEZLcDFFVVFoRzVTcVhTbW1ablpOUmNYbDF1aUtKNFhSZkhxelpzM253SEl1a3I2a2FXbXB1TE1tVE80ZCs4ZVFrSkNjUGZ1WGJ4Ky9Sb0E4UDMzM3dONFczaDk5dXlaNXBqWTJGZ0Fid3ZhNlh0VW01cWFvbVRKa2pybnNMZTMxL1N1YnRXcUZVcVhMZzEzZDNlOGV2VUtodzhmeHM2ZE94RWRIWTFPblRwaHlKQWhxRkNod2tlNzN2ZVptcHJpeVpNbm1jN0h4Y1VoTkRRMHcwTHlxMWV2Y1AvK2ZaM2UxRDQrUHJoNzl5NUdqaHlwVmNCTysxMk5XcTNXakwxNDhRSTFhdFRJNjJVQUFLUUNJSkdndkl1TFMxMUJFTVIzNXhSVFVsTFN6aSttL3hNQUpCS0oxcnIwY3htdFQzdWRkbHh5Y3JMT3VzemlweDlMU2tyU3pHVzBMdTF6aFVLUjZibmZmeTJWU2tVQVNFaEkwRnFYTnA3WldOcnIyTmhZbmJHMFAyVXltV1l1S2lwS0o0KzArZlRyREF3TVJBQXdOallXcjErL0R2ei8zL1gwZitmVjBQTTlnSWlJaUlpSThoOEwxVVJFVkdBSmdtQU9vTlc3ajBHQ0lFVFZxMWZ2ckVxbDJwNmFtdnBQY0hCd2lqN3lra2drbURkdkhpUVNDZXp0N2RHMWExZlVybDBiZGVyVVFibHk1YkJvMFNLOGZQa3l3MTdMWGJwMDBmcThmLy8rR0RkdVhLYm5VcXZWZVBic0djTER3ekY2OUdoY3UzWU5GU3BVUUljT0hkQ3JWeTlZV0ZqaysvVmxwMjdkdWpoNjlDakdqQm1qNldXZEpqVTFGZi84OHc4VUNnVTZkT2lnYzZ5L3Y3OG1CZ0FrSlNYQjI5c2IrL2J0UTcxNjlUQm8wQ0N0OVdYS2xBRUFyRjI3Rm5YcTFFRjRlRGp1M2J1SGJ0MjY1Y3UxbUJvS1VrRVF1Z053ZjdkTFhCUkZNYTA5aTA3Qjl4M05hN2xjbnVGNEpzZUtBTko2ZFd2bTA4NmJWUXhSRkVVakk2TU14OTlmYjJSa2xGbmU2US9ST2k1ZG4vUk1yem5kcWNSM3Z6Z1F6Y3pNdEdKbmNLd0lJTzBYS1RuK1dvbWlpSHIxNnVtc2VaZURPb1ByZ2lpS3NhSW9MZzhNREF4OGY0NklpSWlJaUFvK0ZxcUppS2pBZXErOVJKbDNIeldrVXFtWFZDcTk3K3pzdkVVUWhKMUpTVWt2VEV4TTNseS9majMxVStRbGxVcXhiOTgrbEMxYk50TTFGaFlXV0xWcVZiYXgwajhBTVNQNzkrL0hUei85aE9yVnE2Tmh3NGJ3OHZKQ3ZYcjFvTSt1TU45OTl4MlNrNU1SR0JpSUd6ZHVhTTFKcFZLVUwxOGVVNlpNd1JkZmZLRno3SVVMRndBQXpzN09lUFhxRmZyMDZZUG82R2cwYjk0YzgrYk4wK25mM2FKRkMremZ2eDlidG14QldnRzVVYU5HR1JiQmMwTXFFUURBNHQzSEI4dVAvdzU1aVpHYlkzTjd2aytkNTRmR0VRUWhyWm8rT0Y5T1JrUkVSRVJFbjFTeDYzMUtSSlNtYnQyNml5UVN5V1JCRUpDY25EeFZMcGY3NnpzbkFnQjhKcEZJbGdDd0ZFVXhyZmlrc3loZHdTcFZGTVU3QUM2Sm9oZ0NJRXl0VnY5OTY5YXRoUGVQc2E3bC9BVUVjWHU1c2hhV0s3MFhvbEhEQmgvek92Sk5URXhNdGdYdHdpSXlNaEpYcmx4Qng0NGRBUURidDI5SG1USmwwTFp0MjArYVIxS1NBZ09Hak1DdG00RnFBZGhqTE1jZkVva2s3WnRLRUVWUkFJQzBQOVBHcEZKcCt2RzBNYzNuR1IwRFFIalg3a1ZJdis3ZCtUSTlKbTA4bTNXYU9Pbm5KQktKMXVmcGMwNGJlOWNEWHl0ZTJ0Zmd2V08xamsvWE8xOW43cjNZV1gwTmdQZk9uYlltWFN3aExkaTcxN0oweDd5dkxnQVh0VnE5TXpBd3NIY21hNGlJcUJCemNuSnFKSlZLdHd1Q1lBbWcyNDBiTi83VWQwNUVSSlMvdUtPYWlBaUFUQ2FiTEpGSTlOSkdnclNKb2lnVlJiRk0rcDJUYWEvVEY2elRYZ3VDSUJjRXdSbUFNNEJrQUhFU2llUnkzYnAxTnlvVWloTWhJU0Z4bnpEOWo2S29GS2tCb0h6NThwb2lOUUQwN2R0WGo5a0FxV3BCRkVVeDVGN3d6YjE2VFlUeXBHN2R1ak9rVXFtTHZ2TWdJaUlpSXFMY1k2R2FpSXF6K0hTdjVhSW9TakpkU1orTUlBaVNkRHN1MzU4RGtHbkJHb0lnR0FJd0ZBVGhmNklvTml0Um9rU2dvNlBqeEtDZ29Pc2ZQM01pSWlJaUlpSWl5aTBXcW9tbzJGS3BWSThrRW9rSVFFaEpTWmxwYUdoNFU5ODVFU0NLb3FiMVJ3WnpPdXZUNzd3V1JmR0ZJQWlYUkZHOHJGS3ByaXFWeWl2QndjSHhPZ2NSRVJFUkVSRVJVWUhDUWpVUkZWdUNJS2pTWG91aUdCZ1lHSGhXbi9uUVc3VnIxNjV1WUdDZ2VLOEFyYk11M2J4Q0ZNV3pBSGFwVktvTEtwWHE1WjA3ZDE0RDBEMklpSWlJaUlpSWlBb2tGcXFKaUtoQVM5L2E0OTNucVlJZ3hJcWkrRmdRaEsxS3BYTHJyVnUzSXZXWjQ4Y1VHaG9LR3hzYnlHVDUrMDkyWkdRa3pNek1ZR3hzbk9kWVI0OGVoWldWRlp5Y25QSWhNeUlpSWlJaUlpcU8ySStWaUlnS3JIZDlwOU9LMUNFQXRvaWlPRW10VnJkKy9mcDFzeHMzYml3cnlrWHFaOCtlb1YrL2Z0aXdZVU8reG8yUGowZXZYcjJ3YU5HaWZJbjMwMDgvNGRDaFEva1NpNGlJaUlpSWlJb243cWdtSXFLQ0xFNnRWdThXQkdHWFNxWDZOems1T1Nva0pDUWV4YVN0eCtiTm0yRmdZSUJldlhybGExeFRVMU1NR3pZTTN0N2U2TkNoQTF4ZFhmTTFQaEVSRVJFUkVkR0hZcUdhaUlnS0ZBTURnMVFBNTFRcTFWeFJGSGZldW5VclFkODVmUW9CQVFHSWpvN1dmSzVXcTNIdzRFSFkyOXZqMnJWck9ZclJzR0ZEbEN4WkVnQ1FuSnlNSmsyYVpIdk1pQkVqTXAyclc3ZHVubmR6SnlZbW9rU0pFbm1LUVVSRVJFUkVSRVVmQzlWRVJGU2dCQVFFUEFZd1VOOTVmR3ErdnI2NGRPbVN6bmhBUUFBQ0FnSnlGR1B6NXMxd2NIRFFHdXZac3ljKy8veHpuYlZxdFJvU3lmOTNBRk1xbFZDcFZEQTBOTlNNbVptWjVUUjlYTGx5QmFJb3BuL0lKU0lqSS9IMTExK2pYNzkrNk5ldlg0NWpFUkVSRVJFUlVmSERRalVSRVZFQk1ILytmS1NrcEFBQTNyeDVnd0VEQnFCdDI3WVlOV29VZ0xkRjMvbno1MlB3NE1Hb1c3ZHVoakhNemMxMXhteHNiTkNrU1JOczM3NGRFb2tFdlh2M3h1UEhqOUdyVnk4c1g3NGNqUnMzQmdBc1diSUVaOCtleGJScDA3UjJZaXNVQ216YXRDbkQ4N202dXFKZXZYb0FnUER3Y1BqNys2TlJvMGFhYS9qbW0yL3cvUGx6cllJNEVSRVJFUkVSVVVaWXFDWWlJaW9BMGxwMkFNRFdyVnVoVkNveGJOZ3dXRmhZQUhqN0FNUzdkKzlDRkVYTldFNGxKeWRqN2RxMTZOcTFLd0FnTkRRVVNxVVNsU3BWMHF6NSt1dXY4ZlRwVTR3Wk13YjkrL2ZIdUhIakFMd3RWUHY1K2VuRVZDZ1VrTWxrbWtJMUFHelpzZ1dOR2pWQ1RFd01SbzhlalFjUEhtRGF0R240OHNzdlB5aGZJaUlpSWlJaUtuNVlxQ1lpSWlwQVhyNThpUjA3ZHFCTGx5Nnd0TFRNbDVpblRwMUNmSHc4MnJScGc2aW9LTnkrZlJzeW1Rd2xTcFJBVkZTVVp0MzA2ZFBoNE9BQVoyZG5SRVZGd2RqWUdPYm01dmpubjMrMDRnVUZCV0hRb0VHd3Q3ZlhqSm1abWVIU3BVczRkZW9VVnExYWhhZFBuK0xISDM5RSsvYnQ4K1VhaUlpSWlJaUtpa3JWNmxRMmtNdXE2VHNQS3Q2VXFhbmg0ZmZ2aE9rN2ovUllxQ1lpSWlwQTFxMWJCd0R3OHZMS3Q1aVhMMStHS0lvWU1HQ0ExdmovL3ZlL0xJL3IyN2N2Sms2Y3FETisvUGh4bUptWm9XSERocG94RHc4UFhMOStIWk1uVDRhcHFTbFdyVnFGQmcwYTVNOEZFQkVSRVJFVkVkYld6dGFRaXhzaGlMWDBuUXNWYnpLNTdHbmxhazZEbnR5L2RWdmZ1YVJob1pxSWlLaUFpSTZPeG9FREIxQ2pSZzJjUG4xYVp3NEFMbDY4cUhtZHBsU3BVcGtXblFWQndQRGh3OUduVHg4QVFHSmlJa2FPSElrdnYvd1NuVHAxeWpLZk1tWEs2SXlscEtUZytQSGo4UER3Z0V6Mi8vOGJJWlBKNE9YbGhkbXpaMlBnd0lFc1VoTVJFUkVSWmNRSTFoQlFTeUpJTEkyTmpDQ1ZTZldkRVJVemFwVWFpVWxKRUVXeGhFUUtPd0FzVkJNUkVaRzIrUGg0eU9WeVBIejRFQ3RYcnN4d3piRmp4L0RYWDM5cGpkbmEydW9VcXBPU2tnQUFSa1pHK095enovRFpaNThCQUk0ZVBRcTFXbzBXTFZxZ2N1WEtHWjVESXBIQXhNUWt3N2s5ZS9ZZ0tpb0t2WHYzMXBscjM3NDlkdTNhaFEwYk5xQjE2OWFaeGljaUlpSWlLdTVLbXBsaHpNaGhjTEN2cWU5VXFKaDU5UGcvckZpMUJpOWV2TlIzS2pwWXFDWWlJaW9ncWxhdHF0TVBPczJqUjQvUW8wY1AvUGpqajJqVnFsVzJzZElLMWFhbXBscmp4NDhmQndDTUdERWkwMlB0N096d3h4OS9aQmp6OTk5L1I1TW1UVkNybHU0N0ZhVlNLZWJPbll0Ky9mcGg4dVRKOFBYMVJZa1NKYkxObFlpSWlJaW91SkhMNVhDd3I0bEdEZmxPUlBxMHpFeE5ZV1JrcE84ME1zUkNOUkVSVVJFVUd4c0xRTHRRL2ZEaFExeTRjQUZseTVhRlhDN0hraVZMSUpGSU5QT1JrWkdZT0hFaW1qUnBrbUhNWmN1V0lTb3FDb3NYTDg3MHZOYlcxdmp1dSsrd2FORWlUSjQ4R2N1WEw5ZHFFVUpFUkVSRVJFU1VFVW4yUzRpSWlLaXdlZlRvRVFDZ1NwVXFtckYxNjliQnhNUUV2cjYraUkrUHgrWExsMUd6WmszVXJGa1RkbloyOFBQencyZWZmWWJodzRmcnhMdDA2UkwyN05tREhqMTZ3TW5KS2N0ejkrclZDNzE2OWNLbFM1Y3dmdng0S0JTSy9MMDRJaUlpSWlJaUtuSzR4WW1JaUVqUGR1N2NpUlVyVnVSbzdjeVpNekZyMXF3TTU4ek56WEhreUJFQXdQMzc5MkZpWWdKTFMwc0FRRUJBQUU2Y09JRmh3NGFoY3VYSytPNjc3N0Jnd1FKVXFsUUpMVnUyeE15Wk14RVNFb0sxYTlmQzBOQlFLKzZUSjA4d1k3Tk9VR0FBQUNBQVNVUkJWTVlNVktoUUFXUEhqczFSbnBNbVRjTExseTl4NXN3WmpCdzVFb3NXTFVMNTh1VnpkQ3dSRVJFUkVSRVZQeXhVRXhFUjZabWpvMk9HdTVqVGUvMzZOZno4L05DNmRXdFVyMTQ5d3pYcCs0eGR1blFKRGc0T0FJQ0VoQVQ4OE1NUHFGU3BFZ1lPSEFnQTZOYXRHNTQvZjQ0Wk0yWmc4K2JOZVB6NE1WYXRXZ1Y3ZTN1dG1ERXhNUmc5ZWpRU0V4T3hkT25TVEIreStENkpSSUlGQ3haZzd0eTVPSHIwS1ByMjdZdE5temJCeXNvcVI4Y1RFUkVSRVJGUjhjSkNOUkVSa1o3WjI5dnJGSWpmOStqUkkvajUrZUh6enovUDltR0tUNTgreGQyN2R6RnQyalFvbFVwTW56NGRMMTY4ME5vdHJWQW9ZRzV1RG9sRWdydDM3Nko2OWVwSVNFalFpUlVhR29xWEwxOWl6cHc1cUZ1M3JzNzhtemR2b0ZBb01ueG9vbHd1eDQ4Ly9naExTMHNrSmlheVNFMUVSRVJFUkVTWllxR2FpSWlvaUZtL2ZqM2tjcm1tcGNmNTgrY3hlZkprMUsxYkYwRkJRVGgzN2h6Mjd0MExoVUtCUVlNR29VR0RCbGk2ZENsR2p4NE5PenM3dEduVEJxNnVybkJ3Y0lDcnF5djI3dDJyYVNFQ0FJc1dMVUpTVWhMa2Nqa0NBd01CQUxWcjE4NDBuMisrK2Vhalh6TVJFUkVSRVJFVmJpeFVFeEVSRlNGcXRSbzNiOTVFMzc1OVVicDBhYmk0dUtCbXpacm8zTGt6dW5idGlxZFBuNkowNmRKbzM3NDlQRDA5VWE1Y09RREF0bTNiOFBmZmYyUEhqaDFZdFdvVkFHRHMyTEh3OVBUVUtsSUQwUFNlQm9EU3BVdmpxNisrUXV2V3JUL3RoUklSRVJFUkVWR1J3a0kxRVJGUklXQnRiWTNyMTY5bnUwNGlrV0Q1OHVVb1c3WXNBS0JYcjE2YXVlblRwME9sVXNITnpRMVNxVlRyT0VFUTRPSGhBUThQRDBSRlJlSGF0V3VaRnArWExGbVNoeXNoSWlJaUlpSWkwc1ZDTlJFUlVSRlR0V3JWRE1mZDNOeHlkTHlGaFFYKzk3Ly81V2RLUlBRZVVSUkZmZWZ3UGtFUUJIM25RRlRjRkxSN0FlOERoVTlCK3g3NlVQeWVJNkwwV0tnbUlpSWlJcUlDbzdTdGJhbFNNcE9LK3M2RENnNGxKSEhoOTI0K0I2RFdkeTVFUkVUMDhiQlFUVVJFUkVSRUJZS1ZWZTB5TXJsMEppU1NML1NkQ3hVY01qV2VWYTdoUFB2SnZjQ3IrczZGaUlpSVBoNFdxb21JaUlpSXFHQXdFYXdna2JRVkFIdDlwMElGaUNBNkNLS3dId0FMMVVSRVJFVVlDOVZFUkVSRVJGUWd5TlF5Q1FSUmtNbmxHUGhWSHpqVnFhM3ZsRWlQa3BPVE1YL3hNc1RFeGtJaUVkbkhsb2lJcUloam9acUlpSWlJaUFvVWlVUUMxL3IxMEthVmg3NVRJVDJLVDBqQU1wOWZFUk1icSs5VWlJaUk2Qk5nb1pxSWlJaUlTRSsyYmRzR2IyL3ZMTmVVS2xVS3AwK2Z6bkR1MnJWcm1EVnJGcVpQbjQ0bVRacGtHaU04UEJ3Yk5tekE1Y3VYRVIwZERWTlRVN2k2dW1MaHdvVjV5cCtJOG83M0FmcFlqaDA3aGhrelpzREt5Z29IRGh6UW1nc1BEMGVYTGwweVBNN2UzaDVidG16UkdSZEZFZnYzNzhlQkF3ZHcvLzU5cU5WcVZLeFlFUk1tVEVEanhvMDE2dzRjT0lDNWMrZG1HTHQvLy80WU4yNWNIcTZLaUlveUZxcUppS2pZU1VsSndkWHJBWGp6Sms3ZnFaQ2VwS1NrY0ljZUZRaVZLMWRHaXhZdE1weUxpNHZEMWF0WFlXZG5welAzNzcvL3d0ZlhOOVBDVlhxWEwxL0doQWtUa0p5Y2pQcjE2Nk54NDhaNDllb1Znb0tDOHB3L0VlVWQ3d1AwTWFTbXBtTDE2dFdaenNmRXhBQUFxbFdyaHFwVnEyck5XVmxaWlJodjBxUkpPSC8rUEN3c0xQREZGMTlBRUFTRWhZWGg0Y09IV29YcXROZ05HalJBeVpJbHRlSms5TDFNUkpTR2hXb2lJaXAyM3NURllka3ZtZitQT3hIUnArTHU3ZzUzZC9jTTU1WXNXWUtyVjY5aTVNaVJXdVA5Ky9mSDNidDNZV2hvQ0JzYkd6eDgrRERUK00rZVBjT0VDUk5nWkdTRWRldldvWGJ0LysvNXJGUXE4K2NpaUNoUGVCK2dqMkhIamgxNDl1d1pCQ0hqOXU2eDczNWgzN05uVC9UczJUUGJlTjdlM2poLy9qeTZkKytPeVpNblF5NlhhK2JlL3o1S0sxUlBuVG9WTmpZMnViMEVJaXFHV0tnbUlxSmlRNkZRUERJMk1yd3VRcXltNzF5b3dFaUFnQUI5SjBIMHZvaUlDT3pldlJ0Tm16YUZzN096MXR5alI0L1FxVk1uREJzMkRKczNiODZ5UUxWeTVVb29GQW9zWGJwVXF6Z0ZBRElaZnhRZ0tzaDRINkRjaW9pSXdKbzFhOUM1YzJjY1AzNDh3elZweGVUU3BVdG5HeThzTEF5N2QrK0dpNHNMdnYvK2U1M2k5L3ZmUng4U200Z29QZjZyUkVSRXhVYkVvMzhmMjlqWWZ3T1pJZit2bVFBQUlwVEpxcVNZUi9yT2craDk2OWF0UTJwcUtrYU5HcVV6ZCtMRUNSZ2JHMmNiSXlZbUJtZk9uSUdqb3lQYzNOdytScHBFOUJIeFBrQzV0WERoUXNoa01uejc3YmZaRnFyTGxDbVRiYndEQnc1QUZFVU1HVElrMHgzYTc4ZVdTQ1E2YlQrSWlMTERRalVSRVJVbjRzT0hkeDhEZUt6dlJJaUlNaE1lSG83RGh3K2pXYk5tcUZXcmxzNThUb3BUQUhEOStuVW9sVW8wYmRvVUNvVUNwMDZkd29NSEQyQm1aZ1ozZDNkVXE4WTNseEFWVkx3UFVHNGRPM1lNNTgrZng1UXBVN0xjMFp4V3FONjJiUnVPSFR1R2tpVkx3dEhSRWMyYU5kUFpJZTN2N3crNVhBNVhWMWVFaG9iaS9QbnpTRWhJUVBYcTFkR3laVXNZR0Job3JZK05qWVZFSXNHOGVmTWdsOHRoWVdFQk56YzNPRGs1NWY4RlU3YWVQWHVHU3BVcTZUc05vaHhob1pxSWlJaUlxQURadm4wN1ZDb1YrdlRwazZjNFlXRmhBQUJUVTFQMDc5OWZxeldBajQ4UFJvMGFoYSsvL2pwUDV5Q2lqNFAzQWNxTjU4K2ZZK0hDaGFoVHB3NisvUExMTE5lbUZhclBuRG1qTlc1dGJRMXZiMjlZVzFzRGVOdC8rdEdqUjZoY3VUSjI3OTZOeFlzWGE2MWZ2MzQ5VnE5ZURVdExTNjNZU3FVU0J3NGMwSXl0V2JNRzd1N3VXTEJnUVk1LzBVSjVkL1hxVll3WU1RSkxsaXlCaDRjSFhyeDRnWHYzN21WNWpLbXBLVnhjWEQ1UmhnWGYxMTkvalVxVkttSGV2SG1hc2Q2OWU2TmV2WHFZTW1WS3BzZWRPblVLSjA2Y3dQVHAwMkZtWnZZcFVpMFNXS2dtSWlJaUlpb2dFaElTY1BEZ1FWaGJXNk5SbzBaNWlwVldoTmk0Y1NNYU5XcUU1Y3VYbzFTcFVyaDQ4U0xtejUrUFZhdFd3Y25KQ1EwYU5NaVAxSWtvbi9BK1FMbWhVcWt3WThZTUtKVkt6SjA3RnhLSkpNdjEzMzc3TFNaTW1BQURBd1BFeHNiaTNyMTdXTGR1SFFJREF6RjI3RmpzM3IwYmNya2M4Zkh4VUtsVWVQMzZOWDcvL1hjc1diSUVycTZ1aUk2T3hpKy8vSUl6Wjg1ZzVzeVpXTDkrdlNiMmhnMGJVS0pFQ1VpbFVyeDgrUkxYcjEvSDZ0V3JjZjc4ZVN4WXNBQno1ODc5MkY4T2VtZlRwazJvV0xFaW1qVnJCdUR0N3ZnNWMrWmtlWXlkblIzKytPTVB6ZWRMbHk3Rm5qMTc4cFRIb0VHRDRPWGxCZUR0TDBkbXpKaVJwM2duVDU2RXNiRXg0dUxpNE9mbmw2ZFlBd2NPaEttcGFhYnpMMTY4MEhuWFFFUkVoT2IrbXBuSXlFaWNPblVLdDI3ZHdxSkZpK0RvNklpelo4OWk0c1NKT2M1dDVjcVZhTnk0Y1k3WEZ3VXNWQk1SRVJFUkZSQUhEaHhBWW1JaWV2ZnVuYU0rb0ZsSlRrNEdBRlNxVkFsejVzelJ4R3ZidGkzZXZIbURoUXNYWXMrZVBTeFFFUlV3dkE5UWJpeGZ2aHlCZ1lHWU9YTW1xbGF0bXUzNjlEczhTNWN1RFRjM043aTR1TURUMHhPaG9hRzRjT0VDUER3OE5OOURzYkd4OFBIeDBSVE5URTFOTVgvK2ZIVHQyaFUzYnR6QW8wZVBOTHV3emMzTk5iRXRMUzNSb1VNSE9EazVvVStmUGpoNjlDakdqeCt2dFlZK2pxQ2dJRnk2ZEFsejVzeUJYQzRIQUxScjF3NGVIaDRacmo5eDRnUisrdWtudEdqUlFtdmN4Y1ZGNjE0VUhCeU1HemR1b0h2MzdpaFJvb1JPbkIwN2RxQnk1Y3BvMHFTSlppejlnMXhWS2hVVUNnVmF0bXdKS3l1clhGMWJXbnVhdUxnNGJOaXdJVmN4MG56NTVaZFpGcXB6cTIvZnZxaGV2VG9tVDU2TW9VT0hZdTNhdGJDMXRjV1lNV055SENNbmY1ZUxHaGFxaVlpSWlJZ0tpQU1IRGtBcWxhSnQyN1o1anBYMncyT0xGaTEwaWwxcFB6eW1id05BUkFVRDd3UDBvWTRjT1lKdDI3YWhRNGNPNk5xMWE2N2pHQmdZb0UyYk5nZ05EVVZZV0JnOFBEdzAzME5HUmtZNk8vd05EQXpRb0VFREhEbHlCQThmUHRRVXFqTlN1WEpsMUsxYkYvNysvbmo0OENGYlMzd0NQajQrcUY2OU90cTNidytGUWdGRFEwUEk1WEpOMFRxOWdJQUEvUHp6ejNCMWRjWFFvVU8xNWp3OFBMU0syMzUrZnJoeDR3YUdEaDJLQ2hVcTZNVGF2MzgvSEJ3Y01HN2N1Q3p6NjlTcEU5emQzZkhzMlROWVdGam83RnBPYjlPbVRXamN1REZxMUtpaE5WNnBVaVZjdjM0OTArTzZkT2tDWTJOanJSM2kyVWxOVGMzd2E1UWJycTZ1MkxScEV6WnQyb1E2ZGVwQUpwUEIwOU16WDJJWFZWbS9GNFNJaUlpSWlENkpSNDhlSVN3c0RBMGFORUNwVXFYeUhPK3p6ejREOExhLzZQdE1URXdBQUtJbzV2azhSSlIvZUIrZzNFamJVWHJreUJIVXIxOWY2ME9oVUNBOFBGenplVnhjWEpheDBnclRhYi9ZTURNelE4bVNKYUZXcXpOYy95SGZSeG50dnFXUDQ5U3BVN2gyN1JxbVRKa0NpVVFDYjI5dkRCZ3dBQXFGUW1mdHBVdVg4TjEzMzhIYTJocUxGeS9PdG0xTWZvcVBqOGVnUVlNd2ZQaHd2SDc5T3NNMUowNmN3TXFWSzdGaXhZcVBta3RTVWhKNjkrNk56WnMzNStyNFJZc1dZZEdpUlRwL1Y2cFVxWUtaTTJmcVBLU1VNc2F2RWhFUkVSRlJBWEQ4K0hFQVFNdVdMZk1sWHRwdXRSczNidWc4TE8zZmYvOEZBTmpZMk9UTHVZZ29mL0ErUUxuUnJsMDdSRWRIWnppM2QrOWVHQmtab1gzNzlnQ1E3VTdSYTlldUFRQ3FWYXVtR1hOMmRzYTVjK2R3Ky9adE9EbzZhcTNQNmZkUmNuSXlidCsrRFVFUStEMzNrY1hIeDhQYjJ4dnQyN2RIdlhyMThQRGhRK3pmdngvOSt2V0RrWkdSMXRydDI3ZGo2ZEtsRUVVUjA2Wk4rK1FQL1RNMU5jV2tTWk13WThZTURCdzRFQ3RYcnRUYW1mLzQ4V1BNblRzWGxwYVdXZzh6L0JpTWpZMWhiR3lNdlh2M1l0Q2dRUjlVc0U5N3RvQ2pveU1rRWdrQ0FnS3djdVZLZlAvOTk3Q3pzd1B3OXU5S2RnK3l6SWlycXlzcVZxejR3Y2NWVml4VUV4RVJFUkVWQVAvODh3OEE1TnREYzJyVnFnVUhCd2RjdW5RSjU4K2ZoN3U3TzRDMy9SeDlmSHdBQUIwN2RzeVhjeEZSL3VCOWdITGovVllONlIwOGVCRG01dWFZTW1XSzF2aTVjK2ZRcEVrVHJWMmV1M2J0d3BreloxQytmSG10L3NJOWV2VEF1WFBuc0h6NWNxeGV2UnFHaG9ZQWdLTkhqK0xXclZ0d2NIRFFGSjhURWhKdysvWnR1TG01YVk1WEtCUllzR0FCWHI1OGlSWXRXckEvOVVmMjY2Ky80c1dMRjZoY3VUSzJiOStPa3lkUG9rcVZLaGc1Y3FSbVRWaFlHQll0V29RYk4yN0F4Y1VGRVJFUkdEWnNHTHAwNlFJdkx5K1VLMWZ1aytYYnVuVnJsQ3BWQ2hNbVRNRGd3WU94Yk5reU9EczdJeVltQm1QSGpvVmFyWWEzdHpkS2x5NzkwWFBwMHFVTDVzMmJoNHNYTDJvZVFKa1RKMDZjZ0VLaFFQZnUzUUc4ZlpEaXZYdjM4TlZYWDJIbzBLRVlNbVFJVHAwNmxhdCsyb3NXTFdLaG1vaUlpSWlJUHAzVTFGU0VoSVNnVktsU3FGU3BVcjdGblRsekpvWU9IWXB4NDhhaFdiTm1NRE16dzVVclZ4QVZGWVh1M2J0LzBBOWhSUFJ4OFQ1QW45THk1Y3Z4NDQ4L29sNjllcERKWkFnSkNjSERodzloYW1xS2hRc1hhb3JSQU5Dc1dUTjA3TmdSaHc4ZlJvOGVQZURxNm9ybno1L2o2dFdyS0ZteUpHYlBucTFabTVTVWhGR2pSc0hhMmhvT0RnNUlTa3BDVUZBUW9xS2lZRzF0amVuVHArdmpjb3NWVTFOVGxDaFJBdnYyN1VOaVlpSVVDZ1YrLy8xM0dCa1pJVGc0R0x0MjdjS1JJMGRRcWxRcFRKOCtIZDI2ZFlOU3FjU2VQWHZnNit1TEkwZU9ZTUNBQVJnNGNDQ01qWTAvU2M0Tkd6YkV1blhyTUhyMGFJd2NPUkt6WjgvR3JsMjc4UFRwVTNoN2U2TldyVnFmSkk4MmJkcGd5WklsMkxObnp3ZmRHdzhlUElpeVpjdHFIa1RadG0xYjJOblpZZXJVcVZpN2RpMlNrcEl3ZlBod2ZQWFZWd0NBaFFzWDR1elpzemg4K0RDa1VtbVdzZFBhNnhRWExGUVRFUkVSRWVuWnZYdjNrSnFhQ250NyszeU5XNk5HRGZqNStjSEh4d2ZYcmwyRFFxR0FqWTBOaGcwYnB0bjFRMFFGQSs4RDlDbDE2dFFKaHc4ZnhybHo1NkJXcTJGaFlZSHUzYnRqMEtCQm10N202ZjN3d3crb1diTW05dXpaZzZOSGo4TFUxQlR0MnJYRGlCRWpZR1ZscFZsbmFtcUtUcDA2NGVyVnF6aCsvRGlrVWltc3JLelFvMGNQOU8vZm4zMnFQNEdSSTBkaTVNaVJpSWlJUUw5Ky9mRE5OOS9BM3Q0ZXk1WXR3NVl0VzFDaFFnV01HVE1HUFhyMDBQejNrTXZsNk5PbkR6cDM3b3oxNjlkajQ4YU51SERoQXJwMTY0YWxTNWRxeFUvcmVaL1ovVU9oVU9EWXNXTTRlZktrMXZpOGVmTzBIc3I0UG50N2UyemN1QkdqUm8zQzk5OS9Ed0NZTm0wYVB2Lzg4MXgvTFQ2VWlZa0pXclZxaFdQSGp1SFZxMWNvVTZaTXRzZUVob2JpNXMyYkdEcDBxTlk3Rkd4dGJlSG41NGQxNjliQjA5TVRSa1pHbXRZcklTRWhxRldyRnNxV0xmdlJycVd3WXFHYWlJaUlpRWpQYXRldW5lVlQ2ek16WmNvVW5iZHp2OC9hMmhwTGxpekpiV3BFOUlud1BrQWZRMW83bWZjTkhqd1lnd2NQem5FY3FWU0tmdjM2b1YrL2ZsbXVNekl5MHRwaFRmcVJuSnlNaVJNbm9rNmRPaGd3WUFDQXQvL05HelpzaU1hTkcyZmFmN2xFaVJJWU8zWXN1bmJ0aXRUVVZNVEh4K1BMTDcvVVduUG56aDBFQkFTZ1E0Y09HZTY0M3JGakJ5cFhycXpWUGdhQTFpODBNbE94WWtYWTJkbmgrZlBuQUpEdHd6OC9oalp0MnVEdzRjTTRkdXlZWmdkMFZyWnUzUXFaVElhZVBYdnF6QmtaR2VIYmI3L1ZHb3VKaWNGLy8vMkhwazJiWnZpZzJ6U0NJR1M3Mjdvb1lxR2FpSWlJaUlpSWlJaW9DRkFxbFpneVpRcWlvcUl3YWRJa25EdDNEbzhmUDRhRmhRWE16YzAxdmVxek1uMzZkTTBET0oyZG5iWG1mdjMxVndRRUJPRGJiNytGcWFtcHpySDc5KytIZzRNRHhvMGI5MEY1SnlVbFljS0VDZkQzOTBmZnZuMXg2ZElsK1BqNDRNMmJOeGc3ZHV3SHhjb0xOemMzbEN4WkVvY09IY3EyVUIwZEhZMC8vL3dUYmRxMGdZV0ZSWVpyL3Z2dlAxU3BVa1h6ZVZCUUVJQzNEN0xjdm4xN3BySHIxcTJicTU3V2hSMEwxVVJFUkVSRVJFUkVSRVhBM3IxN2NmNzhlUURBMTE5L0RRQXdOemZIc0dIRDRPenNyTFhETnlvcUNoczJiRURuenAyMStrQTdPRGhrR2o4eU1oS0dob2I1MmpzNUppWUczMzMzSFlLQ2dqQml4QWg0ZVhraEtpb0t3NFlOZzUrZkgrTGo0L0g5OTk5REVJUjhPMmRtWkRJWlBEdzhjT0xFQ1VSRlJXVzU5c0NCQTBoTlRZV25wMmVHOHdrSkNlalpzeWU2ZE9taWFXZFN2bng1VEo0OE9jdTRLMWV1L0NRUGp5eUlXS2dtSWlJaUlpTEtSNUdSa1ZDcFZLaFlzYUsrVTlFUkV4T0QwTkJRdUxxNjVqbVdTcVZDY25JeWpJeU1NbjBiT1JFUmZWb3VMaTdvMzc4L2JHMXRZV3RyQ3hzYkc2MmR6NzE3OTlhOERnc0x3NFlORzlDb1VTTzBiZHMyUi9GRFFrSlFwVXFWZkNzYTM3cDFDMU9uVHNXTEZ5OHdZY0lFVFhzWkN3c0xyRnUzRGtPSERzWGV2WHVSbXBxS0gzNzQ0WlA4ZXpOczJEQ01Iejgrd3gzajZYbDZlc0xCd1FGMmRuWVp6bCs1Y2dWS3BSSVZLbFRRak5Xc1dSTTFhOWJNTktZb2l2RDI5czVSZit5aWlJVnFJaUlpSWlJcWtvS0NndkRpeFF1dE1Sc2JHOFRGeGVtTVo4YlkyRmp6SUtlMWE5ZWlYcjE2MlJaNUZ5NWNpTWpJU0d6WnNpWFROWmN2WDhidTNic3hlL1pzelEvQ2I5NjhRVXBLU283eUFvQ1NKVXZDd01BQUtwVUtjK2JNUWNPR0RkR3hZOGNzajFtNWNpWCsrdXN2L1BYWFg1bitBQjRmSHc5ZlgxOTRlWGxsK2VBemYzOS9qQmt6QnBzM2I4NXk5eDBSRVgwNmRuWjJHYmJkU0UxTmhWd3V6MVBzKy9mdkl5UWtKRWU5bTNOaTI3WnRXTEZpQldReUdYNysrV2UwYk5sU2F6NnRXTzNsNVlWRGh3N0J4TVFFa3laTnlwZHpaOFhTMGpKSDYyUXlHUm8xYXBUcGZGcVArT2JObStmNDNIRnhjVkNwVkN4VUV4RVJFUkhScHlGOGl2ZXVmaUxXMXRaR3BxYW1kUlFLUlZCWVdGaXl2dk5KejgvUEQzLy8vVGNNREF3QUFBcUZBa09HRE1IcjE2ODFiNHZPanFXbEpUNy8vSE1rSkNUZzNMbHorTzIzM3pCNjlHZ01IRGd3VDduRnhjWGgvUG56R0Rod0lINzU1UmRVcWxRSmt5ZFB4dFdyVjNNY1k5R2lSV2pWcWhWU1UxT1JrSkNBV2JObUlTUWtCT1BHamN0MHgxbmZ2bjF4OHVSSjNMNTlPOU1mcmdNQ0FyQjE2MVpjdUhBQnk1WXR5OUVEc0NoM2l0SzlnUFNEMzBPZmhvbUpTWVZxMWFwMWYvTGt5YmJYcjEvSDZqdWZuSWlNak1UdDI3ZHg2OVl0M0x4NUU5SFIwVGg0OEdDdTR5VWxKV0hXckZtUXlXVG8wYU5IdnVRb2s4bFFybHc1TEYyNkZEVnExTWh3VGZueTViRjI3VnBNblRvMXd3Y1dGbFFxbFFybno1L0haNTk5aHVyVnErZjR1R2ZQbmdFQXlwWXQrN0ZTSzlCWXFDWWlJaUlpb2x3clVhSkVOYmxjZmxZdWw0dk96czUvcTFTcVRTcVZ5ajhsSmVWRlFTaGNOMm5TQkN0V3JFQmlZaUk4UER4UXJWcTFITCs5T1QwVEV4UDg5dHR2bURadEdsYXVYSWtIRHg1Z3pwdzV1YzZyZGV2V01ETXp3NFFKRXpCbzBDQ3NXYk1Hd052QytEZmZmSlBsc1UrZlB0V3NCd0FqSXlNc1hyd1lpeGN2eHJadDJ4QVJFWUhGaXhkajBLQkJDQTBOMVRsZXJWWmp3b1FKT3VPVEprMUMxNjVkNGU3dWpoVXJWbURTcEVudzlQU0V0N2MzN08zdE1XREFBQXdlUEZqemdDMGlvdUxDMnRyYVFTYVRyYXhhdGVycUtsV3F2RkNyMVJ0Vkt0WCs1OCtmLzF2UUN0ZS8vZlliZHUzYWhhaW9LQWlDQURzN096ZzVPYUZodzRhNWp2bjA2Vk5NblRvVmQrL2V4WGZmZlllcVZhdm1PYytrcENTMGE5Y09MVnEwZ0tHaEllTGk0akpkYTJKaWdsOSsrUVhBMjEvMEdoc2JJeWtwQ2RldVhjdjJIQ3FWQ21mT25NbHlYY09HRGZINjlXdUlvcWd6bDlibTZzbVRKNW94dFZxTnhNUkVyYkUwY3JrY2xwYVc4UGYzUjFSVUZQcjM3NS9sdWQrWDlvdDBHeHViRHpxdXFHQ2htb2lJaUlpSWNrMnRWa3NBR0FpQ0lCTUVvWU1nQ08xa01sbTBnWUhCRlNjbnAvMFNpZVJrWUdEZ0kzM242ZS92RHdCbzJyUXBBR0Q3OXUzdzhmSEo4cGk1YytkcXZRM1oyTmdZUzVZc3dkeTVjMUczYmwwOGZQZ3d3eDlBVTFKU0lJcWk1bHpwTFYyNkZHNXViZ0NBUm8wYXdjZkhCNzYrdnBwKzFtWm1adGtXZ29PRGc3VUsxUUFna1Vnd1pjb1VsQ2xUUnRPR1E2RlFvR3JWcXRtMkE0bVBqOGZhdFd1aFZDbzFZNDBiTjhhdnYvNks3Ny8vSHNiR3hsQ3IxWGp3NEFGaVltS3lqQlVlSG82Yk4yL0N6YzBORmhZV1dhNGxJaXBzM3IxYnBZSkVJcGtxbFVvblY2MWE5VlhWcWxXdnFsU3FyZEhSMGZ1ZVBYdVdxTzhjcmEydDBhWk5HN2k2dXFKZXZYcWFOazlMbGl6QkR6LzhvTFUyclRBN2E5WXN6SjA3VjJ1dVJZc1dtREZqQnJadTNZb05HellnSlNVRjQ4ZVB6N2UySDlPbVRjdjFzVC8rK0NPc3JhMHhjZUxFSEszUGJ0Mk9IVHZRdDI5ZnFOWHFET2Rmdm55SnJsMjdhbzFkdUhBQkZ5NWMwRmxyYTJ1TFhidDI0ZENoUXdEZWZoMHpFaDRlam5uejVzSGMzQnpHeHNZUUJBSFBuei9IMWF0WFlXRmhBV2RuNTV4Y1dwSERRalVSRVJFUkVlVUxVUlFoQ0lJRVFEa0FIYVJTYVh0UkZPT2RuWjFEQUt4S1NVblpIUndjSEsrUDNNNmZQNDhHRFJwb2ZtQlBUVTJGVENiRHVuWHJkTmFxMVdyMDc5OWZxM0NiUmlhVGFYNllEd3NMZzBLaFFMZHUzYlFlcExSdjN6N0V4Y1hCMDlOVE14WVJFUUUvUHorb1ZDcXRlQzR1THBxQ3VWUXFoVXlXL1k5b2dpQkFJcEZrMk43RHk4dEw2L09xVmF0cUhreVZtUmN2WG1EdDJyVTY0NDZPanRpM2J4OWtNaGtTRTNWckwya0Zqa09IRG1IanhvMmF0NVlEd002ZE8xbW9KcUlpS2UzZUo1RklKS0lvV2dCb0o1UEoycFV2WHo2bFhMbHk1MSs4ZVBGdFJFUkVzTDd5YTlXcUZWcTFhcVV6L3NVWFg2Qnk1Y281amxPNWNtVUlnb0R6NTgralVxVkttREZqQnB5Y25QS2NYKzNhdFRGcjFxdzh4WEJ5Y2tLNWN1V3dZOGVPUE9jREFGV3FWTUhxMWFzekxWUi9pTFJuT3p4Ly9oeGx5NWJOOUd0V3NXSkYzTHQzRDdHeC83OGhYeTZYbzI3ZHVwZ3dZVUtlKzRrWFZpeFVFeEVSRVJGUnZubnZiYk9DSUFobWdpQTBBTERSME5Cd25iT3o4MWxSRkxlcjFlcS9WU3BWNUtjb1hLdFVLcHc5ZXhhalJvM1NHcGRLcGFoWnM2Yk8rb3dLMU11V0xZT0ppUW1HRGgycVV5QnUyclFwUER3OE5KLzcrL3NqTWpJU3ZYdjMxb3dGQndmRHo4OFB3TnVISm43Ly9mY1lQbnc0SEIwZE5XdFdyVm9GQUhqMTZoVVNFaEl5dkJaalkyUFkyOXRyOWJKZXQyNGRRa05ETVd2V0xLMEhKTFp1M1RwSFBTNk5qWTNScFVzWDJOallJQ2twQ2ZQbno4Znc0Y05oWldXbFV6aS9lL2N1VnF4WWdaczNieUk0K0cwZFp2LysvYWhkdXphNmR1MktwS1FrYk51MkRZYUdodG1lbDRpb01CSUVBYUlvNnJTSmtFZ2tCZ0JhVnFwVTZVN0ZpaFhmcU5YcTNjbkp5Zi9IM3AySHgzaTFmd0QvbnBuSkhwRllZeW14TjdZa1FpbFNTL0ZyYTZuUzJsNmxwWlpXMVU1VjM3NW83YVVvb2JYV1VyVXZKWmJhMTFlUmxSQ1VrQ0FTSVp0c00vT2MzeDh4ODJZeUV4TENKSHcvMStYS1BPZWM1enozTTBJeTk1eTV6NnI0K1BpSXVMaTRXQURQbmdWOUJnMGJOa1REaGczemZkN1BQLzhNZTN2N1BMMlJDZ0JIamh4NWJIKzVjdVhRcVZPbmZNZGhTWDVxUHovSmt6Wkt6cStWSzFmaTVzMmJ5SzJNdkZxdHhzR0RCd0ZrL2Q0aHBYeGxrOVBaTVZGTlJFUkVSRVdhb2lqaVVlS3d0TGUzZDB0cngvT3EwZWwwVmJOdjVtVjRtUDBGZkxiSE5pcVZxbzJVOG0waHhBTzFXaDFXcjE2OW94cU5abmR5Y25LZ2VYcTRZSnc3ZHc0SkNRbG8yZEwwMnlNeE1kRmllWTZjOUhvOVltSmlzSC8vZmdRRkJXSGF0R2x3ZFhWOTZuZ1NFaElRRlJXRi92MzdZL2p3NFdZcm51Zk5tNGVkTzNkYVBMZEZpeGFZTTJlT1NadXJxeXVPSERtQzNyMTdZOWFzV2NiVjNkV3JWMGQ2ZWpyMjd0Mzd4SmdhTjI0TXRWcU5temR2NHNTSkV6aDI3QmgrK09FSE5HL2VIQXNYTHNSZmYvMEZBQWdJQ0lDYm14dnExNitQdG0zYklpQWdBRXVXTEVIZHVuVUJ3QmkzWVFQTGdpQ2xoRWFsVk9DLzcxZWJvaWkxcFpTT0FOUlN5cDcxNnRYTGY4YU42T2xWVlJSRlpYaWo4Z2svNnlDRWNGR3IxZjBjSEJ3K3JWaXhZbktGQ2hXdTYvWDZIU2twS1F2TnF5QVhidG5mQUtYOHFWU3BVcDdHNWZWTmdGY0Jud2tpSWlLaWwwU0RCZzF1QXJENG1jNzA5UFJpMlZldTFxOWYzMG1qMFl3QjBFTks2U0dFU0pkU25nRXdQU2dvNk1BTENybEFxTlhxNm85ZU1MWUN3RVRXQzJaall5TWVsZnd3YWM5K2JPR0Z2RkNwVkNXa2xDMDBHazBMQUY4WEsxWXNWcXZWYlVuVnF3cjhOVXFaTW1WZ2EydUxRNGNPNGNNUFB3U1F0YUxycmJmZXd1REJnODNHSzRxQ2VmUG1HVmNqcTlWcVRKOCtIZjcrL2xpK2ZEaysrK3l6Wi9xNGNhVktsYkJxMVNxTUdqVUtzMmZQUm54OFBJWU9IV295eHRiV0ZsT25UalZwKy9ISEh5M08xNjFiTjFTdFdoV2pSbzFDLy83OXNYMzdkcmk1dVdIYXRHbUlpNHZMYzF5dFc3ZkdyRm16c0dyVktuejExVmNZTm13WXhvMGJCNzFlai9yMTZ5TXFLZ3FEQnc4MmxoYzVlZklrQWdJQ1RGYVlhN1ZhQUNqUUZkVUNnS09OK2gyVlNqV3d3Q2FseHYxMkhRQUFJQUJKUkVGVUlrY0lZUS9BOWRIalBrenNVR0h3aEo5MWVQUkdyZ3NBTDQxRzQrWG01dmFOVHFlUFNzcFVDdTdkUEtLWENQOW5KeUlpSW5wNWxKSlMzZ1ZndHJOTGFtcHE5c1dxUXFQUm5BUlFIOEJwQU91bGxKVUF2QTNnYlI4Zm4wK0Nnb0pXdlpDSUM0Q1UwaVhib2VYUFY5SnpaU2xSblU4MkFNcW8xT3AzcEU1ZjRDL2VQVHc4OEs5Ly9RdUxGaTFDaHc0ZDhPREJBN2k3dTZOZnYzN0l6TXkwZU02UUlVTUFaTlZ2TGx1MkxJUVFHREprQ0R3OFBPRG82QWkxV3YxTU1SVXZYaHorL3Y2WU5Xc1dPbmJzYU5hdlVxbE15b2tBZ0wrL2Y2N3pOV3pZRUN0V3JNRDE2OWZoNXVZR0lLc2tSODU2bXlkUG5zUzRjZU93WnMwYVZLNWMyYVRQY0U4VksxYkU4dVhMTVhIaVJEUnUzQmlWSzFkR2Ftb3FkdTNhQlNjbnA4ZmVWMFpHQmdEQTN0NytzZVB5VDJpa2xBVTlLUlV0VE95UjFSaktmUlRBSEdxVlNsWFdYaU90V2dhRXFMQmlvcHFJaUlqb0pWQ3hZa1VIQUE1Q2lEOERBd083UDJHNFdrcHByeWhLNDVDUWtMOE5qVjVlWHUzVWFuV0FsUEluWDEvZmRlZk9uZE0rMzZnTHpLVkhYNjhxaXJMSHFwRzhnb1FRSllVUVBaRGpUWUxjWHREbmVMR3ZWUlRsTW9DRFVzcS9VdEtSS2xXcUJjOGp6ZzgvL0JBclZxekFzV1BIRUJJU2dqLysrT09KcTM3VDA5TXhjT0JBREJvMHlOald2bjE3czNFVEowNDBXZjJjbkp3TVJWSFF0bTFiWTF2T1RSU0JyRlhURXlaTXNIanRwMG44VjYxYUZWV3JWalVlMjl2Ylk5T21UYWhWcTVheEZyYmhuaDBjSEl3YlBsbmk2dXFLdVhQbjVqdUd4TVJFMk5yYUZ1aUthZ2tnVmF2YjZXeXJQbFJnazFLUm95aktteXFWYWdJQUowVlJBb1FRVnRtWWxWNVpaWVFRTFVTTy81d2Y5N011MnhoRlNwbWcxK3YvVmhSbFNYS21TQk5xMWZKaXdPUGYrU042QlRGUlRVUkVSSlNOajQvUGZHUWx6dzVKS1MrRWhvWmV0M1pNZWVIcTZscnEwY084Zk01ZnIxS3BtZ1VGQmQzTDNoZ1NFckt2UVlNR1I0UVFyVE16TTE4SEVGYmdnVDRmRHdGQVNoa1lFaEl5OUVtRHFXQzkvdnJyOVJ3Y0hEN0NvOWNXbGw2MFo2L2xxU2lLQkhBVndKcms1T1MxaXFMY3UzYnRXaElBNlZIRDJ6c3JMVm53M04zZDRlN3Vqb2lJQ0FCQW5UcDFzSExsU2t5ZlBoMGRPblF3Sm5KMzd0eUoyN2R2WStEQWdlalNwWXZaUEpHUmtTaFJvZ1JjWFA2M2tMOXQyN2JHdXRBQXNIWHJWaVFuSjZOUG56N0d0cGlZR09ObWl0a2RPblFJOWVyVlE2bFNwWXh0bVptWlQxWGorZEtsUzNCMGREVFd4SlJTWXRhc1dmanNzODlNTm0wRXNwTHBDUWtKSm0wdUxpNG1aVHp1M0xtRGN1WEtQZkc2bVptWjJMMTdONXlkbmJGMzcxNjg5cHJGQ2tSUFRRZ0JuYUs2RlJ3Y2ZMaEFKNllpeGR2YjIxRUlrU0dFY05McGRGK2RQMy8rSDJ2SFJLK09PblhxdExLenM5dUhQUHlzQTdKS1NFa3Byd0JZblphV3R2ZmV2WHVYN3QrL253UUFIcTk3dDN4ZVArdXM0ZSsvLzhiRGh3L05QZ1gwSkRxZGpyV1p5UXkvSTRpSWlJaXlrVkxhcVZTcW9XcTFlaVFBK1BqNDNBSndXa3I1anhEaWI3MWVIeTJsVE5EcGRJbkp5Y2tKMGRIUmFWWU9HUUNnVnF0TEFZQ1VNallQdytXNWMrZnU1ZEtYQ0FBcWxTcWpvR0tqVjAvMlZkTXk2MEdHb2lpUkFMYnI5ZnBONTgrZlAydU51SW9YTDQ2SER4OGFTMXdJSVpDUmtZR0pFeWRpM2JwMUFJQkZpeGJCejg4djF6bVdMMStPSTBlT1lNK2UveTNlYjlhc21ja0w5Tk9uVHlNMk5oYmR1Ly92d3czaDRlRm1pV3E5WG8vSmt5ZWpWcTFhV0x4NHNiRTlPVG41c2F1ZGM3TisvWG9jUG53WUJ3OGVoQkFDOGZIeDBPbDBxRkNoZ3RuWVR6NzV4S3h0MjdadHhpU3pUcWREang0OTBMSmxTMHlhTk9teDE3V3hzY0cwYWRQdzhPRkRxRlFxZlB2dHQvbU9uWWlvcU1oV2Z6cG5YV3FwS0VvOGdQa1BIejVjZlBYcTFieHZFbENFclYyN0ZsRlJVZmxPVk0rZVBSdjc5dTNEcmwyN0xKYUwycjkvUDhhTkc0ZGZmdmtGRFJ2bWIrOVVLU1ZTVXZMMm9Rc0hCd2NtekFzUi9rMFFFUkVSWlNPRU1LNmdmbFIzdHdLQUxvWlZNbXExT2tVSWNWZWowY1RZMjl2ZkxWT21USXhlcnc4QmNFT2xVbDBLQ2dxNllZMjRWU3BWeVVmeHYrdmo0L09hbERKWkNIRmVTcmtsT0RnNDRVbm5BMER0MnJWdHBaU05BVHg4K1BDaFZlNkRpamJEaS9aSGYxS0VFSUdLb3V4UnE5V0g0K0xpUW03ZnZwMzZvbU15MUdoT1RFekVyVnUzMEtaTkc5eS9mOS9ZUDJ6WU1FeWRPaFdKaVluWXMyY1BGRVV4MjlqUVFFcUpreWRQb2xxMWFuQndjSGptMk02ZlA0K2twQ1EwYmRyVXBEMDZPanBQSzVsekNnb0tncGVYbDNGVjMrWExsd0hBWkxXM3diaHg0MUM2ZEdtVHR1eXJ1c1BDd3BDU2ttS3ljanczUWdpc1dyVUs2ZW5wY0hkM1IwSkNBdno5L2ZIaGh4K2lUSmt5K2I0UElxTENMTWZQdWt3QXR3RWN5Y3pNWEpTWm1SbDg5ZXBWdnRtZkJ5RWhJU2hYcnR4VDcybHc2OVl0bkR0M3ptSmZnd1lOOFA3NzcrZHBIbjkvZnpSdTNOaDRmT25TSmZUdjMvK3BZZ0t5TmliKy92dnZuL3I4VngwVDFVUkVSRVNtYmdESXZoclVwRk1JNFF6QVdRaFI3VkcvVktsVVdpR0VIb0RPeDhmbklZRGpRb2pEVXNwRFFVRkJFUURNaTlNV1BFT0dxWWtRb29raFVTV0VtT1BqNDlNbktDaG94NU1tc0xlM0h3K2dQSUNGZkpGRitmWG9CYnNpcFF4U0ZPV1hodzhmN3JXM3Q3OGZIaDcrRUZiOGpQUDE2OWZSc21WTFpHWm1RZ2lCTm0zYVlNT0dEUUNBV2JObUdSOGZQbnpZbU5SdTJiS2x4UmVwNGVIaGVQRGdnY1hWeUUvanhJa1RBR0N5Z2pzbUppWlBLOU9Ta3BMdytlZWZZOHlZTWZEMjlrWjhmRHlpb3FMUXRXdFg0NWovL3ZlL0FJQUhEeDZZbmYvR0cyL0F3OFBqaWJHMWFORWlUL2VTZmE2Z29DQXNXN1lNbnA2ZVRGUVQwVXZsMGUrRmlwUXlURkdVdFNrcEtZZnM3ZTB2aFllSHY5STEwM09yMVoyZW5nNWJXMXVUc2xJQWtKS1NnaXRYcnFCMzc5NVBmYzFMbHk1aHhvd1pBTEkyOGxXcFZMQ3hzUUVBNHg0TG4zLytPWHg5ZlFGa2ZXSXFOVFVWbzBhTkFnREV4Y1ZoL1BqeFp2TXFpb0wwOUhUVXJGa1RucDZlK1k2cmR1M2FUM1UvbElXSmFpSWlJaUpUY1FCMFFnak5veFhWSnAwV2ZoRVhBSXpGWklVUXhRQzhENkFhZ05mcTE2Ly95NHVvYzYzWDYvOU1UVTB0ZnZYcTFkUmF0V281Mk5uWjFkQm9ORjhDK0JUQVJsOWZYNjl6NTg1ZHl1VjBsWStQenlRQTMwb3B3NldVL053KzVkbkRody9qN2V6czlpcUtzaHZBN3JDd3NHdldqaW03YXRXcXdjdkxDd0RRcGswYlkvMW1BT2pYcng4Kyt1Z2pBTURVcVZOUnNtUko0OGFKcnE2dTJMZHZuOGxjaHc5bmxVaHUzYnAxZ2NSMi9QaHhsQ3RYRGxXcVZERzJyVml4QWdEUXJsMjd4NTZibEpTRVM1Y3U0YzZkTy9EMjlqYXVLak84SU5mcGREaDQ4Q0FBWU5La1NWaTVjcVhaQ3VySE9YejRNSW9WS3dadmIrOWN4NVF2WHg0OWUvWkVpUklsVE5xam9xSUF3T1MraUlpS3NudjM3dDBvVTZiTUJyMWVINUNVbExTbHNKUitLeXlpb3FMTTlqWFE2WFFZUFhvMG5KMmQ4Y01QUDVpVTF6aDE2aFFVUllGYXJjYXhZOGRNNXZMMDlEVDVoRTl1M243N2Jiejk5dHNBZ0w1OSs4TER3OE5ZcWlvNU9SbEExcHVvUGo0K0FMTEtmNmxVS3VPeDRXZFZicG8zYjQ0aFE0WThNUTRxV0V4VUV4RVIwU3V2YnQyNjFXeHNiSnBKS2VzQWFDaWxsRGtUMUFiWk40WExTVXFwQUxnc3BWeXMxK3YzaG9XRlhRYWdQTC9JL3ljME5QU2g0WEZFUkVReWdFQUEvUm8wYUtBVlFneVVVZzRHTUR6bmVYWHIxaTFyWTJPelZnanhOb0JqQUxybXRWUUlFUUJFUlVYZGlZcUs2Z3hBWisxWWN0T3ZYeitMN1NWTGxrVEpraVVCWk5Xb2RIWjJObGtablBQZitaNDllMUNyVmkyVUwxL2VwUDNCZ3dlNGZmdTI4VGc5UFIxYXJkYWs3ZDQ5MDdMdzBkSFJpSWlJUUxkdTNZeHRBUUVCMkxScEU5NTU1NTBucnVJeXJKSjJkM2NIa0xVQzJzbkpDYlZxMVFJQTdOcTFDM2Z1M01HNGNlT3dZc1VLZlBiWlo1ZzhlZkpqNXpTNGVQRWlybCsvanZmZWU4K1lXTEMxdFlVUXdxUnNpb2VIQjBhUEhtMTJma2hJaU1tbWprUkVSZDNkdTNldjNiMTc5MS9XanNNYU5tellZUEdUT1JVcVZFQ0hEaDBBWlAyODNMSmxpekd4SzZYRXhJa1RjZXJVS1l0dnZCNDVjZ1RBLzk2Y3pXN0dqQmxvMDZaTmdjUWVFUkZoM1BQaC92MzdTRTFOeGNtVEp3R1kvMXltd29HSmFpSWlJbnBWMlhoNWVUVVhRbnl0VXFuYUFlYWI0dVNXckxZMFJsR1VhQURUVTFKU2xoYW1zaG1Lb3Z5bVVxa0dBcWlYczY5Qmd3Wk5BR3hGVnRtUWlZR0JnVC9neFpRcG9aZUxSQ0ZPVXVmWHFWT25jT1BHRGFTbHBTRTZPdHBZaXpva0pBUzNiOS9HNTU5L2JuYk9sQ2xUTE03VnNXUEhYSzlqV0szZHJGa3o2UFY2TEYrK0hMLzg4Z3RxMUtpQmI3NzV4dUk1enM3T0NBc0x3MisvL1liVHAwOURDSUVxVmFwQVNva1RKMDdBMjlzYmFyVWFOMi9leE55NWMxR2xTaFYwN2RvVmpSbzF3dmp4NDlHdlh6OWpZbnZIamgwb1diSWs5SG85ZERvZE1qSXlrSm1aaVNGRGhpQWdJQUFBOE5aYmJ4bXZyZEZvVUxObVRheGJ0dzZwcWFrb1hyeTR4UmdqSXlOeCtQQmhkT3JVeWV5ajNrUkVWUFQ4K2VlZnVIYk45TU5TR1JrWmFOU29rVEZSRFFDYk4yOUd2Mzc5WUd0cml4OSsrQUc3ZCsvR2UrKzloNGtUSnhvM01RYXkzc3c5ZHV3WTNucnJMUXdiTnN6WUhoUVVoQjkrK01Gc2I0UzR1RGdjTzNic3NSc2Q1MmJWcWxWWXZYbzFnS3dWM2dBd2N1UklBTG1YS3lIcllxS2FpSWlJWGlsZVhsNTFIaVZ1M3hGQzFIelVuQzZsdkltc3pYQnVBM2dUUUpYc3BUOHMxS29HZ0RRcDVkK0tvdnlSbUppNE1qSXlNdjFGM1VkZTZmWDZaSlZLQlpuakJyeTh2Sm9EMkN1bHZDK2xiQkVjSEh6U1NpRVNGU28zYnR6QXdvVUxBUUMxYXRWQzI3WnRBV1N0dkNwZnZyekZzaCtmZi83NVkwdGtHT2FkT25XcThUZzRPQmkydHJabzJMQWh6cHc1ZzE5Ly9SVStQajZZUFhzMm5KeWNMTTdSclZzM1RKa3lCZlBuejRlOXZUMEdEaHdJVjFkWFkrMXNROW1QVFpzMklTVWxCWFBteklGYXJVYVZLbFd3WnMwYUJBUUVZUC8rL2REcjlWaTdkcTN4UmJ0QjA2Wk5vZEZvY09uU0pXZzBHck5OSGlkTm1vU1pNMmRpOSs3ZHlNek10QmlqbzZNajJyVnJaMHdFRUJGUjBXWkk5QnBvdFZxMGFkUEc1Sk0vVGs1T1NFcEt3dHExYTNIcDBpVWNPblFJM2JwMXc1Z3hZOHpldE55M2J4OVNVbExnNStkbjhpbW1zMmZQQWpBdkc3Vmt5UkxjdUhFRFhicDB3Y2lSSS9PMW1mR1VLVk9NcTdQSGpCbUQ1T1JrTEY2OEdFQlc2WS9PblR2bmVTNTZNWmlvSmlJaW9sZUtXcTF1QmVDclI0ZnhBQTVJS1hmcWRMcHdyVlliYVc5dnJ4ZENyQU5RQmJDY29KWlNwa29wRHl1S3NnN0FvWkNRa0ZzdjhoN3lRNlBSdEh6MDhJS2h6ZGZYMTFGUmxQVUFFclZhYmRQejU4OC92a2dmVVJFMWE5WXNpKzNEaHc4Mys3YzliOTQ4NCtNZVBYcVluWk85RnFaQjFhcFZjZXpZTWRqWjJabXNGck9rWWNPR0poc2R6cHMzRDlldlg0ZTl2VDJhTkdtQ0ZTdFd3TlBUODdIenZQdnV1M2ozM1hmTjJsOS8vWFVzWHJ6WVdKSmt3SUFCcUZ1M3JyRU9KNUMxSXJwVHAwN28xS21Uc1UybjAwR2xVa0VJWWZJSmtsOS8vUlVYTDE0MFM1alhxRkVEUzVZc2VleDlFaEhSeSsza3laTklTVWt4dnBFTEFLVktsVUtkT25Xd2FORWlDQ0V3ZlBod2ZQenh4eGJQMzdKbEN3RGc4dVhMSnUyWEwxK0dpNHVMMlg0S1k4YU13ZkhqeC9ISEgzL2c3Tm16bURWckZxcFhyNDdrNUdUczNic1hRRlpaRHlFRU5tM2FCQUFGVWpya1NUL1g2Zmxnb3BxSWlJaGVhdlhyMXk4VEdob2FhemhPU1VuNXc4bkphYlFRWWx4NmV2b3VTN3UwTjJqUUlDYjdjZllFanFJb3h3RU1EUTRPRG42ZWNlZVhsNWRYS3lGRVVQYjYwajQrUG04S0liNlhVaXBDaUdXR2RrVlJ1Z29oeWtzcC84TWtOYjJLc20vbzlDeFVLcFd4OW1WK0NTRlF0V3BWNDNIZHVuV2ZLWTVHalJvWmo0c1ZLL2JFelJpQjNKOEhJUVJxMTY3OTFQRVFFZEhMNjg4Ly8wVDU4dVhOOWxJWU5HZ1E5dTdkaTBhTkd1V2FwRDU5K2pUQ3dzSlF2SGh4bkRwMXlxVHYzTGx6SmovTERHeHNiREJtekJnMGJOZ1EzMzMzSGZyMjdZc0pFeWFnYnQyNitQbm5ud0VBcWFtcGlJMk54ZlhyV2Z1WEcwcFhoWVNFUUsvUHFtb1hHeHVMdExRMFkzSTdQajdlWW94YXJkWjRYWHJ4bUtnbUlpS2lsMDZkT25WSzJOallkRkdwVk1Pa2xNZXJWNjgrM0ZBMyt2TGx5L2NBZUR6dWZDbGxQQUJGQ0tGNmRCd3RwUXlXVXE0SUNRblpoaGUwUVdKK3FGU3E3a0tJblQ0K1BvY0J4QWtocWtrcG16MWFOVG9zTURBd05OdHdid0FRUW5UeThmRnBrTXVVeDRLQ2dtWS81N0NKaUlpSXFJaTRmUGt5RGgwNlpMRzhVOFdLRmRHelowK3NXYk1HZS9mdXhmLzkzLytaalZtNWNpV0tGU3VHU1pNbVlmanc0Ymg4K1RKcTFxeUphOWV1SVRJeUV2LzZWKzc3VmJacTFRb3JWcXpBOE9IRGNmNzhlYnozM252R1RSbjc5dTBMRHc4UFRKbzBDUUNRbkp3TUlLc1VsbUVGdDZGazFaTTJGamFNczdlM2Y5TFRRYzhCRTlWRVJFVDBVbW5Rb0VGM0tXVi9JVVF6QUk0QTBweWRuY3NCaU16ckhJcWkzRktyMVhvcFpTS0E1VkxLOVVsSlNaZXZYYnVXK0x6aWZsWkNpSjBBdklVUWZnQWNwWlQzQWV3UVFzd09EQXc4bG1PNFlaY2FYeUdFYnk1VEZycDYyMFJFUkVSa1BZc1dMWUtycXl1NmRPbGlzZitMTDc3QWlSTW5NSFhxVkZTdlhoM1ZxbFV6NmUvVnF4ZXVYTG1DNXMyYm8zVHAwdGl5WlF1Ky92cHJiTnUyRFhaMmRpYmxSQ3lwWHIwNjFxeFpBMmRuNThlT3M3R3hRWWNPSGRDOWUzZmpKNFJ5MXFpK2YvOCs1czJiWjFacUpDa3BDVURXcDVQb3hXT2ltb2lJaUY0S3RXdlhybVJuWjdjQVFNZHNHeUJ1MSt2MUE3T1gvc2dMSWNSMVJWSFdaR1ptZmhNZUhoN3o1RE9zTHpBd2NDZUFuWGtaR3hRVU5BREFnT2NiRVJFUkVSRzlMUGJ0MjRlalI0OWk2TkNodVc1b2FHZG5oKysvL3g2ZmZ2b3BoZzRkaXBVclY2Sk1tVExHZmo4L1B6UnYzaHhDQ0hUczJCRy8vLzQ3dW5UcGdzMmJONk5kdTNaNVNnNjd1cm8rY1l5OXZiMXhkWFZ1U3BRb1lYRk1URXpXci83dTd1NVB2QTRWUENhcWlZaUlxRWp6OFBDd0wxR2lSRnNBVXdIVWxWSm1TaW4zNmZYNmVXRmhZZnVmWnM3ZzRPQnRBTFlWYUtCRVJFUkVSRVhRdlh2M01HM2FORlN2WGgyOWUvZCs3RmhQVDA5TW5qd1o0OGVQeDRBQkErRHY3NDhLRlNvWSt3MExTdnIwNllPTkd6ZGl3SUFCME9sMCtPeXp6d29zM2l0WHJ1RDgrZk1tYlhmdTNFRmFXaHEyYnQxcTBsNmhRZ1c4OGNZYnhtUERKbzhlSG8rdEZFalBDUlBWUkVSRVZHVFZyRm16bEtPajR4Z3A1U0FoUkhFcDVXVkZVZjZ0MVdxUEZwV1YwRVJFUkVSRWhWVjZlanBHang2TmxKUVVMRnk0TUU4YkVyZHIxdzczN3QzRDdObXowYTlmUDh5Y09STmVYbDRtWTRvVks0Yk9uVHRqOWVyVmFOdTJMU3BXckZnZzhTWW1KdUwwNmROWXRHaVJTYnVoOXZTUFAvNW8wdDY2ZFd0am9scFJGSnc2ZFFydTd1NG1LOEhweFdHaW1vaUlpSW9xdGJPejgzb0FyYVdVQ29CRFVzcCtJU0VoZWE1RlRVUkVSRVJFbGltS2dtKy8vUlpoWVdFWU9YS2tzZDV6WHZUcTFRc3FsUW8vL3ZnakJnd1lnQmt6WnFCVnExYkcva3VYTG1IejVzMFFRbUQvL3YzWXVIRWpQdnJvbzN6SHFOUHBrSm1aaWJDd01Ienl5U2M0Zi80ODFxOWZiN2J5TzJlTmFrdjI3OStQK1BqNHgyN3FTTThYRTlWRVJFUlVKTld1WGJ1Q2xMSWlnRGdBZjJSa1pFeThjT0hDZld2SFJVUkVSRVQwTXJoLy96NHVYcnlJano3NktOZmtiV3hzTEJ3ZEhTMzI5ZWpSQStYS2xjTzZkZXZ3NXB0dkd0dHYzcnlKb1VPSFFxMVdZL1hxMVZpeVpBbW1UNStPQXdjT29HL2Z2dkQxOVVYbHlwWFJ1M2Z2WEd0Rm56aHhBcXRYcjBaWVdCalMwOU5oWTJNRGQzZDNqQmd4d215RHhMeElUMC9IenovL0RKVktoVzdkdXVYN2ZDb1lURlFURVJGUmtSUWVIbjdUeDhmblgzcTkzaUUwTlBRVUFKMjFZeUlpSWlJaWVsbVVLbFVLSzFldVJJa1NKWXh0R3pkdVJHaG9LQndjSEhEejVrMWN2bndaWGJ0MnpYV09GaTFhb0VXTEZzYmpVNmRPWWZ6NDhjakl5SUMvdno4OFBUMHhlL1pzYk4yNkZiLysraXUrL1BKTDJOcmFva0tGQ25CM2Q4ZkNoUXZoNE9BQWxVb0ZJWVJ4QlhYYnRtMXgrL1p0ZE9yVUNVMmJOa1dqUm8xZ2IyK1BzTEF3SERod3dDeU8zR3BVQThEcnI3K096WnMzNC9idDIramV2WHVCbFNHaC9HT2ltb2lJaUlvSzhlaVBZbWdJQ2dvNmE3MXdpSWlJaUloZWJqbFhKK3QwT2dRRUJBQUFIQjBkMGFKRkMzeisrZWQ1bXV2Z3dZTVlPM1lzWEYxZE1YZnVYSGg3ZXdQSTJtQ3hTNWN1Nk5TcEU4NmVQWXZBd0VCY3UzWU5NVEV4dUhIakJsSlRVNkhWYWlHbGhGcXRSdTNhdGRHeVpVdTBiTm5TNGpVMmJOaVFhd3c1YTFRRFFQLysvZUh0N1kyZ29DQU1HVElrVC9kQ3p3Y1QxVVJFUkZRVXFMeTh2TjRENEoyZW5qNHZJaUlpMmRvQkVSRVJFUkc5YW5yMjdJbWVQWHMrMWJsK2ZuNzQrT09QMGIxN2Q0c2xQVFFhRFpvMGFZSW1UWm84ZFh6RGhnM0RzR0hEbnVyY2R1M2F3ZGJXOXFtdlRjK09pV29pSWlJcTlCbzBhRkFYd0NRQXRlM3Q3UUZnR2dDOVZZTWlJaUlpSXFJOHM3R3hlZW9rOG92QUpMWDFxYXdkQUJFUkVkSGoxS2xUcHdTQVdRQWFBRWpRNi9WN3dDUTFFUkVSRVJIUlM0V0phaUlpSWlxMHFsYXRXbHlqMGN3RTBBNUF2S0lvbjUwL2Y1NTFxWW1JaUlpSWlGNHlMUDFCUkVSRWhaV21lUEhpazRVUW4wZ3BFNldVNDRPRGczZFpPeWdpSWlJaUlpSXFlRnhSVFVSRVJJVlMvZnIxZllVUUh3Q0FFR0pEV2xyYUg5YU9pWWlJaUlpSWlKNFBycWdtSWlLaVFxZDI3ZHEyYXJWNm9KU3lBb0NMR1JrWlAwUkVSQ1JiT3k0aUlpSWlJaUo2UHJpaW1vaUlpQW9kT3p1N040VVFQWVFRS2tWUnZnc1BENzlwN1ppSWlJaUlpSWpvK2VHS2FpSWlJaXBVZkgxOWl5dUtza1JLYVE5Z2RVaEl5QlpyeDBSRUw1WldxOFhzZVF1d2ZOVmFhNGRDVnFUWDZ4Ri8vejRBQ1FGRldqc2VJaUlpZXI2WXFDWWlJcUpDUmFmVDFWS3IxZWxTeWpzQTVsczdIaUo2Z1lRK1hVQ2RLYVhFbFgrdVdUc2FLaVFrb0ZVVVZicTE0eUFpSXFMbmk0bHFJaUlpS2xSQ1FrTE8xYTlmdjQwUW9uUklTRWlFdGVNaG9oZEhsL3JnaHRyWmJZYVFxbnJXam9VS0R3bkU2UlY1eU5weEVCRVIwZlBGUkRVUkVSRVZOdnJRME5CWUFMSFdEb1NJWHF6bzZPZzBJSG9kZ0EzV2pvVUtGZVhSSHlJaUlucUpNVkZOUkVSRVJFU0ZpUVNnczNZUVJFUkVSUFJpcWF3ZEFCRVJFWkdCaDRlSHZiVmpJQ0lpSWlJaW9oZVBpV29pSWlJcUZMeTl2WHU1dWJsRmVudDdUN0IyTEVSRVJFUkVSUFJpc2ZRSEVSRVJGUXBDaVA4VFFwUUZVTVhhc1JBUkVSRVJFZEdMeFJYVlJFUkVWRmkwQndBcDVVRnJCMEpFUkVSRVJFUXZGaFBWUkVSRVpIWGUzdDdlUW9pU1VzcjdRb2pMMW82SGlJaUlpSWlJWGl3bXFvbUlpTWpxaEJDdEh6MjhucEdSRVd2VllJaUlpSWlJaU9pRlk2S2FpSWlJckU1SzZmdm80VzBBOTYwWkN4RVJFUkVSRWIxNFRGUVRFUkdSMVFraHlqLzZHaDhlSHA1aTdYaUlpSWlJaUlqb3hkSllPd0FpSXNvZkthVzBkZ3paQ1NHRXRXUElqNG9WNjVUUU9LcktXRHNPK2grZE50TVdnSXVVVWxFVXhjYWpacjNYWDlTMU0zWDYxTnZYd3FNQktDL3Ftdm5GZi9ORVJFUkVMNS9rbEJUOHVtd2x0dTdZWmUxUTZCV1RrSkNJK1BqQytTRldKcXFKaU9pVlVibXlaem5oWURNTkFsN1dqb1greDFadGI2T1hxS29XVUdVb29oWFU2am92N05vcWRVS2xHdldtM0x3U3R2OUZYWk9JaUlpSVhsMksxR3BWc0ZFeU1qSncrTmdKYTRkRHJ6SUJCVktmYWUwd3NtT2ltb2lJWGhtS3JhYUdHbWduZ0hMV2pvV3lFNENVZ0ZCQktrcDVnYXd5SUMrQ0JQUXF0Y29QQUJQVlJFUkVSUFQ4cGFuQ2haTmNMS1dvYXUxUWlpS1ZrQzRPR3RYclFrQ1ZxbFhDRlNtU3JCMVQwU1ZqaEZZNVorMG9zbU9pbW9pSVhobHF0Vm9GSVVVeDUyTG8yN3NuYWxUajc0YUZ3ZTFidDdCcDR4OUlTa3BDMzI3ZFViZGUvZWQrelV5dEZ2Ni9MTVcxeUp1UWtudDJFQkVSRWRHTGNmTm0yQVBBZDNycDBtbDIxbzZsS0NwVFJ0UGNWb09WQU93YzlISkViS3oydUxWaktxcmk0cEFKaEhORk5SRVJrVFhaMmRtaGFaTTMwT1NOaHRZT2hSNFpOTEQvQzcxZVdsbzYxbTNZREVUZWZLSFhKU0lpSWlJQ3ptbmo0cUMxZGhSRlVjV0tQbWxDQ0NtbGhLMnRPaTB1THBRYnNiOUV1SUtJaUlpSWlJaUlpSWlJaUt5S0s2cUppSXFvNk9ob3ZQLysreGI3UEQwOXNXYk5tbHpQUFh2MkxQN3puLzlnd29RSmFOcTBxY1V4UjQ4ZXhhcFZxeEFSRVFFaEJPclVxWU4rL2ZxaFVhTkdCUkkvRVQyNzNidDM0OXR2djBYRmloV3hmZnQyaTJOU1UxT3hjdVZLSERod0FMZHYzNGF0clMycVZxMks2ZE9ubzJ6WnNpWmpwWlRZdG0wYnRtL2Zqbi8rK1FlS29xQmN1WElZTldvVTNuenp6UmR4UzBSRVJFUkU5SXBpb3BxSXFJaEtTRWdBQUZTclZnMlZLMWMyNmF0WXNhTEZjeTVkdW9SbHk1Ymg0TUdEajUxN3k1WXRtREpsQ3B5ZG5kR2lSUXZvOVhvY1BYb1Vnd2NQeHJScDA5Q3VYYnVDdVFraWVtcGFyUmIrL3Y2UEhSTVRFNE5CZ3dZaE9qb2FOV3JVd0R2dnZJTzB0RFNFaFlVaElTSEJKRkd0MVdveFpzd1lIRHQyREtWS2xVTExsaTBoaE1EVnExZHgvZnAxSnFxSmlJaUlpT2k1WXFLYWlLaUlTa3hNQkFCODlORkgrT2lqajU0NHZuZnYzcmg0OFNMczdPeFFwVW9WWEw5KzNlSTRyVmFMK2ZQbnc5WFZGV3ZYcm9XN3V6c0FJREl5RW4zNjlNR2NPWE9ZcUNZcUJOYXZYNC9idDI5RENHR3hYNmZUWWZqdzRiaDE2eGErKys0N2swOWdTQ21oMSt0TnhzK2VQUnZIamgxRGx5NWRNSGJzV05qWTJKak1SVVJFUkVSRTlEeXhSalVSVVJGbFdGSHQ1dWFXcC9HUmtaSG8yTEVqTm0zYTlOanlIWGZ2M2tWeWNqSmF0R2hoVEZJRGdJZUhCL3o4L0JBWEYyZE1raE9SZGNURXhHRHg0c1hvMUtrVDdPd3NieGkvZGV0V1hMbHlCZjM2OVRNckV5U0VnRWJ6di9VS1Y2OWV4YVpObStEajQ0TnZ2dm5HSkVrTndHUXNFUkVSRVJIUjg4QkVOUkZSRVdWSVZKY29VU0pQNC8vNjZ5OU1uRGdSNWN1WGYreTRVcVZLd2Q3ZUhqRXhNV1o5dDIvZmhxdXJLMXhjWFBJZjhFc3FNVEVSQnc0Y1FHWm1wbG5mNmRPbmNmZnVYUUJBYkd5c3hlYzBKNTFPQjBWUkxQWkpLWFB0eXc5L2YzKzg4ODQ3U0U5UGYrYTVkRHJkYzN2aklqTXpzMEJpZkJsTm56NGRHbzBHWDMzMVZhNWp0bTdkQ2x0YlcvVHAwK2VKODIzZnZoMVNTdlR2M3ovWEZkcEVSRVJFUkVUUEV4UFZSRVJGbENGUi9mdnZ2MlBLbENuNCtlZWZjZmp3NFZ3L291L2c0SkNuZWUzdDdURm8wQ0NjUG4wYWl4WXRRa0pDQXU3ZHU0ZVpNMmNpTkRRVVgzNzVKUk5aMmV6WXNRTmp4NDdGcFV1WFROcFRVbEl3YXRRb0xGdTJERkpLREJreUJHUEdqSUZXcTMzc2ZBRUJBZkR6ODhQRml4Zk4rZzRmUG95MmJkdml6cDA3enhSemNuSWxZT3FWQUFBZ0FFbEVRVlF5NHVMaW5qbnBMYVhFSjU5OGdtKy8vVGJmNS83clgvL0NuRGx6SGp0bSt2VHA2TnExNjlPRzk5TGF2WHMzamgwN2hpKysrQ0xYVDFRa0ppWWlJaUlDWGw1ZWNISnl3c21USjdGbzBTSXNYcndZcDArZk5odC8rdlJwMk5qWW9GR2pScmh5NVFxV0wxK09uMy8rR2J0Mzc3YjRKZ3dSRVJFUkVWRkI0K2M0aVlpS0tFT2krdENoUXlidEhoNGVtRDE3Tmp3OFBKNTY3ajU5K2lBbEpRVkxseTdGMHFWTGplMWZmZlVWUHZqZ2c2ZWU5MlVqcGNUbXpadmg2K3VMK3ZYcm0vUnQzNzRkR1JrWjZOT25ENFFRR0R0MkxBWVBIb3hseTVaaDhPREJ1Yzc1OTk5L3c5N2VIalZyMWpScFZ4UUZTNWN1UmJseTVhRFQ2UkFWRldYU2IyTmpZMUtxNVVVUVF1RHR0OS9HZ2dVTGNPellNZmo1K2VYNTNMUzB0Q2NtN2NuY25UdDNNSDM2ZE5TdFd4Y2ZmdmhocnVPdVhMa0NBSGp0dGRmdzlkZGZZLy8rL1NiOUxWcTB3TXlaTTZIUmFLRFQ2UkFaR1luWFhuc05telp0d3F4WnMwekdMbG15QlA3Ky9pLzgrNHVJaUlpSWlGNHRYRkZOUkZSRWZmWFZWemh4NGdUT25EbUQvZnYzdzkvZkg5N2Uzb2lNak1Td1ljT2VLUW00WThjT3JGcTFDc1dLRmNOYmI3MkZaczJhd2RIUkViLysraXNPSERoUWdIZFJ0SjArZlJwUlVWSG8xNitmU2J1aUtOaXdZUVBhdEdtRGloVXJBZ0FhTldxRTd0MjdvMlRKa3JuT3B5Z0tUcDgramRhdFcwTktpYlMwTkdQZjVzMmJjZW5TSlZ5OGVCR2RPM2MyKy9QRkYxODhuNXQ4Z2w2OWVxRnMyYktZUFh2Mk0yKzROM2p3WUd6WnNxV0FJbnY1NlBWNmZQdnR0OURwZEpnOGVUSlVxdHgvalRPOGtYWGt5Qkhjdm4wYnExYXR3ckZqeDdCczJUSlVxVklGUjQ0Y3diSmx5d0JrcmY3WDYvVjQ4T0FCVnE1Y2lSOS8vQkZIamh6QmxpMWIwS3BWSzl5NGNRUC8vdmUvWDhnOUVoRVJFUkhScTRzcnFvbUlpcWhpeFlvWkg3dTV1YUZ4NDhidzhmRkJuejU5Y09YS0ZSdy9maHl0V3JYSzk3emg0ZUdZUEhreVhuLzlkY3lmUDk5WUEvdnUzYnNZTW1RSXZ2bm1HMnpjdUJHVktsVXFzSHNwcWxhdlhvMTY5ZXFoU1pNbU9INzhPQTRkT29RUkkwWWdNREFRMGRIUmVQRGdBZHEyYld0MjNxKy8vbXA4UEduU0pEUnQyaFFBRUJnWWlQdjM3K085OTk3RG4zLytpWjkvL2hrSER4N0VqUnMzTUhmdVhHZzBHaXhZc01CazlmYkpreWN4ZXZSb2RPalF3ZVFhc2JHeGtGSmFqTnVRQUkrTGk0Tzl2YjNGTVM0dUxybVdpOW04ZVRQYzNkM1JyRmt6Mk5uWlljQ0FBZmpoaHgrd2FkTW05T2pSNHpIUDJPTUZCd2VqWHIxNmp4MXovZnAxSkNZbXd0dmIrNm12VTFUTm5Uc1h3Y0hCK1BlLy80M0tsU3MvZHF5aFhFZEdSZ2Jtelp0bi9IZnM3ZTJOR1RObW9GdTNidGl5WlFzR0RScUVqSXdNQUZubFFoWXNXSUEzMzN3VEFPRHM3SXlwVTZlaWMrZk9DQXdNUkdSazVETjlVb09JaUlpSWlPaHhtS2dtSW5xSjJOcmFvbDI3ZHJoeTVRcXVYcjM2VklucTlldlhRMHFKTVdQR21HelVXTFpzV1l3ZVBScERoZ3pCeG8wYk1XclVxSUlNdmNnNWQrNGMvdnZmL3hxVHpzdVdMWU5XcTRXOXZUMFdMRmlBNHNXTFkralFvY2J4WjgrZXhaNDllekJod2dTVEd0OVZxbFF4UHQ2M2J4K2NuSnpnNCtPRHlNaElBRUJTVWhKR2poeUpLbFdxb0VxVktoZy9manlXTEZtQ0tsV3FJQ3dzREJNblRzVGJiNzl0dHFxN2ZmdjJUNnhCM2FWTGwxejd4bzRkaSs3ZHUxdnNXN2h3SVJvM2JveG16Wm9CQURwMDZJQWxTNVpneVpJbDZOaXhJNXljbkI1NzNmeFFGQVduVHAzQ3NXUEhjUHo0Y2R5NmRRczllL1o4NVJMVnUzYnR3dSsvLzQ3MjdkdWpjK2ZPVHh4dmVKUEJ5OHZMYk1QVmF0V3F3ZDNkSFRFeE1VaEtTb0tqb3lPQXJQcjBUWm8wTVJscmEydUxoZzBiWXRldVhiaCsvVG9UMVVSRVJFUkU5Tnd3VVUxRTlKSXhKSjJlZHNQREd6ZHVBTWhLWnVWVXZYcDFBREFtVVY5bEN4WXNRUFBtemVIcjY0dXpaODhpTkRRVWl4Y3Z4b1lORy9EUFAvL0EzZDNkcEo1M1ptWW05dXpaZzA2ZE9rR2pNZi94bTVxYWlyMTc5NXIxWGJod0FlbnA2VmkwYUJIYzNOd3djdVJJOU8zYkY3MTY5Y0txVmF2UW9rVUxUSjQ4MldLTXpabzFzMWhUZk92V3JUaHg0Z1NtVHAwS1cxdGJrNzc0K0hoTW16Yk43Snlnb0NCVXFWSUZycTZ1Wm4wMk5qYjQ5Tk5QRVJFUllTei9jZWJNR2Z6MDAwK1lQMzgrU3BVcUJTQ3Jidks2ZGV1TTF6bHo1Z3dtVDU2TWloVXJtaVRhSHp4NGdPUEhqeU1rSkFTeHNiSDQ4c3N2VWJseVpiUnUzUnJyMTYrSG5aMmR4ZnQ5bVMxZnZoeEFWc0o2MTY1ZFp2M1IwZEh3OWZVRmtMWHBwcUhrakY2dnR6aWY0ZjhKS1NWY1hGemc0dUtDOVBSMGkyTU5ienprdGtLZmlJaUlpSWlvSURCUlRVVDBramw3OWl3QXk0bm12SEJ6Y3dNQVJFVkZ3ZFBUMDZUUGtNVE91VUx6VlJNWkdZblEwRkM0dXJxaVE0Y09TRXBLUXZQbXpWRzFhdFduWG1tK2MrZE9wS1Nrb0hqeDRpYnRiNzc1SnJadTNXcE1LSThhTlFxZmZQSUpsaXhaZ3VMRmk2Tjc5KzZ3c2JHeE9HZUZDaFVzcnFyLysrKy9BUUIrZm43R2hLVkJ6azBhZ2F3RTVjaVJJK0hyNjRzZmYvelI0clUrK3VnamsyTUhCd2RFUkVSZ3hZb1ZHRE5tRElDc01oU3hzYkVBQUoxT2g3UzBOTVRHeHNMSnlRbi8vUE1QcEpUWXRHa1RWcXhZQVNFRUhCMGQ0ZWJtaGhVclZ1QzExMTREZ0ZjMlVmM3V1KzhpUGo3ZVl0K1dMVnRnYjIrUDk5NTdEMERXR3dkVnFsUkI4ZUxGY2ZIaVJhU25wNXVVZUVsSlNVRjBkRFJLbENoaC9IN3o5dmJHMGFOSGNmNzhlYlB5SzVjdVhRSmd1dnFmaUlpSWlJaW9vREZSVFVSVVJCMDllaFJObXpZMVdZRzdjZU5HSERwMENHWEtsREhXUGM2dnRtM2I0dWpSbzVnM2J4N216SmxqVEdRbUpDVGdwNTkrQWdDMGFkUG0yVytnQ0t0VXFSSzZkT2tDTnpjM3hNVEVZTStlUFJneFlnVFdyRm1Eakl3TU5HclVDRmV1WE1IKy9mdU41MFJFUkFBQURoNDhhTElKM3B0dnZnazdPenVzWGJ2VzRrcHJJS3Y4d3ZuejU3RnAweVlFQkFTZ2F0V3FHRGh3SU5hdlg0LysvZnVqYXRXcWFONjhPUm8wYUFBZkh4ODRPenNYNlAxZXUzWU5TVWxKYU5DZ1FaN1BxVnUzTGhvM2Jvd3RXN2FnYjkrK0tGT21ET3JXcllzRkN4WUF5Q283MHJoeFk0d2JOdzd6NTg5SHQyN2RBQURseXBYRHFGR2o0T2ZuaDNuejV1SDA2ZFBHSkRVQWFMWGFWekpSL2Rsbm4rWGF0MlBIRHJpNnVtTGN1SEVtN2UrLy96NVdyVnFGeFlzWFkvanc0UUN5U3FuTW16Y1BtWm1aSm5YTnUzYnRpcU5IajJMdTNMbnc5L2MzUHNjQkFRRUlEUTFGN2RxMW1hZ21JaUlpSXFMbmlvbHFJcUlpYXU3Y3VmaisrKy9Sb0VFRGFEUWFSRVJFNFByMTYzQjJkc2IwNmRPZk9wbjM3cnZ2NHZEaHd6aHc0QUErK09BRCtQcjZRcS9YNDh5Wk0waE1URVNuVHAzZzUrZFh3SGRUdEtoVUtreVlNQUdLb3FCUG56N28zcjA3UER3ODBMVnJWN2k1dWVIT25UczRjK1lNL3ZPZi94alBNWlRFbURScGtzbGN2Ly8rT3dJREEzSHIxaTE4OE1FSE9IRGdnRWwvUUVBQUZpNWNpSmlZR05TdVhSdFRwMDdGMjIrL2pmajRlRFJ1M0JqUjBkSFl1WE1uTm16WWdOV3JWMlBMbGkwRm5xZ09DZ29DQVBqNCtPVHJ2QUVEQnVDenp6N0RiNy85Wmx4VmJjbGJiNzBGTHk4dmpCMDdGczJhTlRQYkdOSWdQVDBkVXNwY04za2tVLzM3OThmSmt5ZXhldlZxQkFZR29scTFhZ2dQRDhmVnExZFJxMVl0REJ3NDBEaTJlZlBtNk5DaEEzYnUzSW11WGJ1aVVhTkd4dTlqRnhjWFRKdzQwWXAzUWtSRVJFUkVyd0ltcW9tSWlxaU9IVHRpNTg2ZE9IcjBLQlJGUWFsU3BkQ2xTeGQ4OHNrbnFGQ2h3bFBQSzRUQWpCa3pzSFhyVm16YnRnMUhqeDZGRUFJMWF0UkExNjVkMGI1OSt3SzhpNkp0elpvMWlJMk54YUJCZ3dBQUZTdFdSSjgrZlRCanhneTR1N3ViMUJKZXYzNDlaczZjaVNOSGpwaXRuRjZ6WmczYXQyOXZjY1dxdDdjMy9QejgwTEZqUjlTcFV3YzZuUTZiTjIvR2dnVUxVS3RXTFN4ZXZCZ3RXclJBUmtZR3JsNjlpa3FWS2hYNGZRWUZCY0hSMFJFMWE5Yk0xM2srUGo2b1Y2OGV0bTNiaGdFREJsaXNidzNBdURIaWsrcXFKeVVsQVlCWnVSS3l6Tm5aR1V1WExzWGl4WXR4NE1BQlJFUkVvSFRwMHVqYnR5OCsrK3d6czRUL2Q5OTloMXExYW1IejVzMElDQWlBczdNejNuMzNYUXdlUE5oWTg1cUlpSWlJaU9oNVlhS2FpS2lJK3ZUVFQvSHBwNTgrMWJuanhvMHpLeE9RblJBQ1hicDBRWmN1WFo0MnZKZGVlSGc0L1AzOU1YbnlaTmpaMlNFNk9ob1BIand3cSsrYkYxMjZkRUhwMHFXeGI5OCtzNzd5NWN2ajY2Ky9SbXBxS2padTNJZzFhOVlnSVNFQmd3WU5RcmR1M1hEMTZsVTRPenVqWExseXFGT25qc201Vzdac3dZNGRPOHptTkt6dWJ0dTI3Uk5qMCt2MU9IbnlKSHg5ZmFGV3EvTjliOTI3ZDhlMzMzNkxEUnMybUt6Z3pZL0F3RUJvdFZvY09YSUVBRkM1Y3VXbm11ZGxkZUxFaVZ6N2loVXJoakZqeGp4MlJidUJXcTFHcjE2OTBLdFhyNElNajRpSWlJaUlLRStZcUNZaUlub0szMzc3TGJSYUxXYk5tb1h4NDhjREFHcldySWwxNjlZQnlDcFRrZGNhMVRrM3JjeHAxcXhaMkxadEd4d2NIUERCQngrZ1Y2OWVjSEZ4d1lZTkd6Qi8vbnk4Kys2NytPNjc3OHpPcTFPbkRscTJiR25XZnZqd1lZU0VoS0IvLy81bXE3c1RFeE94Y3VWSzQzRlFVQkNTa3BLZXV0eEwyN1p0OGROUFAySDkrdlhvMDZlUHlhWitlYlZ6NTA1czM3NGRRTmJ6VmJkdTNhZUtoWWlJaUlpSWlBb3ZKcXFKaUlpZXd0dHZ2NDJIRHgraVVxVktxRkNoQXNxWEw0OXk1Y29aK3hNU0V2SmNvOXJKeWVteDEyclRwZzA4UFQzUnJsMDcyTnJhNHRTcFU1ZzNieDV1Mzc2Tm9VT0hva2VQSGtoSVNEQXByZEd0V3pkNGUzdGJYRFY5NTg0ZGhJU0VvRWVQSG1abE5CSVNFcENhbW9vYU5Xb0FnSEVWYzdObXpmTHl0Qmp0MkxFRG1abVplUC85OS9IRkYxK2dXTEZpVDEwMy9mUFBQOGVISDM0SUp5Y25WS3BVQ2N1WEw0ZVBqMCsrTm5ja0lpSWlJaUtpd28ySmFpSWlvcWN3Wk1pUXgvYm5wMGIxay9qNCtNRFQweFA3OSsvSDJyVnJjZTNhTlh6d3dRZFl2SGd4bkp5Y3NHelpNcXhZc1FLelpzMHlKcFR6VXVyQkVsZFhWNU95TURWcTFFRHIxcTNoN3U2ZXIzbk9uRG1EZ0lBQXRHL2ZIcDA3ZDdZNEppNHVEaXRXck1DQkF3Y3diTml3WE9jcVhibzBTcGN1YlR6Ky9mZmZjZUhDQlNhcWlZaUlpSWlJWGlKTVZCTVJVV0dqcWwyN3RpWThQRHpUMm9Ia1IweE1EQzVjdUlBeVpjb1V5SHl2di80Nit2YnRDeUNyMXZUY3VYTmhaMmVIenAwNzQrZWZmNGFMaXd0Mjc5Nk5aY3VXSVM0dURvTUhEMGJqeG8wTDVOclpkZXJVQ1owNmRUSnJsMUkrOXJ5b3FDaTR1N3ViYmRnWEdSbUpBd2NPSURZMkZqZHUzTUR4NDhmUnZIbHprOVhvQmsyYU5ERkxrS2VrcENBaEljSGl4cE5FUkVSRVJFUlVkREZSVFVSVXhBZ2hoTFZqZUo3cTFLbFQxZGJXOWc5dmIrK0xRb2lOT3AzdXZGNnZqdzBQRDAreGRtd0dXcTBXaHc0ZHd1WExseEVSRVlHTEZ5L2l3WU1IQUlCdnZ2a0dRTlltaExkdjN6YWVrNWlZQ0NBcm9aMjlScld6c3pOY1hGek1ydUhwNldtc1hkMm1UUnU0dWJuQno4OFA5Ky9meDg2ZE83Rmh3d2JFeDhlalk4ZU82TisvUDhxV0xmdmM3amNuWjJkblJFVkY1ZHFmbkp5TUsxZXVvR25UcGlidG16ZHZ4dFNwVXdFQVhsNWVhTisrUGRxMmJXdThmenM3TytQekNBRHQyclV6bXpzb0tBZ0FVS3RXcldlK2o2TGlaZjgzVDBSRVJFUkVCREJSVFVSRWhWTkpsVXJWRzBCUGpVWnpYYVBSblBEeDhma3ZnRk5CUVVFWEFPaXNHWnhLcGNJUFAvd0FsVW9GVDA5UGRPN2NHWFhxMUVIZHVuVlJ1blJwekpneEEzRnhjZWpZc2FQWnVlKy8vNzdKY2UvZXZURml4SWhjcjZVb0NtN2Z2bzNvNkdoOCtlV1hPSHYyTE1xV0xZdjI3ZHVqVzdkdUtGV3FWSUhmMzVONGVYa2hJQ0FBUTRjT05kYXlOdEJxdFRoeDRnVFMwOVBSdm4xN2s3NW16WnBoOE9EQmVPKzk5MUNoUWdXemVXdlhybzAvLy93VE5qWTJGbGRZUDNqd0FEdDI3SUNqbzZOWkVweUlpSWlJaUlpS05pYXFpWWlvTUZNTElhb0RxQTZnRzRBNEh4K2Z5d0EycDZlbmI3OTQ4ZUlkcXdTbFZtUHIxcTBvV2JKa3JtTktsU3FGaFFzWFBuR3U3QnNnV3JKdDJ6Wk1tVElGMWF0WHh4dHZ2SUVCQXdhZ1FZTUdzT1lpMitIRGh5TWpJd1BCd2NFSURBdzA2Vk9yMVNoVHBnekdqUnVIbGkxYm12UzV1N3Rqd0lBQnVjNDdmdng0VEpreUJUdDI3RUI2ZXJwWnY2MnRMYXBYcjQ0UkkwYkEyZG01WUc2R2lJaUlpSWlJQ2dVbXFvbUlxTkRLVVFmWkFVQWxJVVFsQUczczdlM24rdmo0SEZZVVpZVldxejJpMFdpU1EwTkRINzZvMkI2WHBCNDNicHpKaG9SNTFhdFhML1RxMWN1a3JVdVhMbWpkdXZVVEU5cjU4YlR4R1pRc1dSSXpaODRzc0hnTUtsV3FoRjkrK2FYQTV5VWlJaUlpSXFMQ2o0bHFJaUlxMUF3cmh3MUo2MnpKYXpzaHhQK3BWS3EyZG5aMnQ0VVFaN3k5dlk4Q09KT1NrbkwyNnRXckdWWUorRGtveUNRMW1aSlNBbEk2ZUhsNVZWQ3BWREk5UFYwQ2dCQkNxbFFxcVZLcEpBQ2twcVlhSDZ0VUtxbFdxNlhoS3dDbzFXcVptSmhvZkt4V3E2VkdvNUVBY08vZVBhbFNxWXpIR28xRzJ0cmF5dkR3Y01NM3MzejBSLzlDYjU2SWlJaUlpS2dRWWFLYWlBaUFuWjFkUng4ZkgwOXJ4MEVBZ05JQWl1VnN6Sm13enZaWUpZU29DS0NpRUtJOWdIc3VMaTczZkh4OGR1bDB1blZoWVdFWEFDZ3ZJbkFxZW9RQWl0bXBXcXZWcXRZQTRPRGdrSDBadndRQUthVXNWcXlZU1p2aHF4RENNQVl1TGk3Rzhkbm5lTFRScGNsNEFMSkJnd2JJTVQ1UDM2ZENpSXhINXloQ0NLa29pbncwYjg1aktZUlFIbDFDUHByZjhEaG5uNlU1alAyR3g1Yk90elRlTUE4QVl6elo1eEJDS05uYkZVV1IyZWN5ak1sK0g5bkg2L1Y2bVdQK0JqbWVYeUlpSWlJaUttS1lxQ2FpVjVhaUtJcVVFa0lJcU5YcVVkYU9oN0xrS1BkaFJnaGhOc2J3OXlpRXNBVlFIb0FiZ1A0YWphWnh2WHIxeG9hRmhaMTdiZ0ZUa1NZZ0lBVGNBRlRNZFV6V215UlBMQW91cGN6TEdJdHppWHdXSGM4K1hLVlNtZlRsUE00NVB1ZWxMRjA2K3h6UE9sNnRWcHVOejNsTzlzZDVHWjk5VEk3N1phS2FpSWlJaUtpSVlxS2FpRjVaS3BYcUJvQ0hVa3BuQUdjQnBGZzVKQUlnaEhBQTRBWEFQbWVmcFNSMnRxU1lYa3A1QjhBTkFHc1ZSVGthRWhJU0FVRDMvS0tsb2s1Q0lrTXZ6cWhWY2c0QThTalpMS1NVUXFWU2lleHRqNDRocFZROSttcHNOenpPUHY1Ujh0bWtEZi9MU1J2blVHVmxXcC80TzltajY2cXlKYlZONXMwMm4vRng5cjVzOGVUYWx5M1pidXpML254WTZzL3QzR3dKL3V4eEdrNnhkQTltOCthTU0vdTVPWjVUQVNCVlN2bkhrNTVISWlJaUlpSXFuSmlvSnFKWFZsSlNVbVNKRWlYaUFUaHJ0ZG9KaXFLRVdqc21BalFhallkR285a0E0RFZEMnhNUzFIZWtsQnVsbE9zQnhHVmtaS1JjdkhneEZxejNTM2tpa0s2VkVSSG5nMysyZGlSNWtET2htLzByZkgxOUJRQ2twYVVaMnpJek13VUE2SFE2azY4QVVMWnNXUUVBV3EzV3JFK3YxNHZzWHdHZ2VQSGlRZ2hoc1U5UkZMTTJKeWNua1Z1Zm9jM3dGY2hLUERzNk9sb2NiMGlDWngrdktJcHdjSENBb2lqaTBmOFIydURnNEx1NVBudEVSRVJFUkZTb01WRk5SSzhzSnljblF4MVZDQ0hpdzhQRFk2d2RFd0YxNnRSeFZxdlYrcHcxcVIrVi9GQUFwQUpJQkhCR3A5T3RDUTBOM1d5MVlLM2dyNy8rd3U3ZHV6RnQyalRZMmRrOTgzeFhyMTZGbTVzYlNwWXMrZFJ6U0NrUkZSV0ZTcFVxUFhNOC8venpEeTVjdUlCMjdkckIzdDVzVWYycnpyRHBva1huenVXdndrMTBkUFN6eGtORVJFUkVSRlJneklzWUVoRVJGUktQM2tTQUVDSVp3Q0VBVTZXVXZhV1V6UU1EQXord1pwSTZLU2tKQ1FrSnovd25JeU1EQUhEcTFDbkV4Y1U5OGJvM2J0ekFrU05Ib05mbnZtQThNVEVSWDMvOXRjVkVaSEJ3TU83ZHUyYzg3dDY5TzlhdVhmc1V6OEQvTEYyNkZEMTc5c1MxYTllZWFSNEFPSEhpQkNaTm1vU1VGRmJpSVNJaUlpSWllcFZ3UlRVUkVSVmFVc3JMQU5ibzlmcGRpcUxjT24vK2ZEd0tTYzNwYnQyNjVTbXgvQ1JqeDQ1Rml4WXRNR3pZTUx6eHhodFlzR0RCTTg4Wkd4dUw0T0JnZlB6eHg1ZytmVG9hTjI0TUFIajQ4Q0VHRFJxRTk5OS9IOTk4ODgwelg4ZWdaOCtlMkw1OU82Wk9uWXFsUzVjVzJMeEVSRVJFUkVUMDZtQ2ltb2lJQ3BWSHE2Y1g2M1M2dzZHaG9hZXRIVTl1eG84ZmovVDBkSXQ5YVdscCtQNzc3K0hyNjR1dVhicytkaDVQVDArNHU3dWpkKy9lK08yMzM3QjU4K1lubnZNa05XclV3RysvL1lZdnYvd1NRNGNPeGFSSmsvRHV1Ky9pMUtsVDBPbDBhTldxVmI3bm5EOS9Qbjc3N2JmSGpybHo1dzU4ZlgxejdmZjM5emNtelo5V1dsb2FIQndjbm1rT0lpSWlJaUlpS255WXFDWWlva0xsL1BuemR3SE1zSFljVDlLaVJZdGMrM2J2M2cwQTZOKy9mNTRUczRNR0RjS0JBd2N3Yjk0OCtQbjVvVXlaTXJoNDhTSXVYTGhnTXM1d3ZHM2JOdGphMnByMGZmamhoOGJIWmN1V3hiSmx5ekI5K25UNCtQZ0FBSTRjT1FJQUdEMTZ0TWw1YTlldXhmcjE2MDNhUHZqZ0E3TnhUazVPbUQ1OXVsbnNlcjBlYXJYYXBDMGxKUVhPenM0bWJiVnExYko4OHhhY1BuMGE3ZHUzTjJsYnVuUXA5dTdkQzM5L2Y1UXVYVHJQY3hFUkVSRVJFVkhoeDBRMUVSSFJVNHFPam9aT1oxNkpaUHYyN1NoVnFoVEtsQ21EeU1qSVhNOHZWYXFVTVpscloyZUgwYU5IWS9qdzRaZzVjeVorL1BGSG5EaHhBb3NXTFRMWlZOQnd2WVVMRjVxMDZYUTZrMFExQUxpNHVHRHExS2tBZ0h2MzdtSC8vdjFvMnJRcEdqVnFaQnd6Yjk0OGVIdDdvMW16Wmlibldrb3FhelFhTkczYUZQZnUzY1BpeFl2UnUzZHZlSGg0WU1LRUNiaDc5NjZ4N0VkTVRBeTZkKytPZHUzYTRhdXZ2a0t4WXNXTWN4dy9mdHdzK1E1azFTTWZPSENnOFhqVHBrMG1pZW90VzdaZzBhSkZxRnExS2xRcWJyRkJSRVJFUkVUMHNtR2ltb2lJNkNrTkdqUUlNVEV4dWZiblRCem45UDMzMytPOTk5NHpIdnY1K2FGWHIxNG1iVURXQm9NR1M1Y3V4YUpGaS9EWFgzL0IwZEhScEEzSVNscVBIajBhYjd6eEJucjE2bVU4YjhXS0ZkQnF0Umc3ZGl4ZWUrMDFZL3U4ZWZOUXAwNGQ5T25USnc5M25HWG56cDBJQ0FqQWtDRkRBQUNYTDE5R2pSbzFqUDN1N3U3NDVwdHZNRzNhTkJ3NWNnVExsaTB6WHZQdnYvL0c1czJtZTJEcWREcElLVTBTMWFHaG9RZ0xDME85ZXZXd2RldFdUSjA2RlRWcTFNQ2lSWXZnNXVhVzUxaUppSWlJaUlpb2FHQ2ltb2lJNkJsMDdOZ1JuMy8rT1lDczBob3pac3pBenAwN1RWYjlMbDI2Rk9mT25UTW1rK1BqNC9IeHh4OWJuRy9VcUZIUEZJOU9wNE9OalExbXo1Nk5zTEF3VEp3NEVTcVZDdnYzNzRlZm41OUprdnBwYmQrK0hhMWF0WUplcjhmZHUzZHg0OFlOK1BuNTRkNjllOFl4dnI2KzhQZjN4NzU5KytEZzRJQjc5KzZoWk1tU0dEbHlKRWFPSEdreTM1ZGZmb25rNUdTVHRtTEZpbUhKa2lYdzlmWEYvUG56NGUzdGpUbHo1cUI0OGVMUEhEOFJFUkVSRVJFVlBreFVFeEVSUFFNSEJ3ZVVMVnNXQUl4SjFOS2xTME9qK2QrUFdFZEhSNmpWYXVPNDU4bmUzaDR6Wjg3RTdObXpzVzdkT3R5L2Z4Ky8vUElMTm16WWdLU2twR2VlLzlhdFc3aDU4eVp1M3J5SlBYdjJHTnQvKysyM1hEZGJYTDE2TlFEZzhPSERKbVZBQUNBaElRRi8vLzAzaGc0ZGF0TCs4Y2NmdzkvZkh5ZE9uRUM3ZHUwd2FkSWtzNXJjUkVSRVJFUkU5UEpnb3BxSWlLaUFuVGx6eG1SRjllUEtnK1IwN2RvMVZLbFNCVUtJcDc2K0VBS2pSNCtHbTVzYnFsYXRpckN3TUFRRkJlVTYvc0tGQzFpMWFwVlp1NmVucDBrOWF5RUVTcGN1YlV3OEE4QzZkZXR3NE1BQi9QTExMMlliS3Vaa0tGV1MzZTdkdTZIWDY5R21UUnVUOWc0ZE91RFBQLzlFWW1JaXZ2dnVPeWFwaVlpSWlJaUlYbkpNVkJNUkVSV3cwYU5IbXh6cmREcFVxbFFwVCtlT0dERUNGU3BVZ0wrLy96UEgwYjkvZndCWnE1MS8vZlZYWTN0bVppYWtsTEN6czRPOXZUMkNnNE54OXV4WmswMGJBYUJidDI3R1JIVmFXaHJzN2UxaGEydUwyclZyRzhlRWhZWEJ4OGNISGg0ZXVjYmg0T0Jnc3NMY0lDTWpBeXRYcnNSYmI3MkZjdVhLbWZTcDFXcU1IRGtTSTBhTXdKdzVjekJod29UOFB3RkVSRVJFUkVSVVpEQlJUVVJFVk1DT0hEbGlrcGo5NmFlZmNQTGt5U2VlZC9YcVZVUkhSNk5wMDZZbTdkblB2WG56SmdEZzlPblRzTE96TTJuTFRrcUphOWV1b1ZxMWF1amJ0eS82OXUxcjdQdnl5eS94NE1FRHJGMjdGa0RXUm9zTEZpekF3WU1IalhQbWxKYVdCbWRuWjVPMml4Y3ZJaW9xQ2xGUlVXalpzbVd1OS9Yamp6K2lWYXRXWnUyYk5tM0N2WHYzMEs5ZlA0dm52ZlhXVytqVXFSTzJiTmtDYjI5dnRHL2ZQdGRyRUJFUkVSRVJVZEhHUkRVUkVWRWhzWC8vZmdCQXAwNmRUTnB6MW04R3pGZHQ1M1RqeGcxMDY5WU5ZOGFNUVk4ZVBVejY0dVBqODcwcFlXSmlvbG1pZXRXcVZYQjJka1pHUmdZR0RCaUE1czJibS9RdldiSUVaODZjUWIxNjljem1pNDZPeHFKRmkvRG1tMjlhN0RjWVBYbzB6cDA3aDhtVEo2TjA2ZEo0NDQwMzhoVTNFUkVSRVJFUkZRMU1WQk1SRVJXd0hUdDJtTlNZdm5yMWFwN08yN2R2SDZwWHJ3NVBUMCtUOXIxNzl4b2YvLzc3Ny9qdHQ5K3dmZnQyWTZrT1ExdDJGeTVjQUFDemtpTVpHUm1Jakl4RXg0NGQ4MzVEQUNJakkrSHQ3VzA4dm43OU92NzY2eThNSERnUVdxMFdHelpzd0VjZmZRUVhGeGNBV1N1K0R4MDZoUC84NXo4b1ZhcVV5VnlLb3VDNzc3NkRsQkpmZi8zMVk2L3I1T1NFK2ZQbm8xKy9maGd4WWdSbXpacGx0dUtjaUlpSWlQNmZ2ZnVPajZySy96LytQak5wa0ZBTkFnb1NwVW1FSkRPUjZpSmlROEZGc2FIc2dvalkxcTdvYjhXdVg4UjFLWUs2Z0dJRlJZcGdRWEJ4RFFLQzBsSXBJc1dvZEFJbWxOU1pPYjgvSUdPR2hCckNRUEo2UGg1NW1IdnV1ZWUrWjNRd2ZEaDhMZ0NjL2h4SG5nSUFBSTdGcEVtVDlQSEhIL3UvVnE5ZWZjUnJNakl5OU91dnYrcWFhNjd4ajkxKysrMWF0R2lSb3FPai9WL0ZEeVNzVzdldWYreSsrKzRyMVZva05UVlZEb2REY1hGeEFlT0xGaTFTWVdHaDNHNzNZZk44OGNVWC9qVUxDZ3EwYWRNbU5XM2FWTkwrdGlMRGhnMVRqUm8xZE1zdHQraU9PKzVRdFdyVjlOQkREMm52M3IxS1RVM1ZFMDg4b2F1dnZyclU3bkJKR2pGaWhOTFMwblRmZmZlcFVhTkdSM3h2WW1KaTlOcHJyOGxhcTBjZWVVVFRwMDgvNGpVQUFBQUFnTk1MTzZvQkFEakJKazJhZE13OXFvdDNZWGZyMXMwLzVuUTY1WFE2ajNpL3N1YWxwYVdwUllzV0FlMDZ2RjZ2M25ubkhVVkZSWlZxMDNHd3BLUWs1ZVRrcUZPblRscXlaSW04WHE4dXVPQUNTZEtVS1ZQMDQ0OC82cW1ubnZMdm9CNHpab3dHREJpZ0FRTUdhTk9tVGJyNDRvdjF3Z3N2bEZyMzQ0OC8xcVJKazNUSkpaZVVha2x5T0hGeGNYcnp6VGYxNktPUGFzaVFJY3JNek5Tamp6NTYxTmNEQUFBQUFFNXQ3S2dHQUNESTl1N2RxOW16WnlzeE1WRm5ubmxtdWRmYnRXdVgxcTlmSDJIbjdhd0FBQ0FBU1VSQlZOQ3FRNUxlZU9NTnJWNjlXbjM3OWcwb1lCZTNLZkg1ZlA2eGJkdTIrZHVHL085Ly8xTjBkTFRpNCtPMWJOa3l2ZmJhYStyVXFaTjY5ZXJsbi8vSEgzL283TFBQMXZyMTY1V2ZuNjlHalJwcHo1NDlBZmUzMW1yUm9rVnExYXFWaGd3WklvZWo5SThoMjdkdmx5UlZxMWF0MURtWHk2WDMzMzlmclZ1MzFnMDMzSENzYndzQUFBQUE0QlRHam1vQUFNcGgrdlRwK3VLTEx5VHQzN0VzU1YyNmRBbVk0L0Y0NVBWNmRkRkZGNVc1Um1wcXFnb0xDM1hWVlZlZGtFeUxGeStXSk1YSHgwdVM4dkx5Tkh6NGNNMllNVU51dDF2OSsvY1BtRiszYmwxSjByaHg0OVM2ZFd0dDNMaFJQLy84czNyMTZxWGZmLzlkWDMvOXRXNisrV2F0V2JOR0R6LzhzT3JYcjY4aFE0WW9PenRiQ3hjdTFPelpzL1hqanorcWRldldHak5takpZc1dhSUpFeWJvbzQ4KzBwVlhYcWtPSFRxb2JkdTJPdU9NTXpSOCtIRGw1dWI2KzJ1bnBLUm95cFFwaW9xSzB0NjllNVdVbEtTWW1CaEZSa2FXK2RxYU5HbFNxaDgzQUFBQUFPRDBSNkVhQUlCeWFOKytmY0RPNHFPUms1T2psMTU2eVgvOGw3LzhSVE5tekZDdFdyVk9TS2J2di85ZWtwU1FrS0JkdTNicGxsdHUwYzZkTzlXbFN4ZjkzLy85WDBCYkVrbTY5TkpMOWRsbm4ybml4SW15MWlva0pFUWRPblJRang0OU5HL2VQSVdGaGFsLy8vNXlPcDI2OE1JTDllU1RUK3JycjcvV3E2KytLa2x5dTkzNjE3LytwY3N2djF5UzFLNWRPL1h1M1ZzZmYveXhaczZjcVMrLy9GTFIwZEg2OU5OUEZSVVZwZkR3Y1ArOUl5TWpOV2ZPSEVsU2FHaW9tamR2cnNHREI1K1E5d0VBQUFBQWNQcWdVQTBBd0hFcTdpdGRWZ3VMSTdudXV1c0NqczgrKyt5anVtN2d3SUVhT0hEZ1llYzg5TkJENnRpeG83K055TzIzMzY2NmRlc0c5TDh1S1NvcVN1KysrMjZaNTdwMzc2NG1UWnJvakRQT2tDUzk5dHByL3Z6V1dsMXl5U1dxWDc5K3FldnExYXVuaHg1NlNQZmZmNy9TMDlNVkhoNGUwRzZrV0lzV0xiUjgrZkxEdmg0QUFBQUFRT1ZIb1JvQWdPTjBOQTg2RElZenp6eFQxMXh6amYvNDFsdHZMZGQ2eFE5UkxDa3NMRXk5ZS9jKzRyVk9wMU11bDZ0Yzl3Y0FBQUFBVkg0OFRCRUFBQUFBQUFBQUVGUVVxZ0VBQUFBQUFBQUFRVVdoR2dBQUFBQUFBQUFRVkJTcUFRQUFBQUFBQUFCQnhjTVVBUUJWanRmcjFhYk5XN1Ird3kvQmpvSWd5UzhvVUg1QmZyQmpBQUFBQUFBT29GQU5BS2h5L3NqTzF1T0RudzEyREFBQUFBQUFjQUNGYWdCQWxWSG84MjROY3pneXhmLy84S2RjWTN6cmd4MENBQUFBQUtvNmZxTU9BS2d5TnYrY3NhNXh5OVlQT09XSURuWVduQ0tNTDkrWGE5S0NIUU1BQUFBQXFqb0sxUUNBcXNUeis1b1Z5NElkQWdBQUFBQUFCSElFT3dBQUFBQUFBQUFBb0dxalVBMEFBQUFBQUFBQUNDb0sxUUFBQUFBQUFBQ0FvS0pRRFFBQUFBQUFBQUFJS2dyVkFBQUFBQUFBQUlDZ29sQU5BQUFBQUFBQUFBZ3FDdFVBQUFBQUFBQUFnS0NpVUEwQUFBQUFBQUFBQ0NvSzFRQUFBQUFBQUFDQW9LSlFEUUFBQUFBQUFBQUlLZ3JWQUFBQUFBQUFBSUNnb2xBTkFBQUFBQUFBQUFpcWtHQUhBQUFBd0tuSDVYTEZTbnJCR05OVlVuVkpQMGthbDV5Yy9KWWtHOVJ3QUFBQUFDb2RkbFFEQUFBZ1FIeDh2TXNZczFUUzlaSitrUFNKcEdoSlk5MXU5eHRCRFFjQUFBQ2dVbUpITlFBQUFBSTRuYzZYckxYVnJMVi9UVWxKK1VxUzR1TGlJa05DUXVaWmErK05qNDhmbFphVzluT3djd0lBQUtEeVNraEl1TWtZODlaQnd5SFcydXFTaktTWkxwZkxVL0trTWViKzVPVGtqMDVhU0p4UTdLZ0dBQURBd2VLTU1SdFNVMU8vS2g1SVQwL2Y1L1A1eGhsampOUHBiQjNNY0FBQUFLajg4dlB6a3lTRkdtTnFsL2lLTXNZNHpINVJKYzlKQ3R1OWUvZWNZT2ZHOFdOSE5RQUFRRG5FeHNhZUV4WVcxdEphbStQMWV2TWREc2Vlb3FLaS9LS2lvbjNyMXEzTGxlUTU0aUtuR0d2dGVtT01xMUdqUnRVMmJ0eVlWenh1akRsWGtvcUtpdFlHTHgwQUFBQ3FncDkrK21tbnkrWDZRdEt0MWxvWlk4cWNWK0xjN0hYcjF1MDRtUmx4WWxHb0JnQUFLSWVRa0pCb2g4TXh4MXE3eStGdzdKRzAzZWwwNWxTclZtMlh5K1hhS1dtM3RmWTNZOHgyYTIyV3grUDUzUml6S3lNajQ0OWdaejhVbjgvM2pNUGgrTFpldlhxVDY5ZXYvMGhPVHM2T0dqVnEzQ1RwTVVrVE16SXlNb0tkRVFBQUFGWEN1NUp1bFFJSzBuN1cvdm1NYjUvUFI4dVAweHlGYWdBQWdITHdlRHliblU3bmI4YVljeVRWbGRTaytKd3hSdFphNjNBNFBOWmFuOFBoOElXR2hucU5NVDZYeStXVDlKdWtiR1BNR28vSE05M2hjS3hQVFUxZEw4a1hwSmNqU1VwTFMvdmU3WGIzbFBTVnRmYXZOV3ZXbENSWmF6ODN4Z3dJWmpZQUFBQlVIVVZGUlJtaG9hRy9HR1BPTFZtVUx1bkF6OXkvZUwzZTlKTWNEeWNZUGFvQkFBREtJU3dzTEY5U3B2VG5qZzVycmY5TGtySFdoa29LdDlaV2t4UmxyYTE1b0pkZW5ESG1Za2wzaG9TRXpIUTRITlBjYnZkRFo1MTFWdlVndlJ4SlVueDh2RXZTKzVLc3RmWmJhKzAwYSsxR1NUMnR0VU9DbVEwQUFBQlZSM1oyOW01anpNS3l6cFVzWEJ0akZoWVZGVzAvYWNGUUlTaFVBd0FBbEVOMmRuYStwRjlLamhsai9GK0hVdklIYTJ2dFZwL1A5MlJCUWNFTnljbkpvelp2M3B4YllZR1BJREV4c2JyVDZmeEtVald2MTlzdUpTWGw4cFNVbEp0MjdOalJ3aGd6UmRMakxwZXJYN0R5QVFBQW9Pcll1SEZqbnMvbld5WXBYd3I4R2JxWXRiYkk1L010VzdObXpkNlRuUThuRm9WcUFBQ0FjcWhaczJhQ3BHYkZ4d2YvOEh5RW9yWEg1L09OS1Nnb2NLV21wZzVmdVhMbE9nVzU3WWZYNjcxWlVrTkpyNmFscGFVVWoyL2N1REZ2Mzc1OWQxcHJDeVE5RXJTQUFBQUFxRktNTWFtU0R2ZDhsejBPaDJPeHBMSjdnK0MwUVk5cUFBQ0FZeFFiRzlzZ0xDenNNbVBNM2NhWXppWGFmSlJTVnVGYVVwYTE5b2Vpb3FLaEdSa1pQMVI4NHFObmpHa2hTZGJhRlFlZlc3Tm16UjYzMjUwcHFlVkpEd1lBQUlBcXFhQ2dZSGw0ZVBpdjJyK1o0dUNXSDdMV2JzblB6eS8xc3l0T1B4U3FBUUFBamxLTEZpMmlJeU1qYjVSMGs2UjJ4cGdvU2ZuVzJ2bkdtSGFTYXBkMTNVRzdxZWQ0dmQ2eCtmbjUvMXV6WnMyZWlrOTliSXd4T3c1ODIremdjekV4TVJHU3pySFcwdjhQQUFBQUo4V3FWYXYydWx5dU9jYVlEb2RvL1RGNzFhcFZ0UDJvQkdqOUFRQUFjQlJpWTJQRElpTWpYekxHakRIR1hHcU1pYkxXZnVIeGVKb1hGaGJlWm96WlZuSis4UzdyNGlLMXRUYlQ0L0hjbXB5YzNDMHRMVzNHcVZpa2xpUnI3WFJKWG1QTTQzRnhjZWVXT0JWU3QyN2QwWktxR1dPbUJpa2VBQUFBcWlDUHgvT0JKRS9Kc1FNL1ozdUtpb3JHQlNVVVRqaDJWQU1BQUJ5RlZhdFdGY2JIeDA5eE9wMEoxdHExWHEvMy9mVDA5UGs2OEFPejIrM2VZWXhwZVZDQjJtdXRYUzlwcHMvbkc1R2VucjRwbUsvaGFLU2twUHpxY3JrZWtUUXFKQ1JraGN2bCtwK2tiRWtkSlRXMzFxYmw1dWErR055VUFBQUFxRW95TWpJMnVGeXVKY2FZVGlWM1ZmdDh2dVFEejNsQkpjQ09hZ0FBZ0VPSWo0OXZVZkk0TFMzdCs2S2lvcitscEtRTVNFOVBUMUtKWFIwK24yK3A5T2ZERTYyMSs2eTFMM3E5M2h0U1VsSWVTMHRMTytXTDFNVlNVbEplTjhaY2JxMzl6aGh6a1RIbVprbEYxdHBuZCt6WTBmRlUzUTBPQUFDQVNxMnNuZE1mblBRVXFERHNxQVlBQURoSVRFeE1SSjA2ZFNaSWFoMGJHOXQxMWFwVld3K2NLc3JJeU5od2lNdVdsL2grcnRmcjdaZWVucjZ4WXBOV25PVGs1Q1JKU2NIT0FRQUFBRWlTeitmNzF1Rnc3RExHMUpVa2ErMHVqOGN6TjlpNWNPS3dveG9BQUtDRTFxMWJ4OVdwVTJlNnBPc2xOUTRMQyt0OGxKY3VsRFRINS9QMTJyMTc5OVduYzVFYUFBQUFPTlhzMmJObnI2VGs0bU5qek5MUTBOQ3NJRWJDQ1VhaEdnQUE0SUNFaElScnc4TENKaHBqcmpUR0ZGaHJuL1o2dmY4N21tdFRVMU16OSszYmQzdHFhdXBuNjlhdEs2am9yQUFBQUVCVnNtSERoajJTbGxwcmZkWmE2L1A1bHFXa3BPd0tkaTZjT0xUK0FBQUFrSXpiN2I3WldqdkdXbHRiMHE4SFduY3NPSlpGMXF4WnM3bUM4Z0VBQUFCVm5jOWF1OEVZazZmOU5jMU1TZDRnWjhJSnhJNXFBQUJRNWNYSHgvZVE5S294cG80eEpzWG44L1ZOVDAvL1B0aTVBQUFBQVB5cG9LQmduakZtbzZRZEJRVUY4NEtkQnljV2hXb0FBRkNsSlNRazlIYzRITzlLT3NkYXU2aXdzUERtdExTMDd5WFpZR2NEQUFBQThLZlZxMWV2dGRZbVNVcGF2WHIxMm1EbndZbEY2dzhBQUZCbHhjZkgzMnlNR1NHcHRyWDJSNi9YMjN2RmloVThCQkVBQUFBNFJmbDh2cW1TUW9PZEF5Y2VoV29BQUZBbHhjWEZSVHFkenV1dHRiVWtKWHU5M3Z2UzA5TXBVZ01BQUFDbnNMUzB0TG5Cem9DS1Flc1BBQUJRSmFXbnArZDZ2ZDRSa3Y1VFZGVFVPejA5UFRuWW1RQUFBQUNncW1KSE5RQUFxS3BzV2xyYUVrbExnaDBFQUFBQUFLbzZkbFFEQUlDcXhobnNBQUFBQUFDQVFPeW9CZ0FBVlliTDVXcGlyZTIvZS9mdTF6WnMySkFUN0R3QUFBQUFnUDBvVkFNQWdDb2hOalkyVE5JWWg4TnhkYTFhdFZwSnVpWFltUUFBQUFBQSs5SDZBd0FBVkFtaG9hSDlqVEZYVzJ0MytYeStkNE9kQndBQUFBRHdKd3JWQUFDZzBvdUxpMnZwY0RnZXR0YjZKRTIyMWk0TWRpWUFBQUFBd0o4b1ZBTUFnTW91eE9sMDNtNk1hU0VweSt2MWZwaWVucjR2MktFQUFBQUFBSCtpVUEwQUFDcTEyTmpZc3lUMWx1UzAxbzVQVDAvL01kaVpBQUFBQUFDQktGUURBSUJLTFNJaTRnWko1MWhyTS9QeThsNEpkaDRBQUFBQVFHa1VxZ0VBUUtVVkd4c2JaYTM5ZndjT1I2NVpzMlpQVUFNQkFBQUFBTXBFb1JvQUFGUmE0ZUhoQTR3eDlZMHhHendlejh4ZzV3RUFBQUFBbEkxQ05RQUFxSlNhTld0V1Q5S0FBNGR6OXV6WnN6bVllUUFBQUFBY1dseGNYQ09WcUZXNlhLNG16Wm8xQ3c5aUpKeGtGS29CQUVDbEZCVVZGV210VFpXVTR2UDVQc3ZNek13UGRpWUFBQUNnQ2pOdXQvdmZMcGVyU3hubkhFNm5jNEhMNVpvclNhMWJ0NjV2ak1tb1diUG02TU9zRjVLUWtQQ1B4TVRFMEJKalRra2h4L2hseXZ2Q2NHS0VCRHNBQUFCQVJVaE5UYzJVMUw5WnMyYjFjbk56OXdVN0R3QUFBRkNWSlNZbTFyVFcvc1VZODdEYjdYNGtPVG41amVKemJyZTdoNlFZbjgvM3NpU3RXTEZpbTh2bGVzc1k4NWpiN2Y0Nk9UbDV4c0hydWQzdXk2eTFyL3Q4dnRzVEVoSnVTazFOelhTNVhQT01NUmNkU3k1cjdUTXBLU24vVis0WGlIS2pVQTBBQUNxMWRldlc3UWgyQmdBQUFLQ3FXNzU4ZVU1TVRFelhPblhxVERUR3ZPNTJ1NXNsSnljL2ZPRDBZRWxiOXU3ZCsySHgvQjA3ZGp4VHIxNjlVRW5mbDdWZWNuTHlmK1BqNDY5Mk9CeVRqREhMNCtQamJ6WEd2T0x6K1JvY0tZc3hacHlrSkd2dFpFbkxUc0RMd3dsQW9Sb0FBQUFBQUFCQWhjdk16TXpQek16czdYYTcveVBwQjBseXU5M1hTT29neVZ1alJvMmRMcGZyNE12dU9HaHNZa3BLeWoyU2xKYVdOaWMrUHI2ancrR1k3bkE0Q3BLVGsrY2NUUTYzMnoxVzBzcVVsSlR4NVgxTk9IRW9WQU1BZ0Vybmdnc3VpSGM2bmQ3MDlQUTFrb3FDblFjQUFBQ0FuemM1T2ZsdVNZcUppWW13MW80MHhralNzOGFZMzRvbldXdXZOY2JjS0tsdnlZdXR0ZXRMSHFlbHBmMHNLVTZTcjhLVG8wSlJxQVlBQUpWT1dGallJNUt1ZHJ2ZG81S1RrMThPZGg0QUFBQ2dxa3RJU1BnL1k4d1pYcTkzVUhwNitqNUpxbE9uenZQR21HYVM1UFA1WnFXbXBxWVd6M2U1WERHU2JreE9UcDVZeG5JT2w4djFzTmZySFhkZ0xaOGt4Y1hGUlRxZHptMWwzZDhZOHpLL056aTFPWUlkQUFBQW9BSzBOY2FjNmZQNU1vTWRCQUFBQUlCa2pObHJqTG5UNlhRbUoreDNoYVRISmEwLzByVUhjN3ZkN1l3eHJ6aWR6c1VKQ1FuTmk4YzlIbzh4eGtSSytselNvT0l2WTR4RFV0Z0plaW1vSU95b0JnQUFsWXJMNWFwbmpJbVZsT2Z6K1g0S2RoNEFBQUFBVWtwS3lpdng4ZkdMSFE3SHB3Nkg0MEZKWjFsck4xaHJuekhHVERMR0xIQzczZDRTbDRSTGt0dnR6aTY1anNmamNTVW5KLzhZSHg5L3FkUHBuR0dNV2VwMnUvK2VuSnc4czhTMEJTa3BLV09MRDl4dTl5c1YrdUp3UWxDb0JnQUFsWXJINDRrTkRRMlZ0WFo3U0VqSTdtRG5BUUFBQUxCZldscmEzTVRFeExZNU9Ua2JhOVdxVmNQbjh6VnlPQnlORHB3ZTRmUDVmaStlNjNBNGVraTZ6dWZ6RFNxNVJtNXU3czREYTMyZmtKRFF5Umd6MDFwTGYrcEtnRUkxQUFDb1ZKeE9aenRKTXNhc3NkYm1CRHNQQUFBQWdEOHRYNzY4dU5WSGdhUXN0OXZkU0pLc3RUTU82bEhkd0JoelhXcHE2dmhEclpXYW1ybzJNVEd4OWZMbHkzbUFlaVZBajJvQUFGQ3BHR05hU3BLMWRsdHVibTUrc1BNQUFBQUErSlBMNWFxWG1KZ1lmYUxXOC9sOHpWdTJiRm5qUksySDRHRkhOUUFBcUd3aUQvd3pkOSsrZlo2Z0pnRUFBQUJ3c0FIVzJxZGNMbGZUbEpTVUhjV0REb2VqdTl2dGJsMThiSzJObHlTMzIvMzNraGZuNStkL3RtclZxcjNGeDhhWUVkV3JWM2RKYWxoaXJHbDhmUHhmU3F6bE5NWlUwTXZCaVVLaEdnQUFWRGJuUzVJeFpzdkdqUnZ6Z2gwR0FBQUFRSUFicmJXL2x5eFNIL0QwUWIybVF5WEpXanUyNUNTbjA3bEkwbDVKYXRhc1diaWtpNDB4MzBvcWVlMGdwOU1aME5zYXB6NEsxUUFBQUFBQUFBQXFuTXZsYW1LTXVkQmErOXpCNTN3K1g2ZURlbFEvTGVtbGxKU1VxRU90VjZOR2pjNlNxa242dXVTNHRmWkpyOWM3c2VSWWJtNHVEMW8veFZHb0JnQUFBQUFBQUZEaGpERzlKY25oY0V3NUVldFphN3NiWTFSVVZEUmJrbkp6Y3owUkVSSC90ZGFtcDZlbmJ6d1I5OERKUTZFYUFDb0phNjJ0Nkh1WUt0TFVxMUdqQytxR1ZIZWNHZXdjT0E3V1c4dGFLMnZ0RHA5UG5wZ1diYzR2NzVLRkhtL3U1ZzJyTmlyd3J4SUdEWjkxQUFBQW5LNnN0YmNaWTlLWEwxLytVeG1uWTEwdVY4bGE1Vm1TNUhLNUxpdzV5ZVB4RkdSa1pHUm8vNCt0TjB2NktTTWpZNE1rWldabTVtZG1abDUxdUF6Tm1qV3JLY2twcWNKL3JzYXhvVkFOQUVBSlRacTBhbWlxaFE2VlVYeXdzK0E0V0lmWlhXQWpITVprZTYyOVJVN25qZVZkTXN6aHpENm5lWnNodjYzTitOK0ppQWdBQUFCVVJYRnhjZTJOTWJHU25pcnJ2TVBoK0tpc2NXUE0wcExISVNFaHYwcUtjYmxjRnh0anpwWTA3SEQzYmRhc1djMGFOV3E4WjR6SnNkWVdHR1BhU3BMUDU4czhyaGVDQ2tPaEdnQ0FFbnhoSWMyZDBwV214Qk9qY1JveFJsYVMxMHFTMFluWUZtd2xyOFBwNkN5SlFqVUFBQUJ3bkl3eFZ0SWNZOHprc3M1N3ZkNXUxdHBWUjFySDQvRjRKTWxhMjhrWUkydnRsNGVidjI3ZHV0MHVsK3NTU1hVUC9NWEJmRWt6Q3dzTDN6bm1GNEVLUmFFYUFJQVNuRTZuUThhYUdsRTFkTnZmYjFYenB1Y0ZPeEtDcExDb1NQOFpOMTRiTW4rVHRYSUVPdzhBQUFCd09rdExTMXNpcWR2QjQ4bkp5VE9sWTk5amtwcWFPalF4TVhGS2NuTHlFWGRHcDZTa25DSEpjZURMYzZ6M3dzbEJvUm9BZ0RLRWg0ZXJVNGQyNnREdXdpTlBScVdVbDVldlNWTStsVEovQzNZVUFBQUFBR1ZZdm56NSttT1k3dE1wOHR3WmxJM2RRUUFBQUFBQUFBQ0FvR0pITlFCVVV2UG56OWVISDM2b05Xdld5QmlqQ3k2NFFBTUdERkRidG0wUGVZM1A1OVAwNmRNMVlzUUl6WjA3VitIaDRTY3hNWUJqMGFWTEYrM2R1L2V3YzU1NDRnbjE3dDFia3ZUNzc3L3I0NDgvMXVMRmk3VnQyelpWcjE1ZHpaczNWLy8rL2RXdVhidVRFUmtBQUFBQURvbENOUUJVUXRPblQ5ZVFJVU1VRlJXbExsMjZ5T3YxYXY3OCticm5ubnMwZE9oUVhYbmxsUUh6cmJXYVAzKyszbnJyTGYzMDAwOUJTZzNnV0hUcDBrVjVlWGxsbmt0TFM5UE9uVHZWdkhsei85amt5Wk0xZS9ac3RXblRSZ2tKQ2RxMGFaTVdMMTZzeFlzWDY5bG5uOVcxMTE1N3NxSURBQUFBUUNrVXFnR2draWtxS3RMbzBhTlZ1M1p0ZmZUUlIyclFvSUVrS1RNelUvMzY5ZE9JRVNNQ0N0V1ptWm02OTk1N3RYMzdkalZvMEVDMWE5ZFdkbloyc09JRE9Fb3Z2dmhpbWVOWldWbnEyYk9uMnJkdkw3ZmI3Ui92M3IyNzdyMzNYa1ZHUnZySDVzeVpveWVmZkZMdnZQTU9oV29BQUFBQVFVV1BhZ0NvWkxadDI2WTllL2FvUzVjdS9pSzFKTVhFeEtoejU4N2FzV09IY25KeS9PTi8vUEdIQ2dzTGRkZGRkMm5xMUttcVc3ZHVNR0lET0VIZWZ2dHRGUlFVNkIvLytFZkFlR3hzYkVDUldwSXV1K3d5T1ozT2dGOFRBQUFBQUNBWTJGRU5BSlZNZEhTMElpSWl0SFhyMWxMbk5tL2VyTnExYTZ0bXpacitzZGpZV00yWk0wZE9wL05reGdSUUFUWnQycVRQUHZ0TVhicDBVZXZXclk4NGYvUG16Zko2dmJyZ2dndE9Ram9BQUFBQU9EUjJWQU5BSlJNUkVhRzc3NzViaXhjdjFwZ3hZNVNkbmEyc3JDeTkrdXFyU2s5UDEvMzMzeTlqakg5K2VIZzRSZW9LNXZQNXRHN2R1cFBXVW1YMzd0M0t6TXlVdGZhbzVoK3F6M0ZGc05ZcU56ZFhIby9ucE4yektoay9mcnc4SG84R0RoeDR5RGsrbjArN2R1M1NkOTk5cDBjZWVVUzFhOWZXd3c4L2ZCSlRBZ0FBQUVCcEZLb0JvQkxxMTYrZjdyampEbzBmUDE2WFhYYVp1blhycHNtVEordkJCeDlVcjE2OWdoMnZ5dG03ZDY5NjkrNnRXYk5tbFd1ZHBLUWtmZnp4eDBlY04zUG1UTjF3d3cxSFZZQis2cW1uZFBmZGR4KzJxTDF6NTA2MWJkdFdVNlpNT2V4YTMzNzdyUzY2NktMREZ1UzNiOSt1enAwN0gvYTkyTDE3dDdLenM4djlWVkJRY01UWFg1bnMzTGxUczJiTlVwczJiUlFiRzF2bW5DZWZmRkp0MjdiVkZWZGNvY2NlZTB3dFc3YlU1TW1UMWFKRmk1T2NGZ0FBQUFBQzBmb0RBQ3FoTDc3NFFoOSsrS0ZxMUtnaGw4c2xyOWVybEpRVXZmWFdXMnJVcUpFdXUreXlZRWVza2tydVpEOGVpeFl0MG93Wk01U1JrYUhubm50T0VSRVI1YzdVdm4xN2ZmMzExL3IyMjI5MStlV1hsem5IV2l1ZnozZkVIZG9lajBmNStmbmx6blR6elRkcng0NGQ1VjduaVNlZVVPL2V2Y3U5enVsaTJyUnA4bmc4dXZYV1d3ODVwMlBIanFwWnM2WjI3dHlwdFd2WDZ1dXZ2OWE2ZGV2MDhzc3ZxMm5UcGljeExRQUFBQUFFb2xBTkFKWE1xbFdyOU9LTEwrcjg4OC9YNk5Hai9ROUgzTFp0bSs2Nzd6NE5IanhZVTZkTzFUbm5uQlBrcEZXSHorZVRkT2hDOWRkZmY2MTMzbm1uekhNUkVSR2FNR0dDSk9ucHA1OVcvZnIxTlhic1dQMzY2Ni82ejMvK285cTFhNWNyVy9mdTNmWE9PKy9vZ3c4K09HU2h1anhtelpxbGFkT202ZTIzM3o3cUZqTlBQdm5rSVF2ZWVYbDVldW1sbDVTWW1LZ2Jicmpoc091MGF0WHFtUE9lcm9xS2lqUnQyalJGUjBjZjlnK2lldmJzcVo0OWUwcmEvd2NRWDMvOXRaNTU1aGs5K09DRG1qWnRtcXBWcTNheUlnTUFBQUJBQUFyVkFGREpUSjQ4V2RaYVBmNzQ0LzRpdFNUVnIxOWZnd1lOMG4zMzNhZXBVNmZxc2NjZUMyTEtxdUZ2Zi91Yk1qTXovY2NqUjQ3VTY2Ky83ajlPVEV6VTZOR2psWk9Ub3cwYk51aVdXMjVSZUhpNC8veXlaY3UwZnYzNmdEWHZ2UE5PMWFsVFJ4a1pHYXBWcTVaNjlPaFJxdFZHY2Yvbks2NjRvbFNtdm4zNzZ1Njc3OWF2di83cUg3dnZ2dnZVb0VFRGY5Ync4SEExYk5pdzFMV1ptWmxhdkhoeHdGanQyclhWc21YTFE3NEgyN1p0VTFwYTJtRjNZK2ZsNVduSmtpVnEzNzY5SWlJaTFLVkxsMFBPblQxN3RpVHBqanZ1VVB2MjdRODVyNnBac0dDQmR1M2FwVDU5K2lnazVPaCt2RFBHNk9xcnI5YkNoUXMxZS9ac2ZmLzk5MlgrTndNQUFBQUFKd09GYWdDb1pJb0xrR1g5TmY1bXpacEpVa0R4RkJXblo4K2V5czdPVmw1ZW5pWk1tS0NPSFR2NmQvbk9tREdqMUFNRjc3enp6b0FkMGlOSGppeFZxSmFrRzIrOFVUZmVlS09rL1VYZUN5NjRJR0FYN2JKbHk1U1VsS1I3NzcxWG9hR2gvdkVSSTBhb3NMQlFlWGw1aDkyTjNLcFZLMDJjT0xIVStKUXBVMHIxcWU3WXNhUGVlT09OdzcwTlpkcTJiWnNtVDU2c0JRc1dhTm15WlNvcUt0SjMzMzNuYjJleWNlUEdNaCs0K1Bubm55czZPbHBubm5ubVlmODdqbzZPVmxSVTFESG5PbDE5ODgwM2tuUmN1K0tMZjYzWXNtWExDYzBFQUFBQUFNZUNRalVBVkRKMTZ0U1JKUDMrKysrbFdoOFVGN0ZMN3JSR3hTbnVqN3hqeHc1Tm1EQkJYYnQyMWJYWFhpdHAvdzdZbzIyRklVbHo1ODdWN05tejlleXp6NVlxd0xabzBTS2dGN1BYNjFWU1VwS3V2LzU2VmE5ZTNUOCtldlJvU2Z2YmlVeWVQUG1ROXpwVTcrc0JBd2FvVzdkdUFXT1JrWkVhUDM2OE5tL2VyRTJiTmttU2hnOGZydERRVVAzdGIzL3p6N1BXS2owOTNWOVFIVHQyckNJaUl0UzJiVnQxNk5CQkN4WXNDTmhOZnZmZGQydnIxcTJIekZoY3FEK1VsMTU2U2QyN2R6L3NuTW9pUHo5ZkN4WXNVSFIwdE9MaTRvNzUrdUpmRnhvMGFIQ2lvd0VBQUFEQVVhTlFEUUNWekJWWFhLSDU4K2RyMUtoUkdqRmloTDlRbVoyZHJaRWpSMG82dmwyWE9INkZoWVdTRkxDNzJlUHhIRk9oZXN1V0xmcjIyMisxZXZWcURSczI3TER0Tm83RTRYQ29YcjE2V3Jod29hNisrbXAvNyt6dnYvOWVTNWN1MVIxMzNGSG1kZEhSMGY1ZCtTWHQyclZMMjdkdlYwNU9qcVQ5aGZtUWtCQmxaMmRyOCtiTmtxU3JycnBLMmRuWnFsV3JscVQ5UmUrQkF3Y3FQRHhjNzcvL3ZoWXNXS0N3c0xDQWRmLzYxNy9xM252dmxTVE5temRQLy9yWHZ6Uno1a3c1SEE3L25QSGp4MnY1OHVVYU0yYU1KR25uenAzcTI3ZnZjYjgzcDZQazVHVGw1ZVhwc3NzdU8yUWY5TzNidCt2SEgzL1VOZGRjRS9EK0xWaXdRTE5telZMdDJyWFZxVk9ua3hVWkFBQUFBRXFoVUEwQWxjelZWMSt0Nzc3N1R0OSsrNjE2OWVxbHhNUkVlYjFlTFYyNlZEazVPZXJaczZjNmQrNGM3SmhWeXQ2OWV5WHQzMzFjek92MUhuVXZZVW5xMDZlUEdqWnNxS2VmZmxxMzMzNjdwa3lab2thTkdoMTNwdlhyMSt1Wlo1NVJzMmJOMUtKRkMwblN3b1VMOWZubm4rdSsrKzQ3cHJXZWVPSUpTZEovLy90ZkRSNDhXSys4OG9wQ1FrSjArZVdYcTZpb1NKTFVxMWN2WFhMSkpZcU9qbGFQSGozVXVIRmovdzdxd3NMQ2dOM1V4YXBWcTZiNjlldExrci9BWGE5ZXZZRDNyWHIxNm5JNm5mNTVWZEdLRlNza1NiR3hzWWVjVTFCUW9CZGVlRUZqeG95UnkrVlNlSGk0ZnZubEYyVmtaQ2c4UEZ3dnZmUlNsV3FWQWdBQUFPRFVRNkVhQUNvWlk0eis5YTkvYWNhTUdmcnNzODgwZi81OEdXUFV2SGx6M1hERERlclJvMGV3STFZNXUzZnZsdlJuc1ZXU2ZEN2ZNUldxSmFscjE2NGFQMzY4Rmk1Y1dLNGl0U1JkY01FRkNna0owZUxGaS8yRjZ0V3JWeXMrUHI3VXp1YmpFUlVWcFVjZWVVUWJObXpRdEduVGRNODk5eWdrSkVUYnRtMHJOVGN2TDAvVnFsVTdxbldYTGwwYXNDUDRjTzFCcW9yaVF2WEJyWDVLT3ZQTU0vWGdndy9xbTIrKzBZOC8vcWg5Ky9ZcE9qcGFQWHYyMUcyMzNhYVltSmlURlJjQUFBQUF5a1NoR2dBcUlXT01yci8rZWwxLy9mWEhmTzNVcVZNcklGSFZscDJkTFVrQkQwbzgxaDNWeFZxMWFsV3FJRGxqeGd6OTk3Ly85Ui9uNStkTDJ2OHd4NUt0SUlySEpTazhQRnl0V3JYUzRzV0wxYmR2WDNrOEh2Mzg4ODhhT0hDZ3BQMDlzWGZ1M0NsSjJyZHZueVFwTlRVMW9GMUpyVG1zYkFBQUlBQkpSRUZVMDZaTjVYSzVEcG0xZCsvZWV1Kzk5NDc0bW5idjNoM1FTL3R3QmcwYUZIRHM4WGgwempubkhOVzFsVlZ4Ny9IRENROFAxMjIzM2FiYmJydnRKQ1FDQUFBQWdHTkhvUm9BZ0FxMlpjc1dTWDgrNkZMYTMrNmlaTS9xbzVXVGs2T2NuSnlBNHV3RkYxeWd5eTY3ekgrOGJOa3lKU1VscVgvLy9nSDNHREZpUk1CYThmSHhtajU5dXJ4ZXIzNysrV2NWRkJTb2JkdTJrcVQzMzM5ZnExZXY5dTkwam9xSzBxSkZpN1JvMFNKSis5dVozSHp6elljdFZCOU9kbmEyRml4WUlHbC9iK3ptelpzZjFYWHo1czBMS1BDUEhEblNud2tBQUFBQWNQcWlVQTBBUUFWTFQwOVh3NFlOQTFwL0ZCUVVITmVPNm5uejV1bkZGMS9VVzIrOUpiZmJMVWxxMGFLRmV2ZnU3Wi9qOVhxVmxKU2s2NisvUG1DbjhzRTdieE1TRWpSeDRrU3RYYnRXUzVZc1VXUmtaRUNmNDcvODVTK2xpdHZGeXR0Q3ByQ3dVQTgvL0xDa1AzZjdBZ0FBQUFDcUxnclZBQUJVc0l5TURDVW1KZ2FNNWVmbkgxY3Y2TysvLzE2aG9hRTYvL3p6eTUwcklTRkI0ZUhoMnJ4NXM1WXVYU3EzMngzUTJxTWluWG5tbVpvNGNhSWtxWEhqeHZybGwxODBjZUpFWFh2dHRhcFJvOFloci92aWl5OEMycG1zVzdldXdyTUNBQUFBQUNvZWhXb0FRR1hnU0V4TWRDNWZ2cndvMkVFT2xwcWFxcXlzTENVa0pBU01GeFFVSEhPaDJ1UHhhUEhpeFdyZnZ2MVI5M1ErbkRwMTZtamV2SG1TcEdlZWVVYi8rTWMvdEhmdlh1M2R1N2RjNnk1WXNFQkxsaXpSM3IxN0ZSY1hkOGg1Slh0dHIxNjlXaU5IamxUYnRtM1ZzbVhMUTE0emFkS2tnT09kTzNmcWpEUE9LRmRlQUFBQUFFRHdVYWdHZ0VyQ2xOeG1Xc1c0WEs0MjF0cFBFaElTSmpvY2p1aytuMjlMYW1ycUhrbmVZR2Y3NUpOUEZCWVdwaXV2dk5JL2xwK2ZMMnV0di85enNlVGtaRVZHUnZxUHQyN2RHbkIrK2ZMbDJydDNyeTY5OU5KeTV5b3FLdEl2di95aXRXdlhLams1V2ZuNStYcjMzWGMxWXNRSTllelo4NWpXeXMvUDF3OC8vS0RQUHZ0TWt2VDg4OCtyY2VQR3V1V1dXNVNYbHhjd056SXlVcmZlZXF2T08rKzhnUEhmZi85ZHhoZzFhZExrc1BlYU5HbFNsZTlSWFpVLzZ3QUFBQUFxTHdyVkFJREs0bnlIdy9GL2twNDJ4aXgydVZ6THJMWGZXMnVYcHFXbGJaWmtUM2FnWDM3NVJVbEpTZXJSbzRkcTE2N3RIMSsvZnIwa0tUbzZPbUQrNDQ4L1htcU5pSWdJLy9lelo4K1cwK2xVbHk1ZEF1YnMyN2RQbXpkdjloL241T1JJMmwvb0xubDlzVFZyMXFoZnYzN3llRHlTOXUrczd0U3BrMXExYXFWV3JWcXBUWnMyZXV5eHg0N3FOZnA4UGwxMzNYWGFzV09IYXRXcXBadHV1a2s5ZXZSUW16WnRKRWtmZi95eEpPbVBQLzVRdlhyMUZCVVZwVUdEQnBWYUp6VTFWVTJhTkNrekx3QUFBQUNnOHFOUURRQ29iQ0tNTVYwa2RaRjB1ekVteStWeXJmQjZ2UjhVRkJUTVhiTm16WjZURWFLd3NGQlBQdm1rakRIcTI3ZXZsaXhab20rLy9WWVJFUkdhUDMrK0pKVnFCL0xKSjUrb1pzMmEvdVB4NDhkcjFxeFprdmEzQ2tsS1NwTGI3UTU0S0tPMHYyL3pGMTk4VVNyRFRUZmRWR2EycGsyYjZ1OS8vN3RpWTJNVkd4dXJoZzBibGpsdi92ejU2dENoUTVubmlvcjJkMWx4T0J3YU9IQ2dvcU9qOVplLy9LWFVBeUtMMjNzODhzZ2p1dlRTUzB1ZDkzZzhTazVPMXFwVnEzVFhYWGNGbkpzK2Zici9kWG05K3pmSEgxeWs5M2c4OG5xOXV1aWlpOHJNQ1FBQUFBQTRQVkNvQmdCVUt0WUdiSnl1SzZtdU1hWkZTRWpJOVU2bmMwZENRc0lIa3FiazUrZHYrT21ubjNaTHFwQysxaXRXck5EYXRXdjEwRU1QNmJ6enp0TWZmL3loR1RObXlPdjFLaW9xU3ZmZWUyK3A5aGYxNnRVTDJIbGRzZy8xbGkxYmRNNDU1K2p5eXk4dmRhOUxMNzFVdlh2M1BtS21CeDU0UUpJVUVoTGkvLzV3emovL2ZQWHAwNmZNYzhPSEQvZC9mK09OTng1eURaZkxwUWNlZUVDVEowL1dtMisrV2VhY09uWHE2T2FiYjlZZGQ5d1JNTjYrZlh2MTZ0WHJpRGxMeXNuSjBVc3Z2WFJNMXdBQUFBQUFnbzhlaHdDcXJOalkyQWJoNGVHTGpESG5lcjNldTQweFB3YzdFNDZQTWFhcE1XWjh5YkdEQ3RiRjg0cS9MYkxXcnJUV0xwUzB6dUZ3ck4rNmRldTNtemR2em8wNVArRVNHVHVwM2huUkRVWVBmMFVkMmwxNDNMbm16WnVuenAwN3krRndCT1E2a1MyRzgvTHlGQklTb3REUTBCTzI1cW5BNi9YS0dCUHczcDFzZVhuNTZudkhQVnFXbk9wMXlyNFJHV2JIRnArejFocEpwUjZJV1R4ZXpPZnpsZmt2KytCNUJ4K1hIQy9yb1p0bHpTL1BXUEYvUDhlUzYzam1sWERJWENWMzNSL2krakt2TmNiWXdzTEM5YXRXcmRwYXhqVUFnTk5jUWtKQ2QyUE1CR05NM2NMQ3dtWXJWcXhZSCt4TUFJQVRpeDNWQUNESjZYUU9rZVFKZGc0Y3QxTC9QeXN1QnBjc1dCZC9iNHdKTmNZa0dHTVNyTFdGa3ZiVXIxOC83Y3d6ei93a0o4KzN6WjZnUXZMQmJTcEs1anBSRG40Z1kyWGhkRHFESGNIUEdLbGFxT2tRRXVLOHBLelRnWE1EL3dVN25jNmpLUlFmVlRHMjVOZ2hIcWhZYXF5TWVhV09qVEVILzhGT3lmdVVXU3crZU4yU3h3ZStQV0srb3lsQ2wvVTZEeG9yK2IwTkR3K2ZKT2x4U2I0eTFnWUFBQUJ3Q3FOUURhREtjanFkQmNhWU5kYmEydHIvNnlHL0pwNm1qREdIckdvZW9XQXRZMHlZcERPTU1SMGx0YTRlN3ZobFg2RTlkYXFrQ0Q0ck9SMm10akdtNVlsWTdrVC9ZUVhyQm9nOTY2eXpJalp2M3B4YkVZc0RBQUFBcURnVVpRQlVXUmtaR2RseGNYSC9jRHFkamEyMXdlc3ZnQk9oVk91UFlrZG9BU0pyYlpxa3BkYmFoVjZ2OThjOUJlWnNoOU5NckxDa09PMVlTWG1Gdmgraklzenp3YzZDUStwcmpPa3UydG9CQUFBQXB5MEsxUUNxTXB1ZW52NkxwRitDSFFUbDQzSzUvamg0N0hBRmFtdnRkbXZ0VjhhWWp3c0tDbjdPenM3T0t0NkJHWE4rUW9QOXBVbGdQMk9NQ24zNlBTVWw1Wk5nWjBIWkVoSVMyaDBvVkFNQUFBQTRUVkdvQmdCVUtpVUwxQWY2NjFwSnVaS3lKUzMxZUR6dnBhZW5meEdzZk9YeHl5Ky82UFhYWDlmQWdRTVZHeHRiN3ZVMmJkb2thNjBhTldwVXJuVisvZlZYTlduU3BOeDVzck96TlgvK2ZDVW1KdXJzczg4dTkzb0FBQUFBZ05NSGY5VWRBRkNwSE9nN0xVa0ZraFliWTBaWmEyKzMxdjRsT1RtNTE2bFlwUDd0dDkrVW1wcDZ4SG5aMmRtYU4yK2VkdTdjZWNnNTFscTk4c29yK3VHSEgwcWRXN3Qyclg3OTlWZi84ZlBQUDYrbm5ucnErRUlma0p5Y3JPdXZ2MTVmZnZsbHVkYVJwTTJiTit1RkYxN1FpaFVyeXIwV0FBQUFBT0Qwd281cUFFQ2xZcTM5V2RKN1hxOTNqakZtMjc1OSs3TFdyVnRYRU94Y2gyS3QxY01QUDZ4OSsvWnB5cFFwcWxXclZyblcyN2R2bjlhdVhhdFBQLzFVRHp6d2dQcjE2K2MvTjJUSUVPM1pzMGVmZnZwcGVXUDd1ZDF1ZGUzYVZjT0dEVk9YTGwxVXMyYk5FN1kyQUFBQUFLRHFvRkFOQURqdEdXUDJXV3ZmS1NvcUdydGl4WXBsd2M1ekxJd3hHalJva0I1NDRBRzk4c29yR2pwMGFMbldpNHFLMHBneFkvVHNzODlxMUtoUjJyUnBrNTU4OGtudDJyVkxLMWFzMEcyMzNYYk1heTVhdEVnUFBQREFFZWQxN2RyMWtPY0dEQmlnKys2Nzc2anVWMVovY1VuS3pjMVY5ZXJWajJvTkFBQUFBTURwaFVJMUFPQzBsNXljdkU3U3dHRG5PRjZkT25WUzkrN2ROV3ZXTEYxOTlkVzYrT0tMbFpXVnBlKysreTVnM3NhTkd5VkpDeGN1MUxadDJ3TE9kZW5TUmZYcTFaTWtoWVdGNmVXWFgxYTlldlhVdVhOblNkS0NCUXRrcmRWSEgzMmtUejdaLzB6QWdvTDlHODB2dXVpaWdMVmlZbUwwMFVjZmxjbzVlUEJnTld6WU1HRE02L1hLNlhRR2pPM2R1MWRSVVZFQlk4ZlNCM3Z4NHNXNjZxcXJBc2FXTGwycWYvN3puL3Izdi84dHQ5dDkxR3NCQUFBQUFFNFBGS29CQURnRlBQVFFRNW83ZDY2R0RoMnFkdTNhNmZmZmY5ZlFvVU1WRmhZbWgyUC9JeVdLZHhwLy92bm5BV01GQlFXS2lZbnhGNm9seWVGdzZMSEhIdlBQbVRScGtzNDU1eHoxNnRYTFAyZmF0R255ZXIzcTNidDNRSmJhdFd1WG1URStQbDdObWpYVHE2KytxczZkTzZ0ang0NmFQbjI2Um80Y3FkbXpaeXNxS2tvK24wOTkrL1pWWkdTa0JnOGVySmlZR1AvMUd6WnMwRGZmZkZQbTJ0ZGVlNjMvK3psejV1aXh4eDd6Rjd0WHIxNnRSeDk5Vk1hWVVrVnhBQUFBQUVEbFFLRWFBSUJUUUhSMHRCNSsrR0hWcUZGREVSRVIvdkhYWDM5ZEYxNTRvU1FwSlNWRkF3Y085QmVLUzQ0VmUrdXR0N1J4NDBZTkhqell2ODUzMzMybnRXdlg2cm5ubmxQUG5qMzljeGNzV0tEQ3dzS0FQdFpIa3BHUm9jbVRKNnRqeDQ2UzlqK2dzWHIxNnY2aXNzUGgwRFBQUEtPbm4zNWF0OXh5aTRZTUdhTExMcnRNa3ZUcnI3L3F3dzgvREZqUDUvT3BzTEJRN2R1M1YxaFltQ1FwUHo5ZjA2Wk5VLy8rL2JWeTVVbzk4TUFEY2pnY2V2UE5OOVc2ZGV1anpnb0FBQUFBT0gxUXFBWUE0QlJ4NDQwM2xudU5zTEF3ZmZYVlYxcXpabzFHalJxbEJnMGE2S3V2dmxLZE9uVkt0ZE00SHA5OTlwbk9PdXNzdFdyVlNsbFpXZnJwcDUvVXVIRmpaV1ZsK2VkRVIwZHIxS2hSbWpoeG9scTBhS0dzckN6VnJGbFRYYnQyMWNLRkN3UFdlKys5OXpSMjdGZzFhOVpNdi8zMm15U3BSbzBhbWpCaGdzNDc3endOSGp4WWtaR1JHak5takZxMmJGbnUvQUFBQUFDQVV4T0ZhZ0FBS3BIKy9mdXJZY09HZXZiWlo5VzNiMTlObmp4WnI3enlpdGF1WGV2ZnNWd2VQLzc0bzdadTNhcHUzYm9GakI5OFhHektsQ21TcEdIRGhwWDVzTVZ2dnZsR0hUdDJET2hwM2FkUEg3Mzk5dHQ2NUpGSDFLeFpNMy9CSFFBQUFBQlFlVkdvQmdEZ0ZMRnAweWJWclZ0WDFhcFZLOWM2M2JwMVU4MmFOWldjbkN5UHg2T1BQLzVZMHY0SEVwYTBiZHMyZWIzZVV1MDRKS2x1M2JxNjVwcHJBc2FNTVhydHRkZFVWRlFrU1VwTlRkWHc0Y1AxM0hQUHFWbXpab2ZOMUxoeDQxSmphOWV1MVpvMWE5U25UNStBOFNaTm1xaEhqeDc2OHNzdjlkUlRUMUdrQmdBQUFJQXFnRUkxQUFDbmlQSGp4MnZSb2tXYVBIbHl1ZGZxMkxHak9uYnNxUFQwZEkwYk44NC83dkY0NVBGNC9QMnJyYlVhTldwVXdFTWJKYWw1OCtiK1FuVmVYcDRrcVZxMWFqcnJyTFA4Y3o3OTlGTkZSa2JxNG9zdlB1UkREa05EUXdONmJwYzBidHc0MWExYlYxZGNjVVdwYy9mZWU2L216cDJybDE5K1dSOSsrT0VKMlEwT0FBQUFBRGgxVWFnR0FPQVU0UFA1dEdEQkF0V3RXMWUxYTlmMmo2OWN1VktGaFlXU3BQWHIxMHVTVnE5ZTdTOE1GNDhkYk1PR0RUcjMzSE1WRnhjWDBCZjZ2ZmZlMHh0dnZLRTVjK1lvTWpKU0dSa1o2dCsvdjRZUEg2NU9uVHFWdVZadWJxNGtLVEl5MGo5V1ZGU2twS1FrN2R1M3ovK3d4TExjZXV1dEdqUm9VS254MWF0WGErN2N1WHJ3d1FjVkhoNWU2bno5K3ZYMStPT1A2N25ubnRNcnI3eWlaNTk5OXBEM0FBQUFBQUNjL2loVUF3QndDbGkrZkxuKytPTVA5ZS9mUDJCODlPalJwZWFXM0NGOUtQZmVlNi9hdEdtalljT0dCWXp2MnJWTFRxZnptTnFMN042OVcxSmdvZnFMTDc3UTd0MjdkY1laWjZoTm16YTY2NjY3QXE1WnVIQ2gzbnp6VFhYczJMSFVla1ZGUlhyaGhSZFV1M2J0d3o1QThwcHJydEg4K2ZQMStlZWZxMkhEaHJyenpqdVBPak1BQUFBQTRQUkNvUm9BZ0ZQQW5EbHo1SFE2MWIxNzk0RHhmLy83MzRxTGk1TzBmM2YxbzQ4K3FwZGVla250MnJVTEdDdHA2OWF0eXNySzBqbm5uRlBxUGovOTlKTWFOMjRjME9ialNESXpNM1hXV1djcEpHVC9qdzBlajBmdnZ2dXVMcnp3UXQxKysrMjYvLzc3MWE5ZlA4WEh4MHVTc3JLeTlORkhINmxIang2NjZLS0xTcTAzZHV4WXJWMjdWa09IRGcwb2ZwZmxoUmRlMEpZdFd6UjI3RmhaYTBzVnhBRUFBQUFBbGNQUi95NFZBQUJVaUlLQ0FuM3p6VGZxMUttVDZ0YXRLMGxLU0VqUW9rV0xkTWtsbHlnNk9sclIwZEdxV2JPbUpLbEdqUnIrc1lzdnZsaUxGaTJTMiszMnI1ZVdsaVpKY3JsY0FmZlp0V3VYMHRMU0F1YVdKU1VsUlo5KytxazhIbytrL2UxRm1qWnQ2ai8vNFljZmF1dldyYnJycnJ2VW9VTUhYWFhWVlJvMGFKRFdyMSt2ckt3cy9lTWYvMURkdW5YTGJQbVJsSlNrRHo3NFFGMjZkTkdWVjE1NXhQZW1XclZxR2oxNnRCbzNicXh4NDhacHlKQWgvbFlvQUFBQUFJREtnMEkxQUFCQk5uZnVYTzNaczBkWFhYV1ZmOHdZby9EdzhDUHVmQzVyWG1wcXFvd3hTa2hJQ0pqNzNudnZ5ZXYxQnR5bkxDdFhydFRMTDc4c244K25QWHYyYU9YS2xXcmR1cldrL1R1eXg0MGJwNnV1dWtxSmlZbVNwR2VmZlZaTm16YlZYWGZkcFFFREJzaGFxM0hqeHZrTDY4VXlNakwwOU5OUDYreXp6ejZtbnROMTZ0VFIyMisvclJZdFdtajY5T202ODg0Ny9VVjBBQUFBQUVEbFFLRWFBSUFnbXpwMXFpSWlJblRKSlplY2tQV1dMRm1pWnMyYXFVYU5HdjZ4QlFzV2FOS2tTV3JidHEyL3dGeVMxK3YxZjc5dDJ6WTFhTkJBWVdGaG1qdDNyandlank2Ly9ITHQyTEZEVHp6eFJLbmQwdG5aMldyVXFKR3lzN08xYWRNbW5YUE9PY3JPemk1MWo2VkxseW9zTEV5alJvMEtlR0JreWZ0S1V2WHExVXVkcTFldm50NTU1eDFkZE5GRjZ0ZXZuNzhOQ1FBQUFBQ2djdUIzZVFBQUJOR3VYYnUwYnQwNmRlM2FWUkVSRWVWZWIvdjI3Y3JNelBRL3BOQmFxNmxUcDJyNDhPRTY0NHd6OVB6enp3Zk1MMjQxTW5YcVZCVVVGR2pmdm4yYVBYdTJFaE1UL2Iyb1c3WnNxVFBPT0VQOSsvZlh6cDA3Tlc3Y09GV3JWazBMRml4UVVsS1NaczJhRmJEMnFGR2pkTk5OTjZsVHAwNjYrT0tMMWJadFc4WEV4R2pBZ0FIcTNyMjdHalJvSUVuYXMyZVBYbmpoQmRXcVZVdldXczJiTjA4aElTRnEzcng1bWErdGV2WHFaVDVjRWdBQUFBQncrcU5RRFFCQUVOV3RXMWRmZmZXVmNuSnlUc2g2MzMvL3ZTVDVIMng0NzczM2F1blNwWXFKaWRIdzRjUDlSZUppWjU5OXRxNi8vbnJObkRsVEN4Y3VsQ1NkZSs2NUdqaHdvTFpzMmFKdDI3WnAyTEJoaW95TVZGeGNuUDc1ejM4cUpDUkVYYnQyVldGaG9XSmlZblQvL2ZmcnBwdHU4aGZhcjdqaUNzMllNVVBUcDAvWEs2KzhJbU9NM252dlBiVnAweWJnL2pWcTFGQnljckp5Y25Ka2pORlpaNTJsUng5OXRGUkdBQUFBQUVEbFI2RWFBSUFnaTRxS1VsUlUxQkhudVZ3dUxWKysvTEJ6dW5YcnBwbzFhL29mcERoZ3dBQzFhOWRPZmZyME9lU083YWVlZWtwUFBmVlVtZWZlZnZ0dGYzL3E1NTU3emo4K2VQQmdOVy9lWE9lZmYzNnBheUlpSW5UcnJiZnExbHR2MVlZTkc3UjU4MmExYWRPbXpQV1RrcElPKzNvQUFBQUFBRlVEaFdvQUFDcVJ5TWhJWFg3NTVmN2pkdTNhcVYyN2RzZTlYbkdSK21CLy9ldGZqK3I2ODg0N1QrZWRkOTV4M3g4QUFBQUFVRFh3TUVVQUFBQUFBQUFBUUZCUnFBWUFBQUFBQUFBQUJCV0ZhZ0FBQUFBQUFBQkFVRkdvQmdBQUFBQUFBQUFFRlE5VEJBQUFBRTR3YTYwTmRvYVNqREVtMkJra3FWR2pDK3FHVkhlY0dld2NPRFVVZXJ5NW16ZXMyaWpKRit3c3grdFUrNnhMcDg3bkhRQ0FZMFdoR2dDQU11VGs1T2pGb2Y5V3pSbzFnaDBGUWVMeitmVHp1blhCamdGVUdrMmF0R3BvcW9VT2xWRjhzTFBnMUJEbWNHYWYwN3pOa04vV1p2d3YyRmtBQUVEd1VhZ0dBS0FFcjY5b1g0Z2p4RlBrOGVpbk5UOEhPdzVPQWNaWXI2Ujl3YzRCbk81OFlTSE5uZEtWUm1vWTdDdzROVmpKNjNBNk9rdWlVQTBBQUNoVUF3QlFVcDd4L0ZSRG9TOWFhODhMZGhhY0dxenNIbTloMGFmQnpnR2M3cHhPcDBQR21ocFJOWFRiMzI5Vjg2YjhNbHRWRlJZVjZUL2p4bXRENW0reWx1Y21BUUNBL1NoVUF3QlFRdGFhTlh1eXBQR1NuTUhPZ2xPR2xlUU5kZ2lnc2dnUEQxZW5EdTNVb2QyRndZNkNJTW5MeTlla0taOUttYjhGT3dvQUFEaUZVS2dHQUtBMEs4a1Q3QkFBQUFBQUFGUVYvRFVyQUFBQTRDVHhlcjI2NFlZYmxKaVlxRm16WnBVNm41K2ZyekZqeHFoWHIxNXEzNzY5THIvOGNqMzMzSFBLeXNvNjdMcWJOMi9XblhmZXFkR2pSMWRVZEFESGlNODdBQURIaGtJMUFBQUFjSko4OGNVWHlzek1MUE5jYm02dTdyampEbzBmUDE0T2gwUGR1blhUMldlZnJaa3paK3EyMjI3VHpwMDdTMTJ6WThjT2pSdzVVamZjY0lPU2s1TXJPajZBWThEbkhRQ0FZMFByRHdBQUFPQWt5TTNOMWRpeFkrVndPT1R6K1VxZEh6ZHVuSDc2NlNmMTdObFRUei85dEp6Ty9hM3lQL2pnQTQwZVBWcHZ2UEdHbm52dU9mLzhZY09HYWNxVUtmSjZ2V3JWcXBWV3IxNTkwbDRMZ01Qajh3NEF3TEZqUnpVQUFBQndFcno1NXB2S3ljblJkZGRkVitiNXI3LytXazZuVTQ4Ly9yaS9hQ1ZKL2ZyMVU5T21UZlhmLy81WGVYbDUvdkVOR3pZb01URlI0OGVQVi8vKy9TczhQNENqeCtjZEFJQmpSNkVhQUFBQXFHQXJWNjdVNU1tVDFiZHZYelZ1M0xqVSthS2lJbVZsWlNrNk9sclZxMWNQT0dlTVVldldyVlZRVUtBMWE5YjR4NGNQSDY0eFk4Ykk1WEpWZVA2cXdscXJQLzc0NDZUZDc3ZmZmaXYzL1diTm1xWDA5UFJ5clZGWVdCaHduSk9UbzVTVWxIS3RXWlh4ZVFjQTRQaFFxQVlBQUFBcVVHRmhvVjU4OFVYVnIxOWZkOXh4UjVselFrTkRGUjRlcnF5c0xPWG01cFk2djN2M2JrbjdINkpXckZxMWFoVVR1QXI3OXR0dmRmWFZWL3Y3LytibTVoN3h5K1B4Qkt5Um41K3ZJVU9HYU11V0xVZThYOSsrZmZYKysrK1hLL09RSVVQMDVaZGZIdmYxVzdkdVZmZnUzUVBXR0RwMHFCNSsrR0h0MmJPblhObXFJajd2QUFBY1B3clZBQUFBUUFVYU5XcVUxcTFicDMvKzg1K0tpSWc0NUx5T0hUdks2L1ZxNU1pUkFjWFBCUXNXYU42OGVaSlVabEdycXRxN2Q2K3lzN09QKyt2Z0FyUFg2OVhZc1dQVnJGa3pKU1FrcUtDZ1FKMDdkejdpMTRRSkV3TFcrZTIzMzVTVWxLUStmZnJvaHg5K09KbHZ5WEVaT25Tbzl1N2RxN2k0T1AvWWdBRUR0SGZ2WG4zNDRZZEJUSFo2NHZNT0FNRHg0MkdLQUFBQVFBVlp0R2lSUHZua0UxMTMzWFhxM0xuelllYysrT0NEU2s1TzF2VHAwN1Y0OFdLZGYvNzV5c3JLVWxwYW1pNjg4RUl0VzdaTVlXRmhKeW41cVcvUW9FRmF1blRwY1YvLy92dnZxMDJiTnY3ajZkT242N2ZmZnRPRUNSUGtjRGdVR2hxcTExNTdUYW1wcVhyLy9mZjEvUFBQcTNidDJ2NzVLMWV1MU50dnY2MTY5ZW9Gck51aVJRdDk4TUVIdXYvKysvWGdndy9xeVNlZjFQWFhYMy9jT2Nzak56ZTNWR3VKa3FaT25hcnZ2LzllOTl4emo1bzBhZUlmYjlHaWhhNjQ0Z3A5K09HSHV2amlpd1BlSnh3YW4zY0FBTXFIUWpVQUFBQlFBVFp0MnFTbm4zNWFNVEV4ZXV5eHg0NDR2MG1USnBvd1lZTGVmUE5OTFY2OFdBc1dMTkI1NTUybjRjT0hLeU1qUTh1V0xWT3RXclZPUXZMVHcyV1hYYVptelpvZDkvWFIwZEgrNy8vNDR3K05HVE5HL2ZyMVU4dVdMYlZvMFNJbEpTWHAvdnZ2OXovUXJsMjdkcXBmdjc3L21zbVRKNnRCZ3dicTFxMWJxYlViTldxa2Q5OTlWMDg4OFlSYXRXcWw2ZE9uYS9qdzRhWG01ZWZuNjVOUFB0RzBhZE5LblpzN2QrNVJGeXFYTEZraWE2Mk1NZjZ4N2R1M2E4Q0FBZXJUcDQvNjlPbFQ2cHEwdERRTkd6Wk04Zkh4dXYzMjIwdWQvMy8vNy84cEpTVkZqei8rdUQ3NjZDT2RjY1laUjVXbHF1THpEZ0JBK1ZHb0JnQUFBRTZ3dkx3OFBmYllZeW9vS05DcnI3NTYyRjJ0SlRWcTFFaERodzR0TlQ1ejVreEowcm5ubm50Q2M1N09icnJwcGhPMjFwQWhReFFkSGEyNzdycEwrZm41R2pwMHFHclZxcVdvcUNqNWZENUoreCswV0d6bHlwWDY0WWNmOU5SVFR5azBOTFRNTmV2V3Jhdng0OGRMa3RMVDA1V2ZuNitISG5wSTRlSGgvam1qUm8xU1hGeWN1bmJ0Nmg5YnNtU0p2dnZ1TzFscmxaK2ZydzgrK0tETTlkdTJiU3UzMnkxSjJyaHhveFl2WHF3T0hUcEkydC9qK0w3Nzd0T1dMVnZrY0pUdTlwaVptYWxCZ3dhcFJvMGErdGUvL3FXUWtOSy9MYXhUcDQ1ZWZ2bGwzWFBQUGJycnJydjArdXV2NjZ5enpqcnMrMWhWOFhrSEFPREVvRkFOQUFDQS85L2VuY2RIVlo3OUgvL2VaeVliU1NBc0Fpb29WaFNJRUhNbUt0b0hFSENwb3FKVUhsR3dWQ29xL3JScUJhMVBLN2hWUVZFRUsycFYxT0pXc1lDbENvcXRVaFFWTlhPeVlFQkJSVUVGUVdVSlpKdVorL2VIU1RwSkppR0I0RUQ0dkYrdnZNaTUxK3RNQ0NSWDdsd0h6ZXl0dDk3UzZ0V3JKVWtYWEhCQnpERVRKMDdVeElrVGRkRkZGMm5DaEFuMXJoVUtoWlNibTZ2MjdkdXJTNWN1ZXlYZUE5bUxMNzZvTjk5OFUvLzd2LytyT1hQbUtEOC9YNXMyYmRMMDZkUGw5L3VyRTlXZTUrbk1NOCtVSkQzNjZLUHEzTG16aGc0ZFdtT3Rzckl5VFpnd1FlZWZmNzRHRGh4WVo2OWh3NFlwUFQyOSt2cWhoeDVTang0OU5HTEVpQnByTEZteVJOS1BKNjVqMVlrdUxTMlYzKyt2VGxSTDBqUFBQS01UVHp4Ulc3WnMwZFZYWDYzUFB2dE0vL2QvLzZmaHc0ZlhtTHQyN1ZwZGZ2bmwycmx6cHg1KytPRTZwVXVpNWVUazZQYmJiOWN0dDl5aTBhTkg2OTU3NzFWMmRuYTk0dzlVZkw0REFOQThTRlFEQUFBQXpheHIxNjcxSnF3Ky92aGo1ZWZucTIvZnZqcjg4TVBsdW02RGF5MVlzRURidG0zVHhSZGZIUE4wTFBaTW16WnRkUFRSUjJ2ZHVuVmF0V3FWQ2dzTDlidmYvVTVISG5ta3BQOCswTzVmLy9wWGRhSTZOemRYNWVYbE92bmtreVZKdlh2MzFsLys4aGR0Mzc1ZEd6WnMwUGp4NDNYeHhSZnJtbXV1a2MvbjIrM1lNakl5dEd6WnNocHRoWVdGdXVTU1M5U3JWNi9xdHZUMGRMMzc3cnY2OTcvL3Jaa3paK3Fycjc3U0hYZmNvU0ZEaHRTWXUzejVjdDEwMDAwcUtTblJBdzg4VU9NQml2VTU4OHd6bFp5Y3JKdHV1a21YWG5xcGhnNGRxdC8rOXJkcTE2N2RidDlYUzhQbk93QUF6WU5FTlFBQUFORE1ldlhxVlNPUkdHMzI3Tm5LejgvWDJXZWZYU09SdUgzN2RobGpsSmFXVnQzMjRZY2ZhdHEwYVdyZHVuWE1Pc0xZYzZlZmZycE9QLzEwVlZSVTZGZS8rcFdPTys0NGpSbzFxcnEvcWtiMTIyKy9yZSsvLzE3dDJyWFQ3My8vZTRWQ0lVblN0R25UcXN0L2RPalFRVTgrK2FSdXV1a21QZlBNTTlxNWM2ZisrTWMvTm11OGl4Y3ZWbnA2dWs0NDRZVHF0a0dEQmlrM04xYzMzbmlqMHRMU05IUG1UQjEzM0hFMTVtM2N1RkhYWFhlZGtwS1M5T2MvLzFuSEgzOThvL2NjTkdpUS92clh2MnJTcEVsYXNHQ0JPblhxcEhIanhqWGJQZTN2K0h3SEFLQjVrS2dHQUFBQTlnRnIxcXpSdGRkZXEwQWdvUGJ0Mit1TEw3NlE1M2xLU1VuUnRHblRsSkdSRWU4UTl6bDMzbm1udG16WjB1UjVJMGVPckhPeTlZRUhIdEMzMzM2ckJ4NTRvTVpEQ1gvNDRRZWxwNmNyTFMxTjgrYk4wOWl4WTNYT09lZEkrckVjeU02ZE8yc2tJTlBTMGpSanhndzk5TkJET3UrODgzYnp6bUlyTHkvWDRzV0xOV2pRb0JwMXBmMSt2eTY3N0RMZGV1dXQrdld2ZjEwblNTMUpuVHAxMGkyMzNLSmV2WHBwNnRTcHV1NjY2eHE5YitmT25UVjM3bHc5ODh3eldyUm9VWjJTSjJnNlB0OEJBS2lMUkRVQUFBQ3dEK2pjdWJQNjlPbWp3c0pDRlJjWHEwT0hEdnJsTDMrcDMvem1OenI0NElQakhkNCs2Y01QUDlTMzMzN2I1SG1ublhaYWpldVhYMzVaenovL3ZPNjk5MTZGUWlFRmcwRVZGeGRyd0lBQjJyeDVzdzQ1NUJDZGNjWVptajE3dGthT0hGbjlzTHo1OCtmZG1XVUNBQUFnQUVsRVFWU3JkZXZXT3VXVVUycXM1L1A1OU52Zi9yYk92c09HRGF1UkJDOHVMdGJmLy81M0xWeTRzTHF0dExTMDNyam56cDJyelpzMzE2aHBYV1hJa0NGNjhjVVg5Y1FUVCtpMDAwNVQxNjVkNjR3NTQ0d3pKRWxEaHc2dFBwRzliZHMyUGZua2t4b3dZRURNc2hRdnYveXl3dUd3SkNreE1WSG5ubnR1dmZHaDhmaDhCd0NnTGhMVkFBQUF3RTlvOU9qUkdqMTZkSjMyZ3c4K1dETm56dHl0TlU4OTlWVGw1dWJ1YVdqN25mbno1Ky94R3FGUVNIZmRkWmVzdFpvd1lZS3N0Zkw3L2VyWHI1OEdEQmlnTDc3NFFwMDdkOWE1NTU2clJ4NTVSTE5uejlhNGNlTzBkdTFhdmZiYWE3cnd3Z3VWbEpSVVo5MlZLMWZxcUtPT3FuSHllZlRvMFRYR3pwZ3hRMzM2OU5HZ1FZT3EyOTUvLy8zcWh5bEdLeWtwMFZOUFBhV2YvL3puNnRtelo1MStuOCtuMjIrL1hTTkhqdFNOTjk2b1diTm1WU2ZVYXp2OTlOT3IzLy93d3cvMTVKTlA2aGUvK0VWMUlqdmErKysvdjF1bjF2RWpQdDhCQUdnOEV0VUFBQUFBRGxoK3YxL2p4bzFUY25LeWpqamlDSFhwMGtVZE8zYVV6K2RUS0JUUzZ0V3JkZUtKSjZwTm16WWFOV3FVbm5ycUtRMGFORWpUcGsxVFdscWFmdk9iMzhSY2Q4S0VDZXJhdGFzZWVlU1I2clpodzRZcFBUMjkrdnFoaHg1U2p4NDlhcHlRTGlzcmk1bW92di8rKzdWNTgyWk5uVHExM252cDFxMmJycnZ1T3QxOTk5MjY4Y1liTlgzNjlCcUo4bGkrL1BMTDZybXhsSldWS1NVbHBjRTFBQUFBbWdPSmFnQUFBQUFIdEZnblhzUGhzRDc0NEFPVmxaWHBmLzduZnlSSlk4ZU8xZUxGaXpWdTNEaHQyN1pOdDl4eWk5cTBhVk5uN3FlZmZxb05HemJVcUYyOUo5NTk5MTNOblR0WDU1OS92ckt5c2hvY2U4RUZGK2p6enovWG5EbHpkUDMxMSt1ZWUrNVJjbkp5dmVPWExsMnFWcTFhcVh2MzdqSDdTMHBLMUs1ZHV6MktId0FBb0RHY2VBY0FBQUFBQVBHMmJkczJMVm15UkZPblR0V0lFU1AwbDcvOFJTKy8vTExhdEdtalk0NDVScEtVbEpTa0VTTkdhTnUyYlVwTFM5UEFnUU5qcnJWczJUSkowdURCZy9jNHJuWHIxdW5tbTI5V3AwNmRkTzIxMXpacXpnMDMzS0JCZ3dacDJiSmx1dkxLSyt1dDQ3MWh3d1l0VzdaTS9mdjNyL2ZrOWZidDJ6bFJEUUFBZmhJa3FnRUFBQURFMUtsVHA5VHUzYnRucWdYL0p1YWlSWXMwYXRRb0RSNDhXT1BIajVmbmVlclhyNTk2OWVxbHhZc1hhL2p3NGZMNWZKS2t0OTU2U3c4KytLRFMwdEpVWEZ5c01XUEdhUDM2OVhYV1hMSmtpVHAzN3F4ZXZYcnRVV3hidG16UjFWZGZyWjA3ZDJyeTVNbEtUVTF0MUR6SGNUUjU4bVFOR1RKRUJRVUZ1dWlpaStyRWFhM1ZuWGZlcVVna29vc3Z2amptT3RaYWZmZmRkMnJkdXZVZTNRY0FBRUJqdE5ndk9BRUFBSUI0TWNhWWVNZlFIRHAwNkhCS1ltTGkzMXpYM1dHdGZkRmErOVIzMzMxWHVINzkrakpKa1hqRjljZ2pqNmlrcEdTUDErblhyNTh5TWpKMDZLR0hhc1NJRWVyWHI1L2F0V3NuYTYwdXYveHlKU2NuYTlTb1VaS2tlZlBtYWNxVUtUcjQ0SVAxOE1NUDY1MTMzdEdVS1ZNMGV2Um9qUjgvWG1lZGRaWWs2ZXV2djFaK2ZyNUdqaHhaWjc4Tkd6Wm8rL2J0MWRlUlNFUTdkdXpRMTE5L1hkMFczYjk2OVdwdDJyUkp0OTEybTQ0OTl0ZzY2MjNidGsybHBhVXhINXFZa0pDZ08rNjRRNTA3ZDliT25UdlZwVXVYNnI1UUtLVGJiNzlkNzd6emprYU5HcVhNek15WXIwOHdHRlJKU1VtOVpVSFFjajdYQVFEWUY1Q29CZ0FBQUJDVE1TWkZVcEl4SnNVWWM2VzE5dktERGpwb1k0Y09IVjZQUkNMekpMMVhVRkFRdTY3RVhqUm56aHh0M2JwMWo5Zkp5TWpRbURGamROSkpKOVZvZi9EQkJ4VU1CalYrL0hpVmxKVG9qMy84bzk1OTkxMTE3OTVkRHo3NG9BNDY2Q0FOSHo1YzdkdTMxNjIzM3FwSmt5YnBILy80aDZaT25hcFhYMzFWVXV5eUh4ZGVlR0dkdHZuejUydisvUGt4NHp2KytPTTFiOTQ4ZGU3Y3VicnQ3cnZ2VmtsSmlSSVNFcFNYbHlkSjFhVkpZcm5xcXF0cVhPZm41MnZLbENuNjVKTlBkTVlaWjFTWEUvbmlpeS8wOU5OUHEzMzc5a3BPVGxaeGNiRmVldWtsdFdyVlNxZWNja3E5NndNQUFEUVhFdFVBQUFBQWRzbGFLMk9NVDlJaGtuN3Q4L2xHVzJ1L09mYllZOStXOUVoK2Z2NWJra0kvUlN5dnZQS0tyTFY3dkU1aVltS2R0bEFvcEk4KytraURCZzNTeUpFak5XWEtGQzFmdmx5alI0L1d1SEhqbEpTVVZEMTIwS0JCNnRHamh5Wk9uS2p1M2J1clRaczJLaTB0MVJGSEhCSHpCUFQwNmROM1dlOTU4ZUxGbWp0M2J2VjFkSkpha2padDJxUTMzM3hUa3RTMmJWdU5HalZLcDUxMldxUHU5NGtubnRETW1UT1ZuSnlzOGVQSDY2S0xMbExWZ2VEMDlIUXRXclJJRlJVVkNvZkQ4dnY5T3ZMSUl6VisvSGgxNk5DaFVlc0RBQURzQ1g1TkNRQUFBUHUxN096c2FZN2ovTTVhKzlyR2pSdC8rZlhYWCsrTWQwd3RSZS9ldlVja0pDUThaNHh4b2hQRHNhb2RSQ0tSN1pJV2hNUGhwd29MQzkrVUZJN3U3OVl6ZTZDTWZmNmc5aDA2UDNEZkZKMTR3bkY3Ty96ZFZsRlJvZkx5Y3FXbXBpb1VDdW5UVHo5Vmp4NDk2aDBmRG9kbGpKSGp4SDRFVUNnVVVubDVlY3dTSFQrbDB0SlNQZi84OHpyMzNIUFZybDI3ZXNkRklqOVdkYW52ZnZaVVNVbXBmblhwT09WNitXRnI3ZVF2UHM2ZnVGYzJRb3VTblowOXhCanp0REdtWFhsNWVmY1ZLMVo4R3UrWUFBRE5peFBWQUFBQTJPOVpheFdKUkZKVFUxT1A3dE9uVDJtODQybEJEb20rcUVwUXh6ck43RGhPdXFSUnhwaVJydXR1akVRaVN5UzlWRjVlL3Q3S2xTdS8rQ21DYlM0SkNRbEtTRWlRSlBuOS9nYVQxSktxSDdaWUg3L2ZMNzgvL3Q5NkpTY25hOHlZTWJzY3Q3Y1MxQUFBQUEySi8xZExBQUFBd0I2dzFyYXVQTTE2VWxwYTJ0dVM5cndtQktyNEpkWEpXa2FmcUs1S1drY2xyNDB4cHJQak9CZEt1akE1T1hsTFZsYldmOG9pa1EvS3d6eDREdjlsclZXU1g5MWQxeDBYNzFpdzc3UFc5cGFVdE11QkFJRDlGb2xxQUFBQTdPK1NKVlhWVDA2TmN5d3RTbVBxUU5kM3lqb3FtWjNoOS92UFZqalNxeXdVNGZzUFZET1NrbnptZUdOTTNhZE1BclZFL1Z0ai9YNS9lQmZEQVFEN0liNVFCQUFBd0g3TldydEUwakJyYmFLay8wZ3Fqbk5JTFlhMTlsQmpUSjFpMHZVbHNJMHhzdFpXdlVXTU1Sc2xMWWhFSXM5c0w3WHQ1SmkvN08yWXNSOHhVdGpxVzcrMTYrSWRDdllmMXRxdjh2THl2b3AzSEFDQTVrZWlHZ0FBQVB1NzlaSjJTb3FVbDVkZjg5RkhIMzBTNzRCYWlqNTkrbHpnOS91ZlZtWDVqMWdKNnVnVDFaRkl4RXI2VXRLY2lvcUtaN2R1M2ZySit2WHJTeVhaYmoyekIxS1ZCVFVaN1NpUExGTTRkRis4SThIK3dYRWNXMXBhV2lLcEl0NnhBQUNhSDRscUFBQUF0Qmcrbnk4c0tSVHZPRm9LYTIyOXYxNWZsYUNPUkNJVmt0WmFhK2VWbFpXOXVHclZLazlTNUNjS2NaOWhyZFhXclZ1VmtaSFJyT3VHdzJHVmxaVXBPVG01aFQ3azBKUVdGUlZ0aUhjVUFBQWcvbHJpVnpvQUFBQUFtcG1wK1J6RXNrZ2s4a2trRXBrY2lVUk8yYlp0Mi9INStmazNyVnExS2xjSGFKTDZra3N1MFdXWFhhWlFxSEUvSnlrdUx0YU1HVE8wYytmT0JzY3RYNzVjL2Z2MzE2cFZxNW9qVkFBQWdIMFdKNm9CQUFBQU5LaXk1RWZZV2x0b3JaMjFaY3VXdWFtcHFkOFZGUldWeHp1Mm44cnExYXUxWVVQOUIzODdkdXlvTjk1NFF6Tm16TkFKSjV4UTc3Z09IVHFvVjY5ZThqeFB6ejc3ck41KysyM2RmLy85NnRLbHk5NElHd0FBWUw5Qm9ob0FBQUJBVEQ2Zjd5dHI3YitzdFcrV2xaWDliZFdxVld2akhWTzhQUC84OC9ySFAvNnh5M0hQUGZlY25udnV1WHI3Qnc4ZXJLbFRwNnAvLy82YU1XT0dicmpoQm8wZVBWcjMzWGVmZXZYcXBWLzk2bGNhTTJhTWhnd1owcHpoQXdBQTdQTklWQU1BQUFDSUtUOC8vejFKWjRzSGwyblNwRW1hTkdtU1B2bmtFeGxqMUsxYk4wMmZQbDM5K3ZYVDhjY2ZMNy8vdjk5YWhVSWhMVjY4V0t0WHI5YTExMTZyMWF0WHE2eXNUTDE3OTY2eDVra25uYVNISDM1WWYvakRINVNTa3FKSUpLTFBQdnRNVzdac2FUQ1c5ZXZYS3o4L1gzMzc5bFdIRGgzMnl2MENBQUQ4MUVoVUF3QUFBS2dQRDZhc1plYk1tZkw1ZkxyNTVwdGxqTkVkZDl5aHNySXlEUjQ4V0lNSEQ5WW5uM3lpNTU5L1hqNmZUNk5IajVhMVZuLzk2MSsxY2VOR1BmYllZM1hXNjlPbmorYlBueSsvM3grelhuVmwyUlg5ODUvLzFKTlBQcW44L0h4OTk5MTNrcVE1YythUXFBWUFBQzBHaVdvQUFBQUFhS0oyN2RwcHdvUUp1dXFxcS9UNDQ0L3I2YWVmMXJ4NTh5UkpoeDEybUtaTW1hSWVQWHJFbkZ0U1VxSzc3cnBMVjF4eGhicDA2VkxqTkxZa3JWeTVVak5tekZCK2ZyNktpb29rU1MrOTlKS09PZVlZblhmZWVTb3BLZEZ6enoybnBLU2t2WHVUQUFBQVB5RVMxUUFBQUFEUVJIbDVlWHJtbVdmMDdydnZLaTB0VFNOR2pOQVpaNXloNzcvL1huUG56dFhGRjErc0hqMTZhT3JVcVhYbWZ2bmxsMXEyYkpuZWV1c3QvZWxQZjFLL2Z2MDBjK1pNdmY3NjY1S2toUXNYcW0zYnRzckt5dEpwcDUybWhRc1g2ckhISHFzdUhmTHl5eTlMa2hJVEUzKzZHd1lBQU5qTFNGUURBQUFBUUJPMWI5OWViZHEwMGYzMzM2L2pqanRPanVOVTkvWHYzMStiTm0zUzRzV0wxYWxUcHpwemUvVG9vZG16Wit1YWE2N1J0ZGRlcTkvLy92Y0toOFBLeXNyU3VuWHJORzdjT0YxMjJXV1NwSGZlZVVjTEZ5NnNzWDVGeFk4bHd6bFJEUUFBV2hJUzFRQUFBQURRQkcrOTlaYVdMMTh1U1hyMTFWY2JIUHZRUXcrcG9xSkN4eDU3YkkzMkxsMjY2SWtubnRDdHQ5NnF2bjM3NnZEREQ5Zk9uVHYxeWl1dktEVTF0Y0UxeThyS0pFbkp5Y2w3Y0JjQUFBRDdGaExWQUFBQUFOQklWMTExbFVhT0hGbW5mY0dDQlhyMTFWZDF5eTIzMURsRi9keHp6eWtjRHRlWms1R1JvZW5UcHpjNWhxMWJ0eW94TVpFVDFRQUFvRVVoVVEwQUFBQUFqYkI5KzNZbEppYldTVVNIUWlHOTk5NTdPdUdFRTVTVmxWVm4zdTkrOXp0SlB5YVkyN1JwVTZQdm0yKyswY0VISDd6THZjdkx5N1ZvMFNLbHBhWHB0ZGRlVTlldVhmZmdUZ0FBQVBZOUpLb0JBQUFBb0JFV0xseW9lKzY1cDk3Kzk5OS9YK2VmZjM2OS9kZGVlNjFHang1ZGZSMEtoWFRoaFJkcTRNQ0J1dTIyMnhyY095RWhRWk1uVDlhT0hUdmtPSTV1dnZubXB0OEFBQURBUG94RU5RQUFBQUEwd2NLRkM2dmYvL2JiYnpWMjdGaU5IVHRXUTRjT2xTUjkrZVdYT3V5d3cyck1PZmZjYyt1c1UxaFlxT0xpWXJWdTNYcVhleHBqTkh2MmJKV1dscXB6NTg3YXNtV0xIbnJvSVEwZlBsd2RPM2Jjd3pzQ0FBQ0lQMmZYUXdBQUFBQUFWVHAxNmxUOU5udjJiQjF4eEJFYU0yYU1PblhxcE9MaVl2Mi8vL2YvbEorZlgyTmNMTXVXTFpNa25Yenl5WTNhdDF1M2J1clpzNmN5TWpMMCtlZWZhOWFzV2Zyb280K2E3YjRBQUFEaWlSUFZBQUFBQU5CRTFscE5uejVkYjd6eGhzYVBIeS9QODFSYVdxclMwbEpsWm1acTBxUkphdGV1blk0NzdyaDYxMWl5WkluUzA5T1ZuWjFkNzVoRERqbEVGMTEwa2RxMWExZWpmZDI2ZFpLa0k0NDRvbmx1Q0FBQUlNNUlWQU1BQUFCQUV4bGp0SHo1Y2tuU2ZmZmRKMGxxMWFxVjB0TFMxS3BWS3gxNjZLRWFQMzY4NXM2ZHEvYnQyOHRhVzJQK3lwVXI5Zm5ubjJ2SWtDSHkrMy84dGl3eE1WSEdHSDMvL2ZmVjQ3cDE2NllKRXliVTJUOC9QMSt0V3JXcVUySUVBQUJnZjBXaUdnQUFBQUIydzZ4WnMxUldWcWFFaEFTbHBxYktjV3BXVnB3OWU3Ym16WnVuYjc3NVJxRlFTQmtaR2RWOVZYV3VCd3dZVU4zbTkvdDE5TkZINi9ubm45Zk9uVHZWcGsyYm1QdXVYYnRXUzVZczBkQ2hRK3ZzQ1FBQXNMOGlVUTBBQUFBQXV5RTFOVldwcWFuMTlvZkRZYzJiTjAvR0dBMGNPRkNublhaYWRkK3FWYXZrOS92MTg1Ly92TWFjMjI2N1RmZmNjNDhXTFZxazh2THltT3UyYXRWS3A1OSt1cTYvL3ZybXVSRUFBSUI5QUlscUFBQUFBR2lFRVNOR2FNU0lFWTBlUDJiTUdJMFpNeVptMzZPUFBxcVZLMWZXU1hRZmRkUlJldXl4eC9Zb1RnQUFnUDBSdnljR0FBQUFBRDh4WTR3eU16UGpIUVlBQU1BK2cwUTFBQUFBQUFBQUFDQ3VTRlFEQUFBQUFBQUFBT0tLUkRVQUFBQUFBQUFBSUs1SVZBTUFBQUFBQUFBQTRvcEVOUUFBQUFBQUFBQWdydnp4RGdBQUFBREFnV1ByMXEyNmZmSlV0VTVQajNjb2lKTklKS0pQMXF5SmR4Z0FBR0FmUTZJYUFBQUF3RjRYamxUczhEditVRVVvcEZVZmZ4THZjTEFQTU1hR0plMklkeHdBQUdEZlFLSWFBQUFBd0Y1WFlrS3IwcFZ3dTdYMlovR09CZnNHSzdzOVhGNHhOOTV4QUFDQWZRT0phZ0FBQUFCNzNlYVBQOTYrV1hwY2tpL2VzV0NmWVNXRjR4MEVBQURZTjVDb0JnQUFBUEJUc1pKQzhRNENBQUFBK3g0bjNnRUFBQUFBQUFBQUFBNXNKS29CQUFBQUFBQUFBSEZGNlE4QUFOQmlXV3R0dkdPSVpvd3g4WTRCQUFBQUFQWkZuS2dHQUFBQUFBQUFBTVFWaVdvQUFBQUFBQUFBUUZ5UnFBWUFBQUFBQUFBQXhCV0phZ0FBQUFBQUFBQkFYSkdvQmdBQUFBQUFBQURFRllscUFBQnd3QW1Id3pyLy9QT1ZrNU9qaFFzWE5qajJ3dzgvMUZsbm5hVjMzbm1uM2pGTGx5N1YyTEZqMWI5L2Z3MFlNRUJYWG5tbFB2amdnK1lPR3dBQUFBQmFMSCs4QXdBQUFQaXBMVml3UUd2WHJtMXd6S3BWcXpScjFpeTk4Y1liRFk2Yk4yK2U3cnp6VHFXbHBlbmtrMDlXT0J6VzBxVkxOVzdjT0UyZVBGbW5uMzU2YzRZT0FBQUFBQzBTaVdvQUFIQkEyYmx6cHg1NTVCRTVqcU5JSkJKenpNVVhYNnlWSzFjcUtTbEpSeHh4aEQ3Ly9QT1k0eW9xS3ZUQUF3OG9JeU5Eeno3N3JEcDM3aXhKV3J0MnJVYVBIcTFwMDZhUnFBWUFBQUNBUnFEMEJ3QUFPS0RNbkRsVFc3ZHUxWG5ublZmdm1MVnIxK3FjYzg3UjMvLytkeDEvL1BIMWp0dTRjYU8yYjkrdWswOCt1VHBKTFVuZHVuVlQvLzc5dFduVEptM2R1clZaNHdjQUFBQ0Fsb2dUMVFBQTRJRHgwVWNmNllVWFh0Q1lNV09VbnA1ZTc3alhYMzlkS1NrcHUxeXZRNGNPU2s1TzFvWU5HK3IwZmYzMTE4ckl5RkRyMXEzM0tHWUFBQUFBT0JCd29ob0FBQndReXN2TGRmdnR0NnRUcDA2NjlOSkxHeHpibUNTMUpDVW5KK3VLSzY3UTh1WEw5ZkRERDJ2TGxpM2F2SG16N3JubkhoVVVGT2pxcTYrV01hWTV3Z2NBQUFDQUZvMFQxUUFBNElBd1k4WU1yVm16UnRPblQxZHljbkt6clR0NjlHZ1ZGeGZyOGNjZjErT1BQMTdkZnMwMTEyallzR0hOdGc4QUFBQUF0R1FrcWdFQVFJdjN6anZ2Nkc5Lys1dk9PKzg4OWUvZnYxblhYckJnZ1diUG5xMzA5SFM1cnF0d09DelA4L1RvbzQrcVM1Y3VPdVdVVTVwMVB3QUFBQUJvaVVoVUF3Q0FGdTJycjc3U3pUZmZyRzdkdW1uOCtQSE51blpSVVpGdXYvMTI5ZXpaVXc4ODhJRGF0V3NuNmNlSExGNTExVlg2d3gvK29CZGZmRkdISFhaWXMrNExBQUFBQUMwTk5hb0JBRUNMVlZKU292SGp4NnVzckV6MzNIT1BXclZxMWF6cnYvRENDN0xXNm9ZYmJxaE9Va3RTcDA2ZE5HSENCSVZDSWIzNDRvdk51aWNBQUFBQXRFU2NxQVlBQUMzV1cyKzlwZFdyVjB1U0xyamdncGhqSms2Y3FJa1RKK3FpaXk3U2hBa1RtclQrRjE5OElVazY4c2dqNi9SMTc5NWRrclIyN2RvbXJRa0FBQUFBQnlJUzFRQUFvTVhxMnJWcnZRbnFqei8rV1BuNStlcmJ0NjhPUC94d3VhN2I1UFhidG0wclNWcTNicDE2OWVwVm82OHFpUjE5MGhvQUFBQUFFQnVKYWdBQTBHTDE2dFdyVGdLNXl1elpzNVdmbjYrenp6NWJRNFlNMmEzMVR6dnROQzFkdWxRelpzelF0R25UcWt1TGJObXlSZmZmZjc4azZkUlRUOTI5NEFFQUFBRGdBRUtpR2dBQVlEZWRlZWFaV3JKa2lmNzk3MzlyMkxCaHlzbkpVVGdjMWdjZmZLQ3RXN2RxNk5DaDZ0Ky9mN3pEQkFBQUFJQjlIb2xxQUFDQTNXU00wZDEzMzYzNTgrZnJwWmRlMHRLbFMyV00wVkZISGFYenp6OWZaNTExVnJ4REJBQUFBSUQ5Z29sM0FBQUFBSHVMdGRiR080Wm94aGkrOXRvTHNyS3l6dkQ1ZkU5TFNnNkh3OGNWRkJSOEhPK1lBQUFBQURTTkUrOEFBQUFBQUFBQUFBQUhOaExWQUFBQUFBQUFBSUM0SWxFTkFQdUFuSnljSTNOeWNnNzdLZmJxM3IxN1VrNU9Ucytzckt6VXhveHY3TGhHT3FELzMrblpzMmY3N096c1M3S3lzbzZJZHl3QUFBQUFBT3hMZUpnaUFPd0RyTFh6SkgwbWFkanVycEdkblgyVU1lYWFUWnMyM2JoKy9mcVMrc2FscGFYMXN0WjZmci8vSEVrdk43U202N3BYU3JxcmQrL2VQVmVzV0xHeGdYRXJqREVmQllQQkVmV042ZDI3ZDlmRXhNVFhKZjBwR0F3KzA0aGJhcERydXM5S2V0dnp2SWVyMmdLQndPV1NmaFVNQnZ0WFhtZEpPaVRXL0IwN2Rpd0xoOE9tZGV2V21Yc2FpeVJ0MjdhdGFNMmFOZHNhR3BPU2tuS0VNZVpKWTh4RmtqNXZqbjBCQUFBQUFHZ0pTRlFEd0w1amp4NzZab3c1eVJoelpjZU9IUWUwYTlmdXZJS0NnajFPaERxT3M5aGErK2ZFeE1TSmtxNXVZRysvdGRiWDBGb3JWcXhZNzdydU5tUE1QVmxaV2ZNTENncDJTRklnRUxpNE1iR0V3K0ZQOHZQejM0L2FzNisxOXB2b01kYmFqc2FZWGxGTk4wb2FGV3U5bEpRVVYxS0dwRGNicy8rdXBLV2xEWkswcERuV1F2UGg0WVVBQUFBQXNIOGdVUTBBK3diSFdoc3pVUjBJQkxwYmExK3FiMklrRWhtUm41Ly9rZWQ1czEzWDNTVHBSYi9mLzBGMmR2YVplWGw1SCt4SlVMbTV1Wis2cnZ1c01lYlNuajE3M3JKcTFhcnY5bUE1YTR5WktPa0ZuOCtYSTJscFpmdlRqWm5zT000RGt0NnZQRG1lWTYxTk04YjBjRjMzd3FveHhwZytraEpkMTczUUdKTmYyVHduRW9sY0VUWG1PR1BNNjVJVWlVUStpRVFpZlJyYTErLzNQeXZweTFBbzlIKzdDTEVwUHhpSW1Uek56TXhNS3lvcUttN0NPZ0FBQUFBQXRBZ2txZ0VnVGdLQndIUnI3VmhKc3RhbUdHTjZ1YTVibmFRMHhrU0N3V0RyVUNpVTdQZjdqNUgwa3JYMjQ2Z2xqalRHREhjY0o2V3F3Zk84UllGQTRGUnI3WlNLaW9wUEE0SEEwOWJhR3VWRWpERlZkYUpmZEYwM1hLdnYvV0F3T05oMTNjT3IxbzFFSWs5TGVqRTFOZldnbkp5Y2d5UXBOemYzWTlVNkFXNk02ZWk2N3FuUmJaRklKTHhqeDQ3YzlQVDBrWlgzS1dQTVhaSXlYZGZORElWQ0w0UkNvYTVWNDMwK1g3NHg1b05RS0RTMnFzMXhuQlRIY1Q2eDFwWldYZyt5MWs2VDFFclNMeVFOcWhwcnJVMHd4aVJLZXR4YU82bnlNRzFGWGw3ZWxxalh2Zm8xcmp6VnZVSU5DQVFDSlpLMkZoUVVORGl1aVU2VjlIeXRmUVpiYS8vbXV1NXd6L09XMWpNUEFBQUFBSUFXaVVRMUFNVFB2NHd4VlFuVXF5UnRNTWJNbFNScjdhbVNUb2dlYksxOTF2Tzh2MWRkQndLQnN5VU5yNzFvTUJoOFQ5SkFTWEpkTjBYU0ZtUE1sS2gxRGpYRzNHU3RmY29ZODFGVSt6ajltUHlWTVdhdXRUYW44djJxL3VvOU1qTXowMk9jL08xZmRWSzVpdU00WlNrcEtabVM3bzNhUjVYSjVBVEhjZDdLejgrdmppRVFDQ1JZYTM4b0tDaFlYOVhXcDArZnRvN2p5SEdja3NyN2UxVFNvNEZBWUkyMTlpWFA4eVpValhWZDkyWkoxM21lMTZGeXZWM1d3czdNekV4TFRFeThzSUVoQjBteTJkblpZK3Nic0huejVtZlhyMTlmNHJwdXBqSG1nbGhqakRGUFJDS1JxdmN2ek1uSnVUNDNOM2RyWlp3NWtsNHl4dGhJSkJMYVZjd0FBQUFBQUxRMEpLb0JJRTZDd2VETHFueVlvZXU2SXlWNW51ZmRXbm1kSmluUTJMVnljbktPakVRaXM0d3hWd2FEd1pXMXVqY0hnOEVIcXk2eXM3T3pqVEUzR1dOZXFZeEJraFFJQk02UTFFR1NqREVqS2lvcVVsU1BvcUtpbmJYYnJMV3ZoOFBoNjZQYmZENWZwTEN3OEROSmFWVnQzYnAxUzI3YnRtMitNV1pIZm43K3g3V1dTWlpVWSsxd09KeVVrSkNnU0NSU1ZudFBZMHk3bkp5Y25sRXhkSWdSN3BIUlNXWnI3YytpeXhZbkppWjJjQnpuc2ZydXRkTFBITWM1c2I3TzFxMWJ2eXlweEZwN3RLUUowWDNHR0orazVIQTQvTG94cHVvZVdrVWlrWEdTN3M3T3pqNWUwaUpyYlRnU2lmd2l1ZzQzQUFBQUFBQUhDaExWQUxBUE1NWWtXV3ZMb3E3OWtocDlzallTaVJ3cTZWaHI3UWZaMmRtWDUrWGxQYmVISVgzcDgvbk9ESWZEd2FyVHpiMTc5KzZha0pCd2k2US9TNHJFbUxPdE1lVXgyclp0ZTZ1a2JoVVZGY2VwNWozNkpTVkkyaEU5UGlrcEtVbFM5WW5xV3NaWWE4ZlVhcXRkUjd1WE1lYTZxZ3RqVEgwSitIT2lFL2RWQW9IQWU1TFdCSVBCT2c5OXJLeUZYVjNDSXk4djd5VkZKZVVyeDl3azZUYWZ6N2NpRW9rY0pVblcyaDhralE4RUFrWFcydWVzdGR1c3RXZmw1K2ZuMVJNYkFBQUFBQUF0R29scUFOZzN0TEhXYm8rNjlsdHJLeG83MmZPOHBUazVPU2RaYTE4MnhqeWJuWjJ0UFVsV2w1U1VtT1RrNUJjY3g3bEowZ3hKU2toSTZHdU11ZFJhTzN0MzEzVmQ5MHhKTnhoakpoWVdGbjRVQ0FSZXM5Yk84VHh2bHV1NmJTWEpHQlA5T2lnY0RpZjcvWDVWMWFpT1pxMTkwRm83TWFwcGd1TTQ0MnFOV2VSNTNrVlYxNEZBNEVSSjc4YUtMeXNycTZQZjcrOFhEQWJueGVvUEJBSm5CSVBCMTFTclBuZERLa3VCTE03TnpkM3F1bTVWODNSanpDUkpDNHd4aGVYbDVXZXRXTEZpWFdQWHpNcktTdlg1ZkRkV2xXZUpqc2NZRXgxYmpmZWp5cmZVTjJhdnphLzFzTkQ2WHI5ZHptMG92cWJHcEVhK2JySGlxTDNIcnRhSjhiRFVKc1VSaVVRYWRVK3gyaXRMenRRM3BuWXN1NHE5cVIrTFBacmZ3R3RlTythakpiVXl4b1JqM0I4QUFBQ0EvUUNKYWdDSVA1KzF0clhqT05VbmdhMjFQalhoUkxVazVlYm1ydXJaczJmZmxKU1VXN1pzMlJJejBkcFlSVVZGNVlGQTRFUEhjVTVWWmFKYVVvNmtuV1ZsWmUvdHpwcFpXVm05SlQxcmpOa1JEQWJ2eWM3T3ZsN1M2WkttUzVLMU5zTVlvMGdrOGtQMFBML2ZuMVRaWHlkUkxha3Mra0dKcnV2V0dGUDVPalk2YWVYMyszOHQ2UjdYZFYrdHFLaTRQRHA1N0xydUFHdnR3a0FnOEw2MTltclA4ejdjMVhxQlFDQkxrbXV0blY2cjZ4TkpUMHU2eEZwN1JWT1MxSkxrT0U2Q3BMNk80L3lpS2ZPaVM1N3NqajJadjZkNzd3dmllZitPNCt4NjBGNllLKzEzZjIrMlYxUlV4UHEzQWdBQUFNQStqa1ExQU1TWjY3cnRqREhHV2x1ZHFEYkcrSnB5b3JyS3FsV3J2cE4wVFhTYk1lWVkxM1UzUkYzN0pjbGErN1RydXRYbFJpb1R4WGxSMTI5THVsby8vbDhSa25TY3BMZUxpb3JLczdLeSt2cDhQcmZXM0orNXJsdDltamtTaVh5Zm41OC9SNUlDZ1VBdlNZc2x0YTI4NTM4YVl3WmFhKy96UEc5UlpWeUhTSkxqT05XeFNsSW9GRXJ4Ky8weXh0UkpQaGxqcm9uZVV6K1dEdGtlMWUrejFzWXFHUkpUTUJpYzZycnVPbVBNSTRtSmlZV3U2LzY4cXMvenZLV0JRT0Rua3Y1aWpIblBkZDNiSkszZXhaSzNXbXMzL3ZEREQzTnFkNFJDb1lsK3YzK1lwSWU3ZCsvZWQ4MmFOWFZxY05kbnk1WXRwVzNhdEpuak9FNmRVaUhXMnVqTVhuMVp2dXAyMDNBbXNFNWZyZlhsT000dTk2ZzlweW54TlRDL3VzMXhuRDNhdzFwcjZrbm1OaWFPUnU4UmEwRDA2OWZBK251MFI2MjUwUi83eHV4UnV5M1cvSHJIUkd2QzY5ZmczN3ZLajFWOWU2d3FLaXI2dXA1OUFBQUFBT3pEU0ZRRFFKeFphN3NaWTJTTStUYXFMVmxTK2U2c0Z3Z0VUZ3dHZzlXbm5xMjFHNDB4VTZLdUR6WEczUGo2akZzQUFBblhTVVJCVkNUcGI4YVlqNkxhYTVUTU1NWXNrM1JUZG5hMm01ZVhGelRHSEcrdG5TeEpQcDl2bURIbTk1SzJSazM1V2RRK3JSekgrVVRTbkVBZ2tHV3QvWTh4NW50SkwwZ2FLcW1QdFRaSjByK2o1dmVTcEVna1V1TUJpNDdqcEZUR0Z5dmgvSktrUjZOaUhpWHBuS2g3U2pYRzlIUmQ5OTZvdG9NYnlzMTZudmMzMTNYZk5jWmM0bmxlVVNEdzMyZGFCb1BCOXpJek00OVBTa3FhYkswdE5NWWsxN2RPVmxaV3dGcDduakhtcHJWcjE5WkpzaGNVRkt4M1hmY2FZOHhmMDlQVFowb2FHMk9abUNyWGUwclNuaDJWalk4YUwzNU9UazU5NDVxMjZFOXdZanQ2ajVLU2t2My9pTGlrOHZMeS9mNCtRcUdRa1NTLzMyL1hyRmtUVmhOL0d3VUFBQURBdm9GRU5RREVtVEhtUkVteTF1WkdOYWNZWTVxY3FNN0t5anBDMHJ1dTYwNzBQTzlQbGMyYmc4SGdnMVZqc3JPenM0MHhOeGxqWG9sK2VHQWdFRGhEVW9lcTY0cUtpbVYrdjk4Nmp0TXZLeXZMMFk5MXROK0kybTVyTUJqTWlCV0g2N3BQNmNjVDJJcEVJaVhHbUcrc3RhZEt1c1lZczdPaW9pSW5JU0ZocnFTWFhkZjluZWQ1RDBnNnhWcTd3K2Z6MVQ0bDNLcnl6NTIxOTdIV2Z1bDUzcitpOWoweE9wbG9qR2x0cmUwcWFYaFVXMUtzbUt0ZW0zQTRIUFk4cjFEU2JkRjkzYnQzVDJyZHVuV1BZREJZSUdsODVYNFh4bG9uTXpNejBlZnpQU0ZwODQ0ZE94NnViei9QODJhN3JudU9NZVpTMTNXLzhEenZqdnJHeGhCUjdJZGE3bGR5YzNOM1BRZ0FBQUFBME9MdGp5ZXhBS0NsT1VuU041N25mUkhWMWtwU28wdEJWUEg3L1VNcTM5MnRPdExSQ2dzTGZ6REdySkIwaU9NNGd5VnR6Y3ZMQ3paMW5ieTh2TldPNDV6a2VWNzFyK092V0xGaW8rTTRneVE5YUl4WjByTm56L2JHbUxPTk1mTnpjM05ybHp4SmxmNTdvam9ySzZ1djY3ckRLOXVQZGwxM2VOV2JwR01rSmJxdU96d1FDSFMzMW5hV05Nbnp2RzVWYjVLRzFSZXJNZWJtaElTRTNFQWdjS3RxL1RDM2RldldWMXBydlVBZ01ETTdPenRtZ3I1S1VsTFNiY2FZWTQweHYvMzQ0NCszTnpRMkhBNWZZcTM5d0JoenUrdTZreG9hQ3dBQUFBQkFTOFdKYWdDSW82eXNyRlJKWjFwci94WGRib3hKcWVmaGdRMnkxZzZSOUwzbmVVdWFJNzdTMHRMamlvcUt5bDNYL1plMTlqK1ptWm0raElTRUk1dTZUbTV1N3RZWWJSV1NycFVrMTNXblNFcFc1WU1Wb3hsajBpWEpXcnRUa253KzM1V1NobHRySldsdzVWdTF5dmFuckxXVGpESGRyTFZmcUpFOHo3dXdNbGs4MFhYZE02MjExUThyREFhRE13S0JRSVcxZG9yak9NTUNnY0NZeXIxcUNBUUN2N1RXM21pdC9ZZm5lUy9zYXMrQ2dvSWRydXVlWmExZFpveTVMUkFJSExwdDI3WnJtbEt6R2dBQUFBQ0EvUjBucWdFZ2pudyszMmhqVElhMTlzbm9kbXR0cXVxV3V1amp1dTZwVlcrU2pvM3U3TkdqUjdveFpyQ2tmMnJQYTdTYW5KeWNJNU9Uazg4S0JBSzNHR1ArUjlLQTVPVGtZc2R4WHQzRHRXdW9MRVZ5dmFSbmdzRmduVG9RMXRwMmt1VDMrN2RKa3VkNWwzaWVsL2JERHo5MGtQUzBNU2JiODd3MFNXT3R0ZGQ1bnBmbWVWNmF0YlpRa3Irc3JPejlKb1FUOGp4dmtxVFRyYlhMOHZMeXRrU0hFZ3dHWjRaQ29XTWxyUW1Id3p0cVR3NEVBaWRLZXNZWTg3bmpPSTJ1T2UxNTNpWkpBNjIxZVpJdWI5MjY5WC9FRDVNQkFBQUFBQWNRdmdrR2dEanAwcVZMaXFUckpYMmFsNWUzcUtvOU16TXpVZEpSa2haRmp6ZkdORmdXSWlVbDVaZjY4VlR5dkZwZGlkbloyZDJpcmcrUkpHdHR4MXJ0S1pWL09xN3JmbTJ0N1ZRNXJ0Z1k4NkV4SnRkYW0ydU0rZEJhKyt2RzMybjlNak16T3h0ajVrdGFWMUZSY1Uyc01jYVlrNnkxa2JLeXNpK2o1aVVtSnlmLzNWcDdhaVFTK2Fla05aSlNIY2Y1cyt1NlowdTZUTklWMXRxOG9xS2lEZEhyUlNJUngzRWNHV1BxSG9ldTVIbmV2MVh6UVkvVkNnc0xQNU0wUUpLeXM3TkhHV1BrT0U3VldvT3R0YVhoY1Bpc2dvS0N6YlhuV211N1ZENDRzempHbmw5blptYjJUMHBLZWtIU0UrS0JjQUFBQUFDQUF3aUphZ0NJazQ0ZE8wNlgxTjFhTzlaMTNZT05NYmRLMmlvcFIxSmJhKzNidGFaY0VRcUZGbFpkT0k1eml1TTRUMVZkRzJOR1dXdUxmL2poaDhYUms0d3h2WXd4bjlmZTN4Z3pLL3JCZzVXV1M0cFlheWNiWTdhRlFxRVBDZ29LaWxUcm9YMnU2MHBTRzlkMTZ5dFBraUJwWlFPM3I1eWNuTU9zdGE5SlNqYkdEQ29zTFB5aGN1Mm5KQ1ZLMmlHcGl6SG1ERW12RkJVVmxVdFNuejU5MnZyOS9ubVMraHBqenZVODd6Vko4anh2bHV1NitaTHVsWFNHTWViOFNDUnlXZVdheHhwaitsZld1VDdYL2xpejQrdmFNZTFLNzk2OXV5WWtKRnhnak5rZWlVUWl4cGpMSllVaWtjZ1BraFFNQnUvS3ljbDV4dk84THlVcE96czd3eGd6UzlMM2tveWtvWklxeXN2TDgyT3RYMVJVVkN6cHJLYkdCUUFBQUFEQS9vNUVOUURFUVU1T1RwdElKRExjR1BPSzUzbXpNak16RTVPU2tpNHl4cVJKS3JYV3p0MjBhZE5UMFhPc3RkOFhGQlNzcjdvT0JBTGZSWFg3SkZWSW1yOTI3ZHJheWVOUEk1SElMc3RRT0k0eldUOG1VNVdYbHplakViZXgweGh6UlQxOWwxZVY3S2hQT0J5K3loaGpqVEg5YzNOejEwUjFwVWs2VzFKaTVjbmpWOExoY1BVK2ZyLy9la2xaa1VqazFMeTh2SGVpMS9RODcwTkpBMTNYWFd5dExTb3VMbjY2c3F1RHBPbkdHSjkrL0dIQXhHQXd1S2tSOXlocmJaa3hwbHlTRWhJU3dwS21TaktPNDhoYXU4VmErL3VxSkxvazVlYm1WcC84enN2TDJ4SUlCRTZ1ZkMyc01XYXR0WGI4aWhVcjFqVm1id0FBQUFBQUFBRFlxd0tCd0ltOWUvZnVWS3ZaVkw0MWkyN2R1aVZYbGhqWlYvbDJZNDdUdTNmdnJnME55TTdPempqMjJHT1BpZEVWNjdYMVpXVmxkZW5XclZ0eUUySXcycjNZ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4zeS93RVpubWZHTW41ODFnQUFBQUJKUlU1RXJrSmdnZz09IiwKCSJUaGVtZSIgOiAiIiwKCSJUeXBlIiA6ICJmbG93IiwKCSJVc2VySWQiIDogIjExMzk5MTk5OTUiLAoJIlZlcnNpb24iIDogIjQ5Igp9Cg=="/>
    </extobj>
    <extobj name="ECB019B1-382A-4266-B25C-5B523AA43C14-2">
      <extobjdata type="ECB019B1-382A-4266-B25C-5B523AA43C14" data="ewoJIkZpbGVJZCIgOiAiMjk4MjYxMTc1NTI0IiwKCSJHcm91cElkIiA6ICIxMjM4MDY5Nzc1IiwKCSJJbWFnZSIgOiAiaVZCT1J3MEtHZ29BQUFBTlNVaEVVZ0FBQlZZQUFBSHRDQVlBQUFEeWV5VzNBQUFBQVhOU1IwSUFyczRjNlFBQUlBQkpSRUZVZUp6czNYbDBGRlhleHZHbjBwMlZKQVRDWmxnTXNrZTJJSWdnTUtBSWlvcWdHSllCWlpGdDBBRVZKUXdJTDR1Z2dCeGdXRVFFbFYxZU5nTW9pd1F4b0tBZ0tnaWpiQWs3SkFvSkNkbTZVKzhmdlBUUVpDRU53U2J4K3puSFkrcldyVnUvS2srZDB6N25WbDB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1THNZN2k0QUFJQ2lwRUwxNnVXdEhuN1YzRjBIY0RmSU1MUE9udm4xNTEvZFhRY0FBQUJ3SnhDc0FnQlFRRUx1QzZ2azVlWDFpUXpWZDNjdHdGM2lyTjJlMWYva2J6L0h1THNRQUFBQW9LQlozVjBBQUFCRmhaZUhOVVJTcUNFRkJRWUV5TXZMeTkwbEFXNWh0OXQxS1RGUlpsYVd4V3BSWlVrRXF3QUFBQ2h5Q0ZZQkFDaGdubGFyK3ZUc29VWVBoTHU3Rk1BdHpwdzdwM0VUSmlzeE1kSGRwUUFBQUFCM0RNRXFBQUFGelBEd1VJMXFWZlhRZ3czZFhRcmdGc2VPeDhyVGs1K1pBQUFBS05vODNGMEFBQUFBQUFBQUFCUTJCS3NBQUFBQUFBQUE0Q0tDVlFBQUFBQUFBQUJ3RWNFcUFBQUFBQUFBQUxpSVlCVUFBQUFBQUFBQVhFU3dDZ0FBQUFBQUFBQXVJbGdGQUFBQUFBQUFBQmNSckFJQUFBQUFBQUNBaXdoV0FRQUFBQUFBQU1CRkJLc0FBQUFBQUFBQTRDS0NWUUFBQUFBQUFBQndFY0VxQUFCd0Voc2JxOWpZV0hlWGtTUFROSFhpeEFtWGpqbDgrTENtVEptaXRMUzBPMVNWczZTa0pNWEd4c28welQvbGZQbHhLL2NOQUFBQVFONnM3aTRBQUFEY3VyTm56K3FYWDM3SnMwL1ZxbFVWR2hxYTd6RkhqeDR0THk4dnpaczM3M2JMSzNBZmZ2aWhQdjc0WXkxYXRFajMzWGRmdm80NWRlcVVsaTFicHY3OSs4dkh4K2VXengwZEhhMXo1ODZwVzdkdWVmWmJ2MzY5M252dlBjWEV4TWpQeisrV3oxZVFidVcrQVFBQUFNZ2J3U29BQUlYWTk5OS9yM0hqeHFsS2xTbzU3bytMaTFPZlBuMzAwa3N2U1pLU2s1TnZPbk14TlRWVk5wdE5CdzhlekxOZmxTcFY1TzN0Zld1RjM2S3VYYnZxczg4KzA0UUpFL1RoaHgvZTFsaVBQZmFZcmx5NWt1TytkZXZXcVdUSmtrNXQzM3p6amRhc1dhUDkrL2RyOU9qUnR4WFMvdGtLOHI0QkFBQUF1SXBnRlFDQXU5ektsU3MxWmNvVXgvWTk5OXlqTld2V09MWURBZ0swZlBueUhJL3QwcVdMMC9hK2ZmczBaTWlRZkoyM1I0OGVlZTcvOU5OUFZiVnExWHlONVlvWk0yYm9rMDgreWJQUDJiTm45Y0FERCtTNmYvYnMyV3JjdUhHZVkxeTVja1hWcWxWVHMyYk5IRzBIRGh4UVRFeU1zckt5c3ZVZk9YS2t5cFl0cS9mZmYxOXhjWEdhUFh1MmdvS0NibkkxZjU0LzY3NEJBQUFBdUlwZ0ZRQ0F1NXpkYmxkd2NMQm16WnFsenovL1hCczJiTWkyUDdmWnBlbnA2VTdialJvMTBycDE2L0k4Myt1dnZ5NHZMeTlObkRneHozNWx5cFRKUi9XM3BsaXhZbnJublhleXRkdnRkbGtzRnFlMjVPUmsrZnY3TzdXVktsVkttelp0a2lUSHZZbU9qcGFQajQrQ2c0UFZzR0ZEU1ZMdDJyVWRzM21scTJGeFRFeE1yblgxN2R0WEpVcVUwUDc5KzFXOGVIRTkrZVNUdW5UcGtsTWZtODBtNmVxTTJCdjE2TkZEQXdZTXlIWDgyM1c3OTYxR2pScDNyRFlBQUFDZ3FDRllCUUNnRUxCYXJRb05EVlZ3Y0hDMmZjbkp5ZXJidDIrT3g5MFlyUHI0K0Nna0pDVFBjM2w1ZWNuTHkrdW0vZTRrcTlXcXBrMmJLaUVoUWUrLy83NjZkKyt1ME5CUWpSZ3hRdWZQbjNlOHpuN3UzRGwxN3R4WmJkcTAwVC8vK1U4RkJBUklrbmJ2M3EyeFk4ZEsrbS9RT1duU0pFbFh3K1Zyd2VxdDZOU3BrenAxNmlUcDZtY1Q3ci8vZmozNjZLT08vWHYyN0ZGMGRMUUdEaHdvVDA5UFIvdlVxVk9Wa1pGeHkrZk5qOXU5YndBQUFBRHlqMkFWQUlCQ0xDUWtSTzNidDlmbzBhTnozRDl0MmpSVnJsdzVXL3Znd1lPMVk4ZU9QTWZPN1pYeHA1NTZTbVBHakhHOTJGdXdmdjE2ZmY3NTV4bzBhSkFrNmJmZmZsTzFhdFVjKzh1Vks2ZC8vZXRmbWpoeG9yWnYzNjc1OCtlcllzV0thdHk0c1hidTNDbEpldnZ0dDdWNjlXcHQzTGp4bGdQRWJkdTI2WXN2dnRDb1VhT3l6ZktzWHIyNk9uZnU3TmkyMisyS2pvN1dzODgrNjdSNDFZd1pNMjdwM0xmaVZ1OGJBQUFBZ1B3aldBVUFvSkFhTzNhczQzWDN6WnMzUzVLV0xsMnF4TVJFRFJ3NDBOSHZmLy8zZjdWdTNUcE5temJOMGZiU1N5K3BRNGNPdDNUZWN1WEszVWJWcnZuc3M4L1VxbFVyMmUxMm5UOS9YbkZ4Y1dyZXZMa1NFaEljZlI1NDRBSE5uajFibXpkdmxxK3ZyeElTRWhRY0hDekRNR1NhWnA2djl1ZlgyYk5udFhYclZoMDZkRWhUcGt5NTYxK1p2OTM3QmdBQUFPRG1DRllCQUNpa01qSXkxS0pGQy9YczJWTlhybHpSU3krOUpOTTBaYmZibFpHUm9jV0xGMHVTMXE1ZHErUEhqenNkR3hZV3B2UG56OS9TZWYrc1R3U2NQbjFhSjA2YzBJa1RKN1J4NDBaSCt5ZWZmSkxySWsyTEZpMlNKSDMxMVZjS0NBalE5OTkvci9qNGVFbFhaNTAyYU5CQUZTcFVjTG1XYnQyNjZaNTc3dEhJa1NQVnExY3ZyVml4NHBiRytUTVV4SDBEQUFBQWNITUVxd0FBRkdKQlFVR3FVYU9HTGwrK25HM2Z0Vm1Wd2NIQjJZTFZpeGN2NnVtbm43NmxjKzdkdS9lV2puT0ZZUmdxWGJxMEkvQ1RwR1hMbG1ucjFxMmFPM2R1dG9XWWJuVHRGZnhWcTFZcE9EaFl2Ly8rdTVZc1dhSlpzMlpwNXN5Wmp0ZmlYWm1kMmFwVkszMzQ0WWZhdVhQblhSdXFGdFI5QXdBQUFIQnpCS3NBQUJSaXExZXZWbFJVVkxiMnJLd3NQZnp3dzVLdUx0NFVIaDZlNC9GOSt2UlJ1M2J0bk5vaUl5TVZGQlNreU1oSXAvYVZLMWRxMmJKbEJWUjU3bEpUVStYajR5TXZMeStGaFlVNTJ2ZnYzNi93OEhDRmhvYm1lcXl2cjYrczFxcy9iNDRmUDY2dFc3ZXFhOWV1V3JwMHFhWk9uYXJYWDM5ZHI3Lyt1bGF2WGkyYnpaYnRlNmszVTZ0V0xkV3FWY3VwYmMyYU5ZNVBNa2hTV2xxYUpLbDkrL1pPd2UyMTlqdWxvTzRiQUFBQWdQemhGelFBQUlWVTZkS2wxYWxUSjdWdjMxNFpHUmxhdUhDaHZ2NzZhMWtzRnJWdTNWcTllL2VXZFBVVitOeGUrdzhPRHM0V3VIbDdlOHZQenk5YmUxQlEwSjI1a0J1a3BxWm1DendQSFRxa2t5ZFA2dVRKazJyWnNtV3V4MDZaTWtXdFdyV1NKUDM3My85V2FHaW9HalJvb0tWTGx5b3dNRkN6WnMzU3VYUG5sSjZlTHB2TnBzREFRSmRxUzB4TVZHSmlvaXBWcXVSb3UvLysrL1hvbzQ4NnR2ZnMyYVBvNkdqMTdObFRucDZlanZhcFU2ZTZkQzVYRmRSOUF3QUFBSkEvQktzQUFCUkNwbWxxd0lBQlRtM2p4NC9YUC8vNVQxV29VRUZqeDQ1MXRQZnExVXZTMWRYcXI3MEtucEdSSVVsS1QwL1A5aGtCdTkwdW04MldyVDA5UGIzQXJ5TW5pWW1KMlFMQ2hRc1h5dC9mWCtucDZlcmJ0NithTld2bXRIL2V2SG42L3Z2dlZhZE9IVW5TdDk5K3ErM2J0enZkQitscWtCd2NIS3d6Wjg1SWtvb1hMKzVTYmRmRy9PQ0REOVNnUVFOSlV2WHExZFc1YzJkSEg3dmRydWpvYUQzNzdMTk9yOWJQbURIRHBYTzVxaUR1R3dBQUFJRDhJMWdGQUtBUXNObHNPblBtakJJVEV5VkpwMDZkVW9jT0hYTHN1MmZQSHExZHV6WmIrNXR2dnVrSUFQLzQ0dzlKMHZUcDB6VjkrdlFjeDhscmh1T2RGQnNicS9yMTZ6dTJqeDgvcmkxYnRxaGZ2MzdLek16VWloVXI5UHp6enp0bW0rN2V2VnZidG0zVDZOR2pWYXBVS1VsWEE5T3dzREE5OGNRVDJyNTllN1p6SERwMFNKSlVzMmJOUEd1Wk5tMmFIbjc0WVRWcTFFaVN0R1BIRG5sNmV0NzBPSGNvaVBzR0FBQUFJUDhJVmdFQUtBVE9uVHZuV0d5cVhMbHlLbEdpaElZUEgrN1l2My8vZnExZnYxNFdpMFdtYVNvZ0lFQXZ2ZlNTdkx5OEhIMnUvODdxMGFOSEpVa1RKa3hReFlvVjgxWERaNTk5cHBVclZ4YkU1ZVFxUFQxZHAwK2YxblBQUFNmcDZzemNLVk9tS0NBZ1FGMjZkSkdYbDVlMmJObWl3WU1INjkvLy9yZU9IRG1pTjk5OFUwODg4WVRhdDIvdkdDY3NMRXlUSjArV2g0ZEhqdWZaczJlUGdvS0NWTGx5NVR6cmlZNk9WbEpTa2hvMWFpU2J6YWJkdTNlcmNlUEdkOTBpVHdWMTN3QUFBQURrSDhFcUFBQ0ZRTGx5NVRSdjNqeEprc1Zpa2IrL3Z6cDE2cVFyVjY1by92ejUycng1czE1NzdUWEZ4TVNvYk5teWlvK1AxOGFOR3pWNjlHaFZxVklsMjNneE1USHk5ZlhWbzQ4K211OUZpeXBYcnF5K2ZmczZ0V1ZrWkdqNDhPRnEyN2F0MnJScGM5dlgrZDEzMzhsdXQrdisrKytYSksxWXNVSzdkdTNTaUJFakhETXQ1OHlabzk2OWU2dDM3OTQ2ZmZxMFdyUm9vVEZqeG1RYnExeTVjam1lSXkwdFRkSFIwV3JhdEtuVDRsSTUrZU9QUDFTNmRHbEowdDY5ZTVXY25LeEhIbm5rZGk1UjB0MTkzd0FBQUFEa0Q4RXFBQUIzdVNaTm1pZ2tKRVFoSVNHT3RzdVhMMnZWcWxWYXNtU0pnb09EdFdEQkF0V3FWVXN4TVRIeTh2TFM5T25UTlhYcVZIWHIxazJQUC82NE9uZnU3RmdwL3RkZmY5VlhYMzJsWjU5OTFxV1Y0SDE5ZmVYcjYrdlVscEdSb2VUa1pBMGZQbHh4Y1hIWmdsZFhmZm5sbHlwVnFwVHExYXVuUFh2MmFOcTBhV3JhdEtrNmR1em82SFB4NGtXVkwxOWUrL2J0a3lSVnFGQkJseTlmenZmaVdxdFdyVkpDUW9KNjl1eVpiZCsxb0RVOVBWMlhMbDFTYW1xcTQ3NS84Y1VYc2xncyt0dmYvdVowVEVwS2l1T2JyWkljbjJzNGQrNmNmSHg4Y3F5aE1ONDNBQUFBQU00SVZnRUF1TXRWcWxUSmFSWDZTWk1tYWMyYU5Rb09EdFlycjd5aUo1OTgwckVvMVRXZW5wNGFObXlZSG4zMFViMzMzbnZxMGFPSFhuNzVaWFhzMkZHalJvMlNuNStmZXZmdWZkdTErZnY3YStiTW1SbzFhcFRlZi85OXhjZkhLekl5TXRkWDhQTnk4dVJKYmR5NFVSRVJFZnIxMTE4MVpNZ1FsUzFiVm0rLy9iWXVYYnFrblR0MzZvc3Z2dEN1WGJ0VXUzWnR6Wmt6Ujk5OTk1MFdMVnFrSlV1V3FFMmJObnJvb1lmVXFGRWpCUWNINTNpT1E0Y09hZmJzMldyWHJsMk9NM252dWVjZVNkS0lFU01jYmZYcTFWTjZlcnFpbzZQVm9FR0RiQXRlUlVWRktTb3FLdHRZenovL2ZLN1hXdGp1R3dBQUFJRHNDRllCQUNoa09uYnNxQWNlZUVBdFc3Yk1GcWplcUdIRGhscTJiSm0rLy81NzFhOWZYOHVYTDllUkkwYzBZY0tFWEYrVmQ1V25wNmZHang4dnd6QzBhZE1tOWVqUkk5L2ZiYjNlL3YzNzVlWGxwWjQ5ZThwaXNhaGh3NFlhUG55NE5tN2NxRW1USmttU0dqUm9vSGZmZlZldFc3ZVdKRDM0NElQcTNMbXpsaTVkcXZYcjEydmR1blVxVmFxVVZxMWFKWDkvLzJ6bm1EOS92dTY3N3o2bjRQUjYxMlo1L3ZEREQ3SllMQm84ZUxCQ1EwTVZHeHVyU3BVcU9jNTd2VWNlZWNTeEtGaGVYbm5sRmFmdHduVGZBQUFBQUFBQWdEc210R3JkaDBKcjFqOWVvOTZENXFZdDBlYmR5R2F6bVRFeE1YZHM3TmpZMk5zYTQ4Q0JBOW5hMHRQVHplWExsNXZuenAyNzZmbC8rT0VIODVkZmZzbTFUMlptcHBtWW1IaGJOVjd2eXBVclprWkd4bTJOVVJqdW02dU9IanR1Tm1yMmlGbTVacjJreXJYcXZ1RHVaeE1BQUFDNEU1aXhDZ0RBWDRqRllsR3paczN1Mk5qMzNudnZiWTF4YmZHbDYzbDVlZVZyUnFqRllsRjRlSGllZmF4V3EyTXhwNEp3NHpkbmIwVmh1RzhBQUFBQXNuUDlRMTRBQUFBQUFBQUE4QmRIc0FvQUFBQUFBQUFBTGlKWUJRQUFBQUFBQUFBWEVhd0NBUEFYWjdQWkNtU2NTNWN1YWQyNmRVcEtTc3Exei9UcDA3VnQyN1lDT1Y5QnVIRGhnbEpUVTEwNjVvOC8vbEJXVmxhZWZleDJlNEhlVjlNMDg5WFhicmZyMHFWTFNrdEx5M084SzFldUZFaHRBQUFBd0Y4WmkxY0JBRkFJN04rLy81YkRzQklsU3FoNjllbzU3bHU0Y0tHaW9xSzBiTmt5ZVhwNjNrNkordXFycnpSdTNEaE5tVEpGclZxMWtpUWxKaWFxZVBIaWpqNHJWcXhRWm1hbVk3ODdKU2NuS3lJaVFpMWJ0dFQvL00vLzVQdTRJVU9HS0RBd1VETm56c3h4ZjF4Y25KNS8vbmxWcUZCQnExZXZ6bldjWThlT0tUTXowNm10UklrU0tsT21qR1BiTkUwTkdEQkFOcHROeTVjdmw5V2E5MCszaFFzWGF1Yk1tVnF5WklscTFxeVpiWDlNVEl5R0RCbWlNV1BHNkttbm5zcHpMQUFBQUFCNUkxZ0ZBS0FRbURScGtvNGRPNWJqdm95TURFbFhWNEhQeWNNUFA2eEpreWJsdUM4OFBGelRwMC9YcWxXcjFLVkxGNmQ5dTNmdjFzaVJJM004cmxhdFdwb3hZNFpUMi9idDIrWGo0Nk1tVFpwSWtwS1NrdlRZWTQrcFQ1OCs2dCsvZis0WDV5YisvdjdxMTYrZjNudnZQVDM1NUpOcTFLalJUWTlKU2tyU3dZTUhOV1RJa0Z6N1RKOCtYWGE3WFhGeGNkcXhZNGVhTld1V1k3OS8vT01maW8rUGQycnIycldyaGc0ZDZ0amV0bTJiRGg4K3JGZGZmZldtb2VxcFU2ZTBZTUVDMWF4WlUzLzg4WWUrK2VZYnAvMFBQdmlnWnMyYXBXTEZpcWw0OGVMWjludDVlYWxodzRaNW5nTUFBQURBZnhHc0FnQlFDQ3hhdENqWGZZTUhEMVo2ZXJyZWYvLzltNDV6OU9oUjdkdTN6Nm50bm52dTBjOC8vK3dVM0pVdFcxYlMxZGZlSXlJaUZCUVVKRWxLUzB2VHdvVUxzODJlVFU1TzF1N2R1OVd5WlV2NStQaElrbmJ0MmlXNzNhN0tsU3ZuN3lMdmdQVDBkRFZ0MnZTbS9RWU1HSkRydm5yMTZtbmt5SkZLU1VuUnZuMzdaSnFtU3BVcXBmMzc5enY2Vks1Y1dmNysvdHEwYVpPMmI5K3VZY09HYWVYS2xabzRjYUtXTEZuaXVIODM2dDI3dDE1NDRRVkpVcDgrZlp6Mm1hYXBlZlBtcVVLRkN1cmN1Yk1rS1RZMlZudjM3dFZ6enozbjFEYzFOVldSa1pHeTIrMzYvZmZmTlhiczJHem5hdGV1blE0ZlBxelNwVXZyN2JmZnpyYS9WS2xTV3J4NGNhNzNBUUFBQUlBemdsVUFBTzV5cTFldjFudnZ2WmZyL21zelZoOSsrT0ZjKzdSbzBVSVRKMDdVb1VPSDlORkhIMlhiLzlOUFArbW5uMzV5YkllSGg2dHQyN2FTcE02ZE95czBORlNTdEhMbFNrbFhRN3JyYmRxMFNlbnA2WHI2NmFjZGJkOSsrNjA4UER6MDBFTVAzZXdTNzdqbm4zOWVMVnEweU5hZWxaVWxENC8vZm5MZVpyUEpicmZMMjl2YjBSWVFFS0NKRXlmcWh4OStjTFNOR0RIQ2FaeTVjK2VxYk5teW1qQmhnaG8zYnF5SWlBaUZoWVdwZCsvZUdqcDBxT2JNbVpQanB4YTh2YjBWRUJBZ1NVNTFTTktHRFJ2MDIyKy9hZHEwYVk1ajkrN2Rxd2tUSnFobXpacTYvLzc3SlVsWHJselI2NisvcnJpNE9NMmZQMSttYVdyR2pCa2FNMmFNSXlEZnZYdTMvdkdQZjZoYnQyNGFQSGl3aGc0ZHFuYnQycWxObXpZdTNVY0FBQUFBLzBXd0NnREFYUzR6TTFQcDZlbWFOV3RXanZ0bno1NnR6TXhNRFI0OE9NZjkwNmRQVjNwNnVpVHBxYWVlMHVPUFA2NDVjK2FvV2JObUNnOFBkL1E3YythTXhvNGRxemZlZUVOVnFsUlJURXlNMHppbWFXclpzbVVxVTZhTVU0QXFTVkZSVWJKYXJXcmN1TEdqNzdmZmZpdlROSjFtVjZhbHBXbk5talhhdEdtVDAvR0xGaTFTdVhMbDhubEhYRmU1Y21VMWJkcFV5NVl0azRlSGh6cDM3cXk0dURoRlJFUm8yclJwanM4WFRKa3lSZHUzYjlmdzRjT2RacnBPbno1ZEdSa1pldWFaWi9UM3YvOWRTVWxKcWw2OXV1TmJzU2twS2VyYnQ2LzgvUHcwZnZ4NFNWTHQyclUxZE9oUXZmdnV1M3I1NVpjMVpjb1VSNGg2TXlrcEtab3hZNFllZWVRUk5XL2UzTkhlb1VNSExWdTJUSk1uVDlaSEgzMGt3ekEwZmZwMEhUcDBTRE5tekZDdFdyV1VucDZ1dExRMERSZ3dRSjkrK3FuaTQrTzFkdTFhOWVyVlN3TUhEcFRGWXRGRER6MmtmLzNyWDdybm5udFVwMDZkZ3JyTkFBQUF3RjhLd1NvQUFJV0FZUmdxWDc2OElpTWpIVzBWSzFiVXhJa1R0WFRwVXFXbnA2dHg0OFo2NjYyM2RQejRjVWVmeVpNbkt6QXcwR2tzcTlXcUF3Y09hTnUyYlZxK2ZMbmoyNndmZmZTUkRodzRJSDkvL3h4citPYWJieFFiRzZzUkkwWTR6Yjc4K2VlZmRlREFBWGw2ZWpwbVhjYkV4Q2crUGw3dDI3ZFh0V3JWSEgyblQ1K3VXclZxNlpGSEhuRWFPN2R6RnFUMDlIVE5uVHRYSFRwMGtDUWRQbnhZTnB0TklTRWhqajY5ZS9mVzZkT245Y29ycjZoNzkrNTY5ZFZYSlVsK2ZuNzY4Y2NmbFp5Y3JLZWVla292di95eXZMeThGQkFRb0xpNE9BMGVQRmlKaVltYU8zZXVTcFlzNlJndklpSkM4Zkh4V3JCZ2dicDM3NjVodzRZNUJiYjc5dTF6ekNDK2VQR2lvMzNXckZsS1RVM1ZHMis4NFdpejIrMjZjdVdLdW5idHFna1RKbWpqeG8xNjRva245TW9ycitpWlo1NVJRRUNBVHA0OEtVbDY3YlhYZFBic1daMC9mMTVIamh6UjVzMmJOWHIwYUowNWMwYlMxZG5ORm90RlFVRkJPbm55cEx5OXZaMFd6UUlBQUFCd2N3U3JBQURjNWFwVXFhTG5ubnRPSlVxVWNQb09aMDVoWkljT0haU1VsT1RZTGw2OHVGcTBhSkZ0WWF2SXlFaEZSRVRvNDQ4L1ZyOSsvWFR5NUVsRlJVWHA1WmRmZHJ3K2ZxTUZDeGFvWXNXS2F0KytmYmIyR3kxWnNrUStQajRhT25Tb2loVXI1bWlmTld1V2F0YXNxVzdkdXVYdjRndlExcTFibFp5Y3JEWnQyaWdoSVVFSERoeVExV3FWbjUrZkVoSVNIUDFHakJpaHNMQXcxYTlmWHdrSkNmTDE5Vld4WXNXMFpjc1cxYWxUeHltSXZYejVzbnIxNmlXYnplWUlqVzgwYU5BZ2xTaFJRdE9uVDlmOCtmUFZwRWtUR1lZaFNUcDI3SmlTazVNbHlmSHZKVXVXNk5OUFA1Vy92Ny8rOFk5L0tEazVXWmN2WDFaYVdwclR1TysvLzc0ZWUrd3grZnY3NjhpUkl4b3paa3llMTUvWC9nWU5HbWpldkhrM3VZTUFBQUFBcmtld0NnREFYYTVodzRacTJMQ2hObXpZb0VtVEpqbmFLMWV1ckJrelpraVM0dVBqZGVIQ0JjMmRPMWUvL3Zxcm8wOWtaS1JUaUxsdDJ6WmR2bnhaMHRWVjRuMTlmUlVWRmFXTkd6ZkthclhLMzk5ZlVWRlJrdVFVaVA3d3d3LzY4Y2NmTlhUb1VLZEZybjc1NVJmRnhNVEkyOXRiV1ZsWmtxVGZmdnROZS9ic1VmdjI3WjNHY0xkZHUzYkpORTMxNk5IRHFmM3h4eC9QODdpdVhidnFuLy84cDZLam96Vm8wQ0NuZlFFQkFSb3laSWhxMWFxbEgzLzhVWFBuenMyMmlGaG1acWE2ZGV1bUJnMGFLREF3MEJHcVN0Snp6ejJubDE1NlNaTFVwVXNYU1ZkbkovdjYrcXBxMWFvcVhicTBTcGN1clZLbFNpa29LRWpGaXhkWDhlTEZGUmNYcDNIanhtbnQyclhxMUttVDJyUnBrK3NpWFljUEg5YkxMNytzdDk5K1d3MGJOc3l4VDA3ZmZ3VUFBQUNRTjRKVkFBQUtpZWJObTZ0R2pScU83Yk5uejZwWHIxNHlERU5seTViVkN5KzhvTmRlZTAzMzNYZWZvOCtOczArWExsM3FlRjFja280ZVBlcjRPeUFnUUhQbnpuVnN2L0xLSzQ2Lzc3dnZQalZvMEVCejVzeFJqUm8xMUtCQkE1bW02ZmpVUU92V3JiVnUzVHBKVW1KaW9ueDhmUFRpaXk4VzNNWGZKc013MUw5L2YwZDRlZVhLRlEwY09GQ2RPblhLOXIzWUc1VXNXVkk3ZHV4UVdscGFqb3M5WFp2QnUzbnpadjMyMjI5TyszYnMyS0hSbzBmcjlkZGZ6N2JnVjI0aUlpSVVFUkhoRkdEZnFINzkrbHF5WkltU2twS1VsWlVscTlXcW9LQ2dIUHRlbTluczcrK2ZheC9wNnNKZGVaMFRBQUFBZ0ROK1BRTUFVRWdFQmdZcU1EQlFOcHROQ3hjdTFBY2ZmS0FISDN4UXc0WU5VOW15WlRWcDBpUzk5ZFpiaW9pSVVMOSsvWEpjS01tVjE3MnZYN3dxS0NoSXMyYk4wcUJCZy9UR0cyOW8rZkxsdW5UcGt2YnYzNitoUTRjcVBqN2UwYmRSbzBaYXRXclZIVjJNS3I5U1UxTWxTVDQrUGlwZnZyektseTh2U2ZyODg4K1ZsWldsUng1NVJCVXJWc3p4V0E4UEQ4ZU0yK1hMbDh0bXMrbkpKNStVZEhVUnJtdXY3SHQ3ZXlzNk90cnBXTk0wdFdqUklzMllNVU1QUFBDQVdyUm9rZSthOHhOdUdvYWhaY3VXeVdxMWF2RGd3ZHF4WThkTmo4bHRjYlByYmQyNk5jL3dGUUFBQU1CL0Vhd0NBRkJJMkd3MmJkaXdRUXNXTE5BZmYveWhvVU9IS2l3c1RKMDdkOWJreVpQMXIzLzlTMDJhTk5FNzc3eWo5ZXZYcTMzNzl1cllzYU5DUTBPZHhvbU5qZFdSSTBkeVBVOVFVRkNPcjR4N2VYbHB3b1FKNnRDaGd4WXRXcVJYWDMxVmJkdTJWZWZPblRWejVreEh2d01IRHVqWXNXTTVqbTIzMjNYczJESEg1d2F1S1ZXcVZLNnZzdCtPYThIcWpkK2ozYng1c3lScHdJQUJ1UjViclZvMUxWKytYSkwwNUpOUHFuYnQybzU5a3lkUFZ1M2F0ZlhFRTAvSVlyRTRIUmNiRzZ0eDQ4YnB4eDkvVkxkdTNUUjQ4T0FjdzFMVE5IWGt5QkZ0MnJSSmtoeWZhSkN1emhZK2QrNWNudGZXcTFjdnRXdlhUb01HRFhMcG03Vi8vUEdIeG93Wm94NDllbVQ3Ny94bkxDSUdBQUFBRkJVRXF3QUEzT1ZPblRxbDlldlhLeW9xU3ZIeDhYcnFxYWMwY09CQWxTbFRSbGxaV1dyUW9JRWlJeU8xZVBGaXRXclZTbzBhTmRJbm4zeWlGU3RXYVBIaXhhcFdyWm9hTm15b3RtM2JxazZkT3RxMmJadG16cHdwSHgrZmJPZkt6TXhVN2RxMWMxeVFTcEpLbHk2dHBrMmI2cHR2dnRGcnI3Mm04ZVBIeThQRHc2blAxcTFidFdMRmloeVB6OHpNMU42OWUvWFRUejg1dFllSGg5K1JZRFV4TVZHU2MyQjQvUGh4N2RpeFE4SEJ3ZkwwOU5TVUtWT2NydUhDaFFzYU9uU29VejNWcWxWVHRXclZITnV6WjgvV3ZmZmVxOWF0V3p1ZEx6azVXVjI3ZGxWZ1lLQ21UWnVtNXMyYjUxcGJlbnE2ZHV6WW9iMTc5enJWS2trblRweVF2NzkvcnZka3dZSUZ1blRwa2lTcGV2WHFONzBQMXp0ejVvd3lNek5WdVhKbE5XN2MyS1ZqQVFBQUFQd1h3U29BQUhleHZYdjNxbCsvZnJKYXJXcmJ0cTNxMTYrdjh1WEw2L2p4NHpwKy9MaWtxOS80dkh6NXNtSmpZM1htekJsSlZ4ZTgrdHZmL3FaOSsvWnB3NFlOV3Jac21WTUk2Ty92ciszYnQyYzczOGlSSXgxajVDWTRPTmdSak40WXFrcFhYem5QN2JYemh4OStXQjA3ZHRUUW9VUHpkd051VTJ4c3JDU3BVcVZLanJZUFB2aEF4WW9WMC96NTg5VzllM2Z0MnJWTHZYcjFraVJsWldWcHlwUXBLbCsrdlByMzc1L24yRGFiVFhGeGNUcDU4cVRxMUtrajZlb3MxQzVkdXFoUG56NU9ZZTZwVTZja1NSVXFWSEMwcGFXbDZiWFhYbE5FUklTay95NWVkVTFZV0ZpMnhiS3VuZmY2NERzNU9WbHQyN2E5K2MyNHdkaXhZL1gyMjI4N3RnY1BIdXlvQlFBQUFNRE5FYXdDQUhBWGUrQ0JCelJ5NUVpMWFORkN3Y0hCNnRpeG95NWN1SkJqMzhqSVNFbFhnemViemFhdVhidHE2TkNoNnRHamg4NmRPMWNnM3p6TnpNelVqei8rcUh2dXVlZTJ4L296SEQxNlZNV0tGWE5jKzc1OSs3Umx5eGIxNjlkUEZTdFcxSkFoUXpSeDRrU0ZoSVRvMFVjZjFWdHZ2YVZmZi8xVmMrZk9sYmUzdDJPY2hRc1g2dlRwMDRxUGoxZDhmTHhPbno2dEpVdVdhTW1TSlpLa2xTdFhTcnE2QUZoT29mS3VYYnMwY2VKRXhjVEV5TS9QVDcvLy9yc3lNek5Wc21USjI3NUdIeDhmalJrenhyRnRtcWFpbzZQVnFsV3JISVB2aXhjdjZwMTMzdEZ6enoxOGVabkhBQUFnQUVsRVFWU244UEJ3Ui92MUM2TUJBQUFBdURtQ1ZRQUE3bklkTzNaMC9MMW16UnJaN1hiWjdYWjVlWGxsNnhzVkZhVnAwNmFwWExseWp0WHFKZDFXcUJvVkZhVXRXN2FvUklrU3VuRGhndUxqNHpWeTVNaGJIaTh2MzM3N3JaWXZYNjV4NDhZcE1EQ3dRTVlMQ3d1VEpLV2twR2pVcUZFS0NRblJpeSsrS09ucXZUMTc5cXhHamh5cFJZc1dLUzR1VHJObXpWS3RXcldjeHZuc3M4K1VrWkdoa0pBUVZhMWFWYWRPblZMOSt2WFZyVnMzbFN0WHpyRW9WbTRTRWhMazcrOHZQejgvU1ZkZjlaZms5SG1CVzJXMVdwMW1JeDg0Y0VEYnRtMVRhbXFxM243N2JjY0NYTmRjbTVGOC8vMzNaL3VVQVFBQUFJRDhJMWdGQUtDUVdiOSt2U1pQbnF6bXpadXJWYXRXYXRhc21TNWN1S0FKRXlibzRNR0RHakJnZ0xwMjdacHRVYVhyMld3MmJkdTJMVnY3K2ZQbnM3WFZyRmxUQnc0Y1VHcHFxcXBWcTZaQmd3YnA2YWVmTHRCcnVpWWxKVVc3ZCs5V3o1NDlOV1BHREtkWDUxMTErdlJwSFRwMFNNT0hENWZOWnRPSUVTTjAvdng1cDltb2FXbHBDZ29La29lSGh3NGRPcVNxVmFzcUpTVWwyMWdyVjY2VVlSaU83WjkrK2ttVksxZFdvMGFOSEcyR1lTZ2pJeVBIV280ZlA2NlFrQkRIOXA0OWUxUzZkR21uVHhUY3lHNjM2OHFWSzluYXM3S3k4cnp1MnJWcmE4NmNPUm95WklqNjkrK3Zqei8rMkdueHJHczFYbjg5QUFBQUFGeEhzQW9BUUNIVHFsVXJTZEtXTFZzMGN1UklXU3dXWldWbHFVU0pFbHF5WkludXZmZmVtNDZSbHBhVzYzZE82OVdyNTdSZHZYcDFmZkRCQjdkZmVENjBidDFhSlV1VzFLdXZ2cXFlUFh0cTFxeFp0L3lLK3J4NTgrVHA2ZWw0eFQ4bUprWnZ2dm1tNnRXcnAvMzc5K3ZycjcvVzZ0V3JsWmFXcHA0OWU2cGh3NGFhT25XcVhuNzVaVldyVmsxdDJyUlJvMGFORkJZV2xtZElmVTI1Y3VXVW1wcXFzV1BIcW5idDJvN2c4dFNwVTlxMmJadlQ5MHUzYnQycXRtM2JLajA5WFY5KythV3VYTG1pNDhlUDYyOS8rNXVqejJlZmZhYlBQdnZzbHE0OVBEeGNIMzc0b1pLU2tuVHExQ2t0WDc1Y2ZuNSs4dmIyMXJmZmZpdEp0eFZhQXdBQUFDQllCUUNnMEFrTUROUXp6enlqWjU1NVJoY3ZYdFNXTFZ1MFljTUdIVGh3UU4yN2QxZEVSSVJlZWVXVlhJLzM4L05UcFVxVnRHYk5tbXo3SmsyYWxPczNYUDhzRFJvMDBNeVpNelZvMENDdFhidFd3NFlOYzNtTXJLd3MvZlRUVCtyYXRhdEtsQ2loOFBCdzFhaFJRKzNidDFlSERoMTArdlJwbFNoUlF1M2F0ZE1MTDd5ZzBxVkxTNUtXTGwycXI3NzZTcDkrK3FsbXpab2w2ZXFpVGkrODhNSk56OW11WFR2dDJMRkRtelp0Y2dwRWZYMTkxYXhaTThkaVdPZk9uZFBseTVmVnJWczNXYTFXVFp3NFVXbHBhYXBRb1lMYXRXdm5PSzU1OCticTNyMTdqdGMyY09EQW05Wno3VE1ENTg2ZDA4cVZLMldhcGlRcEtDaElMNzc0b21QQkxRQUFBQUMzaG5mQUFBQW9JS0ZWNno0a3E4Y3liMit2MEJsVDNsR2IxcTMrMVBPZk9IRkM2OWF0VS9ueTVkV2hRNGMvOWR4WldWa3lUVE5mTXp2ekt6WTJWcFVxVmNweEFhYjhpSXVMVTNCd3NQejkvWjNhZCsvZUxidmRyc2FORytkWmIwSkNndmJzMmFQSEhudXNRSzlMdW5xL3JyK3VHN2N6TXpObEdJYlRLL3lGeWJIanNlcnlRaDhsSlB4K1dZYjU4dkZEUHk5MGQwMEFBQUJBUVN1Y3Y5WUJBRUEybFNwVjBxQkJnOXh5N2xzTlAvTVNHaHA2VzhmbjlrbUV4bzBiNSt2NFVxVks2ZkhISDcrdEduSno0LzI2Y2R2VDAvT09uQmNBQUFCQXdTbjQvd3NDQUFBQUFBQUFnQ0tPWUJVQUFBQUFBQUFBWEVTd0NnQUFBQUFBQUFBdUlsZ0ZBQUFBQUFBQUFCY1JyQUlBQUFBQUFBQ0Fpd2hXQVFBQUFBQUFBTUJGQktzQUFBQUFBQUFBNENLQ1ZRQUFBQUFBQUFCd0VjRXFBQUFBQUFBQUFMaUlZQlVBQUFBQUFBQUFYRVN3Q2dBQUFBQUFBQUF1c3JxN0FBQUFpaHFiemFaUFY2M1JydS8ydUxzVXdDMFNrNUtVbkhMRjNXVUFBQUFBZHhUQktnQUFCY1R1WWJkYlpHUmxaV1ZwMi9ZWWQ1Y0QzQVVNTTh2TXNybTdDZ0FBQU9CT0lGZ0ZBS0NBR0drZVIrU254VElWNXU1YS91b01aWVVhaHVHUlpSckgzRjNMWDFtV3pIUDJ6S3p2M0YwSEFBQUFjQ2NZN2k0QUFJQWlwV3BWNzFDYnY2Kzd5L2lySzE1Y0swelRERWhLTXA1d2R5MS9aVFpiUXZxcFU2ZFMzVjBIQUFBQWNDY1FyQUlBZ0NLbGJ0MjZOU3dXeXlaSmZuYTcvZkdmZi83NUIzZlhCQUFBQUtEbzhYQjNBUUFBQUFYSllyR0VHNFpSV2xLZ1lSaC9jM2M5QUFBQUFJb21nbFVBQUZCa2hJYUcra2g2MkRSTlgwbGVGb3VsU1ZoWW1MKzc2d0lBQUFCUTlCQ3NBZ0NBSXFORWlSSUJobUU4YlB3L1NUV3RWbXVRdStzQ0FBQUFVUFFRckFJQWdDTERicmRYbEZUejJyWnBtdFU5UER5cXVyRWtBQUFBQUVVVXdTb0FBQ2d5UER3OHVrdnlOVTFUcG1uS01BeHZ3ekFpM0YwWEFBQUFnS0tIWUJVQUFCUVZWc013dXViUS9xd2t6eis3R0FBQUFBQkZHOEVxQUFBb0VzTER3OXNaaGxIT05FMUgyLy9QV2kwYkhoNytqQnRMQXdBQUFGQUVFYXdDQUlBaXdUVE52K2V4dS9lZlZnZ0FBQUNBdndTQ1ZRQUFVT2pWcUZFanhEQ004R3V6VlEzRGtHRVlraHl6VnV2WHJWdTNzanRyQkFBQUFGQzBFS3dDQUlCQ3o5Zlg5MEhETU1ybTBhVzR4V0pwOWFjVkJBQUFBS0RJSTFnRkFBQ0ZuY1hEdytOKzB6VDljK3RnbXFhUFlSZ1BTTEwraVhVQkFBQUFLTUlJVmdFQVFLSDJ3QU1QK0p1bTJkUXdEQTlKams4QVhQKzNZUmdlcG1uV3IxMjdkckI3cWdRQUFBQlExQkNzQWdDQVFpMHJLNnU4WVJqTjh0RzFub2VIQjk5WkJRQUFBRkFnQ0ZZQkFFQ2hacHBtTzBtQjF4YXV5cVdQRE1Nb1pyRlkydng1bFFFQUFBQW95Z2hXQVFCQVlXWXhES08vZFBXMS8rcy9BM0RORGUwdlNMTDhlZVVCQUFBQUtLb0lWZ0VBUUtGVnYzNzl4b1poVk0xdmY4TXdxb1NIaCtmbnN3RUFBQUFBa0NkV3hnVUFBSVdXM1c0L1pCaEcvUnVhNnhxR01WV1NkMVpXVnFSaEdEdXYzNW1Sa1hIeXo2c1FBQUFBUUZGRnNBb0FBQXF0L2Z2M1g1UjA4ZnEyZXZYcWVYdDRlS1FZaG1HVGRIamZ2bjAvdWFjNkFBQUFBRVVad1NvQUFDaFNVbEpTamhjclZteVlZUmdXMHpRUHVyc2VBQUFBQUFBQUFBQUFBQUFBQUFBQUFBQUFBQUFBQUFBQUFBQUFBSGVjNGU0Q0FBQUFDbExkdW5XTDJlMzJxcDZlbmtaeWN2S3hJMGVPSkxtN0pnQUFBQUJGajRlN0N3QUFBQ2hnZGJ5OXZUY2FockV0TURDd3FidUxBUUFBQUZBMEVhd0NBQUFBQUFBQWdJc0lWZ0VBQUFBQUFBREFSUVNyQUFBQUFBQUFBT0FpZ2xVQUFBQUFBQUFBY0JIQktnQUFBQUFBQUFDNGlHQVZBQUFBQUFBQUFGeEVzQW9BQUFBQUFBQUFMaUpZQlFBQUFBQUFBQUFYRWF3Q0FBQUFBQUFBZ0l1czdpNEFBQUNnSUJtR2tXNmE1a2xKM3FacHBycTdIZ0FBQUFCRkU4RXFBQUFvVWxKU1VnNzYrL3RIWkdWbEdRa0pDZWZkWFE4QUFBQUFBQUFBQUFBQUFBQUFBQUFBQUFBQUFBQUFBQUFBQUFDQU84NXdkd0VBQUFBRnFXYk5tc0UrUGo3TlROTzBaR1ptZm5QdzRNRno3cTRKQUFBQVFOSGo0ZTRDQUFBQUNwS1hsMWMxRHcrUDl6MDhQT2I3K1BqVWQzYzlBQUFBQUlvbWdsVUFBQUFBQUFBQWNCSEJLZ0FBQUFBQUFBQzRpR0FWQUFBQUFBQUFBRnhFc0FvQUFBQUFBQUFBTGlKWUJRQUFBQUFBQUFBWEVhd0NBQUFBQUFBQWdJc0lWZ0VBQUFBQUFBREFSUVNyQUFBQUFBQUFBT0FpZ2xVQUFBQUFBQUFBY0pIVjNRVUFBQUFVc0dUVE5IOHlUZFBiWnJNbHVyc1lBQUFBQUFBQUFBQUFBQUFBQUFBQUFBQUFBQUFBQUFBQUFBQUFBSGVjNGU0Q0FBQUFDcGhSdFdwVkwwazZjdVJJcHFRc045Y0RBQUFBb0FpeXVMc0FBQUNBZ2xTN2R1MHFmbjUrSTd5OXZkdVZLbFhxeElVTEZ5NjR1eVlBQUFBQVJZK0h1d3NBQUFBb1NCNGVIcVVsZFRaTnM1dW5wMmQ1ZDljREFBQUFvR2dpV0FVQUFBQUFBQUFBRnhHc0FnQUFBQUFBQUlDTENGWUJBQUFBQUFBQXdFVUVxd0FBQUFBQUFBRGdJb0pWQUFBQUFBQUFBSEFSd1NvQUFBQUFBQUFBdUloZ0ZRQUFBQUFBQUFCY1JMQUtBQUFBQUFBQUFDNGlXQVVBQUFBQUFBQUFGMW5kWFFBQUFFQkJzdHZ0Q1JhTDVUTkpudW5wNldmZFhROEFBQUFBQUFBQUFBQUFBQUFBQUFBQUFBQUFBQUFBQUFBQUFBQ0FPODV3ZHdFQUFBQUZxV3JWcXQ0K1BqNWxzckt5aktTa3BQaFRwMDZsdXJzbUFBQUFBRVdQaDdzTEFBQUFLRWorL3Y2MVBEMDlQL1h4OFZsVHBreVpodTZ1QndBQUFFRFJaSFYzQVFBQUFBVXBLeXZMeDJxMVZqWk4wOGN3akdMdXJnY0FBQUJBMGNTTVZRQUFBQUFBQUFCd0VjRXFBQUFBQUFBQUFMaUlZQlVBQUFBQUFBQUFYRVN3Q2dBQUFBQUFBQUF1SWxnRkFBQUFBQUFBQUJjUnJBSUFBQUFBQUFDQWl3aFdBUUFBQUFBQUFNQkZCS3NBQUFBQUFBQUE0Q0tydXdzQUFBQW9TSVpoWkptbW1XNFlockt5c3V6dXJnY0FBQUJBMFVTd0NnQUFpcFNVbEpUanhZb1ZHMllZaHNVMHpZUHVyZ2NBQUFBQUFBQUFBQUFBQUFBQUFBQUFBQUFBQUFBQUFBQUFBQURBSFdlNHV3QUFBSUNDVkxkdTNXSjJ1NzJxcDZlbmtaeWNmT3pJa1NOSjdxNEpBQUFBUU5IajRlNENBQUFBQ2xnZGIyL3ZqWVpoYkFzTURHenE3bUlBQUFBQUZFMEVxd0FBQUFBQUFBRGdJb0pWQUFBQUFBQUFBSEFSd1NvQUFBQUFBQUFBdUloZ0ZRQUFBQUFBQUFCY1JMQUtBQUFBQUFBQUFDNGlXQVVBQUFBQUFBQUFGeEdzQWdBQUFBQUFBSUNMQ0ZZQkFBQUFBQUFBd0VVRXF3QUFBQUFBQUFEZ0lxdTdDd0FBQUNoSWhtR2ttNlo1VXBLM2FacXA3cTRIQUFBQVFORmt1THVBbklSVXFWM1J5OU5heGQxMW9QQktUMDgvZnZiNG9UaDMxMUZVOEV6aWR2Rk1GanlleTl4bDJXMmVQbGFQWUx1a2pFejdSWXZWTTkzZE5kMk5lQzRMRnM4a2JoZlBaTUhqdWNUdDRya3NXRHlUdUYxMzR6TjUxd1dyb2FIMVErVmpmaVJETmQxZEN3cTFFMG8xT3NmRy9oanI3a0lLdS9KVjYxYnd0QnFMZUNaeG0zZ21DeERQSlFvSXoyVUI0ZmNyQ2dqUFpBSGl1VVFCNGJrc0lEeVRLQ0IzM1RONTkzMEt3RWVoTWxUVGtGSE96OWRYRnF2RjNSV2hFTEhiN0VwTlMxT1dhZnJJUjZHUzdwcUhyYkR5bENwY2V5WjlmWDFsNVptRUMzZ203d3llUzl3T25zczdnTit2dUEwOGszY0l6eVZ1QTgvbEhjQXppZHR3TnorVGQxK3crdi84ZkgzMTJqOEhLYXhXRFhlWGdrTGs0S0ZmOWU4NUgraFNVcEs3U3lseS9IeDk5ZkxBZnFwZnQ3YTdTMEVod2pONVovRmM0bGJ3WE40NS9IN0ZyZUNadkxONExuRXJlQzd2SEo1SjNJcTcrWm04YTROVmk5V2lzRm8xOU5DRERkMWRDZ29aVDA5UGQ1ZFFKRm1zRnRXcVVZMW5FaTdqbWJ4emVDNXhxM2d1N3d4K3YrSlc4VXplT1R5WHVGVThsM2NHenlSdTFkMzZUSHE0dXdBQUFBQUFBQUFBS0d3SVZnRUFBQUFBQUFEQVJRU3JBQUFBQUFBQUFPQWlnbFVBQUFBQUFBQUFjQkhCS2dBQUFBQUFBQUM0aUdBVkFBQUFBQUFBQUZ4RXNBb0FBQUFBQUFBQUxpSllCUUFBQUFBQUFBQVhFYXdDQUFBQUFBQUFnSXNJVmdFQUFBQUFBQURBUlFTckFBQUFBQUFBQU9BaWdsVUFBQUFBQUFBQWNCSEJLZ0FBQUFBQUFBQzRpR0FWQUFBQUFBQUFBRnhFc0FvQUFBQUFBQUFBTGlKWUJRQUFBQXFSUzVjdXVidUVQMFZ5Y3JLKy9QSkxwYVNrNU5vbklTRkJHemR1elBlWW1abVp1ZTZ6Mld3dTFRY0FBRUN3Q2dBQUFCUVNTVWxKZXVLSko3UjI3ZHA4SDVPY25LekRodzlyKy9idDJybHpaNzZPK2ZqamovWElJNDhvTWpMU3BmckdqaDJyVHo3NXhMRnRzOW0wZi8vK20vNXo2TkNoYkdPZFBuMWF3NFlOVTN4OGZLN25XN2R1bmQ1NjZ5M0Z4Y1hkdExZelo4N280WWNmMW9vVks3THRTMGhJVU92V3JSVWRIWjNQS3dVQUFKQ3M3aTRBQUFBQVFQNXMzTGhSTnB0TlRabzBjV3IvNktPUGRQandZZG50ZHFXa3BDZzVPVmtYTDE1VVFrS0MwdExTSFAyQ2dvSzBhZE1tV2EyNS8yL0FWMTk5cFgvLys5OEtDZ3JTbDE5K3FTMWJ0dWl4eHg3TFYzMUhqeDZWeFdKeGJDY25KNnRuejU0M1BhNWt5Wkxhc21WTG5uM3NkcnN1WHJ6bzFOYTZkV3N0V0xCQVM1Y3VWZCsrZlozMitmajR5Ti9mMzdHOWUvZHUyZTEyMWE5ZlA5dllIMy84c1RJek14VVNFcUtUSjA5bTJ4OFNFdUowWFFBQUFCTEJLZ0FBQUZCb3JGdTNUdmZkZDUrT0hqMnFvMGVQU3BMcTFxMnIzYnQzNjhTSkV3b0xDMU9KRWlWVXZueDVCUVFFS0RBd1VFRkJRU3Bac3FTQ2c0TlZ1blRwUEFQQ3paczNhOVNvVWFwVHA0NW16cHlwTjk5OFUyKzk5Wlk4UFQzVnNtWExXNjU3M0xoeGF0NjhlWTc3Rmk1Y21LOFp1R2ZPbkZHSERoMXkzTGR5NVVxdFhMblNxZTJaWjU3UnFGR2pITnZmZnZ1dEtsV3FwR3JWcXVuS2xTdnk4ZkdSaDRlSERoOCtyQlVyVnNodXQrdnZmLzk3anVOdjJyUkpwVXFWdW1tTkFBRGdyNFZnRlFBQUFDZ0V2di8rZXgwOGVGQ1M5TW9ycnpqYVAvNzRZMGxTbzBhTk5HYk1tRnNhMnpSTkxWeTRVRE5tekZDOWV2VTBZOFlNK2Z2NzY3MzMzdE5ycjcybTExOS9YUU1IRGxTZlBuMWtHSWJUc1hhN1hlZlBuMWVaTW1VY2JaY3VYZEx2di8rdTRPQmdTVmRucnY3KysrODVuanMxTmRWcCs4Q0JBL3JsbDE5MDRjSUZTZExubjMrdTRPQmczWGZmZlpveVpZcWpUKzNhdGJPTjlaLy8vRWNoSVNFS0RBeFVTRWlJb3owdExVMDdkKzVVcjE2OWRPclVLWFhvMEVHZmZ2cXBLbGFzcUpFalI4cHV0MnZRb0VGT3dlcjU4K2ZWcTFjdjFhcFZTeVZMbG5UbGRnSUFnTDhJZ2xVQUFBRGdMbWV6MmZUdXUrL3FvWWNlMHZUcDA1MzI1ZlZhZjM2Y1BuMWFZOGFNMGQ2OWU5VzJiVnVOR2pWS1BqNCtraVJmWDE5Tm56NWRvMGVQMXB3NWM3Um56eDVGUmtZcU5EVFVjZnlGQ3hmMDlOTlBhOW15Wlk2MjZPaG9UWnMyVFZGUlVaS2tkOTk5Tjg4YXJnOHV2L3Z1TzgyZlAxK21hVXFTbGl4WklrbnEwNmVQZXZmdXJVT0hEbW5vMEtFYVBueTRPblhxNURqdTh1WExldWVkZHhRY0hLekZpeGZMdytPL3kwbDgvZlhYU2t0TFU3Tm16Unh0cG1scXpKZ3hPbi8rdlByMTY2YzVjK2FvWXNXS2V1eXh4L1RISDMvb3pUZmZsTCsvdnlaTW1PQTBGZ0FBd0RVRXF3QUFBTUJkYnNXS0ZZcU5qZFg0OGVOekRWSXZYcnlvL2Z2MzV6bE81Y3FWSGQ4ZFRVdEwwL0xseXpWdjNqeVpwcWszM25oRFhicDB5WGFNbDVlWEprNmNxSm8xYTJyMjdObnEzTG16dW5UcG9yLy8vZThxVTZhTUl4UTlmLzY4NDVqejU4K3JYTGx5anUzUm8wZXJhZE9tT2RhMGRPbFNyVnUzenJIZHUzZHY5ZTdkVzcvKytxdTZkZXVtSlV1V09BVzV0V3JWVXFkT25UUjU4bVExYk5qUXNlL2RkOTlWV2xxYXhvOGZueTBJWGIxNnRTVG5FRG8rUGw0Ly9mU1RKazZjcUNaTm1zakR3ME9Sa1pFNmNPQ0FvcU9qNWV2cnEzbno1aWt3TUREUGV3b0FBUDY2Q0ZZQkFBQ0F1MXoxNnRYMTFGTlBxVStmUGs3dDRlSGhtamx6cGlScDU4NmQycmx6WjU3amZQREJCd29QRDlmS2xTdjE0WWNmNnZmZmYxZUZDaFhVc0dGRFpXUmthT0hDaGJrZWF4aUdXcmR1clI5Ly9GR0xGeS9XOHVYTDlkUlRUMm5reUpIeTgvTlRmSHk4bysrcFU2ZFV2bng1eDNaV1ZwYnNkbnVPNDE2Ym1acVhqSXdNZmYzMTE0N3R1blhyS2pFeFVVZU9ITkdSSTBjVUZ4ZW5MNzc0UXM4Ly83eU9IVHVtWThlT1NaSmF0bXlwRXlkTzZQdnZ2ODgyWnBreVpiUm16UnA1ZVhsSmtycDI3YXFkTzNkcThlTEZrcVNSSTBmeUNRQUFBSkFuZ2xVQUFBRGdMdGV3WVVQVnJsMWJUWm8wMGRTcFV4MUI2L1hCWDd0MjdkU3RXemQxNzk1ZEd6WnNVSWtTSlJ6N05tM2FwREZqeHFoQ2hRcnk4UERRN3QyN1pSaUd4bzRkcXlwVnFxaC8vLzVPNTdQWmJFcExTNU9QajArMkdiSno1ODdWbVRObk5HZk9ISlV0VzFhR1lTZ3dNRkFKQ1FtU3JnYXdSNDhlVlpNbVRSekhqQnMzTHMvcnUxbUFtWnljck5HalIyZHJqNG1KY2Z6dDQrT2pkZXZXT2MxKzNiUnBrejc1NUJOWnJWYlpiTFpzeDN0NWVlbjA2ZE5hdjM2OWxpMWJKcXZWcXNHREIydm56cDBhUDM2OFpzK2VyWll0V3lvOFBGd05HelowK280c0FBQUF3U29BQUFCUUNQajQrS2h0MjdhYU8zZXU3cjMzWHJWdDI5WnB2NGVIaDZwVnF5WlBUMDhkUDM3YzZWWDhnd2NQcW56NThpcGJ0cXdrYWRTb1VmTHk4cEt2cjY4a2FmdjI3VTVqN2RtelIvMzc5OWZVcVZQVnVISGpiTFhVckZsVExWdTJWRlpXbGlTcFJZc1dLbGV1bkZKU1V1VGw1YVhXclZ2ci92dnZsOVZxVmFOR2pkUytmWHRWcVZJbHgrdjY3cnZ2ZE9EQWdWeXZlL3YyN2JwdzRVSzIyYmpuenAzVHJGbXoxTHQzYjFXdVhEbkhZMk5qWS9YNTU1L3IyV2VmMWNxVks1MzIvZmJiYnhvOWVyVCs4NS8vcUZ5NWN1clRwNDg2ZGVva2k4V2lldlhxeWN2TFMydlhydFhXclZ1MWV2VnF2ZlhXVytyUW9VT3VkUUlBZ0w4ZWdsVUFBQURnTHBlU2txTEV4RVJKVjJlVHBxU2s2TXlaTTVLY1ozdGFyVmJWcVZOSDMzenpqV1BHcUdtYWlvbUpVY3VXTFIzOWloY3ZmdHMxZVhoNE9MNWxPbXpZTUVuU3JGbXo1T3ZycTVkZWVrblMxVThBM0xqWTFvMUNRME1WRVJFaDB6UWRzMTIzYjkvdWVQVi85dXpaYXRTb2tXUC9OWk1uVDliUFAvK3MxMTkvUGRleGYvMzFWNFdFaEtoOSsvYlpndFVxVmFxb1RwMDY2dHUzcjVvM2J5Nkx4YUpkdTNacDh1VEpTa3hNMUlvVkt6UjgrSEJGUmticVAvLzVUNjdCTUFBQStPc2lXQVVBQUFEdWNsOTg4WVVtVHB6bzJENTkrclNpb3FJa1hWMjBLVFUxMVJGeXRtelpVb3NYTDliZ3dZTmx0VnExZCs5ZW5UdDNUazgrK2FUVG1PbnA2VnExYWxXTzV6dDU4cVFrS1RvNldrZVBIczJ4VDBSRWhOTm5Ba3pUMU9YTGwxVzZkR2xIVzNSMHRDTjB2Wm1QUC81WWRlclUwVWNmZmFRdFc3YW9SbzBha3FURml4Zkx5OHRMelpvMWMrcWZscFltaThXUzdicXVDUWdJME5xMWExV3laTWtjRi95eVdDeUtqSXhVVmxhV2R1ellvY1dMRjJ2ZnZuMTY3cm5uTkhEZ1FFblN6ei8vckxwMTY2cFdyVnI1dWdZQUFQRFhRckFLQUFBQTNPWGF0R21qK3ZYclM1SmVmZlZWMWE5Zlh5KysrS0lrcVZ5NWNwbzllN1pqRm1xN2R1MDBjK1pNZmY3NTUycmZ2cjBXTEZpZzhQQndoWVdGT1kyWm1wcXFXYk5tNVhpK2E2LzRSMFZGT1FMYkczWHMyTkVwc0l5TmpWVjZlcnI4L1B3Y2JRMGFOTkRzMmJPZGpudmpqVGYwNElQL3g5NTlSMGRWZFgwYy84MWtFa0lQRUxyU3BBVVFFOW9qWFFGRlVWQ1Vva2hIQVFXbGlvQ0ZMdEllUUZCRWlFaUhTQmRSZUpDcUlBalNTYWdpUFNIQkFDRUp5V1R1KzBmTXZJeXBBNEZKK1g3V2NqbHoyK3h4ZVhMdTdIdk9QblhVdG0xYmgrMEowL2s3ZCs2c3dZTUhLemc0V0IwNmRKQzd1N3NLRnk2c3NXUEhTcEp1M2JxbGNlUEdxV0hEaG5ycHBaZnM1d2NHQnNyZjMxOXZ2LzIySG52c01Wa3NGbmw2ZXFwMjdkbzZjZUpFa3Q5aC9mcjFtajU5dWlJaUl0UzhlWE45OE1FSGV1eXh4L1RiYjc5cDVNaVJ5cDA3dDVZdlg1NWtZaFlBQUlBN0JDZkV4TVRZVnczOXQvRHdjTVhGeGFsUW9VS3BYc2RxdFRwTW5icWJZUmd5RENQWkc5alVoSVdGS1M0dTdwNEw2MGRFUkNoUG5qejNkQzZRV1FVR0J1cTc3NzdUUng5OWxHemJPM0RnZ0k0Y09hSm5ubmxHeFlzWHY2ZlBPWExraUlvWEx5NXZiKy83Q1JmSUZuYnYzcTJTSlV1cVZLbFNEdHZEd3NKMDZ0UXAxYXBWU3hhTFJVZU9ITkhqanorZTZ2VmlZMlBsN3U2ZTVENnIxVXJTQkJsZXZuejVsQzlmUGttU3U3dTc4dWZQci9MbHl5czJObFp1Ym02NmR1MmF2THk4SkVrRkNoVFF5eSsvck04Ly8xeTNiOS9XbmoxNzVPL3ZuK2lhWGw1ZSt2WFhYN1ZreVJMNStQakl6OC9QdmkraHh1cTBhZE1jYXF5dVdiTkdWcXRWcjc3NnFzTzBmQ20ranFza3paZ3hRM1hyMWxXaFFvVlVzR0RCUkRWYUxSYUxpaFVybG1UdFZrbXFXTEdpSkNrNE9OaStMVmV1WEhyNjZhY2xTWU1IRDFhK2ZQazBjdVJJKzNlV3BLVkxsNnBjdVhMcTBhTkhvdGlTVTY5ZVBZV0ZoZW1sbDE2U2w1ZVgvdnp6VHcwY09GQTdkKzVVNjlhdDlkNTc3eVc3aUJlUTBmMzAwMC82KysrLzlmcnJyNmZMOVU2ZlBxMENCUXFrNlRjdkFHUVg5NWE5eTRaQ1FrTDA0b3N2Nm9jZmZraHkvK2pSby9YV1cyK2w2Vm9iTm14UXc0WU5GUmdZbUdqZnRtM2I5TXd6eitqS2xTdjNGT2ZNbVRQVnBrMGJSVVpHT24ydTFXcFY4K2JOSGFhRWhZU0VLRGc0T00zLzNMbHo1NTdpQmx6cDBxVkxXcnQyclgxMHpyOUZSMGRyMkxCaG1qNTl1bjc4OGNkNy9weStmZnZxNTU5L3Z1ZnpnZXdpSmlaR0gzMzBrU1pPbkpobzMvTGx5OVd2WHorRmhvWnEwNlpONnRxMXE3WnUzWnJxTlZ1M2JxMWh3NFlsdWE5TGx5NmFObTNhZmNjTlBHemg0ZUhxMmJPbjl1elpvOGpJU1B2VWVVbnEwNmVQTEJhTEprK2VyQTRkT3RoSHUvN2JuVHQzOU9PUFA2cGZ2MzVKM3B2ZTdjaVJJeG8vZnJ5MmJkdW11TGk0UlB1M2J0MnF3b1VMS3pvNldoOTg4SUZPbmp5cDU1NTdMdEUvTjIvZTFKbzFhNUxjdDIvZnZoUmpDQTBOMVkwYk4zVHo1azJOSFR0V3UzYnRzdGR4UFhEZ2dJWU1HWkxtcEtvVVg1KzJjK2ZPT25YcWxBWU9IS2kyYmR2S1pyTnA2ZEtsR2o1OHVIYnYzcTFYWDMwMTBhaGJ3RlVNdzlEbzBhTzFaczJhVkkvZHZuMjcxcTVkbStJeE4yN2MwTkNoUTNYeDRzVkUrdzRlUEtqUTBGRDcrL2J0MjJ2eDRzWE9CdzFrYzdObnoxYk5talYxN3R3NVY0ZUNCNERIcm1sZ0dJYkdqQm1qeU1qSU5JMktTYzNldlh2bDZlbHBmeHFmd0dhemFlN2N1U3Bldkxpc1ZxdTl0bFVDZDNkM2g5VmQveTAwTkZRYk5teFFodzRkSEtaZ3BWVlFVSkNpbzZOVnJWbzErN1pXclZvcE5qWTJ6ZGVZUEhteWZUUUJYTXZYMTdkRmFHam8xb3NYTDBhNU9wYk1idjc4K2JwMjdacktseTh2ZjM5L3ZmRENDL1pWbFJOWXJWYWRQSGt5eGV2RXhjWHA2dFdyOWhFOVNjbVhMNThlZWVTUmRJa2JHVXYxNnRVZnNkbHNCWThlUFhyWTFiRmtkSnMzYjFaNGVMaTZkZXZtc0QwbUprYXJWcTNTODg4L3IyTEZpcWxvMGFKYXNXS0Z4bzRkSzE5Zlh4VW9VQ0RKNjEyNGNFRlhybHhSaHc0ZEV1M2J1bldyZ29LQzlQcnJyeWZxZHlXcFVLRkM5OVNuSW5QSXpIM2wxYXRYMWFOSEQ4WEd4bXJYcmwzMmxld1RuRGx6eHY3QU95Z29TT0hoNFE2ak94UGt5SkZEMDZaTlU1Y3VYZFMzYjEvTm5UdlhQaVgvYm4vOTlaZjY5Kyt2Q2hVcWFPTEVpWWxHYjRhR2htckhqaDNxMGFPSHlwVXJwNkZEaDJyaHdvWDJSYXp1Tm5YcVZGV3JWazNObWpWTHRDKzFQdERiMjF0ejVzelJxVk9udEdUSkVnMGFORWk1Y3VWU2VIaTQzbnp6VGRXdVhUdkY4Nlg0dnJabno1NHFXTENnamg0OXFpRkRoaWc4UEZ6UFBQT01saTVkcWdvVkt0aEg3TzdidDArdFdyVlM1ODZkVTcwdTdoOTlaZXJpNHVJVUhSMnRNV1BHNk5xMWEzcnJyYmNVSEJ5c1BYdjJKRHIyMHFWTHVubnpwcjBlODkyOHZiMVZyMTQ5aFlTRTZPREJnK3JVcVpNKysrd3orMGp5MjdkdnExZXZYbnJwcFpjMGZQandCM2h2QUpVQUFDQUFTVVJCVlA2OWtIRmw1cjd5WVl1TWpKUzd1M3V5czZTY1BlZVpaNTY1cDBGelV2eXNsT1FHQmlKOWtWaE5nemx6NW1qWHJsMGFNMmFNU3BVcXBSTW5UaVFxNGg4U0VxTGJ0MjlydzRZTkR0dTl2YjFWcDA0ZCszdWJ6YVk5ZS9hb1NaTW1NZ3hEVVZGUnlwa3pweVJwNWNxVkNnb0traVM5L1BMTGllSW9YYnEwVnExYUpTbit5ZUx2di8vdXNILzc5dTJ5V3EwcVZxeVlObS9lbk9yMzh2YjJscSt2cjRLRGczWDU4bVZ0MjdaTk9YTGtVR1JrcEE0Y09DQkptalZybHYzR09UQXdVQk1tVE5DOGVmTmtNcGswYXRRbzFhNWRXeTFhdEhDSUVSbUQyV3orb1hEaHdwZTh2YjBYR0lieG5kVnEvZXZZc1dNM0pWbGRIVnRtRWhnWXFHKysrVWJQUGZlYyt2ZnZyMWRlZVVVZmZ2aWh2dnJxSzRjZmxSRVJFZXJVcVZPcTExdXdZSUVXTEZpUTdQNG1UWnBvMHFSSjZSSTdNaGF6MlZ6VFlyR3M4ZlB6TzI0WXhwZUdZZnd2T2pyNnlva1RKMjVMU25xNGREYjEzWGZmcVhyMTZxcFpzNmJEOW8wYk4rcnZ2LzlXMTY1ZEpVa21rMGtmZnZpaEprK2VuT0tNaWQyN2Q4dGtNcWxwMDZhS2pvNld4V0tSeFdKUmRIUzAvdnZmLzBxU1Jvd1lrZVM1bjM3NnFabzNiNTVPM3d3WlRXYnNLNjFXcTBKRFEvWFhYMy9KeDhkSHMyZlBWcmR1M2RTNGNXUGx5cFZMTnB0Tml4Y3Yxc3laTStYbjU2Zk9uVHRyMkxCaDZ0S2xpeVpPbk9nd3FqVkJvVUtGOU4vLy9sZURCZzFTZUhoNGtwKzdmLzkrNWNtVFI5T25UMC95WWNQczJiTVZGeGVubGkxYnFrU0pFdHE5ZTdjT0hqeW9Eejc0SUZHWnFTKy8vRkxseTVkWG16WnRVdnl1TVRFeHllN0xtVE9uaWhZdHFwdzVjeW9tSmtaZVhsNzY5dHR2ZGY3OGViVnIxODZock1HLzVjK2ZYNzE2OVpJVVh6Wmh3SUFCZXZMSkorWG01cVl0VzdabzNMaHhPbkxraU9yWHIyOWZVQXNQQjMxbDZpd1dpOGFOR3lkdmIyOTk5ZFZYdW5YcmxobzNicXlGQ3hjbU9qWWtKRVF4TVRGSjdxdGF0YXJxMWF1bkNoVXFhUDc4K2VyYnQ2L2VmZmRkalJvMVNzOC8vN3gyNzk0dHE5WEtvQmxreXI3U0ZXN2R1cVdubm5wS0hUdDIxSUFCQTlKMHpwMDdkOVN3WVVPMWE5Y3V5WVVlSXlNamxTdFhMalZzMk5EcGVITG56dTMwT2JnM0pGWlRzV2JOR3MyZVBWc2RPM2EwSnhDM2J0MmFxSE9LaVltUnpXYlR1SEhqSExiWHJsM2JJYkg2eHg5LzZQcjE2MnJSb29XKy8vNTd6Wmd4UTF1MmJORmZmLzJsYWRPbXlXS3hhT2JNbWFwZXZicjluRjI3ZG1udzRNRjY4Y1VYN2R2T256K2Y3QXFyU1UyZFRFcURCZzAwZmZwMGJkaXdRVE5uenJSdnYzdGt3WVlORyt3ajh5SWpJMlV5bWV5eGVYcDZxa1NKRXR4c1ptQW1rNm1reVdRYUptbUEyV3crN09mbjk1dWt3eWFUYWRjZmYveVI4bnkvTEM0dUxzNCtjdlQ4K2ZPU3BLTkhqOHJOelUzZTN0NHFYcnk0YnQyNnBlSERoOHZMeTB2dnYvKyt2THk4Tkd6WU1IMzg4Y2VhTkdtU3c3VGkvUG56SnpuTi8rKy8vOWJvMGFNVkZSV2w4K2ZQcTJ6WnNycHc0WUxlZSsrOUpFZnFPUE4wRTVtVHlXU3FZaktaWmhxR2NTTlhybHk3ZlgxOS96QU00NURaYlA3bHdJRURsMTBkbjZzZFBueFlodzhmMW93Wk15Ukp3NGNQVi9QbXpkVzRjV010VzdaTUpwTXB5ZEk3ZHovWWVPeXh4L1RWVjEvWjMvL3ZmLzlUclZxMVZMUm9VVDMzM0hQcTFxMmIycmR2cjRrVEorcnk1Y3VxVjYrZUprMmFaSjgrYkxWYTFiZHZYMTI5ZWxXMWF0VjZ3TjhZcnBiWitzcDkrL2JwOXUzYnFsT25qcVpNbWFKbHk1YnA4dVhMR2pkdW5QYnYzNitwVTZjcU1EQlFiZHUyMWFCQmcrVHU3cTdaczJlclQ1OCs2dGl4bzlxMmJhdDMzbmxIb2FHaGljcG92UFRTU3pwNDhLQU9IanlvUzVjdVNZcC9vSkhRWDc3d3dndUpScjQxYU5CQUVSRVJXclZxbGRxMGFhTVNKVXBJa29ZTUdTTERNT3dEQ0p5eGMrZE9IVDE2VkgvODhZZWsrRkUzWjg2YzBaRWpSeFFVRktUOSsvZnI3Tm16eXBrenAxcTJiS2szMzN4VHVYUG4xcG8xYTdSdzRVSnQyclJKRlNwVVVLZE9uZlRDQ3kraytGbVhMMTlXWkdTa1B2MzBVKzNZc1VNV2kwVk5temJWOE9IREU4MHV3OE5EWDVreWs4bWtnUU1IS2srZVBISnpjMVBObWpYbDcrK3ZxQ2pIQVlXZmZmYVpMbHk0NFBCYkwwSEJnZ1h0cjRzV0xTcC9mMzk5OXRsbjlvY1MyN2R2bHhSZjAvaHVpeGN2MXZMbHl4MjJ0VzdkT3RGeHlGb3lXMStabFR6NjZLUDY1Sk5QWEIwR1VrQmlOUVZMbHk3VmxDbFQ5T3l6ejZwZnYzNzI3YjE3OTFidjNyMGRqaDA0Y0tET25UdG5IMUdhbkUyYk5pbDM3dHp5OC9PejE5ZTRlZk9tQmc0Y3FMSmx5NnBzMmJJYU5teVk1c3labzdKbHkrcklrU01hT1hLa21qWnRxdTdkdTl1djQrUGpvNDBiTjlyZisvdjdhOVdxVlZxMGFKRjlLdVQ4K2ZOMTVjb1ZEUjA2Tk1sWWN1VElJVW5xMXEyYnVuVHBvbWJObXFsdjM3NTY1WlZYN01kRVJFVFlGdzRJQ3d1VG01dWIvWDFVVkpRaUl5UHQ3eE1TVXNoWURNT1F5V1R5TkpsTWRTVFZNUXpqdG1FWUliNit2b0dHWVN5TmpZMWRjL3o0OFFoWHgvbXdSVVpHMmtlOUplalJvNGNrNmZYWFg5ZDc3NzJuZ1FNSDZ0S2xTNW85ZTdaOSttU0xGaTBVRkJTa3hZc1h5MncyMjJ1NW1Vd21oeW1XY1hGeFdyTm1qV2JObXFXYU5XdnFrMDgrVVlzV0xkU3FWU3NWTDE1Y28wYU4wclp0Mi9UMjIyK3JhdFdxRCsrTEkwUDRwMTNtbC9TY3BHZE5KdE5OU1NGK2ZuNjdKUzA4Y09EQVZtWFRrVGt6Wjg1VXJWcTFWSzllUGYzMjIyL2F1SEdqbWpkdnJvMGJOeW9vS0VpdFdyVnllUGc0WmNvVTFheFpVMDg5OVpSOTI5MXRNVFEwVkFjT0hFZzBjbURGaWhWYXUzYXRldmZ1cmZuejUydm16SmthTkdpUTR1TGlOSGJzV0FVRkJjbmYzNThGT3JLSnpOUlhQdm5ra3hvN2RxeWVmdnBwV1N3V0xWKytYSzFhdFZKNGVMZ0dEQmdnYjI5dlRaMDZWWTBhTmJLZlU3bHlaUzFldkZqdnYvKytmdjMxVi9YczJWTi8vdm1uNXM2ZG0rSm5lWHA2T3R4dkpxVm8wYUpxMEtDQjZ0YXRxL2ZlZTgvaDNIdDE3ZG8xelowN1YrN3U3bXJmdnIyOHZMeTBZOGNPalJrelJubno1bFd0V3JYVXVYTm5OV25TeEdGRXptdXZ2YVkyYmRybysrKy8xOXk1YzNYNWNzcjV0ek5uenFoRGh3N3k5dlpXclZxMU5ITGtTRFZxMU1oK2p3elhvcTlNWGMrZVBlMnZKMDZjbU94YUFIZlBNRXd3ZCs1Y2g1SGQrZkxsMDZlZmZpb3B2dS9jdkhtejZ0V3I1MUJlWS9yMDZmTDE5Vlg5K3ZVZHJwWFVTSGhrUFptcHJ3UWVKaEtyeWJoMTY1YSsvUEpMTlduU1JHUEdqRkZVVkpSNjlPaWhidDI2M2ZPVXdNaklTRzNjdURGUlRhcGp4NDRwT2pwYXMyYk5Vb0VDQlRSdzRFQjE2ZEpGSFRwMDBJSUZDOVM0Y1dPTkhqM2E0UnlMeFdKUFlsNi9mbDNmZi8rOVdyVnFwUW9WS3RpUFNaZ21scFprNS9IangzWGp4ZzJWTGwxYUw3MzBrdno5L2VYdDdhMXZ2dmxHOCtmUGR6ajI3bzc1NjYrLzF0ZGZmeTBwdmlaV2FzWFI4ZkNaVENZWmhuSDNwdHlTeXByTjVyS1NXcGpONWxBL1A3OTFobUY4WXpLWlRsNjdkaTBpTzlUUHlaczNyM2J1M0NsSkdqbHlwSDcrK1dkdDM3NWRack5aVnF0Vmd3Y1AxaDkvL0tFUFAvd3cwWFRDQVFNR0tDb3FTZ0VCQWJwNjlhcEdqaHlwL1BuelM0cHY1OTkvLzcyV0xGbWlxS2dvRFJvMFNNOC8vN3pEK1kwYU5kS0tGU3ZzTmUxOGZYMzE4c3N2Nittbm4yYktSalp5VjdzMFMvS1M1R1V5bVNwSzZ1TG41M2RKMGlLcjFicllack5kdW5Qbnp1M1RwMDluK2RVQmQrL2VyZjM3OTl2TFpmajcrOHZQejArMWE5ZTJQL1R6OC9OVHExYXQ3T2ZNbURGREZTdFdWT3ZXclpPODV1clZxMlVZaGtQZmE3UFp0R1hMRnZYbzBVTnZ2ZldXcWxXcnBrR0RCdW5LbFN1S2pvN1cwYU5IOWNVWFg2aEtsU29QOE5zaUk4bHNmZVhkL2NxVUtWTlV0bXhaNWM2ZFd5TkdqRkN6WnMyU25LcGZyRmd4K2Z2NzYvcjE2L0x5OHRMVFR6K3RYMy85TmQxaVNtcEVYSEsyYk5tUzR2NVhYbm5GNFVHL0ZILy9XYjE2ZFpVdVhUckZ4YWtzRm90YXQyNnRsaTFiT215dlZLbVM5dS9mNzdEdHNjY2UwOGFORzVPc1BZdU1nYjR5c2ZYcjEydmJ0bTBhUG55NHc2alRvVU9IcW4vLy9nN0hmdnJwcDdwdzRZSm16WnFWNkRwZVhsNzJlOTQ2ZGVvNDFDR2ZOMitlWW1Oak5XVElFRDM2NktQMjdkT25UMWZWcWxXcE9aeE5aYmErRW5oWVNLd21JMi9ldlByODg4LzF4Qk5QeUd3MmErclVxYnB3NFlKeTU4NnQxYXRYSnpyK3lwVXJpb2lJU0hKZjVjcVY1ZVBqby9YcjF5c2lJc0tlZ0VsUXQyNWRyVjY5V2g0ZUhwS2tRWU1HcVd2WHJwb3paNDd5NTgrdjl1M2Jwemc5Mk4vZlg3R3hzZmJSZHZkaTE2NWRxbENoZ2dvVktxU0xGeTg2clBSYXJWbzFEUjgrWEwvKytxc1dMRmlnMmJOblM1TDY5ZXVuVnExYXFXblRwdHE4ZWJNMmJkcDB6NStmN215R1BDeTJDc210Z0p2ZDNQMERKS0V6VFBpM3lXVHlsdFJkVWllVHlYU2ljT0hDUjcyOXZmZlliTGJmRGg4Ky9Kc0x3bjFvY3VYS0phdlZhaS8yNytucEtZdkZZbCtzb2x1M2Jucm1tV2QwNjlhdFJPZSsrKzY3eXAwN3R4WXVYS2dKRXlhb2JkdTJXckZpaGJadDJ5YUx4YUkzM25oRGI3enhoa09pOUpWWFhyRS8vQ2hRb0lCR2pScWxOOTU0UTk5ODg0MUdqUnFsTVdQR3FGYXRXcG84ZWZJOVRaM015QXliSVE4M1c5bnMzQ2JOWnJOOVpjQ2sydVRkcjAwbVUwbEpIMWdzbG5jbEhmWHc4RGppNit2N2g4bGsybmJnd0lIa1Z6L0w1TmF0V3llejJheGh3NGJKYXJVcU9EaFlDeFlzMEp3NWMzVHQyalducjJlMVdyVnk1Y3BFMjgxbXM3NzQ0Z3U1dWJsSmt1clVxYU9YWDM3WlByWHgxVmRmZFhoUW1XWFJWenJJckgzbHZ4Y2RUWW1IaDBlS0M2Rm1aQmFMUldYS2xISHErTFRJU0VsVitrcjZ5clNJakl6VXpwMDcxYlp0VzMzMDBVZDYrdW1uMWFOSEQ5MjhlVFBSc1FrMVZ0OSsrKzBrcnpWanhneTV1N3RyeXBRcDlwbVNack5abXpkdlZzT0dEUjJTcXRrV2ZhV0R6TnBYQWc4U2lkVVVKSXhTMjdObmo1WXRXNmFQUC81WU4yL2UxT1RKazVNOUo2bDlQWHIwVUlVS0ZiUjQ4ZUprYi9JOFBEeDA5T2hSclZpeFFoczJiRkM1Y3VYVXMyZFBMVisrM0w2NmFvTUdEVlNqUmczNStmblpGd0c0Y3VXS1ZxeFlvVFp0MnR6WGpmTDI3ZHNkcG96ZExXZk9uS3BVcVpLT0hqMnF2SG56MnFkNnhNVEVxRXlaTXFwVXFaS09IRGx5ejUvOUlKaE1NdVcwV0xxYnphYTAzNEZuRXdtZFlSSWRvYnVrYWlhVHFacWtWOXpjM0s3NSt2cWV2Qk5yL0I1bFUvSkRReks1MzMvL1hSRVI4VE5XNXMrZnJ4ZGVlRUZ2dlBHRzZ0ZXZyeXRYcmpoTUwvNjNiNy85VnRXcVZWT05HalYwNGNJRm5UaHhRbjM2OU5HNmRlczBmLzc4UktPOUpTa2dJQ0RKYTczNzdydTZjK2VPTEJaTGxrdXFTcEpKVWk1M1N6dXoyWlJ0NzBvTnc4aVIxQ2lyVkc1UWN5bCtxbFZ0czluOGhtRVlWLzM4L0E1SDNZbjdJOXBJZEtsTXIzbno1dkwyOWxhQkFnVzBiTmt5dFdqUlFxVktsZEtTSlV2VW9FRUQvZkxMTHdvTURIUVlqUmNiRzZ0ejU4NDVMTnBZdEdoUlBmNzQ0OXF3WVlOQ1EwUHRDZFM3V1N3VzNieDVVNXMzYjlhQ0JRdDA5ZXBWZGU3Y1dUZHUzTkNhTld1MGZ2MTZOV3pZVURWcjFwU2ZuMStXVExUU1Z5YlA2YjR5VGdlanJGbTNyOFREUVYrWnZuM2w3VHR4UjJPTXJOY3MyN1ZycHdvVkttanc0TUVhTm15WVZxMWFwWGJ0MnFXNGlHTnl2THk4TkhIaVJFMlpNa1ZMbHk3VjlldlhOWHYyYkFVRUJDU1pxTTJPNkN1VFIxK1p0QjA3ZGlRcVJYUDI3RmxKMHFSSmt4enVZLzgxQWpoSlpyTTVmUU5FdWlPeG1vcVFrQkI5OHNrbmNuZDMxOHN2dnl3cDZSbzFkK3Zmdjc5S2xpeXA5OTkvMzc1dDllclZ1blRwa2xxM2JwMW9nWnNOR3pib2l5KyswTldyVjFXbFNoVjkrdW1uYXRxMHFjTEN3dlNmLy94SEZ5OWUxUHIxNnhVUUVLQ0ZDeGRxMWFwVjlzVHF3b1VMWmJWYWxTZFBua1JGeE0rZlA2K2JOMjhtMmk1SjlldlgxeU9QUENKSnVuVHBrb0tDZ3ZUUlJ4K2wrTDF1M0xoaC8xekRNQlFSRWFGOCtmS2xlSTZMdVJ1R2NlOEZ2aks1bEtiSkplV2ZtamtKNTVvTnc4aHBOcHZ6UzlZY01weThXQ2J5ODg4LzY3SEhIdE9aTTJkMDZOQWgvZkxMTDVvelo0NGFOV3FrUC8vOE04VVZHTXVXTFd0ZnZLMWd3WUphc1dLRnBQaFJkeFVyVmxUYnRtMVQvZnpJeUVpTkh6OWUzdDdlcWY1dHlld01reXpadVUxS2NucGxzcnZicFdFWVprbTVKT1dYbENVTEFENzExRk42NnFtbnRHM2JOa1ZHUnVyZGQ5OVYzcng1MWExYk56MzMzSFA2NVpkZnRIcjFhb2ZGYzZLam83Vmp4dzd0MnJYTHZxMVpzMmJ5OGZIUm5EbHo5T3l6enlhYTdod1ZGYVYzMzMxWGUvZnVsWWVIaDFxMWFxWE9uVHVyYU5HaTJyZHZuM3IyN0tsMTY5WnA0OGFOMnJ4NXMxcTBhS0V4WThZOHRQOE9EeGw5cFJPUzZ5dU4yRGdQR1ZuL3h5SWVQUHJLOU9zcnpXYXpoK0t5NEZOSXhROEFtajkvdms2Y09LRVNKVXFvUklrU3VuRGhnbjN0aTlSNGVYbXBmUG55OXZlREJ3OVdnUUlGVks1Y09SMDVja1FIRGh4STl0eGp4NDdaUy9iY3pjZkh4NkVlYXhaRFgrbUU3TnBYdXJtNTJXZVJoSVNFT095N2ZmdTJwUGgxYXhJRzlVaXBKMWF0Vml1TEcyY0NKRlpURUJrWnFRRURCaWcwTk5TcC81blBueitmNktuQzhlUEg5Y0lMTDZoczJiS0pqdmYxOVZYRGhnM1ZzbVZMVmExYTFUNTFjZWJNbWFwVXFaSysrdW9yTlc3Y1dIZnUzTkhwMDZkVnFsUXArN20zYjkrV3A2ZW5GaTFhbE9pNnNiR3hzdGxzK3Z6enp4UHRLMUtraUQyeG12RDA1TTAzMzdUdmYrV1ZWK1RsNWVWUVQvYlVxVk02ZWZLa2xpMWJwcnAxNnlvdUxpN0pHbDRaZ1dISWlMSmFaK2R5ZHp2bDZsaGN4V1F5YlUxcWUxSi92UCtwbHhOckdNWkpTVWNNdzdCUDJTaFR2dnFUY2xmN0J4MnZLNFNGaFduRGhnM3ExS21UenB3NW8wOCsrVVR0MnJYVHFsV3I5TkpMTHlsdjNyd3FXN2FzTGx5NG9MNTkrMnI2OU9uMmFZaWJObTNTVHovOXBOYXRXeWM1R3E1a3laSnBTcFNHaDRkci9Qang2ZjdkTWhwRFVsU01kVWx1RDdkeHJvN0ZWY3htYzMxSlkvKzlQYmticW4vYVphUmhHTWNrSFRZTTQ0QmhHTnNPSFRwMDdKOTIyZTBCaCt3U0VSRVIrdXl6ejlTelowOFZLVkpFVXZ5aWtlSGg0WktrNGNPSE8weDNidEtraVY1OTlWWDE2ZFBINFRvaElTRzZkdTJhZXZYcWxTaXhtak5uVHZ1Q1Y4MmJOMWVlUEhsMDd0dzU5ZXZYVDd0Mzc5YU1HVFBVczJkUDllelpVeGN2WHJTWDZzbHE2Q3ZUc2ErczdQdVVUTWFyRHpwZVpHMzBsZW5jVjFiMmZVb21kWHpBSWJ2TUk0ODhZdjg5SjBuTGx5L1gwcVZMVS8zZEdoc2JxOGFORyt1Ly8vMnZ3L2FFc25MejU4KzNyNkVoeGM5U05BeERPWExra0tlbnB3NGVQS2g5Ky9ZbFdxQ3VYYnQyV1RLeFNsOUpYNWxXdVhMbFNuTEdvaVRObmoxYlgzLzl0VDc3N0RPSHNqWnhjWEdhTjI5ZWtvc1p4OFhGeVdxMTN0ZGlrSGc0U0t3bUkyRTB5NlZMbDlTcVZTdjdDb3RidDI1TmRXUm5kSFMwTGx5NFlGOHRzVm16Wm5ydHRkZFV1SERoSk91UWxpaFJRa09IRGxWa1pLUysrKzQ3TFZxMFNPSGg0ZXJWcTVmYXRXdW4wNmRQSzArZVBDcGV2SGlpQmpkcTFDaU5HalVxeVRpR0RSdW0wNmRQNjd2dnZrc3gzcXBWcTJyYXRHbVNwT0RnWUkwZlAxNURodzZWdDdlM2Z2LzlkMG54ZnpRUEhUcWt0bTNiYXNhTUdUcCtQTDVzMGZqeDR6VnYzcndVcis4U1pwTmk0dHhPblR4MmNKdXJRM0dWR2pWcTJGOG4xK245cysrNnBCL2o0dUlXdWJtNUJkNjRjU1A4N05tek54NVduSzQwZi81OFBmcm9vL1lwdmw1ZVh2cmlpeTlVb1VJRnZmWFdXeXBXckpqR2p4K3Zva1dMS2pnNFdBY09ITEIzaEFFQkFRb0pDVkdiTm0yU3ZQYW1UWnUwZFd1Uzl5RFprc2xzVXF6TjdjK0RCN052bS9UMTljMmY4TkF0cFIrSS8reS9haGhHZ0dFWXl3M0QrTXN3alBERGh3L2ZmbWpCdW9oaEdCbzFhcFM4dkx6VW9VTUhoWWVINityVnF5cFVxSkRUVCt1TEZDbWlTWk1tcVhUcDBrbnU3OXExcXlRcE1EQlFTNWN1MVU4Ly9hUmF0V3BwK2ZMbEtsV3FsSGJ0MnFWNjllbzUvR2pOY3VncjZTdVJvZEJYMGxjNjQ4aVJJL2F5VlFrUEFJc1ZLNllmZnZnaHhmTzZkKytlYUp0aEdEcDc5cXdlZSt3eGRlblNSVjI2ZExIdjY5dTNyLzcrKzI4dFhyeFlVdnpDVmpObnp0U1dMVnVVSTBlV25FRGppTDZTdmpLTmZ2NzVaeDA0Y0VEOSsvZFBjNTF2TnpjM1ZhOWVYVHQyN0ZDVktsVWMxdU5KV09jamc4OFNoa2lzSnN0bXMrbjgrZk9hT25XcVEvM1FTcFVxYWZEZ3dTbWVPMnZXTEJVcVZFanQycldURlA4MDBjZkhKOFZ6SmsyYXBEVnIxaWhuenB4cTNicTFPblRvb0h6NThpa2dJRUNmZi82NW5uLytlWDN5eVNmMy84V1NVTEJnUWZ0MDUzUG56a21LWDhpamFOR2k5c1Rxdm4zN0ZCWVdwcmZmZmx1Tkd6Zldva1dMVkx0MmJRVUhCK3Vqano2eUo1R1I4ZHc5RmVNZlVZWmgzTExaYktkTUp0Tzh5TWpJZ0JNblRpUmVuU21MKy92dnY3Vnk1VXE5OTk1N0R0c1QybXFkT25XMGJOa3lXYTFXZVhoNHFGcTFhanAwNkpCYXQyNnRxS2dvSFRseVJPM2JKeitROS9ISEg3Zi9EVWpKN2R1M05XNWN0aDJZa3EzZGRSTnFreFJsTXBsdTJHeTJQU2FUYWM2QkF3YzJTcks1TkVBWDJMUnBrN1pzMmFJOGVmS29VYU5HOW5weFU2Wk1VY0tpRWM3VVdFMnBsTWVKRXlmMDRZY2Y2czgvLzlSLy92TWZUWjA2VmZYcjE5ZjU4K2YxNXB0djZzU0pFMXE2ZEdteWlWbGtMZlNWNlNzME5GUXJWNjVVblRwMTdHc1dBUGVDdmpKNTY5YXQwK3JWcTdWbHl4WjdZdlhxMWF0cTNMaHhpdWRGUmtZbTZoLy8rdXN2dFd2WFR1Ky8vNzVlZSswMWgzMWhZV0dKRmw5RzlrUmZtYko5Ky9ZcElDQkE3Nzc3YnBvVHExSjhlWTJsUzVlcVE0Y09EbTN0NnRXcmt1THZhNUd4a1ZoTlJ1N2N1YlZreVJJVkxsellJYkZhb2tRSnRXN2RXbDk5OVpYQ3dzTDA0WWNmSmpwMzRjS0ZLbDY4dUZxM2JwM216MHVvQi9mc3M4L0t3OE5EdTNmdjF2VHAwM1g1OG1XOSsrNjdldTIxMXhRZUh2N1FWaTQ5ZWZLazl1L2ZyNmlvS0JtR29aa3paNnBwMDZiS256Ky9Ibm5rRWUzWnMwZVRKMDlXb1VLRjFLTkhqeVNuUWlOaitLZnppellNNDdDa1BaTDJTZHAzOE9EQkxMdGFhbHE0dWJrcFg3NThhdFdxVmFKcHdwTFVvRUVEelowN1Y0Y1BIMWFOR2pWVXBVb1Y3ZGl4UTFKOHAybTFXdFdrU1pOa3IxKzhlSEdIVWhySkNROFBKN0dhRGYwelRlcUd5V1RhcmZnMmVTZ3VMbTczb1VPSExyazZObGNxVjY2Y25udnVPWlV1WFZxUFBQS0lTcFlzcWVMRmk4dmIyOXUraUVaYWE2d20xRDlPVG9VS0ZmVGlpeS9xcWFlZVVwa3laUlFlSHE1cDA2WnA2ZEtsOHZQejA3Smx5L1RJSTQvbzFxMWJ5cHMzNzRQNXdzZ3c2Q3ZUMTh5Wk03VjkrL1lVSDBBQ3FhR3ZUTm4rL2Z0VnFWSWxoOUZzQlFzV1RMWEUxTVNKRXhOdE8zYnNtQ1E1bEp5VHBEdDM3dWpjdVhOcTJiSmxPa1NNekk2Kzh1RTZlZktrSkRtVURrREdSR0kxQllVTEYwNXgzNXc1YzFTa1NCRzk5ZFpiOS8xWmZuNSs4dkh4MGViTm03VjQ4V0tkUFh2V25zRE5uVHUzL1AzOU5XL2VQRTJhTkVuMTY5ZlhjODg5Wng4YW5weUVHcXNwalNZZE5HaVE4dVhMcHpWcjFpZ2tKTVQrVktSLy8vNHFXTENnbWpkdnJuUG56dW4yN2R1YU1HR0NZbU5qTlh6NGNGV3VYRmtOR3phVW01dWJBZ0lDdEcvZlBwMCtmZnErL3pzZ2ZSbUdjZFZrTWkwekRHTzF6V1k3RXhzYmUrMzQ4ZU14cm80ckk4aVhMNTltekppaG5EbHpKcm5meDhkSG5wNmUycnQzcjJyVXFLRUtGU3BvOGVMRnVuNzl1bmJ0MmlWdmIyOVZyMTQ5MmV0VENnREpzZGxzSjh4bTh6ZVN0aGlHOGRlQkF3ZitsbVIxZFZ3WlFZVUtGVko5MEpEV0dxdXBNWnZONnRxMXE4NmVQYXNKRXlabzNicDFldlRSUnpWNThtUTFiTmhRUVVGQjZ0S2xpOXpjM0RSdjNqeW5GMjVBNWtGZm1iNysrT01QclYrL1hpYVRTUys4OElMVDUvL3d3dzhQYlNBQk1pNzZ5cFNGaG9icXI3LytVcWRPblJ5Mm0weW1WS2ZuSjdYQytNR0RCMlUybXhQZDIrN2F0VXN4TVRFT1U4R1RzbTdkT25sN2U2dGV2WHBwL0FiSWJPZ3JINzZFd1Q5UFBQR0VpeU5CYWtpczNxTlhYMzFWUVVGQit1cXJyL1Q0NDQvcnlTZWZkUG9hbFN0WHR0ZXZXYlZxbGFaTm02WWNPWExvNVpkZjFvd1pNNVF2WHo3OStPT1A4dmYzMTdWcjE5UzdkMi85NXovL2tTUjE2OWJOUGtVeU9ULysrS1BDd3NMVXNXUHlOZHVyVnEycTRPQmdlWHQ3cTJiTm1zcVJJNGVtVEptaXRXdlg2cEZISHRIbm4zK3VzbVhMYXZqdzRTcFdySmlpb3FLVVAzOStEUjQ4MkQ1S3RVeVpNdHEzYjUvVDN4OFBsczFtYXgwU0VyTHA4dVhMa2E2T0phTzZlelhVZjdOWUxLcGV2YnIyN3QycjNyMTdxMXExYW1yVnFwVmlZbUswZmZ0Mk5XM2FOTWtiMHdSVnExWlYyN1p0VTQwaE1qSXlXeXhlQmNuTnplMkExV3F0Y2VqUW9lU1gyb1dETzNmdTZNU0pFenA1OHFTYU5XdVdMdGZzMkxHanFsYXRxb2lJQ1BYcDAwZEhqeDVWblRwMU5HSENCRFZvMEVEbno1L1hxRkdqdEg3OWVqM3h4Qk1hT25Rb1NkVXNqTDR5ZmQyOGVWTWZmL3l4R2pWcWRNK2pWZlBreVpQT1VTRXpvYTlNbTRSWkd2OWVMQ29zTEN6VlFUK3hzYkVxVWFLRXc3WkRodzZwWXNXS0R1MHZMaTVPL3Y3K3lwTW5qeG8wYUpEaU5iZHMyYUliTjI2UVdNMmk2Q3NmdnF0WHIycmJ0bTJxWExteVNwWXM2ZXB3a0FvU3EvZGh5SkFoS2x1MnJHclZxdVd3UFNvcUtrMC93bng4Zk96MUhKczFhNllDQlFxb1ljT0d1bjc5dXRhdlg2K0FnQUNGaFlXcFpjdVc2dEdqaDBOdGpiVGNyQVlHQnNwcXRhcHo1ODRwSGxlcFVpVTFhdFJJVW55TjFTbFRwaVJhSkNSaFdrak9uRGsxYytiTVJOZUlpNHZqaDJjR2MvRGd3VFd1amlHejY5T25qMzBLY05teVpUVml4QWdkTzNaTXdjSEJLVTd6SHpCZ2dQTGt5WlBrNm83L0Zoc2JxMEtGQ3FsS2xTcnBGamN5cHYzNzk1K1hkTjdWY1dSa1o4NmMwZDY5ZTNYeTVFa0ZCUVhwekpremlvdUxVNkZDaGV5SjFmRHdjRjIrZk5sK2pzMW1VMFJFaE1NMktiNGNSMUw5MHQwUEc5OSsrMjA5K3VpaktsYXNtUGJ1M2F1aFE0ZnE1NTkvVnJseTVUUjI3Rmc5Kyt5ejlHMVpISDFsK29tTmpkV2dRWU1VSGg2dURoMDZPRDNxdEZTcFV2WTZrY2krNkN2VFpzZU9IYkpZTElscUdLZGw4YXF1WGJzNjlHM1hyMS9YbVRObkV0VlduVGx6cGdJREEvWDIyMjg3SkZ3VHpyWFovcis4YlhCd3NDcFdySGpQM3djWkczM2x3emQ5K25SWnJWYTkvdnJycmc0RmFVQmk5VDY0dTd1clE0Y09takZqaHR6ZDNlWGg0YUh6NTg4ckpDUWt4ZHFMLzJhejJYVDU4bVZkdkhoUmZmdjIxYjU5KzFTMGFGRzk4TUlMYXRldW5ieTl2Ui9ndDdnM0Z5OWUxSzVkdStUcDZTbWJ6YWJ2dnZzdTBaTlBJTE5hdjM2OW9xT2o3ZThURm5HVDRrY0llSGg0Nk9USmt6cDE2cFNrK09rWlVWRlJDZ3dNZExqTzBhTkgwL3laSVNFaDl0ZHQyclNoYmpHeXBWOS8vVldmZi82NXlwUXBvNnBWcTZwMTY5YXFXcldxS2xhc2N5bko4QUFBSUFCSlJFRlVxTnUzNHhkNm5qNTl1cVpQbis1d1hrQkFnQUlDQWh5MjdkeTUwMkdScTM4TER3OVhaR1NrRmk1Y3FDMWJ0aWc4UEZ4MTY5YlZsQ2xUMUxCaFF4S3FnQk9pbzZNMWRPaFFIVDkrWE1XS0ZWT3ZYcjJjdnNieTVjdFRuRWtDSU42ZE8zZTBlL2R1VmFsU0pjVitMc0hTcFVzVkVoSWlEdzhQUlVSRUtEQXcwR0V0a0QxNzlrajYvK25HVVZGUm1qSmxpbGF2WHEwYU5XcW9hOWV1RHRjcldMQ2dKR24yN05tcVZxMmFMbDY4cUpNblR6cTF2Z2lRbFNXVkM3SmE0eXVadlBIR0c4bnVTL0Rqano5cTA2Wk5xbGl4b3A1Ly92a0hFeVRTRlluVmRMQi8vMzc3QWxjV2kwVlBQUEZFb25vM0tWbXpabzNHalJ1bjh1WExxMDZkT25ycnJiZFVvMGFORFAyanpqQU1UWmd3UVZMOFU4dnk1Y3NuV2wwZHlLejgvZjExL2ZyMVpQZDdlSGc0ak56dTI3ZXZ3c0xDdEhEaHduVDUvTmF0VzVOWVJiYlVwazBidFczYk50bmF4NUwwemp2dnBMcmlzU1I1ZW5vbXUrL09uVHZxM0xtemJ0eTRvUm8xYXVqTk45L1VNODg4b3dJRkN0eFQzRUIybDdDQTNILy8rMSt0WGJ0V1BqNCtHanQyYkpyT1BYZnVuRjU5OWRVSEhDR1FkWVNIaDZ0V3JWcHBycnQ0NDhZTmJkKytYVkw4NzdiNjllczdKRXQvK2VVWFNaS3ZyNit1WDcrdTExNTdUV0ZoWVdyY3VMSEdqaDJiYUhYekprMmFhTTJhTlZxMGFKRU13NURGWXRHVFR6NTVUeldWZ2F5a2Z2MzY5MVFqL01DQkF3NERlY3FVS2FNU0pVcG94SWdSL0NiTUpFaXNwa0huenAxVG5FNy83YmZmU29vZmVXb3ltVkpNaUhibzBFRWRPblJ3MlBiS0s2K29TWk1tNlY2by8xN3FOcFlwVTBiNzkrKzN2Mi9idHExOWxORGRIbjMwVWUzYnQwK3hzYkZ5YzNPandTTlRhOWFzbWNQLzk2dFhyNzZuNi9UdTNUdTlRZ0t5cFpSRzNuaDVlVG0wVTJjay9LQk1rQ05IRGkxY3VGQjU4K1pOc1ZZeWdMUjU5dGxuVmJod1lmbjUrV250MnJVS0RRMjExNEJNVFhCdzhBT09Ec2hhaWhZdG1tam1oaVFOSGp4WWd3Y1BUclM5ZCsvZUtkNmo5dXZYVDNYcjFsV1JJa1VreGEvbGtiQ0ljVkx5NU1tamI3NzU1aDZqQjdLdUJnMGFwRnFQT0MxOGZIeTBjdVZLeXVOa0lpUlcwOUg5L0RqTHFLdWZGaTllUE5sOUpwT0p4ZzRBeUpUeTU4L3Y2aENBTE9YdVdvL0hqeC9YNU1tVDAzUmViR3pzZ3dvSlFCb1VLVkpFTDc3NG92MDlOUjBCMXlQUGtybVFXQVVBQUFDUWJobzFha1FwQUFBQWtDMlFXQVVBQUFDUWJqWnQycVN0VzdlNk9nd0FBSUFIanNRcUFBQUFnSFJUcDA0ZDllelpVMmZQbmxXdVhMbFNMQzBWR2hxcUw3LzhVamx5NUhpSUVRSUFBS1FQRXFzQUFBQUEwc1dFQ1JNa1NWT25UdFdTSlV2MHlTZWZLRy9ldk1rZW56ZHZYazJhTk1tK2NBNEFBRUJtUW1JVkFBQUFRTG93REVOVHBrelI4dVhMNWU3dXJva1RKNlo0ZkhSMHRDUnB3WUlGcWxxMTZzTUlFUUFBSU4yUVdBVUFBQUJ3MzRLRGd6Vnk1RWdkT1hKRTlldlgxNmxUcC9UeHh4K3JYcjE2aVk2OWVQR2lQdnZzTS8zKysrL3EwNmNQU1ZVQUFKQXBrVmdGQUFBQWNNOWlZMlAxM1hmZmFmYnMyU3BVcUpBV0xseW9zbVhMS2lBZ1FPKy8vNzdxMWF1bmpoMDc2b2tubnRERml4ZTFaTWtTclZtelJoVXFWTkQ4K2ZOVnVYSmxWMzhGQUFDQWUwSmlGUUFBQU1BOU8zcjBxR2JObXFYWFhudE5QWHIwa0tlbnB5U3BYYnQyZXVxcHB6Umh3Z1IxNzk1ZHBVcVYwb1VMRjFTZ1FBR05HREZDeno3N3JFd21rNHVqQndBQXVIY2tWZ0VBQUFEY016OC9QMjNhdEVrNWMrYVVZUmk2Y09HQ0FnTURkZVRJRVIwOGVGQkJRVUVxV0xDZ2ZIeDhaTFZhZGZueVpZMGVQVm9CQVFIeThmRlJ5WklsVmJSb1VSVXBVa1JseXBSUm5qeDVYUDJWQUFBQTBvVEVLZ0FBQUlEN2N2NzhlWTBmUDE1bnpweFJaR1NrTEJhTHFsU3BvbnIxNm1udzRNRjYvUEhIWlRhYkpVbEJRVUg2N2JmZnRHL2ZQdjN3d3crNmVmT21KTW5EdzBPclZxMGlzUW9BQURJTkVxc0FBQUFBN2t2RmloWGw1K2VuSmsyYXFGcTFhcXBTcFlxOUpNQy9WYTVjV1pVclYxYlhybDBsU1pjdlg5YlpzMmRsTnB0VnZIanhoeGsyQUFEQWZTR3hDZ0FBQU9DK21Fd205ZXZYNzU3T0xWR2loRXFVS0pIT0VRRUFBRHg0WmxjSEFBQUFBQUFBQUFDWkRZbFZBQUFBQUFBQUFIQVNpVlVBQUFBQUFBQUFjQktKVlFBQUFBQUFBQUJ3RW9sVkFBQUFBQUFBQUhBU2lWVUFBQUFBQUFBQWNCS0pWUUFBQUFBQUFBQndFb2xWQUFBQUFBQUFBSEFTaVZVQUFBQUFBQUFBY0JLSlZRQUFBQUFBQUFCd0VvbFZBQUFBQUFBQUFIQVNpVlVBQUFBQUFBQUFjQktKVlFBQUFBQUFBQUJ3RW9sVkFBQUFBQUFBQUhBU2lWVUFBQUFBQUFBQWNKTEYxUUVrSjg0YXArT0JKMXdkQmpLWjQ0RW5GQnNiNitvd3NxUTRhNXdDVDV4U2podzVYQjBLTWhIYTVJTkZ1OFM5b0YwK09OeS80bDdRSmg4czJpWHVCZTN5d2FGTjRsNWs1RGFaWVJPclVkSFJtakhyYTdtN3U3czZGR1Fpc2JHeHVubnJscXZEeUpLaW9xUDExZHh2NU9IdTRlcFFrSW5RSmg4czJpWHVCZTN5d2VIK0ZmZUNOdmxnMFM1eEwyaVhEdzV0RXZjaUk3ZkpESmRZalRGc1Z6eE1waXMydy9BTXYzblQxZUVnc3pLTTRCakR1T0xxTUxJQ204a0lNU3UrVGQ2NG1USC9rQ0VUb0UybUs5b2wwZ1h0TXQxdy81b0tteUdUU1NaSk1nd1pNcHRjSFZIR1JKdE1WN1RMVk5BdTA0WjJtVzVvazBnWEdiQk5ac1MvbnVaUzVhdFdObHZjaTdnNkVHUmVjU1piNklYQXc4Y2wyVndkU3haQW04UjlvMDJtTzlvbDdodnRNbDNSSmxQZzRSWlhJYWZGMGwyU2U1VFZPanNtenUyVXEyUEtpR2lUNlk1Mm1RTGFaZHJRTHRNVmJSTDNMU08yeVl5WVdBVUFBQUNRUmZqNitqNWxOcHVYR29iaGFSaEc2NE1IRDI1emRVeEFka2U3QklEMFlYWjFBQUFBQUFBQUFBQ1EyWkJZQlFBQUFBQUFBQUFua1ZnRkFBQUFBQUFBQUNlUldBVUFBQUFBQUFBQUo1RllCUUFBQUFBQUFBQW5rVmdGQUFBQUFBQUFBQ2VSV0FVQUFBQUFBQUFBSjVGWUJRQUFBQUFBQUFBbmtWZ0ZBQUFBQUFBQUFDZFpYQjBBQUFBQWdLekxack1kbDlUYmJEYTd4Y1hGSFhkMVBBQm9sd0FBQUFBQUFBQUFBQUFBQUFBQUFBQUFBQUFBQUFBQUFBQ3lKSk9yQXdBQUFBQ1FkVld2WHIySTJXeXVhemFiM2F4VzZ5K0hEeDhPY1hWTVFIWkh1d1NBOU1IaVZRQUFBQUFlR0xQWlhNVnNObjlsR0lhbjJXeHVMWWtFRHVCaXRFc0FTQjltVndjQUFBQUFBQUFBQUprTmlWVUFBQUFBQUFBQWNCS0pWUUFBQUFBQUFBQndFb2xWQUFBQUFBQUFBSEFTaVZVQUFBQUFBQUFBY0JLSlZRQUFBQUFBQUFCd0VvbFZBQUFBQUFBQUFIQVNpVlVBQUFBQUFBQUFjQktKVlFBQUFBQUFBQUJ3a3NYVkFRQUFBQURJdWt3bVU0UmhHRWROSmxNT1NSR3VqZ2NBN1JJQTBndUpWUUFBQUFBUHpOOS8vMzAwVDU0ODNXMDJteWt5TWpMRTFmRUFvRjBDQUFBQUFBQUFBQUFBQUFBQUFBQUFBQUFBQUFBQUFBQUF5SkpNcmc0QUFBQUFRTmIxK09PUGwzTnpjM3Rka2lVdUxtN2hrU05IenJvNkppQzdvMTBDUVBwZzhTb0FBQUFBRDR5Ym0xc3BzOW5jMXpBTVR6YzN0KzJTU09BQUxrYTdCSUQwWVhaMUFBQUFBQUFBQUFDUTJaQllCUUFBQUFBQUFBQW5rVmdGQUFBQUFBQUFBQ2VSV0FVQUFBQUFBQUFBSjVGWUJRQUFBQUFBQUFBbmtWZ0ZBQUFBQUFBQUFDZVJXQVVBQUFBQUFBQUFKNUZZQlFBQUFBQUFBQUFua1ZnRkFBQUFBQUFBQUNkWlhCMEFBQUFBZ0t6TE1JekxOcHR0Z1NSM3d6QXV1em9lQUxSTEFBQUFBQUFBQUFBQUFBQUFBQUFBQUFBQUFBQUFBQUFBQUZtU3lkVUJBQUFBQU1pNnFsU3A0cEVqUjQ3OGNYRnhKcXZWR243OCtQRVlWOGNFWkhlMFN3QklIMlpYQndBQUFBQWc2L0x3OEtnaTZTdUx4ZUwvejJzQUxrYTdCSUQwWVhGMUFBQUFBQUN5TkMrVHlWVFBNQXhQU1Y2dURnYUFKTm9sQUtRTFJxd0NBQUFBQUFBQWdKTklyQUlBQUFBQUFBQ0FrMGlzQWdBQUFBQUFBSUNUU0t3Q0FBQUFBQUFBZ0pOSXJBSUFBQUFBQUFDQWswaXNBZ0FBQUFBQUFJQ1RTS3dDQUFBQUFBQUFnSk5JckFJQUFBQUFBQUNBazBpc0FnQUFBQUFBQUlDVExLNE9BQUFBQUVEV0ZSTVRFK1R1N3Q3ZlpESzV4Y1RFQkxrNkhnQzBTd0FBQUFBQUFBQUFBQUFBQUFBQUFBQUFNZ2VUcXdNQUFBQUFrRFg0K3ZxMk1Kdk5Qemh6anMxbWEzM3c0TUUxRHlvbUlMdWpYUUxBZzhQaVZRQUFBQURTUldobzZGYkRNQzZuOVhqRE1LNkdoSVJzZXBBeEFka2Q3UklBSGh3U3F3QUFBQURTeGNXTEY2TWtMWkFrd3pDU1BTNWhuOGxrV25iNTh1WEloeElja0UzUkxnSGd3U0d4Q2dBQUFDRGQyR3kyQUVuUkpwTXB5U1NPWVJneW1VeVNGRzBZeHVxSEhSK1FIZEV1QWVEQklMRUtBQUFBSU4xWXJkYS9ETU00bk5weGhtRWN0dGxzWng1R1RFQjJSN3NFZ0FlRHhDb0FBQUNBZEhQczJMR2JrdmFrNGRBOXNiR3gxeDUwUEFCb2x3RHdvSkJZQlFBQUFKQ2VySklPR1laeFczS3M2WGpYNnloSis0NGZQeDd6MEtNRHNpZmFKUUE4QUNSV0FRQUFBS1MzM1pKQ2t0dHBHTVl0U2ZzZVhqZ0FSTHNFZ0hSSFloVUFBQUJBdWpwdzRNQnh3ekNDL2xrTVI0WmgzTDNpdUF6RE9IWGd3SUhqcm93UnlHNW9sd0NRL2tpc0FnQUFBRWgzaG1Fc1NXNmZ5V1NhOXpCakFSQ1BkZ2tBNll2RUtnQUFBSUIwRnhzYnU4WXdqTEM3dC8wekt1NTZaR1JrZ0t2aUFySXoyaVVBcEM4U3F3QUFBQURTM2ZIanh5TWtyVTJZZHB6QVpETDllT0xFaVZ1dWlRckkzbWlYQUpDK1NLd0NBQUFBZUNBTXcvakdNSXpZdTk3SFdxM1dSYTZNQ2NqdWFKY0FrSDVJckFJQUFBQjRJR3cyMnlsSmY1cE1KdjB6UXU2a201dGJvSXZEQXJJMTJpVUFwQjhTcXdBQUFBQWVpTkRRMEFoSmY5eTE2Y2lOR3pmQ1hSVVBBTm9sQUtRbkVxc0FBQUFBSG9qTGx5OUhTdG9oS2Nvd2pCaEpPODZlUFh2RHhXRUIyUnJ0RWdEU0Q0bFZBQUFBQUEvUzc1SkNUU2JUclg5ZUEzQTkyaVVBQUFBQUFFQkdWNk5HalMwMWF0VFk3K280QVB3LzJpVUEzRCtUcXdNQUFBQUFNcnNTajFWNzFNUGQ4cGlyNDhpb2NycXJsV0V6UEtMalRDdGNIVXRHZGVmT25UK3YvQm40bDZ2anlFcG9seW1qWGFhT2Rna2dOU1JXQVFBQWdQdFFwb3h2R1hrYTgyUlNaVmZIa29HWlpNZ2trMnl1RGlRRE82OG9VL3R6NXc2ZWMzVWdXVUhKOHRVZmNiZVlGdEl1VTBTN1RCM3RFa0NLTEs0T0FBQUFBTWpVUEZWR0psVTJ5VlFzVjg2Y2NyTzR1VG9pWkNKeDFqaEZSVWZMWmhpZThsUVpTU1J3MG9HNzlFaEN1OHlaTTZjc3RFczRnWFlKSUsxSXJBSUFBQURwSUZmT25CcjRYaDlWOGFuazZsQ1FpUndQUEtFWnM3NVcrTTJicmc0bFM4cVZNNmY2dnQxVHZ0V3J1VG9VWkNLMFN3QnBSV0lWQUFBQVNBZHVGamRWOGFta0ordlVjblVveUdUYzNkMWRIVUtXNVdaeGswK2xDclJMT0kxMkNTQXR6SzRPQUFBQUFBQUFBQUF5R3hLckFBQUFBQUFBQU9Ba0Vxc0FBQUFBQUFBQTRDUVNxd0FBQUFBQUFBRGdKQktyQUFBQUFBQUFBT0FrRXFzQUFBQUFBQUFBNENRU3F3QUFBQUFBQUFEZ0pCS3JBQUFBQUFBQUFPQWtFcXNBQUFBQUFBQUE0Q1FTcXdBQUFBQUFBQURnSkJLckFBQUFBQUFBQU9Ba0Vxc0FBQUFBQUFBQTRDUVNxd0FBQUFBQUFBRGdKQktyQUFBQUFBQUFBT0FrRXFzQUFBQUFBQUFBNENRU3F3QUFBQUFBQUFEZ0pCS3JBQUFBUURZVkVSR2h6WnMzNi9idDI4a2VFeG9hcXA5KytpbE4xd3NORGRXTkd6ZlNLN3drMld3MjNibHpSNFpoUE5EUEFkS1R2NysvZHU3Y21TN1hpb3FLMHVuVHB4VVpHWGxmMTRtT2psWndjSEM2eExSMzcxNXQzYm8xWGE0RkFKbUp4ZFVCQUFBQUFFaTcwYU5IcTNUcDB1clNwWXNreVdxMUtqQXdNTlh6TEJhTGZIeDhITFpkdW5SSkgzendnVmF1WEtuY3VYTW5lZDczMzMrdkw3LzhVajQrUGlwZHVuU0tuekZ3NEVCVnFWSkZRNGNPbFNTZE9YTkdmLy85ZDFxK2xzcVVLU052Yis5VWovdnBwNS8wOGNjZjY5dHZ2OVhqanorZXBtc0REOExObXpjMWRPaFE5ZW5UUjFXclZrM3gyR1hMbHFsNTgrWnEyTEJoc3NjY1AzNWMzMzMzblQ3NDRBTjVlbnJhdDhmR3h1clFvVU9xVXFXS2N1WEtwV1BIanFsWHIxNmFNV09HNnRXcmQ4L3g5Ky9mWDZHaG9WcTBhSkhENTkyTHhZc1g2OEtGQzNyNjZhZnY2em9Ba05tUVdBVUFBQUF5a1RObnpzak56YzMrUGlJaVFsMjdkazMxdklJRkMrcC8vL3RmaXNmRXhjVWxTb1EyYTlaTTMzenpqWllzV2FLMzNuckxZWitucDZmeTVNbGpmMjhZaGt3bWsvMzlWMTk5cFMxYnRxUWFteVNOR0RGQ3JWcTFTdE94UUVadzU4NGRYYjkrWFQxNzl0VGt5Wk5WdDI1ZEhUOStYS2RQbjA3eTJMTm56MnJkdW5XSjlsV3FWRW1WS2xYUytmUG50V0hEQmdVR0JtcnExS2txWHJ5NEpHbmZ2bjNxMjdldnhvOGZyMmVmZlRiZDRuL3Z2ZmZVclZzM2ZmdnR0K3JkdTNlNlhSY0FzaE1TcXdBQUFFQVdNR2JNbUdSSHd5MVlzRUJyMXF4SjlScVhMMS9XeXkrL25PUytGU3RXYU1XS0ZRN2JYbnJwSlgzeXlTZjI5emFielNIcEswbU5HalhTNk5HajdlL1BuRG1qb2tXTE9pUmtuM25tbVdSakNnd00xTXlaTXpWcTFLZ2tSN1NHaDRkcjVNaVJHakJnUUtvamFvSDBWTGh3WWMyZE8xY0RCZ3hRLy83OU5YYnNXRjI5ZWpYSjVHbDBkTFNDZ29KMDdkcTFSUHZhdG0yclNwVXE2Ym5ubmxQaHdvVTFjT0JBZGV6WVViTm56MWI1OHVXMVk4Y09XU3lXZXhxZDJxVkxGeDA5ZWpURlkrYk1tYU01YytZa3UzL1BuajJ5V0ZKUEhTUlhuaU02T2xvZUhoNHltNmxFQ0NEckliRUtBQUFBWkhCeGNYRUtEZzVXa1NKRjdOdkN3OE1WRmhhbVFvVUtTWW9mdVJvV0ZwYmsrVkZSVVE3dmp4NDlxbVBIamlra0pFU1N0R0hEQmhVcVZFamx5cFhUNU1tVDdjZFVxMVl0MGJXQ2dvSlVva1FKNWN1WFR5VktsRkJVVkpUKy9QTlBWYWxTUllaaHlHdzIyNU5JVW53SmdyeDU4OXJQNzlHamh6Nzk5Rk0xYjk0ODFlOTk4dVJKdmZQT096SU1RNkdob1VrbVZxOWN1YUxEaHcrclM1Y3Vtamh4b3VyVXFaUHFkWUgwa2lkUEhzMllNVU9qUm8xU3JseTUxS2xUSnozLy9QT0tpNHR6T0s1RGh3NXEzTGl4ZXZYcTViRGRaREk1dE91YU5XdnE2NisvMXJKbHkxUzZkR2taaHFFZE8zYklhclhhMjR6TlpwTWtEUm8wS0ZHeWN2VG8wV3JhdEtuRE5sOWZYL1hvMFNOUjdIRnhjWWtlaEVSRVJEZzg5SkNVNkpqa1hMaHdRVmV1WExHUHRKWGlTNVVNSGp4WWVmTGswZGl4WTlPVW9BV0F6SVMvYWdBQUFFQUdGeElTb3BZdFcycnAwcVgyYlZ1MmJORzBhZFBzbytNbVRKaVE0alVLRml4b2Y3MTM3MTc1Ky92YlI1Z3RYcnhZVW56U3MzdjM3Z29NRE5UZ3dZTTFiTmd3dFduVHhuN2VyVnUzOU5sbm42bFFvVUphdEdpUnpHYXoxcTFicCtuVHArdC8vL3VmNHVMaVpMRll0SFhyVm4zODhjZXFWcTJhQ2hjdWJEOC9JU0dVbHVSS1VGQ1ErdlRwSThNd05HdldMRld1WERuSjQzeDhmRFJ2M2p6MTdkdFhmZnYyMWJCaHc5UzZkZXRVcncra0YwOVBUNDBmUDk3K3ZtUEhqa21PVEYyN2RxM1dybDNyc00xc051djMzMzkzMkZhcFVpV05HREZDa3JSMTYxWmR2WHBWN2RxMXN5Y3NMMTY4cUpVclY2cEZpeGFKUm1rLzl0aGppVDYzWU1HQ3FsZXZubjc3N1RmdDJiTkh2WHIxa3FlbnA1NS8vbm0xYk5sUzc3enpqdjJ6eG93Wm83ZmZmbHZ0MjdkM1NLZ0dCQVFrV1MrNVpNbVNldkhGRnlYRmoxaGR0V3FWK3ZUcFkzOC9jdVJJN2Q2OU8xMUxHQUJBUmtKaUZRQUFBTWpnRXBLaWQ2L2dIUndjckdMRml0bmZqeGd4SXRtcHdrdVdMTkgzMzM5dmY5KzllM2QxNzk1ZEowNmNVSWNPSGJSNDhXS1ZLVlBHdnQvSHgwZHQyclRScEVtVFZLdFdMZnUrQ1JNbUtEbzZXbVBIanJXUGxIdnl5U2MxYXRRb0hUNTgySjVZM2JCaGd4bzBhQ0IzZDNkSlVtaG9xS0tpb21TMVdpWEZqN2E5Y09HQ0pLbEFnUUtKNHQyNWM2ZUdEUnNtZDNkM3pabzFLOUdpVy85V3VuUnBmZnZ0dDNybm5YYzBkdXhZWGJ0MlRUMTc5a3p4SE9CK2pSczNUZ1VLRkZEUG5qMGRIaFlzWGJvMDBZalY5dTNiNittbm4wNVV5elNoSm5GSVNJZ0dEaHlvOTk1N3p6N3EyakFNZmYzMTF5cFJvb1FHRHg1c1QzVHUyN2RQSzFldVZOT21UWjBxRDdCbzBTS0ZoNGVyWDc5K0NnOFBWMGhJaU1QZmtJWU5HK3ExMTE3VDFLbFR0V25USnMyZE85Zit2YjcvL251ZFBYdlc0WHAzN3R4UjdkcTE3WWxWU1ZxNWNxVzZkKzh1RHc4UGpSMDdWai8rK0tOYXRHaWhrU05IcG5ua0t3QmtKaVJXQVFBQWdBd3VSNDRjeXBVcmw4TW91SXNYTDZwa3laTDI5emFiTFZFeUowRnl0US92RmhNVG94MDdkdGpmVjY5ZVhUZHUzTkRwMDZkMSt2UnAvZlhYWC9yeHh4L1Z0bTFiblQxNzFwNWtlZXFwcC9Ub280L2FweXRmdjM1ZHYvMzJtNlpObTJhdjZ6cG16Qmo5OHNzdjltdC8rdW1uOXRkRGhneHhpR1BEaGcwYU1XS0VpaFFwb3Brelo2cHMyYktweGk1SmhRb1YwdXpacy9YT08rOW85dXpaS2xDZ2dOcTJiWnVtY3dGbldhMVd4Y2JHeXQvZlh6dDM3dFNZTVdPVUkwY09EUnc0TU1uamI5MjZwUzFidHVqUW9VT0o5cFVzV1ZKRGhneFJkSFMwM25ubkhmWHIxMCtkT25YU2lSTW5kUHIwYWZYdjMvKytrNUpYcjE3VmI3LzlwaUZEaGlnME5GUkhqaHlSRk45dVFrTkQ3Y2UxYjk5ZWxTcFZVbGhZbU1MRHcyV3hXT1RsNWFXRkN4YzZYQzgyTmxiTm1qVnplT2lSTzNkdTNieDVVNHNYTDFaUVVKQzJidDJxZHUzYTZmMzMzNmUrS29Bc2k4UXFBQUFBa0Fua3k1ZlBuZ0F4bVV3NmMrYU02dGF0YTk4L1pzeVlGTSsvdXhSQVVpSWlJdXpUaisrMmMrZE8rMnRQVDA5OS8vMzNEcU5mTjI3Y3FGcTFhdW1YWDM1UmRIUzBObS9lckdMRmlxbHUzYnIyeE9xd1ljTVVFUkdoSzFldXFILy8vaG8zYnB6S2x5OHZLWDRCb0tsVHA5cXZWNjFhTlQzeHhCUDY5Tk5QSFdwUHBvV1hsNWRtejU2dEw3NzRRaTFidG5UcVhNQVpGb3RGSTBlT1ZKVXFWVFJwMGlRTkhUcFVjK2ZPVmFkT25aeStWdDY4ZVZXaVJBbk5temRQQXdZTTBMUnAweFFWRmFXZVBYc3FJQ0RBb1p6R3ZkcTdkNjhNdzlDRUNSTWN5b1lrbHdpV3BJa1RKNnBDaFFwYXRteFpvbjI3ZHUxU1JFU0V3OEp6M3Q3ZXFscTFxbWJObWlXVHlhVCsvZnZmMDM4UEFNaE1TS3dDQUFBQW1VQ2pSbzFVckZneDNiNTlXeDRlSG1yV3JKbXFWcTBxaThXaTJyVnJxMVdyVmtuV1Y1VGlreW9wclF5K2ZmdDJoWVNFNk5kZmYzWFlmdlhxVlgzeHhSZnEzcjE3aWlOSDI3ZHZyNDRkTzZwVHAwN3EzYnUzYXRXcTVUQkNMV0c2Y1VLTnhwbzFheWFiTENwVnFwVG16cDJiN0dmVnJWdFhjK2ZPVmJseTVaTGNuL2YvMnJ2eitKcXYvSS9qYjduWkNaZHJUWVdJWklnZnhoYWxsdFF5eHREcTBCUk5LU0tVV21xcnhHaEtNV2xMR01iRVhsSzdXaVl0TmNvMFRHaTFveVpUVzFyVldrWVR4aGFrMlpQNyt5Ty8zRjl2NzAza3FqYVN2cDUvK1g3Tzk1enorV3ErSG85K2NyN25lSGtwTWpLeTJQN0FnelJ3NEVBOThzZ2pxbDI3dG94R28vcjE2NmN6Wjg0b0l5T2pWUDE5Zkh4VXAwNGRTWVUvdTdHeHNZcU9qbGFmUG4xMDRNQUJwYWFtMnZTNWZQbXlKT25ERHovVXVYUG5iTnE3ZGVzbUh4OGZ5M1dsU3BYVXRXdFhxMVduVVZGUjh2THlzbGt4L2tQdTd1NTI0N3QzNzVhM3Q3Zk5OaDB2dlBDQ1B2amdBd1VGQlZGVUJmQ0xRR0VWQUFBQUtBY2lJaUlrU2JHeHNmTHc4RkI0ZUxpa3dpMEFsaXhaVW1KZlgxOWZEUnc0VUdhejJiTGE5Ui8vK0lmbDAvOWx5NVlwS0NqSTBsNWt3WUlGT25IaWhLWk9uVnJpK0FFQkFUS2J6Y3JJeUZDZE9uWFVwRWtUdS9jbEp5ZExrbDUrK1dWRlJrWVdleUJWU1k0ZVBhcW9xQ2l0V2JOR3JWdTNkcmcvOEtCMTZ0VEo2bnJPbkRrNmQrN2NQUTlweTgzTjFkU3BVeFVhR21xSnVibTU2YlhYWHBNa3hjVEVXQjFzbFpXVkpXZG5aems3Tzh2ZDNWM3Z2ZmVlekdhejNOemNyTVp0MUtpUnBiQ2FtWmtwRHc4UEdZMUdHWTFHU1lYN00xKzRjRUZqeG95eEtzRCtVSlVxVmF6K1BTaHk5dXhaSFR4NDBPNXExL3IxNit2Wlo1L1Z4bzBiOWNFSEgraTN2LzF0aVg4SEFGRGVVVmdGQUFBQXlnbXoyYXk3ZCs5YXJmWk1TRWl3RkYzdkpTNHVUaTFhdE5DNmRldDA0TUFCU3dGMDQ4YU5jblYxVmVmT25hM3V6OHJLa3NGZ1VOKytmZTJPNStYbHBYMzc5a21TYnR5NElVbVc0bzA5Q1FrSjZ0S2xpOUxTMGpSLy9ueXRYYnUyVkhrREQ3UDkrL2VyZXZYcUNnb0tzc1Q2OXUxcktaRGFrNWVYcDBjZmZkUW1mdXZXTFJVVUZNaGtNbW54NHNWV2JSMDZkTkRBZ1FNdEJjM3g0OGZyN3QyN2V2dnR0NHVkSnlNalE1VXJWN2JKVjVKV3JGaWhGU3RXRk52MzBLRkQ4dkx5c29rdlg3NWNScU5SQXdZTXNOdnZ4UmRmMUVjZmZhVG82R2o1Ky9zWHU1SWVBQ29DQ3FzQUFBQkFPWEhod2dWbFoyZkwwOVBURW12VHBvMldMVnRtZGQvTEw3K3M5dTNiMnh6ZVZQUTUvL1BQUDY5cDA2YnA2dFdyQ2cwTmxZdUxpMnJWcXFWNTgrWkpLanhvNTQ5Ly9LTzZkT21pcDU1Nnl0SS9PVGxaYjczMWxzYU9IYXZHalJ0YnJjZzdlL2FzcE1KVHdkdTFhMmVUZTFKU2trNmVQS25YWDM5ZGRlclVVVmhZbVBidTNhcytmZnJZM0h2NThtVkx3ZmFIaXVaNS8vMzNkZno0Y2J2MzlPL2ZYeWFUeVc0YjhLQ3RXTEZDYm01dTJySmxpeVcyYjk4K0hUcDB5T0d4RWhJU05ILytmTVhGeFZsOVpwK2VucTdjM0Z5N2hjNlMzTDE3VjFXcVZMRmM1K1hsYWV2V3JUS1pURXBMUzlQQ2hRdXQ5akxPejg5WFJFU0VUQ2FUVFVGV0tpektKaVltYXNLRUNmTHc4TEE3cDV1Ym0rYk9uYXNSSTBab3dvUUppb3VMYzNpL1pBQW9MeWlzQWdBQUFPWEVtVE5uSkVsTGx5NVZ4NDRkWlRLWlZLTkdEWnVWYjg3T3pxcGJ0NjdkRlhHUzlLdGYvVXBTNFNmQlJUdzlQZFd0V3pkSjByUnAwMVMxYWxYTm5qM2JhZ1hxbGkxYjVPZm5wNUVqUjlwOEluejI3Rm01dWJrcElTRkIyN1p0MDZCQmd5eHRlWGw1V3JSb2tSbzJiS2dlUFhySVlEQW9PRGhZc2JHeDZ0bXpwMDErMzM3N3JkYXRXMmMzOS96OGZFblMzcjE3N1g2bUxFbkJ3Y0VVVnZHenVINzl1aTVldktqbm5udk9LaDRVRktUaHc0Y1gyNitnb0VCang0NjFpWjg2ZFVvRkJRVnEyTENoVmZ5TEw3NlFKSnY0dlhKTFQwOVhnd1lOTExGMzMzMVhWNjVjMGFwVnE3UnMyVEp0MjdaTmYvbkxYeXp0eTVZdDA3VnIxN1IwNlZLcmZaS0x4bnY5OWRmbDcrK3ZJVU9HbERoM1lHQ2c1c3lab3hrelptalVxRkZhdG15WkhubmtrVkxuRGdEbEJZVlZBQUFBb0p3NGVQQ2dhdFdxcGN6TVRFVkVSR2o2OU9tYU9IR2l6WDEzN3R4UmZIeTgvdjczdjl1MHpaczN6KzZLMGlMWHIxL1g3ZHUzZGVmT0hjMmJOMDhEQmd4UWh3NGR0SFRwVWlVbEpXblpzbVYyQzVwSGpoeFIrL2J0MWF4Wk15MWF0RWl0V3JXeXRMM3h4aHRLVGs3V3FsV3JaREFZSkVtalI0L1drQ0ZEOU1rbm45aU05ZWlqajlvY3BGVms3OTY5aW9xS1VteHNMSHVzb3N3VnJacisvallBa3VUazVHU3o5K2xqK0ZkakFBQVRNVWxFUVZUM0ZmMkM0SWMrLy94ek5XblN4R3BWdWxUNDdrdXllcS9zV2IxNnRicDM3NjdHalJ2cjY2Ky9saVRMcC9ocGFXbGF0V3FWMnJadHE3WnQyeW95TWxMRGhnM1RtMisrcWVuVHAydmJ0bTFhdTNhdC92Q0hQOGpYMTlkcTNLeXNMRTJiTmszcDZlbUtqWTI5NS82eGt0U3JWeTlkdjM1ZEN4Y3VWRmhZbU9iUG42OWYvL3JYOSt3SEFPVUpoVlVBQUFDZ0hMaCsvYm9TRXhNMWN1UkkrZm41S1RJeVVoczJiTEFjWXZWOWYvclRuOVM4ZVhPN3EwSHIxNjlmNGp3MWE5YlU2dFdyOWRWWFgybno1czJhT25XcVBEMDlsWmFXcHZEd2NKc0NraVNscHFZcUtTbEpzMmJOVXA4K2ZiUi8vMzdObkRsVERSczJsSk9UazNyMDZLRW1UWnFvVFpzMmxqNU5telpWZkh6OFBmUDVzVkpUVS9YcXE2OXErdlRwQ2dnSStFbm53aS9QeHg5L0xJUEJZUFd6WFJULzV6Ly82ZEJZYVdscGRsZS9YcnQyVGZIeDhXcmJ0dTA5UDZsZnYzNjljbkp5Tkc3Y09IMzg4Y2R5ZDNlM0ZGYWpvNk9WbHBabTJUb2tJQ0JBQ3hZczBKUXBVM1Q2OUdtZFBuMWFFUkVSTm51bkZoUVU2SlZYWHRISmt5YzFaY29VTld2V3JOVFBGQm9hS2ljbko4WEV4R2pVcUZGNjg4MDMxYTFiTjYxY3VWS1ptWm1hT0hHaXpjcFlBQ2hQS0t3Q0FBQUE1Y0RLbFN1Vm41K3ZKNTk4VXQ3ZTNqcDY5S2orL2U5L0t5SWl3bW9QUmFud2MxNS9mMytGaElTVU9HWk9UazZ4YlI0ZUhxcFRwNDQ4UER5VWs1TWpvOUdvdUxnNFhicDBTUU1IRHJSYUxicDE2MVpWcTFaTnZYcjFrck96c3lJaUluVHIxaTBkT0hCQVpyTlpiZHEwVVpzMmJaU2RuVzAxUjYxYXRXeGlEMXBtWnFhKy9mWmJoWVdGNlkwMzNyQTV3UjI0WHdVRkJUcHk1SWlhTld0bXN4L3B2UTZ2eXMzTlZZY09IYXhpUllYWTc3OWJXVmxabWpGamhyS3lzalJtekJpYmNiNi84alU5UFYwWkdSbnk4ZkZSUVVHQkVoSVMxTFZyVjdtNnVpb3VMazRmZnZpaHhvOGZieW0wbXMxbVpXZG55MlF5NmZUcDAvTHk4cEtMaTR0eWNuTGs2dXBxR2ZmbXpadEtUazdXTTg4OFkxUDBMZkxmLy83WFpwVnRrY0dEQjZ0ZXZYcmFzbVdMT25ic0tLbndVSzJOR3pmcTRzV0xpbzZPTG5hL1ZnQjQyRkZZQlFBQUFCNXlTVWxKMnJWcmwwSkNRdVR0N1MxSm1qNTl1c3htODMwVkpBNGZQcXhUcDA3cFgvLzZseVRKYURUcTY2Ky8xc21USi9YRkYxL28rUEhqK3VhYmIrVGg0YUVubjN4UzRlSGhxbHk1c3VMajQ3Vmh3d2J0Mzc5ZkFRRUJHanAwcUpvMGFhSXRXN1pvMHFSSmNuZDNsL1QvbjBVZk9IQkFCdzhlMUdPUFBWYnEzQVlQSHF6Ly9PYy94YllYRlpMR2pSdFg3QjZya3VUbjU2Y05HemJJejg5UGNYRnhHajkrdkNaUG5xeFhYMzFWVHp6eFJLbnpBWXJ6K2VlZkt5MHR6V2FGcHoxbXMxa3hNVEZ5YzNPVGk0dUxMbHk0SUtud2x3dEZpZ3FyTFZ1MmxDU2xwS1JvNXN5Wk9uSGloTUxDd214V3hkYW9VVU9mZmZhWmR1N2NxV3JWcWlreE1WR1MxTHg1YzczLy92dEtTVW5SdEduVHRIUG5UaTFkdWxROWV2VFE4T0hEZGZIaVJYMzAwVWZhdFd1WHpwOC9yOTY5ZTJ2UW9FRmF2MzY5NXMyYnB4VXJWdWgzdi91ZDJyZHZyOWF0VzZ0bXpacUtpNHRUalJvMUxITnYzNzVkSjA2Y2tJZUhoeTVkdXFTelo4L3E2YWVmTHZiNWc0T0RGUndjYkxtZVBIbXk2dFNwbzRVTEYyck1tREZhdW5TcHFsYXRlcysvUndCNDJGQllCUUFBQUI1eWpSczNWc2VPSGEzMlV5MHFZdDZQYTlldWFjMmFOWEp4Y2RHZ1FZTmtOQnFWbUppb3VYUG55c3ZMUyszYXRkUHp6eit2N3QyN1c2M0VHeng0c0VKQ1FyUjc5MjZ0V2JOR0tTa3A4dlB6VTU4K2ZUUjQ4R0M3YzdWcTFVb2pSNDRzTVovSmt5ZGIvdnpVVTAvcHpwMDc5LzFzUmFwWHIyNzVjKzNhdGJWeTVVcU5IajFhbXpkdlZ1L2V2VXUxUnlSUWtyeThQTFZvMFVMdDI3ZS81NzJWS2xYU3hZc1hsWktTSWtseWNYRlJTRWlJNWNBNHFYQ2Y0dnIxNjh0a011bVRUejdScEVtVGxKZVhwOUdqUit1RkYxNndHZlBaWjU5VlVsS1NvcU9qSlJXdU1oOHlaSWo4L1B5MGFkTW1OVy9lWEYyN2R0WHAwNmZWdTNkdnpaNDlXek5tek5DQkF3Zms1dWFtNE9CZ3paMDdWNEdCZ1pLa21KZ1lKU2NuYS9QbXpYcm5uWGUwWWNNR2RlclVTWC8rODUrdENzQkZ6NzUzNzE1SmhRZmZCUWNIMnoyTXF5U2hvYUZ5ZG5iVy9Qbno5ZW1ubitvM3YvbU5RLzBCQUFBQUFFQTU1OXUwMWVPK2diOU9iZG0rcy9ub3A4Zk01VlZ1YnE3NS9Qbno1b0tDZ2xMZm41dWIreE5uOVdEZHVISERmT3ZXcmJKT3c4clJUNCtaZ3pyM01Qc0d0cnJsMjdUVjQyWDk4MXhSK1BxMzdGRDBYaDVLUEZMVy81bEw1ZXpacytiRXhFU3oyV3cyNStYbG1XTmlZc3duVDU2OHI3RXlNelBONTg2ZHM0bGZ1blRKdkh2M2JuTjZlbnFKL2IvNzdqdHpRa0tDK2RxMWEvYzF2eU8rK2VhYm4zd09SL0ZlQWlndGZrMExBQUFBUU03T3pqWW5nZC9yL3ZMbSs1OHlBdytiZ0lBQXl3RnJCb05CVTZkT3ZlK3h2bjlvMWZmNStQakl4OGZubnYwOVBUMnRWdFArbEJvMWF2U3p6QU1BUHdXTzN3TUFBQUFBQUFBQUIxRllCUUFBQUFBQUFBQUhVVmdGQUFBQUFBQUFBQWRSV0FVQUFBRHdVTGh3NFlJdVhMaFExbWtBK0QvcDZlazZjK2FNdnZ2dXU3Sk9CUUFlU3VWdngza0FBQUFBWlM0MU5WV25UNTh1OFI1L2YzK0hEc1NhTld1V1hGMWR0WHIxNmgrYkh2Q0w5TkZISHlrek03UFlkaWNuSjNYdjNyM1U0NTA0Y1VJVEprelF5cFVyMWE1ZHV3ZVJJZ0JVS0JSV0FRQUFBRGpzMkxGam1qdDNydDJUeHlYcDRzV0xHamx5cE1MRHd5VVZybnk3ZE9sU2lXTm1abVlxTHk5UFo4NmNLZkcreG8wYnk4M043ZjRTQnlxdzZPaG81ZWZueTJnMDJyU2xwNmZyNnRXck9uYnNtQ1YyL3Z6NUVndXhSZS9zeFlzWDVlbnBXZXg5VmF0V1ZmMzY5WDlFNWdCUVBsRllCUUFBQUdEWGpoMDdGQk1UWTdtdVY2K2UvdnJYdjFxdXZieTh0SFhyVnJ0OUJ3OGViSFdkbEpTa1NaTW1sV3Jlb1VPSGx0aStiZHMyK2Z2N2wyb3NvS0xwM2J1MzB0TFNMTmRSVVZIcTI3ZXY1WHJFaUJFYU5HaVFUYitEQnc5cSt2VHBWckdvcUNnbEp5ZmZjODdvNk9nUzI3dDM3NjRGQ3hiY2N4d0FxR2dvckFJQUFBQ3dLejgvWHlhVFNiR3hzZHE3ZDYvZWYvOTltL2JpVnBkbVoyZGJYUWNGQlduMzd0MGx6amQxNmxTNXVycnE5ZGRmTC9HKzJyVnJseUo3b0dMS3ljblJpeSsrcUs1ZHUycllzR0hLejgrM2FyOXk1WXJkOS9MeTVjczJzY1dMRnlzbko2Zll1WTRmUDY3WnMyY3JPanBhTFZxMEtQWStEdzhQQjU0QUFDb09DcXNBQUFBQWl1WHM3Q3hmWDErWlRDYWJ0dlQwZEkwYU5jcHV2eDhXVnQzZDNlWHQ3VjNpWEs2dXJuSjFkYjNuZmNBdlhjMmFOZVhyNnl1RHdXRFR0bm56WnIzenpqczI4WUtDQXJ2amxLVG9NRG1UeWNSN0NRQjJVRmdGQUFBQTREQnZiMi8xNjlkUHMyYk5zdHUrZVBGaU5XclV5Q2IrMGtzdjZjaVJJeVdPM2JadFc3dnhKNTU0UXErOTlwcmp5UUsvRUowN2QxWndjTEFlZSt3eG03YlRwMDlydzRZTk52RXpaODdjYy91TkYxNTRvZGkyM2J0M1UzUUY4SXRGWVJVQUFBQ0FRK2JNbWFNUFB2aEFrclIvLzM1SmhhdmtidCsrcmJGangxcnUyNzU5dTNidjNxM0ZpeGRiWXVIaDRmcjk3MzkvWC9QV3JWdjNSMlFOVkZ5WEwxKzI3S3U2Wjg4ZVNWTFBuajMxMm11dmFkS2tTVllIVm5YcTFFbkxseTlYeTVZdEpVaytQajVXZXlrN3FrYU5HajhpY3dBbzN5aXNBZ0FBQUhCSVRrNk91bmJ0cXVIRGh5c2pJMFBoNGVFeW04M0t6ODlYVGs2T05tN2NLRW1LajQvWCtmUG5yZm8yYTlaTVY2OWV2YTk1V1JVSDJHYzJtNVdWbGFXVksxZkt5OHRMNjlldnQreWRtcFdWcFg3OStsbCtvVEZreUJDcmZWbTl2THpVdW5WclpXUmtPRHl2bDVlWDNOM2RIOHhEQUVBNVJHRVZBQUFBZ01PTVJxT2FOR21pdTNmdjJyUTFhZEpFVXVHK2pEOHNyTjY2ZFV0UFB2bmtmYzE1L1BqeCsrb0gvRkw0Ky92TGFEU3FldlhxdW5IamhpVnVNcGtzNzZVOXNiR3gyclZybDhQempSNDl1c1J0QWdDZ29xT3dDZ0FBQU1CaHUzYnQwbnZ2dldjVEx5Z29VS2RPblNSSmVYbDVhdDI2dGQzK0kwZU9WSjgrZmF4aWtaR1JNaHFOaW95TXRJcnYyTEZEVzdac2VVQ1pBeFZYMzc1OUpSVytlOTI3ZDdmRVY2OWVyWFhyMWtteWY0aVZKRldwVWtWdnYvMjJWU3dwS1VuejVzMVRURXlNelo3Snp6enp6SU5NSFFES0pRcXJBQUFBQUJ4U3ExWXRoWVNFcUYrL2Zzckp5ZEg2OWV1Vm1KZ29nOEdnbmoxN0tpd3NUSkowOE9EQllqLzdONWxNOHZYMXRZcTV1Ym5KMDlQVEptNDBHbithQndFcUNCY1hGelZzMkZCUlVWSHk5UFRVcDU5K3F1dlhyMnZObWpVS0RBeFV0MjdkMUtwVkswblN6Smt6N1g2K2J6QVliTjY5bEpRVVNZWGJjUHl3RFFCQVlSVUFBQUNBQTh4bXM4YU1HV01WbXpkdm5pWk9uS2o2OWV0cnpwdzVsdmlJRVNNa1NmbjUrVElZREpKazJmY3hPenZiWmh1Qi9QeDg1ZVhsMmNTenM3TWYrSE1BRlVuTm1qV3RWblg3K3ZycXhJa1RHak5talBiczJXTjF3TlNtVFp0VXFWSWxxLzQ1T1RreW04MDI3MTVtWnFZa0tTTWp3KzYySHdEd1MwZGhGUUFBQUVDeDh2THlsSktTb3R1M2Iwc3FQSDI4NkJDY0gvcnNzODhVSHg5dkU1OCtmYnJseFBLYk4yOUtrcFlzV2FJbFM1YllIZWZ4eHg5L0VLa0RGVlphV3BwU1VsSXNuL1hQbmoxYmYvdmIzK3plKzhRVFQ5akVxbFdycG9TRUJNdjF6WnMzZGVmT25XTGZ2ZkR3OEFlUU5RQlVQQlJXQVFBQUFCVHJ5cFVybHNPbTZ0YXRxK3JWcTJ2R2pCbVc5cE1uVDJyUG5qMHlHQXd5bTgzeTh2SlNlSGk0WEYxZExmZDhmNS9WcjcvK1dwSVVIUjB0SHgrZlV1WHc3cnZ2YXNlT0hRL2ljWUFLWWVIQ2hWcTRjS0hsK3Ftbm5ySjg2bCswUGNmTm16ZVZuNTh2SnljbjllelpVMjNidHJYYzcrYm1aalhlTjk5OG8zYnQydW1sbDE0cWRRN0RoZzM3a1U4QkFPVWZoVlVBQUFBQXhhcGJ0NjVXcjE0dHFYQVB4aXBWcWlna0pFUVpHUmw2NjYyM3RILy9mazJaTWtXSER4OVduVHAxZE8zYU5lM2J0MCt6WnMxUzQ4YU5iY1k3ZlBpd1BEdzgxS05IRHprN2wrNS9SeG8xYXFSUm8wWTkwT2NDeXJPcFU2ZGFWcGNhalVaNWVub3FLQ2hJU1VsSmV1T05OMVNqUmcxTm5EaFJVVkZSZXVXVlY3Umd3UUkxYmRwVXp6MzNuTTE3OTlWWFgrbktsU3NLQ1FsUnMyYk5TcDNEdm4zNzVPSGg4VUNmQ3dES0d3cXJBQUFBQU96cTJMR2p2TDI5NWUzdGJZbmR2WHRYTzNmdTFLWk5tMlF5bWJSMjdWb0ZCZ2JxOE9IRGNuVjExWklsUzdSbzBTS0Zob2FxZCsvZUdqUm9rS1ZZOCtXWFgrclFvVU1hTUdCQXFZdXFrdVRoNFVFQkIvZy9VVkZSYXRxMHFlclZxMmVKSlNVbDZlMjMzOWJSbzBjMWZQaHdoWWVINjlTcFU1S2tUcDA2eWMvUFR4RVJFWXFQajlmUW9VUFZxMWN2VmFsU1JaSzBjdVZLR1F3RzllM2IxNkU4VENiVGczc29BQ2lubk1vNkFRQUFBQUFQcHdZTkdxaExseTZXNi9uejU2dFhyMTdhc1dPSEpreVlvRTJiTmlrd01OQ3FqNHVMaXlJaUloUWJHNnV6Wjg5cTZOQ2hXcmR1bmRMUzB2VHFxNi9LMDlOVFlXRmhQL2VqQUJWR3QyN2RMRVhWNU9Sa1BmMzAweG85ZXJRcVY2NnNuVHQzYXV6WXNYSnhjYkhxMDZKRkMyM2Z2bDNCd2NHS2lZbFIvLzc5bFo2ZXJwMDdkK3Jnd1lNYU5HaVFhdGV1WFJhUEF3RGxHaXRXQVFBQUFKUksvLzc5MWJadFd6MysrT015R0F3bDN0dXVYVHR0MmJKRng0NGRVNnRXcmJSMTYxYWRPM2RPMGRIUnFsdTM3cytVTVZDeEZYM2UzN0ZqUjZzVnJQWlVybHhaa3laTjB2RGh3NVdhbWlwbloyY3RYNzVjZ1lHQkdqZHUzTStVTVFCVUxCUldBUUFBQUpSS1FFQ0FBZ0lDN0xhdFdMSENiandvS0VpU0ZCb2Fxa2FOR3FsejU4NC9XWDdBTDAybFNwVTBZTUFBdTIydFc3Zlc4ZVBIYmVKR28xRkdvMUdTdEdqUklqVm8wRUR1N3U0L2FaNEFVRkZSV0FVQUFBRHdrek1ZREJSVmdZZE15NVl0eXpvRkFDalgyR01WQUFBQUFBQUFBQnhFWVJVQUFBQUFBQUFBSEVSaEZRQUFBQUFBQUFBY1JHRVZBQUFBQUFBQUFCeEVZUlVBQUFBQUFBQUFIRVJoRlFBQUFBQUFBQUFjUkdFVkFBQUFBQUFBQUJ4RVlSVUFBQUFBQUFBQUhFUmhGUUFBQUFBQUFBQWNSR0VWQUFBQUFBQUFBQnhFWVJVQUFBQUFBQUFBSEVSaEZRQUFBQUFBQUFBY1JHRVZBQUFBQUFBQUFCeEVZUlVBQUFBQUFBQUFIRVJoRlFBQUFBQUFBQUFjNUZ6V0NRQUFBQUFWUVg1ZXZzNGtmMW5XYWFDY09aUDhwWEp6YzhzNmpRb3JQeTlmeVY5K0pUYzN0N0pPQmVVSTd5V0EwcUt3Q2dBQUFEd0FtVmxaV3JwOGxWeGNYTW82RlpRanVibTV1blAzYmxtblVXRmxabVZweFpxMWNuVnhMZXRVVUk3d1hnSW9MUXFyQUFBQXdJK1FZeTVJZGExVUtiWEFiSFpQdTNPbnJOTkJlV1UyWDgweG0xUExPbzJLb3FDUytiOU9Lbnd2YjkraFFJYjd4SHNKNEI0cWxYVUNBQUFBUURubjFNRC9mNW82T2J2VUx1dEVVSDdsVnlxNC9wL2tFMmNrRlpSMUxoVUU3eVYrTk41T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U12ZS9UWVVZZDkxQ3o0TUFBQUFBU1VWT1JLNUNZSUk9IiwKCSJUaGVtZSIgOiAiIiwKCSJUeXBlIiA6ICJmbG93IiwKCSJVc2VySWQiIDogIiIsCgkiVmVyc2lvbiIgOiAiMzAiCn0K"/>
    </extobj>
    <extobj name="ECB019B1-382A-4266-B25C-5B523AA43C14-3">
      <extobjdata type="ECB019B1-382A-4266-B25C-5B523AA43C14" data="ewoJIkZpbGVJZCIgOiAiMjkwMzgwNTM5Mjg4IiwKCSJHcm91cElkIiA6ICIxMjM4MDY5Nzc1IiwKCSJJbWFnZSIgOiAiaVZCT1J3MEtHZ29BQUFBTlNVaEVVZ0FBQS9ZQUFBRXlDQVlBQUFCUS9rdmZBQUFBQVhOU1IwSUFyczRjNlFBQUlBQkpSRUZVZUp6czNYbGdWTlhkLy9IUHVUTmtZUWRGRktQR0NpS1JoTGszTGxRZXExaXRMUzF1V0t1SVMvMjVZOUdxand0cUZiV2lLQ0p1MWFLaXVLRlMxMXAzY0YvSnpDUklGS1VTRVJGd1lRdGtZZWFlM3g4azgyU1pnYkRJWkpMMzZ4OHo1NTU3N3ZjR2MrWjg3M0tP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YjVMcHVuMUFvZFAyZ1FZUDJyaThMaFVJalE2SFErZW1JSnhRS2RTOHVMdTY0b1RyRnhjVTdiV3E3QXdjTzdGMWNYTndoeFdaVFhGeTg2NmEyQ1FCQWU4WDRRUkxqQndESWVNRjBCN0FWOVhFYzV3cHJiVlRTWEVreXhoeG5qTmxMMHVTTjdCc3NLQ2pZZm5NUFhGNWV2cVJwbWVNNGIxdHJYNVowU2JKOVFxSFFFR3Z0VzZGUTZLQm9OUHBlUzQ1VFZGVFVLUmdNUnEyMUwwZzZNMG1icDF0cjd3cUZRa2RGbzlIL3BHb25GQXJkNURqTzc4TGhjRkZManB0dXJ1dnVJeWwvUTNXcXFxcG1mZjc1NXo5dW81QUFBRzBINHdmR0Q0d2ZBR1M4dHBUWWI3YWlvcUs5Z3NIZ25DMW93alF0c05ZNmt1S3Bkb2hHb3g5NG52ZTFNZVpTU1VlMDVDQmxaV1ZyUE0rN1J0STlydXZPaVVRaWQ5UnZLeWdvMk5FWU0wRlNTVFFhZlhWRDdUaU9ZNnkxaldKelhYZWNwSXMyRXNKUmtVams5WmJFdXBXZFo0dzV5bHBiMFhTRE1TWWdhV0IyZHZhQmt0N2Q5cUVCQU5vcnhnK01Id0NndGNpNHhMNXYzNzdablR0M1BxRnB1VEVtMVJYWmJxRlE2TlFrOVpkR0lwR1hHcFpaYTY4MXhuelFzTXozL2Y5eEhPY0tTV2RMK3JwSi9ST01NU2NuTzZneEp1RDdmdUxMei9PODMwcDZLVW05WDNpZVo1dTArNjlJSkhKc3NuYkQ0ZkM5cnVzT2tkU3BZWGwyZHZZZGtueGp6SjhreFpMdDI2Qjl4eGdUbDZUaTR1SnVKU1VscTR3eC83TFdmcGJpWEM2UjFOLzMvYStUYmQ4YVhOZDlUTkl4RFlvZWprUWlaelNJK2ZWa3Y1TlFLTlRkY1p6bFAxZGNBSUMyZ2ZFRDQ0ZUdHRDhBYUdzeUxySHYxcTFiRjJ2dDFFM1laVWZIY1pyVnQ5YStweVpmbE5iYVNDUVNlYmxobWV1Nm5TVXBGb3U5VjFaVzltbVRiZnMwL0Z4Y1hOekI5LzAra1Vqa2EwbkdjWngxa2t3b0ZEcWd3VEhPdDlZdVRCV3NNZWFtcG1XaFVPZ29ZOHdqVFlxUGNWMzN5Z2I3ZFpJVTgzMi8zSFhkK3VJWElwSElDWkxrZWQ3UjF0cnJJcEhJd0xvdjVsaGRQRk5jMSswY0RvZUhTU3ByZW16WGRjZFphME9Tam90R28xK21pbnNyeUpMMGd1TTRWMWxySjF0ckc3MEhhSXpwMGZUM0xVblcyczQvWTB3QWdEYUM4VU1DNHdjeGZnRFE5bVJjWWw5U1V2S0Rrank2NXJydVBzYVlUNUxzTWk4Y0R1LzE4MGNtV1d0UE04YU1sbFNrOWIvYmRhN3JEamJHdkd1dHZjZ1lvM2c4UHJQcEYzeERudWRkWm0yakMvQXl4Z1NOTVoxODMvKzdNV1pSaW1NM0xicEdVbTc5aDNnOC9uMGdFTmk3cUtnb3IrN3hzMXF0L3owT05jYmNsYVRKWUNnVW1pRHBBbVBNT2VGd2VNYkdmd05iYkdWSlNjbm5ydXV1VHJMdElFbHZOaTAwcHRuL0NnQUFOTVA0Z2ZGRFE0d2ZBTFExR1pmWS84ejI4VHl2MFdObzF0cGlTWEljNTFlZTV6VjlYSzkvazdvZlN2cUg2N3E5ckxVQlk4dzZZOHd4MXRwb1BCNS94SEdjcnh6SDJjbnp2RkN5ZzhmajhWcHI3U1hXMnFvVThjMklSQ0xSbHB5STUza1hOUHl5RGdhRFlXdHRQQkFJN0crTUNWcHJhNHFLaWx4SjI4ZGlzVVozSGdZTkdyU3o0emlQR1dOK0plbHozL2RmYWNreGZ5N0dtRStzdFhNaWtjakVwdHVLaTRzNytyNC9MUmdNL3BDTzJBQUFFT01IU1l3ZkFDQ2RTT3dicUhzWHJwSDZLN3FPNHlTN0t0MUlKQktaNjNsZXRiWDJWM1ZYdGRkSk9zNWFlMnRaV2RreVNjOTZubmVudGJiWk8zdDF4MWdSaVVUeXR1d3NraXNwS1ZucnV1NVhrdmExMW1ZWlk2b2R4emxHMG5kbFpXVWZTK3ZmUCt6YXRldEYxdHF4a3BaWmE4K1JOTVp4bk05YzE1MVVVMU56UTNsNWVlWFBFVjhxcnV2T3M5YnVYUGZ6T0dQTTBuQTR2SWZuZVpkWWEvL20rNzRreWZmOTMzcWVkMjA0SEo2d0xlTURBSUR4QStNSEFFaTNqRXpzUGM4YkxLbDd3ekpyYmI5a2RhMjFuZW9tbm1ra0Zvdk5LeXNyVzlDazdzbU80elI5YjI2NHBBZmk4ZmlCd1dEdzg0YmJmTisvMEJoemVjTm1KWlVhWXc2MDFuYVNGRExHOUpMMFVIMkZjRGg4bnFUelduU2lXMSs1Sk04WXMxVFNHbVBNSHlVOVUxQlEwRHM3Ty9zTXJaL2dwNDh4NXAvVjFkVVhsWmVYVnhZWEY5OGZqOGZQTjhaY25aT1Q4MmZYZGErSVJDSVBTdkszVWN5ZHJMWFhTSHJkY1p5aDF0cExKYWx1Y1BHcDcvdG5TNUxqT1BkWWE3TzJVVXdBZ0F6RStHR3pNWDRBZ0ZZdUl4TjdTYmRKMnI5aFFhcDNwWXd4ZVVveW0yd2dFTGhjMG8wTnk2eTFxK3Zld1V0d1hYZTFNVWJXMmhWSnRxMU5jc2hMZk4vL3huR2MwYjd2ditiNy9nMmxwYVVyV25SV0cyR01PVG9VQ2pXYkFDYUZiazBMckxVUEdtTUMxdHFUSlgwdjZjeFlMTFlrT3p2N0hrbkRKVDF0cmIwcEVvbk1ydCtucEtSa25hUmJYTmQ5eWxwN242UXBvVkRvODJnMCt2NVdPS1VXTWNaVVJDS1JhQ2dVeW0vNDcyeXRyWXhHbzFGSmNsMTNtOTRKQUFCa0pNWVBHOGY0QVFBeVVFWW05alUxTmNPYVhsM055Y2taSk9ubHBuV3R0Zk5yYW1vT2JGb2VEQWFUVGJDeXhjTGg4RHNGQlFXZGMzSnlnbzdqckFxSHcxOUlVbEZSVWY5QUlQQldDNXY1S0JLSkhKbWsvREpqVExOWmJwSkpkdlU1R28wK0swbWU1NDMxZmYvemFEVDZycVQ0d0lFRHo4ckt5cm80SEE3UFQ5VmUzVXk5aHcwYU5HaS8wdExTajF0NEhsdUZNZVpoMTNYckJ4VXJHNVFmWFArRmJJekpzZFkybXh3SEFJQjZqQjgyanZFREFHU21qRXpzNTg2ZCsxUFRNdGQxODVKZGRUZkd4TXZMeTVlMHBGMWpURkdTSzdlRmt1UTR6bURYZFhkc1VuK1BaTzNrNXVibTFVMDhVMXRmWnExZHB2VXp6Y29ZYzY2MU5panA5cnJOVnhsai9tdXRmYXl1N25kTm1seGhyUzJOeCtOL0tpc3JtMWRmV0ZSVU5OQnhuTzJqMFdpekx5VFA4NTZSVkpFc1BtdnRMNHd4djNkZHR6Z1NpUnoyNmFlZkxnMkZRaU04ei9zd1dmMEd2Z3lIdzcvY1NKMnRiYjZrNjZ5MUgvbSt2NmZqT0lkNW5qZldXbXNrVGJMV1BscFg3d3BKVElBREFFaUo4Y042akI4WVB3Qm9lekl5c2YrNUdHUEdwZHJtT002VWxyWVRqOGVMSGNlUnRYWmlRVUhCZStYbDVaVno1c3haTHVrZVNYSmQ5MnhKY3lPUlNQM244NnkxNWZXZmt4eDdRVWxKU1VpU1BNL3JHNHZGVnBXVmxTMExCb00zV211SGhFS2gvWnF1RWV2Ny9yamEydHBtVjlCZDE5M05HTlBkV251N01lWnZydXVlRm9sRTdyZld2dVg3L3NVTmZoZkRKZjNlV250Mmd6aFdObTN2WnhaWXZueDV3L2NiUDVmMGZNK2VQU3NsL2Ztbm4zNTZxc0cyaytyK2F5UzE2SzRFQUFCYkErTUh4ZzhBa0c0Wmw5Z1hGUlYxaXNWaVhacVdHMk8yUzFiZldoc29LQ2pZTWRtMjh2THlIN1Ird3ByNnVxZkg0L0ZHUzdNRWc4RmhrdTYxMWg0YWo4Zm5OZGsyUnRML0pvbkZrN1JRVXVlY25KejdKZjJwNFc2UytocGpYa3gxamcwVkZoWVdXbXZMUXFIUXFkRm85Q0ZKSHdhRHdVY2tYVkJiVy92L3NyS3lvcEtlN2QrLy8rQjU4K2F0bHFTOHZMeGNZOHpMMmRuWkgwbzZSZzBtcXJIV0hpYkpyNm1wdVRrbko2ZFEwb1M5OXRycjJkTFMwcm1TNXRiWGMxMDNUOUxoMFdqMHdaYkV1VFVZWXpxSFFxRjhTUjBsVllaQ29UK25HaEFaWTZiMTdObHpXdFB5cmwyN0ZtNW9uVjlnYS9BOGI1UzF0a2NrRXJsRGtnb0tDbmJNeXNvNkx4NlBQekZuenB3NTJ6S1dnb0tDck56YzNLNU4zK0Z0SXVDNmJzOUlKUEw5cHJROWNPREFYVDc5OU5OdmttMHJLaXJLS3lzciswNVNmRlBhQk5LRjhRUGpoN3E2akI4QXRFa1psOWdIQW9HL0JJUEI4UzJ0YjR6cG01T1QwL1RSTkVsU1VWRlJmU2Urd1BmOW9ZRkE0Tk5JSk5KMGdwdWZqREdLeCtOTHk4cktGalhaZHBlMTlqOUptaDR1NlJWanpIUnI3ZXVoVU9qOWFEUTZ1VzZmSTQweG5lTHhlTXIzNVR6UG0ycU11YW1rcE9UellEQjRpcVIxZ1VDZzJSZjVwNTkrdXRUenZCTWx2ZGFwVTZlUmt1NzFQTyszc1Zoc21hUXpKVDBiQ29YR1I2UFJTeHY4UG82UjlFNTVlWGxsWVdIaHhjRmc4TE9PSFR2ZUlPbXNWUEZzUTM5eUhPZFBrbVN0ZlNnUUNMenIrLzQ1RGJhZlpJelpYMUpBNjVPSk1tdnRQeHMyWUszOWR0dUZpM2JzZUVuNWt1NlFwS3lzckIwZHg3bkNHUE9wcEEwbTlxRlFxSHR0YlczT1poNjNzdW1TVVRrNU9YK3cxdjZydUxpNFUwbEpTYklKdWVSNTNvdlcyb0NrdzFwNklOZDFMekxHL00zenZNSGhjUGl6aHR2eTh2SnlBNEhBTE0vemxvVEQ0VjhweFYydXZMeTgzQjEyMkdHdHBCSGhjUGpwbGg0YitEa3dmdmcvakI4WVB3Qm9lekl1c1kvSDQwOEVnOEZvMDNKcmJUOWp6TzFKeWhjWlk4NUkxbFlzRnF1UXBMS3lzaldTTm5uaWxMb0pZYjV1V09aNTNvR1Mrdm0rZjBFMEdwM3B1dTREeHBnSmd3WU5lcW0wdEhTK3BBdXR0ZDhHZzhGWnlkcnMyN2R2dHFSVGZkOS90Mi9mdmd1MC9oR3hmNmU2R3hjT2gyY1dGUlVWTkhoMzdyUmdNRmdVRG9mM2NsMTNndU00bDRaQ29mSm9OUHBRVVZGUmYwbS9sVFJha3ViTW1mT1Y1M21UcmJWamlvdUxyeWtwS1VrNmdFbkY4N3hySkhVS2g4T1hhdXNzWC9PRTcvdVhTVklnRUtpc08rZlBRNkZRdnVNNGt5VHRLZWsza2w3MWZmOHF4M0hPa2ZUTDJ0cmF2eVo3YnhKb2pZd3g5K1hrNUl6WXpOM0hxZTVkMjNyV1dzY1lvNVVyVjZhOGMrNzcvblRIY2FZV0ZSVjVaV1ZsNFpZY2FPM2F0Zi9zMkxIam1aS2UzM3Z2dmZkditEZldxMWV2cXlYdEllbXYyc0NqcTcxNzl6YldXdm0rbjRpdGI5KysyVjI2ZFBseFE4YzJ4bndjRG9jUGFVbWNRRXN4Zm1pTThRUGpCd0J0UzhZbDluVnJ4eTVvV3U2NmJ0SXZMbVBNbW5BNDNHeTIyNStMdGZaL0pTMk9ScU92U0ZJOEhoOGJDQVMrTEMwdC9kTHp2SnNrSFNEcHJMcGxZSnJwMXExYm5yVld4cGdGblR0M1Bza1lzNFB2K3cwSEhMVjFhOXdtTkp3UXgxcTdyekhtVFVtS1JDSlhlcDUzc0RIbTZyNTkrMDRQQm9QWFdtdVgxOVRVUEZ4ZmY5V3FWZGQzN2RwMTZxWitLZGNkcTdNeDVpTFhkZmVNeCtNajZ3WTRtOFZhTzhsYVd4dU5SaE1UOWhRWEYrOWhyYjFRMG1uVzJuK3ZXN2R1WU4xZEJobGpGaGhqOXJmV1RzL0t5cHJ2dXU2ZGt1NnZHeXdCVzBWUlVkSCtqdU1NYUZwdXJjMUxzY3RCb1ZDbzJkMzRRQ0R3U3BPL3NhOVVOMEJ1MHU0OXhwaHZKUDA5eWJZWFUwendGWkNrK2ZQbko1TG51b21zOW05YU54Z01sbmllMTZnc0Zvc2xmZngwM3J4NXEwT2gwSitNTVhkMjZOQmhPMGsvU1pMcnVvT01NUmRaYTI4Tmg4UC9iaFpRQTFWVlZVNU9UbzRjeDRsTDY1OVdpRWFqcTF6WFBUM0ZMbjBsWFd1dC9lK0cyZ1UyQitNSHhnK01Id0MwWlJtWDJMZG1nd1lOT3M0WU05eGFPMFoxNzUyV2xaVXQ2OSsvLzkydTYvNUQwbG5XMnVjaWtVaWo5NzZNTWRXU2hnd2FOT2c0My9lUHFsdjM5bk5qekFIVzJnOGF6bHByclMwM3h2d3hGQXBGakRITEdwUWJZOHhRWTB5KzcvdjFrOExFakRISFZWZFgxM2J1M1BsWGtvNlRkSG5EUjNubno1Ky95blhkT3ozUEc5YmtkSElsZGZROHI5bUFwNmFtWnMrNWMrZitGSWxFTGc2RlF0OFlZeVlGZzhFM0Nnc0xmMWMzeWM4bWkwYWo3OVgvWEZ4YzNNMzMvWC81dm4rSXBQY2wvVFlTaVRSNzlMQnVNREhVODd6VEpZMnoxbDdwdXU2UVNDVHl3ZWJFQURRVkRBWlBVcElFWEpLc3RYT2JsaGxqempiR25OMjAzUGY5d3lRbEJyL1cydFdSU0tSWnd1QzZicVcxZG1teWJaN24yU1oxK3ppT3M4TDNmVk9YOE1kYzF5Mm9yYTFkVW5lTUQ2eTFFMUtkbXpIR05jYjhMVWtNSDBzcWFGSTM0cnB1L2M5WmtvTEdtSFBxSnZLU0pNVmlzVi9XenkvZ2VkN2IxdG9IVjY5ZVBTTW5KeWNSbXpHbU5CUUtIUlNKUktZbk9lNXV4cGlickxXenYvLysrekdwNGdiYUlzWVBqQjhBWUV1UjJHOUZ4cGl1MXRwU3gzRWF6VTdic1dQSFU0MHhaMGw2OXZ2dnZ4K3A1byt1UG1xdHZURVFDRHdoYWEyMTl0WklKTEpZMHZWcWN1Y3VIbzlmRUFnRTdqZkdUS29iWU5jZlc5YmFaZGJhcTZMUmFPSzl2WktTa29XU1ZGaFlXT000emhPTzQweE1FdmVEdnUvUGJPbDUxdFRVSks2c1I2UFJ5YUZRYUoya093S0J3S0dTbmtxOVo4dVVsSlNzOUR4dmNpd1d1Nktzck95ampWVDN3K0h3UHdzS0NoN3MwS0hEa05MU1VyNlVzZFdFdytIekpKM1h0Tnp6dkg5ci9UdjJqVmhyVDBpV3RQNGNqREVsMXRyUnhwaWdwSFYxWlpPeXM3UHJaNTllWEwvMmRES2U1MVduMk5SUjY1ZUpTanJMZHQxU1hBM3RZNHo1ZjRGQUlOQ2dUcTJrQTNKemM1K3BLNnFWZEtpazJBOC8vQkJwMmtCUlVaRW42V2xKS3h6SEdiWm8wYUtxVkhFRGJSSGpCOFlQQUxDbG1qL1hpUzFTV0ZqWUk5bFZaOC96L3JDeHgxWXptZWQ1QTVwT3NBVzBWWjduL2R0YW14K0pSQVpLVWlnVUNqbU9FMmxKWXUrNjdneEpuakVtMlYzcHU2eTEzeGhqYm15NndWcjduREhtdW5BNGZFMWRETTlJK3RiMy9VOGN4N25iOS8yZEhjZFo1dnYrSDQweHl5VVpZOHd1cWVLdzFpNjAxdmFzcXFwNm8zNUc3THI0UHBVMFB4S0pITldTMzRYcnVzY2JZeDczZmQrTlJxUFJ1ckx4eHBnL1dHc1BNY1lzODMzL2Y0d3hsMHJxRUlsRWZ0ZHcvMUFvZExyak9IZEl5cEYwU1RnY25xaXQ4ODR0a0ZFWVB3QUF0Z1IzN0xleVZJK1N0ZVV2WlVuaVN4bG9PV1BNN3BKZVNMRnQxMlRia3J4ZlAxdlM4Y2FZc0xXMnhoZ3p3bHE3UEJBSS9LZWtwR1NkNjdwOXJMVXBsOFd5MWw0U2pVYnYzb0xUU01sYU8wZlNKYjd2OTZpN2tkL0JHSE9ZdGZhdjlYVTh6eXUyMWs3Vyt2ZUc3OWI2cHc1dThEenZlRWtYaE1QaGQzNk8ySURXaXZFREFHQkxrTmdEUUFyRnhjWGJXMnYzYVZwdXJlMlZZcGRCbnVldGFGamcrMzQ4R28yKzFxVGVwOGFZb1VuYWZjZGErNlhqT0tjbDJiYWtTZEZzYSsxMXhwaGRyTFZWV3IvZTlmMzFFMnZWUFk3Yk9mWFovYXpLalRHTzR6aURKY2tZYzRpMU5zdHhuT2M4enp0YzBublcybUhHbUVXU0RnMkh3ek1scWFpbzZQNUFJSENuTWVadDEzVm5XR3YvdCtHRVdBQUFBRWlPeEI0QVVxaEw2bDlxV2w3M1RtcXl5Zk11azNSWms3SWFyWC9NdkdHNzhYQTQzR3hpS2RkMTQ1SnFreTFQMVhRMmUyUE1oOWJhMzF0ckIwdGE0empPeURWcjFxUmNlbTRUN1JZS2hWTE5YTjgwam4yYmxxMVlzZUx6bmoxN1hsUDNTb0RpOGZpemp1T0VyYlY5ckxYL01jWXNNc1pjRkl2RnBqU2NEYnR1ZHY2aHJ1dWVaWXlaWUl6cG92VkxiQUVBQUdBRFNPd0JJSVhxNnVxWmtuWnFXcDZkbmYxd3NuSkpaMWRYVnovWHNNQnhuSzJWYkRkU1VsS3lVdEpMcnV2KzJoaXp1dUhGQU5kMXAwZ2EzcEoyakRGL1RQTFllNUV4NXM0V2h1STBMYWlvcUtpdXFLZ1k1M25lY0VtcXFhbjVjdDY4ZVdGSktpb3FPcUNzckt4RVVpeEZlellTaWR4VFhGejhuNnFxcXRvV3hnQUFBTkN1a2Robk51TzZickdreFhXUDNRTFlpc3JMeTJzbE5YMEVYcDduMVNTWkhWN1cycFhsNWVYTjZqZGxqT25zdXU2aFNUWjFNc2Jza0d4YjNaSlV5ZHJLMC9wWjV4dldmZElZVXlKcFYyUE01Wkp1dHRaK1pZeHhKWjBwNlZKcjdTcEppc2ZqWHpWcDhuTmp6R3ZoY1BpdkRjcUNydXVlNGpqT3RLWnJhSHVlZDdpMTlpYmY5NVBOWkwrSHBGakhqaDAvOER4dlREZ2NubGxXVnZhUjY3b1Z4cGdOdmlaZ3JUMmp2THo4bVEzVkFiRFpHRDhBUUJ0RFlwL0I4dlB6czQweG4wZ2FKK21hZE1jRG9NWDJNTVkwZmUrK1h2NEd0alZqclMwMnh2UU5oVUtuUnFQUkJ5V3A3cDMrMTBLaDBGSEdHTVhqOFlkS1Mwdm51cTU3ckRIbXpPcnE2bW5KTGtBVUZ4ZnZKT25ra3BLU3RhRlFxSHNnRU5peHBLVGtDOC96OXJIVy90TmE2MGthM1hDZmNEajhSbEZSMFZsbFpXWHprb1EzeUZyNy92b3c3VDM1K2ZsRkZSVVYxZGJhSzZ5MUhlb3JHV1B1TjhZODVmdit5L1ZsdnU5SFcvbzdBTEJwR0Q4QVFOdERZdCtLRlJVVjVRVUNnUjFUYmJmVzFxOUQyOGQxM1dZVGZEV3dMaEtKbEc3ZDZJQzJiK0RBZ2IxOTMyOTJtOXhhbTUyc3ZqR21XMEZCUWJPLzJheXNyT3BvTkpxWVZNOWFXeDZQeHc5dldpOFlETDV1cmYxdlBCNC9LOG0yWnBQSTllM2J0NnZXM3hWL3gzR2NmM2llTnljY0RwYzBpR2N2U2ZHVksxZitkd09uMmZDODdyTFdoaVQ5d25HY1VkYmFPMEtoVUk5d09QeWg2N3JqSkkxelhUY2NpVVR1cjkvSDg3eS9XR3ZIaDBLaFE2TFI2UHROMmp2TVd2dW9wTWVOTVNVOWV2UzR2S0tpNHVwb05QcG93M3FlNTkzbisvN3MrZ3NUQUxZTTR3Y0FhSDlJN0Z1eFFDQndnVEhtb2xUYkd6eVdlNFl4NW93Tk5QV2pwTzIzWm14QWU5Q2hRNGV2alRGSmsvaGtrK2RKdWljbkorZWVKSFgvSmVsWVNmSjkvMnJIY1hMTHlzb1dOYTNudW01TVVsV0tiYisyMW43ZHNLeHIxNjVIU0RLeFdHeGtJQkI0V05KVG9WRElxNytJWUl3WmFhMzl1S0tpb2pyWk9iaXVlN3kxdG5jMEdwMjg5OTU3OTZ5YmpPK3VaSFVqa2NqMW51Y2RKT21LL1B6OFJ5V3BlL2Z1SjYxZHUzWmF4NDRkajVQMGpPdTYrMFVpa2E4bGFkQ2dRZnNaWTNhMjFyNFVqVWFqcnV0T05jWmNVbFJVOUdCWldkbUNaTWNBc0hVd2ZnQ0E5b2ZFdmhXTHhXSi9Ed1FDS1NldzhuMC9PeGdNZmk1cHN1Lzd0MjJnbmZqUEVpRFF4bGxyaHh0akFrbkt4MG5xbEtUOFJtUE1XMG5LRTQrOWw1YVdKcnNnc0ZHUlNLUlp1NUwrYkszOXBLeXNiRkZ4Y2ZIcHZ1L1BkUnhua3FRLzF5MHJWMml0SFoxa3YzcURqREdqSkUzT3pzNCtSVktXcElkUzFQV3R0Y2ZIWXJGWVJVVkZ0ZXU2QmNhWWYrYm01cTZPeFdKL0RBYURVVWt2RkJRVUhGQmVYbDdwT000RmtwWkVvOUczSlduZHVuVlhaR1ZsSFJjSUJDNlFkUDdtL0E0QXRBempCd0JvZjBqc1c3RTVjK1lzbDdRODFmYjgvUHljbmoxN1N0SUsxbm9HdHI0azY4OUxranpQTzg5YTJ5eXhsMVFhRG9kZlRsSysxYm11dTQrMWRxaWtjeVdwcEtUa3Y2N3JYdUQ3L2h1dTYrNW1yWDNZR1BQVkR6LzhNRFZWRzNVVDd5MlFGTERXbmkvcHJRYVAzZFpLVXQxNXJwQ2tTQ1R5ZmYyKzF0cjk2dTc2ZlZCV1ZyYkk4N3cvUzNvK0p5ZG5aR0ZoNFFmR21ELzZ2djgzU2I0a2ZmcnBwMHM5enh2S1k3M0F6NC94QXdDMFB5VDJHY0IxM1VwalRMSWtvdDdWbnVkZG5XeUQ3L3QvNXIxVm9NMEpTcnBQMG5mTGx5OVAvSDFISXBGNzZwYS9lOEJhMjlYMy9hTVdMVnFVbUszZUdGTXRTVGs1T1dlNXJ2dU50ZmIzeHBnWm9WQm9GMlBNS3QvM0o5WFhqY2ZqNVlGQVFJRkE0QTdQODU2dzFzWWJ0TlBGV251MXRmYVQra2Z2dytId0MwVkZSWVByWnIxL3oxcjdVMlZsWmFQSCttT3hXSTNuZWNsV0RRZzRqalBPODd6TEdoWmFhKytMUkNLWEpha1BvQVVZUHdCQSswRmlud0dNTWNmN3ZyOVovMWFCUUNDOHRlTUJrRjU5Ky9idEtDbkw5LzIvTm54L3ZxaW9xSk14NWdGSjNYM2ZQNkswdExUUlpIYnIxcTE3THhnTWZtR011VWFTTmNaOEVZdkZiaThySzZ1UVZDUXA4ZUp0YVducHU1N24zYUQxeStNZDNYQ3BQV3R0cmFUWjhYajh0SWJ0bDVXVmZTUkp4cGhwa2xiTW56OS9WY1B0OFhoOHNlTTRGN2YwUEgzZi82eWxkUUUweC9nQkFOcVA1b3NpbzlVcEtpcnE1RGhPcjAzZHI3YTJ0cm9sYTJvRHlEeUZoWVU5Nmg2M2JWcGVHQXdHVjlYZlNRZlFmakYrQUlEMmd6djJHU0FRQ0F3M3hqeStxZnRsWjJlL0plbmdueUVrQUdtV0xLbXZLNSt6cldNQjBEb3hmZ0NBOW9QRVByTWNZWXo1c3Y1RDNUcTBwZGJhOFk3alRHdFkwZmY5QjdaNWRBQUFvRFZpL0FBQWJSeUpmUWFKeFdJTHlzcktQcS8vWEQrcnJURm1XVWxKeWVjTjY3cXV1MWI4K3dJQTBPNHhmZ0NBdG8rT093TllhM09NTVFvRUFsMUNvVkQzK3ZKWUxKWXRTYjd2NXpZc3I4Ty9MUUFBN1JqakJ3Qm9QK2k4TTREak9EdElrakhtL1lZelUyZGxaZFZ2djBIU0RVMzNzOWErdFkxQ0JBQUFyUXpqQndCb1AwanNNNEMxZHFBeFpwVzE5dGVic050ZEc2OENBQURhS3NZUEFOQitrTmkzZmtGSnY1WDBRU1FTbWQzU25Rb0xDMy9yK3o3TEdRSUEwRDR4ZmdDQWRvVEV2cFZ6WGZkY1kwd3ZTVk0zWmI5VVMyRUJBSUMyai9FREFMUXZYSkZ0eFVLaDBMNk80N3h1cmYwaUVva01saFJQZDB3QUFLQjFZL3dBQU8yUGsrNEFrSnJqT0grejFzWWR4emxKZkNrREFJQVdZUHdBQUVBclVsQlFzR01vRk5vMzNYRUFBSURNd2ZnQkFBQUFBQUFBQUFBQUFBQUFBQUFBQUFBQUFBQUFBQUFBQUFBQUFBQUFBQUFBQUFBQUFBQUFBQUFBQUFBQUFBQUFBTklvUHo4L0p6OC9QeWZkY1FCb2ZlZ2ZBS1JDL3dBQWJZdVQ3Z0N3WmJwMTYzWkNqeDQ5L3B6dU9BQzBQdlFQQUZLaGZ3Q0F0b1hFUHNNNWp2TkhhKzJKNlk0RFFPdEQvd0FnRmZvSEFHaGJTT3d6V0dGaFlhR2tBbVBNbm5VL0E0QWsrZ2NBcWRFL0FFRGJRMktmd1J6SCthVXhwcGVrcm9GQVlIQzY0d0hRZXRBL0FFaUYvZ0VBMmg0Uyt3eVZuNStmWTR6NXBiVTJWMUtXcEFNS0NnbzZwenN1QU9sSC93QWdGZm9IQUdpYmd1a09BSnVuUjQ4ZVhZd3grMGd5ZFVXRndXQ3d1NlRLTklZRm9CV2dmd0NRQ3YwREFMUk4zTEhQVVBGNGZCZEpmZXMvRzJQMmRoeW43d1oyQWRCTzBEOEFTSVgrQVFEYUpoTDdET1U0emloSk9kWmFXV3NsS2NjWWMxeWF3d0xRQ3RBL0FFaUYvZ0VBMmlZUys4d1VOTWFja0tUOEdFa2R0blV3QUZvVitnY0FxZEEvQUVBYlJXS2ZnVnpYSFdhTTJiSHVTcnNreVZvclkweHYxM1dQVEdOb0FOS00vZ0ZBS3ZRUEFOQjJrZGhuSUd2dGlSdllmTm8yQ3dSQXEwUC9BQ0FWK2djQWFMdEk3RE5NUVVIQnJzWVl0LzVxdXpGR3hxeWYyTGJ1cW51b29LQmcxM1RHQ0NBOTZCOEFwRUwvQUFCdEc0bDlodW5Rb2NPdmpERzlOMUNsVzA1T3ppKzNXVUFBV2czNkJ3Q3AwRDhBUU50R1lwOVpBc2FZUW10dDUxUVZyTFU1MWxwWFVuQWJ4Z1VnL2VnZkFLUkMvd0FBYlJ5SmZRWXBMaTd1N0RqT1BzWVlSMUxpRWJxR1B4dGpIR1BNdmdNSER0d3VQVkVDU0FmNkJ3Q3AwRDhBUU50SFlwOUJmTi9mMlZxNzM4YnFXV3YzY3h4bjkyMFJFNERXZ2Y0QlFDcjBEd0RROXBIWVp4QnI3VEJqVE9lR3k5UWtxU05qVE9kQUlQQ2JiUmdhZ0RTamZ3Q1FDdjBEQUxSOUpQYVpJMkNNT1V0cVBKTnRRMDNLVDVZVTJIYmhBVWdqK2dmWktUdk9BQUFnQUVsRVFWUUFxZEEvQUVBN1FHS2ZJVUtoMFA3R21MNHRyVytNMmNOMTNmLzVPV01DMERyUVB3QkloZjRCQU5vSFpqN05FUEY0L0ROalRLaEo4VDdHbUJzbFpWdHIveXBwZHNPTnRiVzEzMnl6QUFHa0RmMERnRlRvSHdDZ2ZTQ3h6eEJ6NXN4WkxtbDV3N0pRS05UREdCT3oxZ2F0dGYrTlJxT2xhUW9QUUJyUlB3QkloZjRCQU5vSEhzVUhBQUFBQUNDRGtkZ0RBQUFBQUpEQlNPd0JBQUFBQU1oZ3ZHT2YyVlpZYTk4M3htUlphMWVrT3hnQUFBQUF3TFpIWXAvQmFtdHJ5N096czgrT3hXSW1Gb3VSMkFNQUFBQUFBQUFBQUFBQUFBQUFBQUFBQUFBQUFBREFocGwwQjRETnQvZmVlL2ZOeXNvNldWS3d0cmIyZ2JsejU4NVBkMHdBQUFBQWdHMkx5Zk15V0ljT0hmS01NV2RZYTNNNmRPandxaVFTZXdDU3BGQW9sRytNR1NFcGFLMTlJaHFOVnFRN0pnQ3RBLzBEQUxROUpQWUEwRGJsRzJNdXR0Ym1TUHBJRWdOM0FQWG9Id0NnalhIU0hRQUFBQUFBQU5oOEpQWUFBQUFBQUdRd0Vuc0FBQUFBQURJWWlUMEFBQUFBQUJtTXhCNEFBQUFBZ0F4R1lnOEFBQUFBUUFZanNRY0FBQUFBSUlPUjJBTUFBQUFBa01HQzZRNEFtODlhdTlqMy9XbVNPbGhyRjZjN0hnQUFBQURBdGtkaW44RktTMHUva0hScHV1TUEwUHI0dmw5dGpQbkdHSk1kajhlcjB4MFBnTmFEL2dFQUFBQUFBQUFBQUFBQUFBQUF0b1pBdWdQQUZnbjI3ZHUzYy9mdTNYT1dMMThlbCtTbk95QUFBQUFBd0xaRllwL0JRcUZRVVhaMjlxMjV1YmwvN04yNzk5d2xTNVlzU1hkTUFBQUFBSUJ0aThuek1sdDNZOHdCMXRvY1NkM1RIUXlBMXNOMTNYMGtqVGZHWkZ0ckw0eEVJclBUSFJPQTFvSCtBUURhSGhKN0FHaURyTFdkSGNjWmFLM05zZFoyVG5jOEFGb1ArZ2NBYUh1Y2RBY0FBQUFBQUFBMkg0azlBQUFBQUFBWmpNUWVBQUFBQUlBTVJtSVBBQUFBQUVBR0k3RUhBQUFBQUNDRGtkZ0RBQUFBQUpEQlNPd0JBQUFBQU1oZ0pQWUFBQUFBQUdTd1lMb0R3T2J6ZlgrK3BMOFpZNEoxUHdNQUFBQUEyaGtTK3d4V1ZsYTJTTktVZE1jQm9GV3FzTmJlb3ZYOWZFVzZnd0hRcXRBL0FBQUFBQUFBQUFBQUFBQUFBTUFXTStrT0FKc3ZGQXAxbDFSZ3JYV01NWjlHbzlFVjZZNEpBQUFBQUxCdE1TdCtaaXR3SE9jZmdVRGdQa2tGNlE0R0FBQUFBTER0TVhsZVpzdVN0SU8xTnFmdVp3Q1FKSVZDb1lNZHgzbmNXcHRqclQwNkdvMittZTZZQUxRTzlBOEEwUFp3eHg0QUFBQUFnQXhHWWc4QUFBQUFRQVlqc1FjQUFBQUFJSU9SMkFNQUFBQUFrTUZJN0FFQUFBQUF5R0FrOWdBQUFBQUFaREFTZXdBQUFBQUFNaGlKUFFBQUFBQUFHU3lZN2dDdytheTFNVWtySmRYVS9Rd0FBQUFBYUdkSTdET1lNZVpUMy9kUHM5WTZ4cGhQMHgwUEFBQUFBR0RiSTdIUFlORm9kSVdrOTlNZEI0RFdwN2EyZG5hSERoME90ZGFhV0N4V2tlNTRBTFFlOUE4QUFBQUFBQUFBQUFBQUFBQUFzRFdZZEFlQXpkZS9mLzgrSFR0MlBOVDMvVUIxZGZVcjgrYk5XNXp1bUFBQUFBQUEyeGJ2MkdldzNOemNQWTB4TnptT2s1T2JtM3UwSkJKN0FKS2svUHo4bks1ZHUyN3YrNzZwckt6OHZxS2lvanJkTVFGb0hlZ2ZBS0R0WVIxN0FHaUR1bmZ2UGpnWURIN1NvVU9Ic3U3ZHV3OU9kendBV2cvNkJ3Qm9lMGpzQVFBQUFBRElZQ1QyQUFBQUFBQmtNQko3QUFBQUFBQXlHSWs5QUFBQUFBQVpqTVFlQUFBQUFJQU1SbUlQQUFBQUFFQUdJN0VIQUFBQUFDQ0RrZGdEQUFBQUFKREJndWtPWUdQNjdERndsNndPd1QzU0hVZHJ0SGFkM3plbmc3NXdqT213ZHAzZk4zK3ZVTHBEYXBWcWFtb1dmTGZnczYvVEhRZTJQdnFIMUdyV0taVGR3V1pKTmxpelRpSDZoK1RvSDlvdStvZlU2QjlhaHY2aDdhSi93SlpxamYyRFNYY0FHNUtmSDhwWGpwMHFvNzNTSFV2clpHV3NjU1RKR3V1MzhuL09kRnFvS3ZPbmlvcG9SYm9Ed2RaRC83QmhRYU9zVGxsT2Q4bWFOYlYyZWN5cU50MHh0VkwwRDIzUXpuMkw4am9FemNQMEQ4blJQN1FZL1VNYnhQZ0JXMG1yNng5YTl4MzdIT1hMYUM4anMyUEgzRndGZ29GMFI0UU1Fby9GVlZWZExkL2FIT1VvWDFLcitjUERWa0Qvc0ZHMjdyOGRzOVF6cllHMFF2UVBiVnNIS2ErK2Y4ak56VldRL3FFWitvZlU2Qi9hT01ZUDJBS3R1WDlvM1lsOW5ZNjV1YnB3ekdnVkRPaWY3bENRUWNvL202YzcvdkZQclZpMUt0Mmg0R2RFLzRETlFmL1FQblRNemRWNTU1eXBVTkhBZEllQ0RFTC8wRDR3ZnNEbWFNMzlRMFlrOW9GZ1FBVUQrbXZ3ZnZ1a094UmttQTRkT3FRN0JQek02Qit3dWVnZjJyNUFNS0FCL2Z2UlAyQ1QwVCswZll3ZnNMbGFhLy9BclBnQUFBQUFBR1F3RW5zQUFBQUFBRElZaVQwQUFBQUFBQm1NeEI0QUFBQUFnQXhHWWc4QUFBQUFRQWJMaUZueGdiYkVXbXMzWGl1OWpERW0zVEVBYlVrbS9OMXZiZlFqQUFCc085eXhCd0FBQUFBZ2c1SFlBd0FBQUFDUXdVanNBUUFBQUFESVlDVDJRSnA5K2VXWFdyVnExVFk1Vm0xdHJTb3FLbFJWVmJWTmpnZWdaV3ByYTdWNDhlS2syMzc4OFVldFhyMTZpOXBmdUhDaGxpOWZ2a1Z0QUFDQTFvdko4NEEwcXEydDFkbG5uNjMvK1ovLzBiaHg0emE3bllVTEYrcnh4eC9YK2VlZnI1eWNuSlQxRml4WW9KRWpSK3EyMjI3VGdRY2V1Tm5IQTdCNVhuenhSVlZWVmVuWVk0OXRWRDUzN2x5ZGZ2cnArdWlqanhRTU52NXF2dUtLSzFSWVdLalJvMGMzS3ErdXJ0YkVpUk4xMm1tbmFhZWRkdHJnY1U4NjZTUWRkZFJSK3V0Zi81cDBleXdXMHhkZmZMRVpaOVJZaHc0ZDFLOWZ2eTF1QndBQWJCb1NleUNOL3YzdmYydkZpaFVhTldwVXlqcWxwYVY2N3JubmttNDc1NXh6MUt0WEw1V1ZsV25HakJtS1JDS2FPSEdpZHQ1NTU1OHJaQUJiNEtPUFB0S0xMNzZvQlFzVzZNSUxMOVNLRlN0VVUxT2pIMy84VVpLMFpNa1NPWTZqN2JiYlRzdVhMNWZ2KzZxdHJWVmxaV1hpam43UG5qMlZrNU9qaFFzWGF1Yk1tWHI5OWRkMXd3MDM2SmUvL09WbXgxVlpXYW1UVGpwcGk4K3ZWNjllZXZubGw3ZTRIUUFBc0dsSTdJRTBxYXFxMHBRcFV5Ukp4eDkvZk5JNlYxOTl0U1RwdWVlZVU3OSsvUkozOGxhdFdxVnZ2LzFXSTBlT1ZLOWV2ZlNIUC94QlBYcjAwQ1dYWEtLVFRqcEpkOXh4aC9iZWUrOXRjeUlBV216Y3VISHExS21UcGsrZnJtWExscW1xcWtvZmZQQkJZdnVSUng0cFNicjc3cnQxeVNXWHFMS3lVdEw2QzN4UFB2bWtKT21tbTI3U29ZY2VxajMzM0ZNUFBmU1F6anZ2UEkwWk0wYVhYMzY1ampubW1NMktxMnZYcm5yaGhSY2FsVDM2NktPYVBuMjZycnZ1T29WQ29SYTFFd2dFTnV2NEFBQmd5NURZQTJseSsrMjNhK1hLbGJycXFxdVVsWldsSjU5OFVrdVhMdFZmL3ZLWFJKMmlvaUtGdzJGSjB1VEprOVc3ZDI5SjB1dXZ2NjVMTDcyMFVYdERoZ3pSUGZmY285dHZ2MTE1ZVhtNjZxcXJOSFBtekVaMTZwZlN2dVNTUytRNGphZllHRGh3b082OTk5NnRmcDRBL284eFJwZGVlcWw2OXV3cDEzVzE5OTU3S3hhTGFmYnMyYnIwMGt2MXhodHZTSkp5YzNQMTRvc3Z5bHFyczg4K1d3Y2RkSkJPT09HRXhMWjZlWGw1ZXVDQkIzVEpKWmRvd0lBQmV2cnBwelZ4NHNSbXg2MnVydGIwNmRNMVk4YU1adHRtelpxbHJLd3M5ZW5USjFIMjlOTlBhL3IwNlJvOWVyU0dEUnUydFg4TkFBQmdLeU94QjlMZ2xWZGUwWk5QUHFuUm8wZnJxS09Pa2lTOTg4NDdXck5tVGJOQmRIMWkzeEtGaFlXSnB3Q3FxNnZWcFVzWC9mblBmMDVzWDdac21SNTg4RUVOSHo1Y2UreXhSNko4eG93WnFxNnUzcEpUQXJBSnpqampEUG0rcjlMU1VrblMvUG56bFoyZHJmbno1MHVTK3ZUcGszajAvc2NmZjFSVlZWVmlXNDhlUFpTZm41OW9xMmZQbnJydnZ2c2tTV1ZsWmFxdXJ0YjU1NSt2N096c1JKM0preWVycUtoSVE0Y09UWlI5L1BISGV2UE5OeE1YL0tUMUYvK21USm1TdU1oMzExMTM2YTY3N3RybytRd2FORWdQUFBEQVp2MHVBQURBbGlPeEI5TGc2NisvbHVkNU91V1VVN2E0clVXTEZtbmN1SEVhTzNhc2R0OTk5MGJidW5mdnJqLzk2VStKei9QbXpkT0REejZvQXc4OHNOSGtlZSsvLzc1V3JGaXh4YkVBU0syc3JFeVBQZmFZcnJycUtuWHExRWsxTlRVNjc3enpKRW5yMXEyVHRUYngrWnh6enRFLy92RVBXV3RWVTFPamFkT21KUjdGUCtTUVEzVGxsVmZxNG9zdjFvZ1JJM1R3d1FjM085YlJSeCt0TGwyNkpEN2ZmZmZkNnQrL2Y2UCtvS2FtUm0rKytXYmk4OUtsUzNYZGRkZnBndzgra0RGR2h4NTZxSTQ0NG9pTm50ZlVxVk1WajhjMzc1Y0NBTzNRb2tXTDFLZFBuMlpQVDI2cWhRc1hhcnZ0dGxPblRwMjJVbVNOTFZ1MlRQRjRmS01UdE5aYnNXS0ZxcXFxVXRhdnFxclM4dVhMRTNQRmJLNkZDeGZxdSsrKzAzNzc3U2RqakJZdFdxUzh2THpOYnErdElMRUgwcUNnb0VER0dEMzY2S09Kc29xS0NxMWN1VkxUcGsxTGxPMjQ0NDRiYld2WnNtWDY0b3N2TkdyVUtGMTU1Wlg2M2U5Kzk3UEVER0RMckZ5NVV1KysrNjVPT2VVVTNYcnJyZHAxMTEzMTNudnZLUmFMNmNnamoxUzNidDEwOTkxM3EzdjM3cEtrVWFOR2FjcVVLWHJxcWFlMC9mYmI2NmlqanRKeHh4MG5TZnJoaHgrMFpNa1NYWFRSUlJvMWFwVEdqQm16UmUrM1YxUlU2TVFUVDFRZ0VORDQ4ZU0xZWZKazllblRSd2NjY01CRzkzM2hoUmUwZE9uU3pUNDJBTFJGTjk1NG8zYlpaUmVOSERsU3hwaEVlVlZWbFVhTkdxV2hRNGNtNWxMYUhMN3ZhOHlZTWVyZHUvY212MHA1NzczM3l2TTg3YnZ2dmh1c2QrT05OMnJac21WNjVKRkhOdHJtVHovOXBHT1BQVlpGUlVXNjdiYmJrdGE1N3JycjlNNDc3K2pGRjEvY29zVCttV2VlMGJScDAvVGhoeC9xd3c4LzFJVVhYcWdUVHp4Ulo1OTk5aGExbStsSTdJRTBlUHZ0dC9YNjY2ODNLbHV6Wm8xODM5ZUREejZZS0JzMGFGQ2pSMmVUOFR4UER6MzBrTTQvLzN4ZGVlV1Zra1J5RDdSQ0J4NTRvS1pPbmFxLy9PVXZPdU9NTS9UY2M4OHBPenRiTjk1NG8xYXZYcTBkZHRoQko1eHdnaVpPbktpQ2dnSzk4ODQ3dXUrKyszVHBwWmNxTnpkWDExOS92ZnIzNzY5Qmd3WnArKzIzMTlTcFUzWFpaWmZwa1VjZTBkcTFhM1hGRlZkc2RtejUrZms2OGNRVGRjUVJSeWd2TDArVEowL1c0c1dMOWY3NzcyOTAzeDkrK0dHemp3c0FiVkVzRnRQS2xTdjExRk5QNllNUFB0RDExMStmdUdqN3pEUFBhUFhxMVhKZFY5OTg4ODBHMituVnExZktSSFhXckZuNjVwdHZkUEhGRjI5U2JHdldyTkhiYjcrdCsrNjdUK2VkZDk1V2VYcFVrbTY0NFFhdFhMbFNRNGNPMVp3NWN4cHQyMjY3N2JSeTVVcTkrdXFyT3ZqZ2cvWDExMTgzMjc5UG56N2FicnZ0V25TcytybG00dkc0RGp6d1FGMTIyV1c2OWRaYk5YUG1UTjF6enoyTjVveHBUMGpzZ1RRWU8zYXN4bzRkMjZqczhzc3YxL3o1OC9YVVUwODFLbi8rK2VjMzJsNStmcjRlZXVnaC9mT2YvOVFoaHh5eVZXTUZzUFgwNjlkUFU2ZE8xWUlGQzdScTFTcU5IejllNzcvL3ZtNisrV2J0di8vK3V1S0tLelJod2dRZGNNQUJtakpsaW80OTl0akVUUGZ2dnZ1dXpqNzdiSjF6emprNjRZUVQxTGx6WjAyZVBGbDMzMzEzWXE2T0xYSHV1ZWMyK3Z6YWE2L3B0ZGRlYTlHK2d3WU4ydUxqQTBCYkVRd0dOWDc4ZUEwY09GQ1RKazNTV1dlZHBjY2ZmMXkrN3llZTFodzNidHhHMjduNzdydTEvLzc3cTZLaUlqSFBTcjJwVTZlcWE5ZXVxcTZ1Ym5hektKbCsvZnBwdDkxMlU2ZE9uWFRmZmZmcDhzc3YxKzIzMzY2dnZ2cXFSYkZzeUxScDB6UnIxaXhsWjJkcndvUUo4bjIvMFdzR1J4eHhoRXBMUzJXTTBRY2ZmTkJvTlpoNkYxMTBVWXRYZHFtZlE2YitOYkFSSTBhb3VMaFl6ejMzWEl0ZkcyaUxTT3lCTkhueHhSYzFZY0lFdmZqaWkrcmN1Zk1XdDllOWUzZGRjc2tsamNxKyt1b3JIWGJZWVluUDlSM2dsVmRlcWF5c3JFVDU2dFdyMWI5Ly95Mk9BY0RHN2JUVFR0cHBwNTEwK2VXWGErN2N1YnJycnJ1MHp6NzdTSkltVEppZ3lzcEtSYVBSWnN2WFhYdnR0ZXJSbzRmZWVPTU5qUnc1VXRMNjVlVWFycVJSNytpamoyNzA2R2RsWmFWbXpKaWgvL3puUDRteURVMllPV3pZTUEwWU1FQy8rdFd2RW1XVEprM1N2Ly85NzhUTS9mV2VmLzc1eExKOEFJRC9jK0tKSjJyWFhYZVZKRG1Pb3djZmZGQkxsaXpSK1BIanRkdHV1MjEwLzExMjJVWFMrcnZ6ZDk1NVo5STZUVmRKU3VYODg4L1h5U2VmTEduOUhlOWJicmxGMTE1N3JRWU5HcVFGQ3habzFLaFJ6ZmFwcmEyVnRWWkRoZ3hwdHUzV1cyL1YvdnZ2cjN2dXVVZFRwa3pSa0NGRE5HblNKTTJhTlV1VEprM1NMYmZjb2dFREJraGFmeEZqM3J4NXV1R0dHelJreUJDTkdqVktSeDU1WktNSm5xWDEzM092dlBMS1JzOGxGb3RKa243em05ODAyL2JrazA5cXdJQUJpVWxsMnhNU2V5Qk5hbXRyVlZsWjJXaEc2Z1VMRmpUcVBNOC8vL3hOZWxkb3pwdzVLaXdzVEh6dTJiTm4wbG54RHovODhHYXo0Z1BZTnBZdVhhcUZDeGZxaWl1dVVEd2UxM1BQUFplWU5LK3BDUk1tSkg3T3o4L1g5T25URll2RkZBeiszOWYzWjU5OXBuNzkralVxTy9ua2s1dk5pbDlZV0poMFZ2eGtSbzhlM2F6TUdLUEt5a285K2VTVGlRc0xrblRNTWNmb3pUZmYxS09QUHFvVFR6eXhCYjhCQUdnLzZpY3IvdUtMTDNUdnZmZnFONy81VGRLRWRFT09QLzU0RFI4K1BQRjV6Smd4cXEydDFUMzMzSk1vdStxcXF4UUtoVFJpeElpa2JUUzlpUlFNQm5YdHRkZEtXcjh5UzNWMXRZNCsrbWoxNjljdlVhZit0WUg2Q3dLU3RHVEpFazJiTmszeGVGeExsaXpSUXc4OXBPTGlZdDEwMDAyYU5tMmE5dDU3YncwZE9sVFBQLys4Qmd3WW9GZ3NwclZyMStxa2swN1M0WWNmbm9qMTRvc3YxdURCZ3hQSnZ5UU5IVG8wY1RGalE3NzQ0Z3U5K3Vxck91R0VFNUpPSExqOTl0dHZ0STIyaU1RZWFFVzIzMzc3Um8vRERodzRVSjkrK21tTDl2MzIyMjkxNnFtbjZweHp6dEhwcDU4dWlWbnhnZGJvcmJmZTBrMDMzYVI3NzcxWCsreXpqK0x4dURwMzdwd1lZQ1h6OHNzdkovcUNoZ204SkYxODhjWGFaWmRkR2czd05tZFcvRnR2dlZXUFAvNTRzMlB2c2NjZW1qNTl1cVQxeWYyZGQ5NnBnUU1IcXFpb1NJc1dMZEtrU1pQMDVwdHZhdDk5OTlXSUVTUGE5Y1JGQUNCSkV5ZE9WQ3dXMCtqUm85VzVjMmZGWWpGZGRkVlY2dGl4bzBhTkdwWDBEbmhEdi9qRkwvVHd3dzhuUHVmbTVpYmVLMy8zM1hjVGQ3OGJKckR6NTg5WGZuNytScFBhU1pNbXFWT25UanI5OU5PYnpjby9aTWlRUmhlQVAvcm9JeTFidHF6UmQwZDVlWGxpb3VjZGQ5eFJreVpOa3VkNXlzckswclBQUHF0NFBON292ZjhWSzFib3IzLzlxeVFsSmxyTnk4dlQxS2xUbFp1YnE2VkxsNnBidDI3S3ljbHBOajVOWmRhc1dYcjExVmQxNUpGSHR1aENRSHRCWWcrMElsMjZkR20ydkZTeXhMNytFYVNHSGZKNzc3MG5TWTN1MkFOb2ZXYlBucTNzN094R2Y2dloyZGtibklHK3ZMdzhhVi93My8vK1YwdVdMTkd3WWNPMk9LN2h3NGZMZGQzRTV4OS8vRkUzMzN4em82ZDd1bmJ0cWhFalJtak1tREU2L1BERDlleXp6MnF2dmZaS3ZBY0tBTzJkdFZhQlFFRFRwMC9Yekprek5YYnNXQjEwMEVIYWQ5OTk1WG1lOXRoamo0MU9kdHJ3d216VHR1KzY2eTd0dnZ2dWpWNjFiS242dSt5dnYvNjZJcEdJeG84Zm41alViM01OSGp4NGc5dFBPT0VFL2ZUVFR4dXNjK1dWVityb280K1d0UDdwMGc4Ly9EQnB2Vi84NGhjYU9IQmc0dmV6WnMyYVJ0dC8rT0dIZG51M1hpS3hCMXExcXFxcXhNOExGeTdVTysrOG80NGRPMnI2OU9reXhtaUhIWFpJYkgvMzNYZlZ0V3RYRlJjWHB5TlVBQzFnclZWSlNZbENvVkNqUitXWExGbXl3VHM0c1ZoTU8rKzhjN1B5K2d0NlcyUFN6SDc5K2lVZXdmenV1KzgwWnN3WTllblRSNWRmZm5tamV1ZWVlNjZXTFZ1bUdUTm02SGUvKzUydXYvNzZMVDQyQUxRVnhoaGRjTUVGT3Z6d3d6VjI3RmhkZU9HRmV2VFJSeHZkeGQ3Y2k3R3Z2dnFxdnZqaUM5MXl5eTNON3JhM1JDQVEwSTAzM3FpNzc3NWJEenp3Z0U0Ly9YUTk4Y1FUbXhWTHZhZWZmanFSdUs5YXRVb2xKU1dKYmZXdmc1NXd3Z2s2OXRoamsrN2Y5TldCK2ZQbmE5eTRjYzJlL3FxcHFkSHh4eCt2Z1FNSEppNUdOTHhnOFBISEgrdTg4ODdUK1BIajlldGYvM3FMemlsVGtkZ0RyY0RxMWF1MWV2VnFyVml4UWpmZmZMUG16NSt2K2ZQbmE4aVFJWWxKdGRhc1dhUHg0OGNuOWpudHROTVM3MHV0V2JOR24zenlpWDd6bTk4MGUwd1hRT3Z4K2VlZmE4V0tGYzN1YnZmczJYT0RDZkpMTDcya3NyS3ladVZ2dnZtbWR0eHh4MGJ2S0c2cE45NTRRMy8vKzkvVnExY3ZUWmt5cGRsN21jWVlqUnMzVGp2dnZMUHV2ZmRlZmYvOTl6cjc3TE1iM2UwSGdQWnV3SUFCZXV5eHgvVGhoeDlxcjczMjBzcVZLeE4zcFRma29JTU9Tcm0rL1FNUFBLRE9uVHRyMmJKbHpSTHk2dXBxZmZubGwwa1Q5YU9PT2lweE1ka1lvOUdqUnlzL1AxOGRPM1pVSUJEWTlKTnI0TnR2djlYU3BVdFZXVm1wVmF0V2Fmbnk1YXFvcUpDa3hEeFMzYnQzVjM1Ky9pYTErK0tMTHpaNm1xRGg1SDQ3N3JpakpPbjc3NzlQbEUyZlBsM1oyZG5hZDk5OU4vdGNNaDBaQUxDTitiNnYrKzY3VHg5Ly9MR2s5ZS9DTGwrK1hOTDZkNmdpa1loMjIyMDNIWHZzc1JvOGVIQmlqZFArL2Z2cjZhZWZsclIrUGRDR2crMlpNMmVxdHJhMjJWMjdkZXZXYWZIaXhZblA5UjNnVHovOTFLaThwcWJtWnpoVEFFM05uRGxUa3BvbDlsbFpXUnQ4bEgzT25Ebk5FdnZGaXhlcnRMUzAwVVIyOVpZc1dhTFZxMWNuUHZ1K3J6VnIxalQ2dTIrNFhaSktTa28wWmNvVWZmTEpKeG8yYkpndXZmVFNSdjFNUEI1dk5OUCttV2VlcWYzMjIwL2p4NC9YNmFlZnJyMzIya3UvLy8zdk5XellzQzErdEJNQTJvTGMzTnpFTytzNU9Ubk5saFZ0NnY3Nzc5L2dpaVZWVlZXS3hXSzYvZmJibTIycnJxN1duRGx6OU5sbm56WGJkdmpoaHpkNlNreVNmdi83M3plcmQ4MDExK2lHRzI1SWZGNjllclY4MzArNndsSzkrcFZabm56eVNiM3p6anM2OU5CREUzTTkxWnMyYmRwV25haTVjK2ZPNnRLbGl4WXVYQ2hwL2NXRmQ5NTVSNk5HalZMWHJsMjMybkV5RFlrOXNJMDVqcU92di81YVhicDAwVWtubmFSZGQ5MVZ1KzY2cTNiYmJUZjE2dFdyV2YzNnhONXhuSlJMbzd6MDBrdkt6YzF0OXA1VFJVVkZvMWxVNnlXYnBHdmd3SUdiY3pvQU5zR3NXYlBVdlh2M1pzdExiczZqK0MrLy9MS2s1SS9oSDMvODhjM0tubm5tR1QzenpETkoyMy9sbFZjMGR1eFk1ZVhsNlpaYmJra01SQjk3N0RFWlkyU00wY3laTTVzbDdLRlFTSTgrK3FoZWV1a2xQZnJvbzNyaWlTZVM5amtBMEI0dFdiSkU4K2JOMDY5KzlTdGxaMmVuZkJ5OTN0TlBQeTNmOTFOdWYvNzU1MU51Tyt5d3czVG9vWWUyZVBtN2lvb0s5ZXpaczFFaWZOaGhoN1Y0VnZ5R2ZOL1hrMDgrS1VtS1JxT2FPblZxbzFXWkRqNzRZUDMydDc5TkdrZXlKVnVsOVRlaDZ1ZVVrdFRvWjJuOXhLNy8vZTkvSlVtMzNIS0xnc0ZndTErWmhjUWVTSU8vLy8zdlc2MnRlRHl1WURDb29VT0hOcnNhbTVlWHA2dXV1bXFqYmR4NTU1Mk5sdDBEc1BXdFc3ZE9oWVdGeXNuSmFYVG5XNUo2OU9pUjh0RkxhZjE3bFhQbnptMVVWbDFkcmQxMzMxMkRCZzFxVnYrMjIyNUx6S0M4b1RiLzlhOS9TVnEvRnJBeFJvY2Nja2lqMTNsZWVlV1Z4S1I5VFZmdHFCY01CalY4K0hBTkh6NWNsWldWelI3ZEI0RDJhdGFzV2JybGxsdDAwMDAzNmRCREQ5MW9mY2R4VkZ0YnV3MGlXLzlZLzF0dnZaVzRTQ3h0K3F6NDlWNTk5Vld0WHIxYU8reXdnMzc4OGNmRXVQSzAwMDZUSk8yNjY2NGJuQ0EybVQvKzhZL055dXBmVDVYV1A4bjYwa3N2NmMwMzM5VGJiNyt0czg0NnExMVBuQ2VSMktkTmJXMnRGaTllck42OWUyOTA4QldKUkRSZ3dJQ2tTd2d0V3JSSWl4Y3Yxbjc3N1pjb216bHpwZ1lOR3FUdHR0dXVSYkVzWExoUTIyMjNYZEoxSUpGK1J4eHhSTE9aOGhzS0JBSkpIOG02L3ZyclphMXQwZEpURHo3NDRCYkZpUFN3MXFxcXFrcFpXVmxiWlc2RmhRc1hxa3VYTHVyUm84Y0c2ODJiTjA4NzdMQkQwbnFWbFpYNjVKTlBOR1RJRUdWbFpVbGEzNGQxN3R5NTBWMkE5cWhEaHc1SmsvZVRUejVaSjU1NFl1TDNsVXl5NVgvT1BmZmNab24yaUJFak5IejRjSFhzMkhHajhleXp6ejRhTzNaczRuT3lkWlVmZXVpaGpiYlRFRW45bGx1elpvMisrKzQ3N2JMTExzMHUxdjRjbGkxYnBuZzhycDEyMm1tamRXZk5tcVZ2dnZtbTBkMDdBS205OTk1N0NnYURHNTA1dmw3SGpoMFRNNzJYbEpTb1c3ZHU2dHUzNzFhUHkxcXI5OTkvWDN2c3NjZEc4NUNOV2JObWpXNjc3VGFOR2pWS00yYk0wSzkvL1dzZGR0aGh1dXV1dXhLcnZ5eFpza1NSU0dTVDJyM3R0dHNhZmFkY2Q5MTFqYlo3bnFjbm5uaENWMTk5dGZyMjdadTRpTkNla2RodlpRc1hMdFRqanordTg4OC9mNE1KMVlJRkN6Unk1RWpkZHR0dEcxeXZjYzJhTlRyenpEUDErT09QSi8zRGZ2dnR0elZqeG96RXU5ZVNORzdjT0UyWU1LRkZpYjN2K3hvelpveDY5KzZ0ZSsrOWQ2UDFrVG0yeFlBUWpVMmJOazBQUC95d1hudnR0VVRaa2lWTE52aFlYYjFnTU5ob2xZTTMzbmhEZi92YjM1cE5IdFBRc21YTE5HellNRjE5OWRVcEwvNVVWMWRyNHNTSk91MjAwelk2Y0QvcHBKTjAxRkZISmRhYlRlWDY2Ni9YSC83d2gwWlg4T3Q5KysyM3V2amlpL1hLSzY4a3Jwdy8vUEREMm1PUFBkcDlZcDlLSUJEWTRzbUw2Z1dEUVNiUXpIQWZmL3l4THI3NFlqMysrT1BhYzg4OU43dWRlKys5VjU3bmJYUWlxUnR2dkZITGxpM1RJNDg4c3RFMlMwcEtOSHYyYkJKN29BV3FxNnMxZS9aczdidnZ2aTIrNk5talI0L0U0K1V2dmZTU3d1R3dicnJwSnAxNjZxa3RPdDdUVHorOXdjZjFIM25rRWUyKysrNHFMeS9YOHVYTFc5VHV4dHg4ODgxYXQyNmRSb3dZa1hpUC9yVFRUbE5lWGw3aUR2c0xMN3lnbDE1NnFVWHRkZTNhVlo3bnlYWGRSciszYTY2NXB0RnJBNE1IRDViak9GcTdkcTJ1dnZycXhIZmYyMisvcmM4KysweW5ubnBxdXhzTDgrMi9sWldWbFduR2pCbUtSQ0thT0hGaTB1V0pOc1hzMmJQVnUzZnZSa245ckZtekVuZFlmL2poQi8zMDAwODY1WlJURXR2WHJsMnJDUk1tSlA0WVJvd1lrWExRWDMvMXZlRVNITURQcGFpb3FKUGpPSU9pMGVqSGttSWIzYUVOR0RseXBGYXVYTG5SZW5sNWVYcnV1ZWNTbjJPeDJBWW4wR21waFFzWGF1Yk1tWHI5OWRkMXd3MDM2SmUvL09VV3RiZHk1VXJObXpkUC83KzlldytMcWxyL0FQNmRZWURocHFBa2lLQ29LWnA0d2JRMHJVQWhNUzB2bFZtbTJkRzgvREl4VFZKQ1RUTXZIVkZCUlEwUGVVdkZnOXF4MGpBMEVlOTVRVWtJUXdSTlJFVUZ1YzBNek96Zkg1elpoODBNTjRIazh2MDhENDh6YS9iZXM0WkgxcXkxOWxydnUzejVjckhzOXUzYm1ETm5EZ0NJZGZiejh4Ty9aTlBTMHBDUWtDQUdqT3pTcFF2OC9mMnJWUTlxZUJwaisxQ2UwdHMxcWlJdkx3L0hqaDNEcGsyYk1HM2FORWtmb2FiOThjY2ZtREJoZ3RIWFhGMWQ4ZDEzMzlYYWUxUGpVUi9iaDJQSGpxR3dzTEJLNlVpZG5Kd1FHeHNMclZhTHJLd3NPRGc0d043ZUhwTW5UNjd3M0xDd01IVG8wQUdlbnA1bEhxTmZhVkpJZUV3QUFDQUFTVVJCVkhmMDZGRUExVStWbXB5Y2pCOSsrQUZMbGl3eFdDbFdjaFhZaHg5K2FCQlFUNjkwbW1aM2QzZUVoWVdKejNOemMzSHo1azNjdm4wYnAwK2Zock96TXdZUEhvelEwRkRvZERyWTJOaElZbEJkdW5RSk8zYnNLTE5kYXNnNHNLOWhRNGNPaFoyZEhmejkvVEYyN0Zpc1diTUdYYnAwZWV6clJVZEhvMm5UcHBLOUxLMWJ0OGJZc1dNQkZPY3VQM1hxbFBnY0FCWXNXQUFmSHg5eE1rRC9iMnBxS3BLVGt5WFgvL2JiYjlHa1NST29WQ3BFUjBkWFdKOE9IVHFVR2NDTktrZFduZDVhUFdkaVltSXZrOGxPZUhoNFhOUHBkSnZrY3ZsK1FSRFM0K0xpY2dCb0s3eEFQZlh1dSs5aTJMQmhBSXIzTEllSGgyUHIxcTNpVFBLV0xWdU1waklyN2NDQkE0aU1qRVJZV0ZpbDcvQjI3TmdSVzdac3diUnAwekI5K25UTW5Uc1hJMGVPZk96UGN2VG9VVmhZV0VqYUMwZEhSN0VOU2s5UFIzQndNTjU4ODAzWTJOZ0FLUDU4am82T0dEUm9FQUJVZXB0UVE5S1kvKzRycTdHMkQ2VlZ0TUluS0NnSXAwK2ZOdnJhczg4K2l6bHo1c0RLeWdxYk5tM0MzTGx6RVJJU2dwU1VGQ3hjdUxBMnFndWRUZ2VWU2dWZlgxKzBiZHRXTEkrS2lrSkJRVUd0dkNjMVB2V3hmZGkvZno5a01obGVmdm5sU3AvVHBVc1hxTlZxWEw1OEdYZnUzRUhuenAxaFoyZFhxVlV5MjdadGc1dWJXNldPL2Zubm4rSG01Z1luSnlkSitjT0hEeVhaVTFRcWxVR0dwY3pNVFBGeCsvYnRNVzdjT1BIN3Zib09IRGlBbEpRVXBLZW40OWF0Vy9qcnI3K1FsWlVGb0hoU3dzWEZCZDdlM3BnN2R5NSsrZVVYZlBEQkI5aTllemRXcjE2Tnp6Ly9IRUR4ellUT25UczN5dFZyamU4VC93MzY5ZXVIRFJzMklDUWtSQXhlcGs5eHBLY1BWT2J2N3crNVhDNTV6ZDNkSFJzM2JrUjJkallPSHo2TVpzMmFJVGc0R0k2T2psQW9GSmcyYlpxWWRzTGMzQnhXVmxhU2dCekhqaDNEd0lFRERaYTkvdnJycjFpN2RxM1JPbGMyZ3FhZm54K1g0RkcxeVdTeTlpWW1Ka3NGUWZoY0pwT2Q3OW16NTI4Nm5TNE93SW00dUxqVUoxMi9tdGFzV1ROeGd1MzgrZk1BZ0xadDI0cXoyMDJiTnEzVWRlN2N1WU5MbHk2VkcraXdvS0FBWjgrZXhmUFBQeTl1QjNKMmRrWjRlRGo4L2YzUnVYTm43TjI3RjBGQlFRYm5xbFFxN05xMXkyaEttbDkvL1JWbVptYllzMmNQek16TXNHSERCbGhZV01EYTJocWVucDdpOHYzMDlIVEV4OGZEMjl0YkhOamZ1blVMam82T2xRb2NSTlRZMmdlZ09QcXpQcHVBZm1ELy92dnZTKzdhVDV3NEVSOTg4QUV5TWpMdzRNRURjYkpRNzhjZmY4VHQyN2ZGNXhZV0ZsaXhZZ1VXTFZxRTd0Mjc0L3IxNjVJODBIb2FqUWFDSUJqTnlyQnk1VW8wYTlZTUtTa3BBSW83ekRrNU9ZaUtpZ0lBU1QvRDI5dGJFblFyS1NsSlhGSk1WRlBxUy90dzc5NDluRGx6QnQyNmRhdlNaSGIvL3YxaGEydUxnSUFBWkdabUd0M3lWbDJYTGwxQ2VubzZwazZkYXZCYVdjR2R5OHAySXBQSjRPZm5WK0Y3aG9XRjRkdHZ2NjN3dU9QSGorUGF0V3RvMjdZdCt2YnRpN1p0MjZKTm16WndjWEdCbFpVVjR1UGpNVy9lUEdSa1pPQ3JyNzZDcjY4dnVuVHBnamx6NXNEUzBoSmp4b3hCZkh4OGhka0hHaW9PN0d0SjE2NWR4V1VrS3BVS05qWTJrclFQZCsvZXhlYk5tL0hhYTYraGZmdjJZbmxrWktTNGxIWFhybDFvMWFvVmR1L2VqZWVlZXc3cjFxMkRxNnNyZ09MY2svZnYzeGZQTzM3OE9QYnUzU3QrTVI4NmRBZ0E0T0RnSUM3dkhUMTZ0T1FQYy9yMDZkQm9OTml3WVlOWU5tL2VQUFRvMFFOdnZQR0cwYy9Gd0VoVVV3UkJnRXdtc3did3NpQUlMOG5sOGh4QkVPNTZlSGhjbHNsa214ODllblFvT1RsWi9hVHJXUm1wcWFuSXo4OFhnMUFsSkNRQUFGeGNYQUFVLzczcnl6SXlNZ0FVZDNyMWQrd2ZQSGhRcmZlL2MrY09JaUlpRUJzYmkzUG56cUd3c0JCSGp4NlZ4UGxvMXF3Wk5tM2FCS0I0eTVCS3BZS2ZuNTlrLzFsd2NEQzZkZXNtNlp5ZlBYc1dSNDhlaFNBSU9IZnVISktTa3JCLy8zNHNXTEFBM3Q3ZTRwZm52SG56SkxFRmZIeDhFQmtaaWNXTEZ5TXVMZzRBeE1CeGtaR1JjSFoycnRabnBvYXRJYlVQbGFGVUtzVko4MnZYcnVIdzRjTVlObXdZYkcxdFVWUlVoUER3Y01tRVhyTm16VEI5K25USk5mUmJYVXBTS0JSaWV0UGs1R1NvVkNxTUdER2kwdW1zdEZvdERoOCtqRzNidGdINDN5U0EvcHFUSmsycWNBOC9VVTJyRCsyRFZxdUZwNmNuUER3OHFuU2VVcW5FVjE5OWhmbno1K09aWjU2cGxRbnh6TXhNT0RrNUdWMkdQM1hxVlBUbzBhUGM4OVBTMGlTNTdpdkQyOXU3ek05U2NqdHdlZGNWQkFGaFlXRXdOemZIdG0zYnhIYk15OHNMR3pac3dMcDE2ekJzMkRDMGE5ZU9BM3VxdnIvKytnc0xGeTVFUUVDQVpEa2FBTmphMmtwbTNaS1NrckI1ODJhOCtPS0xrdUI1SjArZVJGWldGb3FLaXJCNzkyNEVCQVFZM1dlbjBXaHcvUGh4QUVCS1NncW1UNThPUVJCUVdGaUltSmdZS0pWS3NWelB3c0pDakh4NS9QaHhKQ1VsWWNtU0paTFVFTW5KeVhCMWRXMzA2U0xvNzFHaW95b1RCS0VKZ0NZeW1leHBBQ050Ykd6dWVIaDQ3TlpxdFpzMUdrMmFTcVhLUzAxTnJmNm04MXF3WU1FQ01TVVlBSEZaK29vVkt3QUF1M2Z2RnZPNzZwWGVhNllmNkc3YXRFbGNnZ1lVTDdzMU5UV1Y1R1lWQkFHWEwxOFdCOUliTm15QVVxbEU3OTY5MGFkUEg4VEd4c0xjM0J4cXRScWZmdm9wM25qakRhTjc3a2FNR0NIZVZRZUEwTkJRdUxtNVNkb3F0Vm90N3NYYnVYTW5SbzRjQ1FjSEI0TnJGUlVWSVNRa0JEMTc5Z1JRdkxkT0VBUm9OQm9zWDc1Y25IVFVseE5WcEtHMEQ1VmhhV2twN3FFOWVQQWdEaDgrakRGanhzRFoyUm41K2ZrSUR3K3ZVb0RGVmF0V3djcktDaE1uVGpSWUZWalZkRlpUcGt6QmxDbFRBQlMzR2VibTV0aTFhNWZrV0tLL1cxMXZIeHdkSGZIUGYvN3pzYzd0MDZlUGVJT3VLa3BPcnBkbjRNQ0JHRGh3b0tTc1hidDJZdCtob3JhbVY2OWVaZDRBM0xGakIweE5UYXRVTC8xS3hvcklaREtzWExrU09wM09JSXVNaDRlSGVQT2lNZVBBdmdiZHZYc1hWNjlleFh2dnZZZkF3RUFNSGp6NHNhK2xVQ2dRSGg1ZTduNzJhZE9tQVlCQmdLMlpNMmRDTHBlWEdYaExFQVNzVzdjT2JkdTJGWmYwTjJTQ1RvQzVRbmk2b2hsSXFuMHltY3loeEdPeHZPUkFULy80djhkK3JGQW9QbFFvRklrV0ZoYnhUWnMyL1EzQWlVdVhMbFV0WjBvdEN3b0tna2Fqd2I1OSs3QjM3MTd4N2xhelpzMEFBSk1uVHhhWHdPN2R1eGVyVnEzQ29VT0h4SW0ya0pBUW5EcDFDa0R4M2Z1N2QrK0tBZmZ1M2JzSGhVS0JyS3dzY1krYnI2OHZzckt5eENYOC8vakhQekJ4NGtTWW01dGo4K2JOaUkyTmhabVpHVEl6TTVHUmtZRlpzMmJodmZmZXcvVHAwNnNWZlQwd01MRGNQV3ZCd2NIaVJJRStYUThBckYrL0hqdDM3alFvcnd2WVB0UWREYlY5cUtyQ3drSUFFRHV1V20zeDl1SEsvdTFxdFZwa1pHUWdPam9hRnk5ZXhOS2xTOHZNckZFVk4yN2N3STBiTnhwVmRndTJEM1VIMjRmYUpaZkxLNVVtdFNLMW5UcTdNZTZicndyK2RtcFF6NTQ5c1dYTEZ2ajUrU0V3TUJBQXFqVzRuelZybHJoZlRxZlRpWGZzMnJWcmg2ZWVlZ3JqeDQ5SFRFd01QRHc4Y09EQUFkeTlleGZ1N3U2WU1tVUtURTFOa1pHUllUUUg4YUZEaDNEMTZsV3NXTEhDWUNhL0laSUJVSnJLeDhybDhzZlBHMFExUWhBRUUyTXJVSXg5U1pmNGdsWUM4QURRdzhURVpCU0F1ejE2OUVncUtCUXVxSFdvRXdISjlDdGNiR3hzSUpmTERZTFJtSnFhaWwrWStwbHNDd3NMc2F6a0Y1VStXbnhVVkJRQ0FnS3diTmt5S0JRS2VIdDdpeDMrRVNOR3dOUFRFL2IyOWhneVpJZ2szN1ZHb3hFZjI5dmI0OXR2djhXY09YT3dmZnQyNU9mbmk4RmxIa2RvYUNnT0hEZ2d2azljWEJ4V3JWb0ZBSGpwcFpmdzFsdHZJU2twQ2YzNzl3ZFFIRUcvYmR1MjZOYXRHOXExYXdlZ09GMU5UYVYycXdsc0grcU9tbXdmMUlYQ21ZSTYwajVVVlc1dUxnQ0k3WU4rWUYvWkRxMkppUW1XTFZ1RzBOQlFoSWVIWStMRWlZaUlpS2gydlg3ODhVZng4WjQ5ZXpCa3lKQnkwL28yQkd3ZjZvNkcybjhncWtrYzJOY3dWMWRYYk5teUJkOTg4MDIxVTBnc1hyeFk3TWovNHgvL3dJSUZDOUN5WlVzb2xVcDA2TkFCbXpkdlJuUjBORDcrK0dOMDZkSUZJMGVPeE9iTm05R3BVeWNBeGZ2OGpkMlJEdzhQaDdXMU5lN2V2V3Z3WmE5U3FmRG5uMzhhN1FRTUh6NjgzdWFEbE10a3BvSWdOT3dlU0QwZ2s4bXFQSlAwMzcxMCtxY21BQ3hsTWxsVHVSeG0wTldQSmQycHFhbUlqWTBGQURHWTFNbVRKOFcvSi8yeSs3SllXMXZqazA4K1FVcEtDaUlqSXpGbHloUW9GQXJjdVhQSDROaUNnZ0p4SllEKzNPRGdZSVNHaG1MNDhPSFYraHp2di8rK21Ecno2NisvUnE5ZXZjUjJyblBuemtoTVRNU1hYMzZKSVVPR0lEUTBGQ05Hak1BNzc3d2pDZksxWjgrZWF0V2hOckI5cUJ0cXNuMkFvRE5IUGUyM1oyZG5RNkZRaURGdHFuckhIaWdlN0h6MDBVZHdkWFdGcGFWbHRTZlRpb3FLc0gvL2ZqUnYzaHdQSHo3RXVuWHI4Tk5QUHlFa0pFUThwcUhlS0dEN1VEYzAxdjREVVZWd1lGOExiRzF0RFhJMHA2U2tTQWJaK2kvcXdNQkF5VDZSbkp3Y3VMbTVBU2llSkNnb0tCQnpUbmJzMkJITm16Y1hsOWx2Mzc0ZE5qWTJZcUFKcFZLSk9YUG13TjNkWGZMZWl4Y3Zsand2S0NnUTk4T1dwbEtwRUI4Zmo4VEVSSVBYQmcwYVZDOEg5Z0tBZkkwMjNOSlVubHpod1ZTci9yczhibGZwOHJMMlhQLzNDMWtsQ01JZkFPSUZRZmhOcTlXZXVIejU4Z1hYVGowOEljTTd0VnJoR3ZMVFR6K0pkN3IxbjNYdTNMbmk2enFkcnNKZ2NtKy8vWGFsSXNvK2V2VElZRG1kaVlrSlB2NzRZNE5qUjR3WUlibmJrWnViaThqSVNMR3VnSFNyajVPVEUweE5UZUhnNEFBckt5dTBhdFVLSFRwMGdFcWxna0tod0wvKzlTOVlXMXVMKzI4VkNnVkNRME1sOFFjQVlNS0VDUVp4U0o0VXRnOTFSNDIyRDA5MzZ3TlRqRFY2WWgyWG5aMk5KazJhaU0vMVVmSWZad25xa0NGRERNcSsrT0lMU1lDcW5Kd2M2SFE2bzMwVXZmLzg1ei9JeWNtQnI2OHZybHk1Z2krKytBS1RKMC9HOHVYTHhTQlZ0YjBFOTBsZysxQjNOTmIrQTFGVmNHQmZTK0xqNDlHMWExZnhlYk5tell4R3hSODBhSkJCVkh5OW1KZ1lNV2UxWGtoSUNCd2NISkNkblkySER4L0MxOWRYZksxang0NjRjK2RPaFh2cDl1L2ZYK1pyUGo0KzhQYjJyblQ2dS9wQUpwZEJvNVVsWDcwU2QvUkoxNld4OC9Ed2FLTWZTRmJ3WlF4QkVPNEpndkFmUVJDK0t5b3F1bFpZV0ppVmxKU1U4N2RWdG9iMDdkc1hYbDVlWWpUWWlJZ0lmUDMxMTRpSmlSRUg0SHYzN3ExV0FLcXNyQ3h4UmNEeDQ4ZU43b0ZOVEV4RWh3NGRKSU9EY2VQR0dVVEY3OXExcTlHbytFRHgvdjlYWDMxVkV1Z21KaVlHKy9idHc3dnZ2b3ZZMkZnTUdEQkFiSU9lZWVZWlJFZEhHN1JKZFdtUEhOdUh1cU14dGcvR3BLZW5pL0U1Z09JQWxnQU1BbEpWUm1wcUtwbzFheWFaS1BEeDhhbDBWSHdBeU0vUHg2Wk5tekIwNkZDeERwMDZkY0xhdFd2UnFsVXJjZUt1c21rNzZ4TzJEM1VIMndlaWl0V2QzbFVEY3V2V0xZd2ZQeDVUcDA0VkkxOVhOU3ArZVpLU2toQVRFd01BZVBmZGQ4WHlIMy84RWZIeDhaS3ltZ2lFUVZSYlNud0pDektackFEQUk1MU85N3RNSnR1WWs1UHp3NU5PVjFNVHlzb0pXOUxJa1NNeGN1VEl4MzRQalVhREdUTm1BQURNemMzeC92dnZHeHp6NmFlZndzWEZSWkxlc3FwUjhjdWlWcXZGTzREZTN0N2lwR1phV2hwaVkyTWxiWktKaVluUnFQcEVwVFdHOXNHWTMzLy9IUys5OUpMNHZEb0QrL0R3Y01URXhPRG5uMzhXeTZvYUZUODhQQndQSGp6QTJMRmpKZEh3OVgvbitqNUxReHpZVTkzVldOdUgra3lqMFNBOVBSME9EZzZTTFlOVWN6aXdyd1VuVHB3QUFNa2QrNXJrNnVxSzNyMTdZL255NVhqbm5mK3RKQ29zTElSV3E1V1UrZnI2U3BiOEV0VVZNcGtNZ2lEa0FqZ3ZrOG5PQ29Kd1FhdlZucmw4K2ZMMUoxMjNtaUFJZ3VST3VwNys3dGJCZ3djTk91b0RCdzU4ck9Xc0xWcTB3UGJ0MndFQUxpNHV1SDc5T3JadjM0NWh3NGJCeHNZRzE2NWRRMFpHQmw1OTlkWEgvRFRsTXpjM3gyZWZmWWJseTVkajBhSkY0aDE1blU2SC9QeDhTWnZrNk9oWUk0RzhxR0ZyNk8xRFdkTFMwcENkblkxdTNicUpaZnJ0TUtYVE8xVkVFQVNjUEhrUzdkdTNyMVludWttVEpoZzllblNaMjRVU0V4TmhaMmVIRmkxYWxIa05qVWFEeFlzWFk5S2tTUlZ1T3lLcVNFTm9Ielp2M295dFc3Zml1ZWVldzdKbHl5cDFUbEZSa1JoVSszRTBiZHBVWEwyVG41K1AvUHg4YUxWYThhZXdzQkJxdFJxRmhZWFFhRFJRcVZRb0tDZ1FmM0p6YzVHVGs0T2NuQnpNbkRsVDdLL2N1SEVETzNmdWhKK2ZYN2tCTmE5ZnY0NTMzMzBYcTFldmx0elVMRTJsVXVIQmd3ZEdYN08xdFlXbHBTV3lzN1BMekxMVG9rV0xPclV5OE8vVU9EOTFMVHQrL0RpYU5HbUNaNTk5dGxhdWIyNXVqcjU5K3dLQWVPY2VLRjdpZSs3Y09hTjVNLy84ODArTUh6Kyt3bXVyVkNyczNidTMzT1g2MjdkdnJ6UDdZNmwrRWdRaEZjQTJyVlo3b0tpb0tEVWhJZUUrZ01JblhhK2FvRktwc0dUSkVzVEV4R0RFaUJGaTZqdTlvcUlpQU1ES2xTc056dTNaczZmQndENDJOaFpuejU1RmJtNnVwTE5mV3VmT25jWEhpWW1KV0xWcUZYcjM3ZzAzTnpkeHNyRzZBVDNMNCtYbGhlWExseU00T0JpOWV2VUNBQ1FuSjJQU3BFazRjdVJJcmIwdk5Ud051WDJvU0hSME5BQ2dlL2Z1WXBuK2puMVZCL1lKQ1FsNCtQQmhwYjc3eS9QNjY2K1gyMWsvZi80OFBEdzh5cjNHZ3djUDhOTlBQNkZQbno0YzJGTzFOSVQyNGVqUm8xaXpaZzFzYlcwUkhSMk5YMzc1cFZMcHAyL2Z2aTBHc2phV0lhQThhclVhVTZaTUVWY1NiOTI2VmJMVnR6d21KaWF3c0xBUWZ5d3RMWEgvL24yeHYzTDU4bVZFUmtiaTRzV0xDQW9LUXF0V3JhcFV0OUpPblRxRlR6LzkxT2hyQ3hZc3dPdXZ2NDZ3c0RBeGpXNXBFUkVSZVBycHA2dFZoL3FLQS9zYWxwZVhoOTkrK3cydnZQTEszekpiOU9HSEg0cVA3OTY5aTl6Y1hFbFo3OTY5TVduU0pOamIyMlB5NU1rVlhpOHNMQXdkT25TQXA2ZG5tY2ZvZy9rUlZaVmFyYjV2Ym03dWVmSGl4Wk9vWjEvRTVkbStmVHRPbmp5Sml4Y3ZRcVBSNE5kZmYwWC8vdjNoNCtPREtWT21TSTdWNzdILzVaZGZqRzZWVWFsVU9IWHFGTDcvL25zQXhZR3VYRnhjTUhyMGFCUVVGRWlPdGJLeXdqdnZ2Q09ta3RPN2VmTW1aRElaMnJScEE2QzRFK0hvNkNnWi9OZVdGU3RXaU12NzlUUDhKZHVrcGsyYllzV0tGYlZlRDZwL0dtcjdVRmxGUlVYNDk3Ly9qV2VlZVVZU2UwZi9kMTl5Y0YxUVVJQXpaODVJenMvTHkwUHo1czNGNS9vdE5OV2QwQ3N2YnM4ZmYveUJhOWV1aWVsNHkvTHc0VU1Bd0ZOUFBWV3R1bERqMVZEYWgwT0hEbUgrL1BubzJyVXIxcTVkQzM5L2Y4eWJOdyttcHFibDlyMUwycnAxYTVVSHJxTkhqNVk4Zi8zMTE5R3hZMGRjdjM0ZDd1N3VNRE16ZzdtNU9lUnlPYUtqbzlHN2QyOTA2dFFKRmhZVzRxUmlaR1FrN08zdERlbzVkT2hRMk5uWndkL2ZIMlBIanNXYU5XdlFwVXVYS3RYUG1NT0hEMHNtTkV0UGZuVHQyaFdob2FIaTg3UzBOTHozM252VmZ0LzZqQVA3R25ia3lCRm9OQnFETDlMQ3drS2twNmVMeisvZHV3ZWdlQmE3WkxsK1pyNGsvVEs4akl3TVBIcjBTTEkvdGVUZTFSTW5UaUE1T1ZsU3BqL1d6czVPRWhpbkxOdTJiWU9ibTF1bGppV3Fxb1NFaEZ3QU1SVWVXTThjT1hJRW1abVpHRDE2TkFZTUdBQjNkL2NxejZZRHhVdlhodzhmam52MzdxRnAwNlo0NjYyM01HVElFSEZiejQ0ZE93QVVkNUtmZXVvcFdGdGJHNTNWam91TFE1czJiYUJVS3BHZW5vNUxseTVKMmdXOWpJd001T1Q4TDU2UVRxZERYbDZlcEUwcSticGVZV0VoZERvZHNyT3pEU1lidkwyOXhVRkpSa1lHMHRMU0pPOWRIek5yME4ram9iWVBsZlhERHovZzNyMTdCaGtzOUNreVN3NktiOSsramYvN3YvOHp1RWJyMXEzRnh6Ly8vRFBjM056ZzVPUWtPZWJodzRlU3YzR1ZTbVhRUjhuTXpLeFVuVGR1M0lnV0xWb1kzZVlqbDh2RlBvMysyaTFidHF6VWRZbEtxKy90Z3lBSTJMcDFLMEpDUXRDOWUzZUVoSVRBMnRvYVFVRkJtRGx6Sm1iTm1vV3BVNmRpd29RSkZmWWZ3c1BEcXh6VFFqL3UwSE55Y2tKQlFRRm16NTZOeno3N0RLTkdqUUpRL1AwK2UvWnNYTGx5QmV2WHI1ZWN2MnJWS3JScTFRb3Z2UENDd1FxaWZ2MzZZY09HRFFnSkNZR3pzelBtelp0bnNGcFBIL1RRMzkvZklEMm11N3M3Tm03Y0tDbXpzTEFvdDg4Z2w4c2xOMGk0YjU4RCt4cDM4T0JCV0ZoWW9FK2ZQcEx5MU5SVXZQYmFhd2JITDFxMHlLQ3NaTHE2Q3hjdW9GKy9makExTlVWQVFBRFVhclVrbXExR294RWZhN1ZhQ0lJZ0tidDU4eVpNVEV6RUZIcEVWUE5XcjE0dGlUb05GSGVXRHg0OGFIRHM1Y3VYQVJRSHV5eTl4OTdFeEFRVEowNkV2YjA5K3ZmdmI3RHFSMy9IL1pOUFBzR0FBUU1NWGk4cUtzS0ZDeGVRa0pDQVNaTW1BWUFZTk12WVhidlNNL2hBY1lUc2ZmdjJsZnQ1Ky9UcEF4TVRFeVFsSlVFdWwwdmFGLzNlUFAxalFOcE9hVFFhbkRwMVN0eE9SRVRGZTFTRGdvTGc3T3dNSHg4ZjdONjlHMmxwYVFDS0IvejI5dmFTQVhxYk5tMGtuVzRBOFBQekV4OWZ1blFKNmVucG1EcDFxc0Y3bFJYUTAxZ2ZwVHg3OXV6QnNXUEh4THVOcFRrNk9pSTZPaG96Wjg3RTFhdFhZVzl2WCswbHVrVDEwYTFidDdCdzRVS2NQMzhlZ3dZTnd2ejU4OFVWT0JZV0ZnZ09Ec2FDQlF1d2Z2MTZuRHQzRG5QbXpJR3JxMnVaMTFNcWxWVWV4Q3FWU29OQmN2djI3ZUhyNjR2VnExZmp1ZWVlZzZ1cksweE5UVEZseWhUTW56OGZodzRkd2l1dnZBSUFXTFZxRlhRNkhiNzY2cXN5dHdWMTdkcFZYTjZ2VXFsZ1kyTmpOQ1BZYTYrOVpwQVJyR1JxWGIzTGx5OUwram1sc3lIazVlWGg0c1dMNHZPTWpJeksvam9hTEE3c2E1QldxNFZDb1lDWGw1ZkJINDkrOXFvaWE5ZXVGZi9qZW5wNjRzaVJJN0N5c2hML1krL1lzVU95TE82SEgzNlFuRzlqWTJOUU5uRGdRQTdzaVdwUjZVRTlVQnlZcHF3bDUwcWxFc0hCd1FibDV1Ym01ZTVIOS9Ed3dNY2ZmNHlJaUFpc1c3Zk82REYyZG5ZWU5Xb1VKa3lZQUtENHk3VnQyN2FTUGJ0NnExZXZyckJ6Y09qUUllelpzd2RBY2RyTzZPaG9XRnBhaW0zY3VYUG54RDM4UUhGbWp5dFhyb2pQdTNmdmJ0QW10VzdkbWdON29oS2lvcUtnVnF2eDVaZGZ3c3pNRE5uWjJZaUlpSUFnQ0dqUm9nVSsvL3h6U1FmWFdIYUprcTluWm1iQ3ljbko2SVRlMUtsVDBhTkhqM0xyazVhV0pzbDFYMXBCUVFIQ3c4UHgxbHR2WWZqdzRVYVBHVE5tREZKU1VuRHQyalhZMnRyaW80OCtlcXlWVEVUMWxVcWx3cTVkdXhBV0ZnWkJFREI3OW15akUrcG1abVpZdW5RcE9uWHFoTkRRVUx6OTl0c1lQWG8weG93Wll6UW81Y2lSSXhFUkVZSEN3a0p4TWwzL3IwYWpnVnF0aGxxdGhrcWxFZ1BnNlhRNmNYdGVTVE5uempSWUxUeDQ4R0FrSnllTHkvMVBuVHFGcUtnb0JBUUVHS1RUL2V1dnY3Qnc0VUlFQkFRWXhOK3Fia1l3ZmJZZnZkTDF2SGJ0R3FaTm0yWndYbU5XcDF0WTEwNDlQQ0VUZGpheHNYSGN1R1lWK2p6WDYwbFg2YkdvMVdvSWdsQnU4Qm1xZWFmUG5zUDBXWE53Ny83OUxBZ1lrZm9IODlBMkpBMmxmWGdTaW9xS29ORm9HblU2VExZUERadnIwOTM2d0ZTMnI0bU5qV1BJaW1WNCtjVitUN3BLNWRMcGREaCsvTGdreloyK3ZQU1MxZXE4aDBxbGdybTVPVXhNVEtwOXZheXNMTmpZMk5USXRlb2F0ZzhOVzIzM0gzUTZIU0lqSTdGcDB5YmN2MzhmenM3TzZOV3JsOUdCZFdsSlNVbUlpNHREUmtZR0ZBb0ZoZzRkaXNEQVFNaGtNdHk4ZVJQRGh3OUhSRVFFWW1OaklRZ0N6TXpNeFAzeFptWm1XTE5tRGJ5OHZEQnc0RUR4enI0KzRKMlZsUlZNVEV4dzVzd1p6Snc1czlLZlI1OTFxL1E0SmpnNEdISzVISjk4OGdtS2lvb1FHQmlJd1lNSEF3Qm16NTZObXpkdlNsSmtKaVVsR1kySzcrZm5oNnlzTEd6WnNrVThMaUlpQWdFQkFaSUp5KysvL3g0cWxRcW5UNS9HbURGamtKZVhoL3o4Zk96ZXZSdXpaODlHcTFhdEVCa1ppVGZlZUtOVzQ0SFY1ZmFCZCt6L0J0eFRTa1IxaVVLaGFMU3BZSWpxSXJsY2JqQ28xNWZYNUh2VTVHUmVlVUgxaUJvenVWeU9NMmZPUUNhVFlkR2lSV2pmdnIxQkFPdWlvaUtvVkNvb2xVcUQ3K09OR3pjaVBUMGQ2OWV2aDRPRGc5R1ZMaDk4OEFGeWMzTU5scWR2MnJRSlRrNU9CbmZXVFUxTnhVazRyVllMbFVxRmNlUEdQVmFXcStUa1pIejMzWGZRYXJYbzFhc1h0bXpaQWo4L1B3UUdCZ0tBT0xoL0hJOGVQWUpXcThXYmI3NkpxMWV2U2w3cjJMRWpkdTdjaWNURVJGaFpXY0hLeWdxRmhZV3d0cmJHK1BIajhmWFhYK09GRjE3QTdkdTNvZFZxWVc5di85ajFxSy9Zc3lNaUlpSWlJcW9oOCtmUGg1bVptYmpkcldSNmFxQjRHOXZreVpPeGN1VktQUC84OHdibmQrclVDWjZlbnREcGRHS1pmaEN2SCtnUEdqVElZRldQV3EzR21qVnJKTkhpTlJvTjNuenpUWHoyMldlUzkralRwNC9SOTY3SXlaTW44ZDEzMzRuUFhWMWRzV1hMRm56enpUZlZ6c0p4OXV4Wmczb2FNM2JzV0lPeWtzR0VwMDZkS3FiMmEwdzRzQ2NpSWlJaUlxb2hWWTFhYjR4Y0xwY00ydlB6OHdGSVZ3SXZXYklFWGw1ZTR2TzMzbm9MYjcvOU50NTg4MDJ4YlBiczJaTHJtcGlZUUtsVXdzVEVCRC85OUJPMFdtMmw2elI0OEdESitYcTJ0cmJ3OS9lWEhKdVNraUpKVWFkL244REFRRWtBdnB5Y0hERVdtS2VucDVpcVUwOFFCSncrZlJyQndjRlFLcFg0OHNzdjRlZm5oOWF0VzhQZjM5OGc4d2ZRZUZkTGMyQlBSRVJFUkVSVWc5UnF0Umg4dHJTYk4yOENLRTZYcTA5cFdkcW9VYU1reS9Uejh2SUFBTmJXMW1KWlFFQ0F3UjM3RlN0V1lOV3FWV0taL282OTN2UFBQeThHdlIwd1lBQnljM09ON3FFdlNhUFJRS2ZUWWNDQUFaTHpTNHFQanhmVDh3TEZBWGVOUmNVZk5HaVFRVlI4UFlWQ0FhMVdpOVRVVkZ5OWVoWHg4ZkU0ZS9Zc0hqNThpS0ZEaDhMUHp3OU5telpGZUhnNGxpMWJoakZqeHNERHd3TjkrL2FGcTZzcldyWnNLV1lBTURiZ2IrZzRzQ2NpSWlJaUlxcEJCUVVGWldhdzBTK3gzNzkvZjVteE5FYU1HQ0VaMk4rL2Z4L0Evd2IyN3U3dUdEZHVITHAxNnlZZU0zNzhlSXdjT1JLdnYvNjZXUGF2Zi8wTHpaczNOL29lUjQ0Y3dhbFRwekJ0MmpRc1dMQkFURzlYVWx4Y0hENzY2Q1A0K1BoSUpoVkt1blhyRnNhUEh5OVpBbC9WcVBpQ0lHRHMyTEZJVEV3VVAyZjM3dDB4ZnZ4NCtQajRTUGJNdTdpNFlOMjZkVWhNVE1TaFE0Y1FIUjJObEpRVU1jM3VzR0hETUgvK2ZLTjFiY2c0c0NjaUlpSWlJcXBCdHJhMk9ISGlCSGJzMklIT25UdkR3OE5EZkUyL3gzNzE2dFdTZmU3ZmYvODlpb3FLOE1ZYmJ4Z0V6ZnZ6enovaDR1SUNoVUtCMmJObkl5OHZEK3ZYcjVjY2s1NmVqaDA3ZHVEZ3dZTUc5YmwyN1JxKytPSUxnL0srZmZ0aTFLaFJXTGh3SVZ4Y1hOQzVjMmZ4dGNURVJQajUrYUZ6NTg3NC9QUFB5L3lzK2p2NEplL1lWNVZNSnNPY09YTnc1TWdSUkVSRTRLbW5uc0x0MjdleGQrOWU3TjI3RjBEeFpBUnkzZ0FBQjBoSlJFRlUzdmtCQXdaZzI3WnQyTDkvditSOEp5Y24zTHAxQ3pObXpJQ3ZyKzlqMTZNKzQ4Q2VpSWlJaUlpb2hxblZhaHc4ZUJBYk5tekF4bzBiSllQbTB1TGo0N0YwNlZMMDd0MGJ3NGNQTjRpV2YrWEtGZkg4YTlldTRmbm5uemU0d3o1Ly9ud01IRGdRTDcvOE1wS1NrbUJwYVFrWEZ4ZnMyN2NQMTY5ZkwvTzkvZno4a0p5Y2pNbVRKMlBwMHFYbzE2OGY5dTNiaHhVclZzRE56UTFCUVVFd05UVXQ4L3pqeDQralNaTW1lUGJaWnl2emF5bVR1N3M3SGoxNmhDMWJ0dUM5OTk2VDdNWC82cXV2a0oyZERRREl6TXlFUnFPUlpCdTRmLzgrVnE5ZWpaNDllOVpxdXJ1NnJPYnlxQkFSRVJFUkVSR0E0aUJ1cTFldlJwTW1UVEJ0MnJReUI5ZHBhV21ZTVdNR09uVG9nSysvL3RwZ1VKK1ptWWx6NTg1SkJzNHRXN2FFaDRlSDVFZXBWTUxaMlJrZUhoNzQvZmZmY2ZMa1NYaDRlTURCd2FIY2VpcVZTcXhac3daZHUzYkZqQmt6TUdIQ0JDeGV2QmcrUGo3WXVIRmp1Y0VBOC9MeThOdHZ2K0dsbDE2cTBWUzZyN3p5Q2w1OTlWWHhwL1MxYlcxdEphOTdlbnJXMkh2WFY3eGpUMFJFUkVSRVZBdWFOMitPbFN0WFl0YXNXY2pLeWpKNnpQbno1MkZ0YlkzZzRHQllXbG9hdlA3dmYvOGJDb1hDWUluNWpSczNFQlFVaFB6OGZCUVVGT0Rtelp0WXMyWU5Ra0pDa0plWEI1bE1WdTZkZXIyaW9pTEV4Y1hCd3NJQ09wME9jWEZ4TURNemc3T3pNKzdldll0V3JWcVZlZTZSSTBlZzBXZ01VdDBWRmhZaVBUMWRmSDd2M2owQXdJTUhEeVRsYXJXNnd2cFI1WEJnVDBSRVJFUkVWRU5TVTFQeDY2Ky9Tc3FHRFJ1R3VMZzR4TVhGNGRhdFd3Q0FxS2dvSkNRa0FBQ0dEQmxpc0crOGYvLytBSURObXpkajJMQmhCc0hyV3JSb2djR0RCOFBLeWdxV2xwYXd0TFNFaFlVRkxDMHRrWmFXaHFpb0tGeTRjQUVuVHB5QXJhMnQ1TndiTjI3Z3dvVUxPSGZ1SEU2Y09JRkhqeDdCenM0T2t5ZFBScTlldmJCOSszYXNYNzhlNjlldmg3T3pNM3IwNklFT0hUcWdmZnYyYU5teUpSd2RIYUZVS25IdzRFRllXRmlnVDU4K0JyK0QxMTU3emVCM3MyalJJb015ZDNkM2c3S1NxZklBUUtWU1NaNWZ1WElGL2ZyMU16aXZNZVBBbm9pSWlJaUlxSVpjdjM0ZG16WnRLdmNZcFZLSnFLaW9jbzl4Y0hCQTc5NjkwYTVkTzB5ZlB0M29OY29LRlBmTk45OWczNzU5MkxkdkgrenM3UERSUng4QkFJS0NnckIvLzM3azV1WUNBT3pzN1BEaWl5L0N4OGNIZmZ2MkZaZTg5K3paRXhrWkdUaDA2QkNPSFR1R3FLZ28vUGpqaitMMXZieThzSHo1Y2lnVUNuaDVlUm5ram5kMmRzYThlZlBLL1h3QXNIYnRXZ2lDWUZBZUZCUWt1ZWFNR1RQRURBSnl1Unp0MjdmSG5EbHp4TmZ2M2J1SHVYUG5WdmgrRFJrSDlrUkVSRVJFUkRYRXk4dkxhSzczeDdWMTYxWko4THF3c0RCWVdGaVVlMDVnWUNBQ0F3T2gxV3BoWW1JaWx2djYrdUwrL2Z2bzFxMGJldlRvQVRjM040TUkvSHFPam80WU4yNGN4bzBiQjdWYWpZU0VCQ1FuSnlNbEpRVWZmUEFCVEV4TUVCSVNZbkRlNHNXTElRZ0NsRXBsaFo5dDgrYk5rdWN2dlBBQ3pwOC9iM0JjVEV5TStOalB6dzkrZm40R3h4aEwxOWVZY0dCUFJFUkVSRVJVUjVXT1NGOVdYbnBqU2c3cUFhQkxseTVZc21SSmxldGdibTR1QnVtcnpMSDA5Mk5VZkNJaUlpSWlJcUo2akFON0lpSWlJaUlpb25xTUEzc2lJaUlpSWlLaWVvd0RleUlpSWlJaUlxSjZqQU43SWlJaUlpSWlvbnFNQTNzaUlpSWlJaUtpZW93RGV5SWlJaUlpSXFKNmpBTjdJaUlpSWlJaW9ucU1BM3NpSWlJaUlpS2llb3dEZXlJaUlpSWlJcUo2akFON0lpSWlJaUlpb25xTUEzc2lJaUlpSWlLaWVvd0RleUlpSWlJaUlxSjZqQU43SWlJaUlpSWlvbnFNQTNzaUlpSWlJaUtpZWt6eHBDdFFHZG9pTFJJU2s1NTBOYWllU1VoTVFtRmg0Wk91QnRVeXRnLzBPTmcrTkE3YUlpMFNrLzZFdWJuNWs2NEsxU05zSHhvSDloL29jZFRsOXFGZURPd0xWQ3FzV2Y4TlRFMU5uM1JWcUI0cExDekVvNXljSjEwTnFtVnNIK2h4c0gxb0hBcFVLbXpZRkE0elU3TW5YUldxUjlnK05BN3NQOURqcU12dFE1MGUyR3NFM1cwem1leTJUaENVV1k4ZVBlbnFVSDBsQ0hjMGduRDdTVmVEYWhiYkI2b1JiQjhhSkoxTXVDdEhjZnVRL2FodWRzQ29IbUQ3MENDeC8wQTFvZzYyRDdJblhZRUt5RnMvM2FXVFhHSGE0a2xYaE9vdnJVeVhlVFB4Y2dJQTNaT3VDOVVvdGc5VWJXd2ZHaXkyRDFSdGJCOGFMTFlQVkcxc0g0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RWZwL2tCaG5OQm5IclRvQUFBQUFTVVZPUks1Q1lJST0iLAoJIlRoZW1lIiA6ICIiLAoJIlR5cGUiIDogImZsb3ciLAoJIlZlcnNpb24iIDogIiIKfQo="/>
    </extobj>
    <extobj name="ECB019B1-382A-4266-B25C-5B523AA43C14-4">
      <extobjdata type="ECB019B1-382A-4266-B25C-5B523AA43C14" data="ewoJIkZpbGVJZCIgOiAiMjkwNDM5NzY1NjE0IiwKCSJHcm91cElkIiA6ICIxMjM4MDY5Nzc1IiwKCSJJbWFnZSIgOiAiaVZCT1J3MEtHZ29BQUFBTlNVaEVVZ0FBQS9ZQUFBR0JDQVlBQUFETW9Db0VBQUFBQVhOU1IwSUFyczRjNlFBQUlBQkpSRUZVZUp6czNYbDhWTlg5Ly9IM3VUUFoySVNJZ0lvWUZRUWlKRE1UYTFWcXYyS2g3Z3RTYTZ0U045d3F3cS9XVXRlNkwxaVJMOVM2SW9MTHQ2SlVxM1V2cUlpN0pqTUVSRkdFUUJFaFVyWUVzczNjOC9zam1Xa21tWkJBQXBNSnIrZmo0WVBNdVdmdS9ZeVF6OXpQdmVlZUl3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VjlPL2Z2NXZmN3o5ODRNQ0JYWk1kQzlEVy9INy9UWUZBNEpSNnI0L3krWHgzNU9ibWR0bmRzZVRsNVhVdUtDallhM3Q5Qmc0YzJEVXZMNi96anV5M2YvLytHWGw1ZWIyYTJ1NzMrdy9ja2YzdHFRb0tDZ2JsNWVVTlRIWWMySDNJRCtTSGxpSS9BRWgxM21RSGdNYjhmditKa3ByOFlqZkd1RVZGUlMrMGRIL2R1blU3V3RMcldWbFp3eVc5MndZaEF1M0pIeVhObFBTS0pCbGpmbXlNdVVIU0E1TEt0L2ZHdkx5OFh1RncyTm5KNDI1WXNtUkpkZjBHajhkenQrdTZSMG82b29uamRmWjZ2U3NrVFpGMFowc1AxSzFidHpuVzJyNTVlWGsvS1M0dTNscC9tOS92ejVVVURBUUM5eFVWRmQzUTFENzhmditKeHBqWHFxcXE5djdpaXk4MnRQVFl5VkpYalB4b2UzMGN4MWxjV0ZqNFZVdjNhYTJkNmZGNEtpVWQyOXI0a0RMSUQrU0hGaUUvQUVoMUZQYnQwME9xL2J0Wm4yRGJYcElPVUwyL3UwQWdNTmhhMitTRkFHdnRBR09NSE1jWjZQZjdtenlSQ1lmREd4WXRXclM4RlhFREtjWHI5Uzd4ZXIxNzc4eDdYZGR0ZEtITUdPTklpalQxbnVMaTRxMSt2LzhWU2VOemNuSW1sNVNVVkxid1dEYzVqdk9SeCtPWkpla3NTVFo2U0VtUFNTbzN4anl5dlgxWWE0MHhScG1abWJINC9INy9DRW4vYU9id2s0UEI0TTB0aWJNdFdXdUhPNDR6M1ZxN09ORjJZOHhBMTNYdmxIU0hKQlVVRk96bHV1NkFabmJiMlJpVDV2ZjdEOTllcDQwYk55NXU2ZDhOT2k3eUEva2hFZklEZ1BhS3dqNUovSDcvYWtrOTZ6VmRFZ3dHbjRxK01NYmNVMVJVOUVERDkvbDh2ak9NTVhNYU5EOWxqQ2xvd1dFZk5zWTB1ZEhyOWY1ZDBpOWFzQjlndC9QNWZLZEw2cEZnVThJOGxwNmVmcmJQNTl2Y3NEMFVDczNTZjA5OHBkb1QxN2lUM2tnazBzM2o4Y3lXOUtDa2Y5YmZacTA5ekJoelg2SmpXbXM5cW5maW5wT1RrNW1kblYyUnFHOTJkblpGZG5aMi9hYi9GQlVWOVV6VU54UUtoZngrLzlXU2pzbkx5K3NVdlNzWENBUitLK2xvU2FjVkZoYXVTdlRlS01keEhFbXFxS2lJRkJRVWRLcW9xQWhYVlZVdHpzaklHSnVvdnpIbUZFbm5TdnBtZS90dERiL2ZmN21rLzYzWHRESVlETllmQ3JzcEdBejZtbmh2cVA1cmErMHh4cGgvSnVyYmtESG1zKzF0NzlhdDIxQkpDUXNHdEUva0IvSkRnL2VTSHdEc2NTanNrOFFZa3lucEptUE1QMTNYL2FqdUM3KytmazFjTlQ0a3diNU9qVVFpR2RzNTNQODRqalBUV3Z0cmErM0gyNGxwYTFQYmdHUXp4dHhwakRtc3BmMGR4L25mSmpZOUxTbGM3L1hLb3FLaU4rcDNLQ2dvNkdtdGxhUXZHMjdMejg4djkzamlmMTBMQ2dvT0tTd3MvRmExZDhocTZ2b2RzWFhyMXVndzBNZGMxMzJ0cVZpTk1XT01NZjlUdjIzUW9FRjdaMlZscld6WTErUHhuT2IzK3lWSjF0b3MxUlloZjR1MnFmWmt0MjlkWFAyc3RlOUxPczVhNnhoanRHM2J0bkI2ZXZwRkdSa1pkNVNWbGUyN1pNbVNaeHNlSXhBSUhHK3RQVXZTWDRMQjROTk54ZDFheGhpdnBIWEdtT05kMXoxWDBwZ0dYYnpidVh1V1ZmOUZhV25wdko0OWV4N1V6UEZlTk1aVXVhNzdxKzMxUzB0TCs2NjUyTkcra0I5cWtSOWl5QThBOWpnVTlzbjFmV0ZoNFZlQlFDQlNkNUlRWTYyZElPbTNEZDlnakdsNEFVQ0ZoWVhmYis4Z2dVQmdVTjArMTRaQ29aTFdoUXdrUnpBWUhKS28zZS8zbHljYWlWSlpXYm52a2lWTDF1N3F1UEx5OGdhNnJ2dGxRVUZCTDlkMXZaSnFjbk56MHowZXo5eXVYYnZlVXRldE9CUUtOVG1rMWUvM0h5a3A3c1M5YytmT3B1NFJtK2V0dFcrM0pCWmp6RG1TOHFLdkN3c0wxd1FDZ1gwa0hSbTljRmRTVWxJZENBUkdXR3VMbHkxYlZ0VndIejZmNzF4Smp4bGpuaXNxS3ZwL0xUbHVLOVhVNWNGMURmT2dhaDg5YW1wZWtMZ1Q5OVdyVjFlc1hyMTZ1L2t0RUFoVVdXc3J5WU1kRC9taGVlUUg4Z09Bam8zQ3ZuMTZ6Ump6Y3NNN0FaTGs4L2wrNURqT05RM2IvWDcvNGMwTkgzTWM1NTFBSUpCd20rdTZCL0ZsaGoyUnRmYWcrck5tUzdWRGJSM0hrYlgyc0liYkpPWFdmMUZjWFB5MTMrL2Y1THJ1c2NZWWo3VzJKajA5ZmFTa3pKcWFtbWU4WHU5eXgzRzJCQUtCODVxS3dYWGRmMHFhMzhUbUQ0UEI0TU10K1N4K3Y5OW5qTW1yMXhTV0ZMTFcvdGhhKzU3ak9HRkp4bHA3cktSSjlkL2J0Mi9mckgzMjJlZGVZOHc0U1pXdTZ6NHV5VzNKY1hlUkVrbFBCSVBCaXhKdERBUUNmN2JXZnBtZy9SVkpKemUxVTJPTUFvRkFvd3BCa3F5MXM0TEI0QVU3R3pBNkh2SkRMZklEK1FGQSswZGgzNDRNSFRyMFlLL1hXeXhKMXRyZjFBMmRteE1NQmk4SUJBTC90TllPcjl1bXVrbndSZ2FEd1kvcTJwWlphMGZ0N0xFOUhrOXBHM3dFSU9VWVkwNlRkRnI5dHJySFRXV011VnpTNWMzc3drb3FsUFEvMWxxUE1hYktHUE1yU2E4dVhyeDRuYVIvQkFLQnM2MjFUWjU4UnlLUm94WXRXdlJCYXo3SGRpd3l4dnpJV3Z1eHRiYlM3L2NQTjhiME1NYThGTzNnOC9uT2Noem5QbXZ0M3E3ci9zRVlNN3p1UXVEenJ1dE8zTjBYL2Z4Ky8zUkp2NnJMZGIrVUpOZDFBNDdqN0MzcFgxSnRIcFIwUlNBUXVLQ29xT2pVZW0rL3czWGQ2VHR6WE5kMXQvc2NNdlk4NUFmeVF4VDVBVUI3UjJIZmpxU2xwVG1TT3RmTnBydkpHUE9IdW1meFphM05Nc2JNakg0aE9ZN3plU1FTaVEzTEQ0VkNtd1lOR3JRZ016TnpaOWFxMzFSWVdMaXRUVDRFc0l2azUrY2Y2dkY0RGs2d3FkSGpLWktVa1pFeFBCQUliR3pRL0VOUlVWRmgvUVpyN1NPTzQ5eFl2eTBjRG1kN1BKNmwxdHBySGNkNXZQNjJTQ1R5WThkeFhtbXczODhsblNqcFcxczd2ZlRwa1Vna05oRmxVVkhSYkVtenQvOEpkNWtsa3NZNGp0UEZXcnZWR1BOTGErMlMwdExTbFg2Ly82SzZPM0IrU1F2QzRmRHd1cFV4N3ZQNy9hZEorbC9IY2I3MCsvMVRxcXFxN2xxeVpNbDJsd2RySzNWNTd4WFhkZTl4SEtlcnBQZThYcThURG9jOUhvOG4wM1hkd3lYSmNaeXgxdHBCOWQ5YlZGVDBtYy9uTzJCbmpsdGNYTXlvcFJSRmZ0aHA1SWNXSWo4QWFPOG83TnNoajhlenVMQ3djSDBnRVBoQlVwOW9lOTB6OGlGSlNqU2tQaXNyNjA1anpHVTdjY2hiSmQzU2JDOGdpUnpIdVVpMWExSzNpREhtL3hJMHZ5bnBoQWI5S2dzTEMrT1dsaXdvS0pDMVZzYVlyUTIzNWVmbk41cEoyM0djV2E3ci9sM1NQY2FZNVpGSTVQQ0ZDeGUyMVd6UlIvcDh2b1F6VXljd0tFSGIyOWJhUDZwMnh2QXlZOHo5MXRxbmUvWHFkWmxxMTh2K1JOTG9vcUtpRjFWdk52QmdNUGh5WGw3ZVBJL0hjN2VrYXpNeU1yWkl1cWQxSDJXSHJBK0ZRaUdmejljOWVvYzBLcG9IL1g3L1dqWDR6TG01dWZzNGpyTmlKNC9aOUxJaGFOZklEeTFDZmlBL0FPakFLT3piSWRkMVMrcUc0YWRMZXFIZXBwdjhmdisxZFQ4bnZBdGhyZDNrT001Ujlkc2lrY2hQSE1kNXpIWGRVUjZQNTZzRy9WbXlCU21ocXFycURzVXZmU1JKeXN6TS9EWlIvNXFhbXJ4SUpQSkQvVGFQeDlOb01xaTJVRmhZK0pVa0JRS0I3dGJhc29VTEYzNGQzZWIzKzcrUTFLSzFzSVBCNFA1cXZNNzFhR1BNR1MxNWY5MHMwbkYzellxS2lvb2xGZnY5L3NtU05oUVdGbjRqNlN0Sjcvdjkvaytpai9Na1VyZHMxbmkvMy85a01CZ010aVNHTm5TcDMrOVA5RHlycCs1UkpFbEtrN1FnMFp1dHRYYzRqdk5NL1RiWGRaK1Z0TjV4bkhFTitsNHVhVUlieEl3a0lUODBqL3p3WCtRSEFCMFJoWDA3WW95cHR0WXVOY1pjNHJwdW1URm1wTFcyajkvdnY5RmFXK2c0emo5YzEzMi9ydnN6MXRwR3crZU5NWkhvU1VSVUlCRElxZnV4Sk1HMlhmTmhnRFpXTjh5ejBWQlB2OTl2RTgxNkhZbEVmbWpKck5mVzJnUDhmditJQm0zZDZ2NGMySENiTVNiaDdOdDEvZnRLcW03UWRxOHhKa3ZTQ0dQTUdkYmE2RW5qMlpJR0szNjBUR3d5cWtna0VqYkdMTFRXL2prVUNzVk9RQWNOR3JSM1ptYm04YUZRcU5FZHgwQWdjSU1hM0hHczV4Qmp6TDUrdi85THgzR09ycnZUdUMwUUNLeHZvbjlNT0J6T1ZlT0NZbGRhWTYxOXlGcjdoT3U2R1I2UDV3K1NUdlY0UEdIVnpnSitseVFaWTBZWll4SU9xelhHckV1UTd5cXR0ZVVOMi8xKy8vcEUvNGFRT3NnUHRjZ1A1QWNBZXk0SysvYmwrdzBiTnZqcXZmNHFPenY3YUVuekpPVnMyTEJoWGIxdEJWNnZ0K0hNclpuV1d1UHorYnJYYjdUV2RqYkd5SEdjcmcyM0FYczZZOHlaa3M1c1l0czRTZU1TYldzb1B6OS9mMk5NYjJ2dFZYbDVlYzhVRnhjdmxxUlFLRFJMaWkwN3VURTZnM1VnRUJnaWFkK2lvcUtFazJhNXJ0dWp1TGc0SU1uMSsvMzdXV3ZUUTZGUVNXWm01b1dPNC96WjUvUFZoRUtoNSt1L3gxcjdxT3U2enlmYW42UjhhKzFMa3M2MTFrNlJOS2Fpb21KMVptWm1iSlVOeDNFR1NMcGUwcTJ1NjhhZUo5MndZVU5aUy80ZnRCR3pZY09HUHpWb095ODdPL3MxYSsyM0d6ZHUvRTI5OXJ2ci92U29yckJJVDAvUHJHdkxTcEFMUFpMU0VyUm5jdUtPUk1nUDVBZnlBNEJVUVdHZlhEMTlQbCtPdGRhUkpHdnRFOW5aMmVjbTZtaU1LY25Pem03WS9COUpQZXU5N21XTXlUYkdOSndRS09xOWhzK2lBYW1nb0tBZ3JhS2lJdUZ3VmRQRUdaZkg0OWtuTnplM1VYdFdWdGFXK3BORldtc2ZqMFFpY1hOTVdHdDdwS1dsRlZ0cmI0cEVJalByYi9ONnZUOVMvQ015MGVNRjZ1SXA4bmc4THhZVUZCeGVXRmhZLzNuYlFkYmFyeHUrcndsZWo4ZnpjU0FRZUsyb3FPaENTZE9NTWYwbCtVS2gwUDErdi84RVk4d1RnVUJnYWQxUTJxanBqdU1NTFNnb09LTCtzNytCUUtDL3BCeHI3V3VTdnBFME5UOC9mOGJDaFF2ZmtSVDdmUG41K1QveGVEelhXMnRmQ1lWQ243Y3cxbGF4MW5ycjhtQjJYYXlIMU1YWWlERm1lSFoyZHFQbmliT3pzNjhxS2lwNm9HNS92ZXFhNzNVYzU5NG05dE5VamtRS0lqK1FIeVR5QXdCUTJDZlhGTWR4cGtpeHBWbG1XR3ZmcjN1ZFVUY3JmbS9WL2oxRkpNMngxcjRiZmJPMXRxTCt6b3d4aDBsNngxbzdzYVVCR0dNK2J2M0hBSFl0YTIxQlptWm1rODk2SnBLV2xsYWNscGFXYUY5WFNYcEFrbHpYUGQxeG5IWEZ4Y1dyNi9jcEtDaW9ySnNjYTFPQ2JXV1JTR1M0cEZDRC9aNHU2WnRJSlBJTGo4ZXoyRnI3aE9ydTlPWG01dmFSZEp5ays1cUtOeEFJM0N6cGs2S2lvamNDZ2NBSmtucFphMTlNME5XdHFhazVOejA5UFdTdHZWYlNPZm41K1ljWlkzSWN4N25hZGQxUHJiVXY1T2JtamxpeVpFbDAyTytaa3JaRklwSDNpb3VML3hVSUJLNXdIT2N2a255cVhjczZhWXd4QnhwalZraVN0WGJsbGkxYlNydDI3WHBGdlM1SEdtUE9WMjJjUnRJbTEzVnZOOGJFbm9kMlhUZjJISzNqT0VQcTl2VnJTY3RhR01aRnhwZ3JtdStHOW9qOEVJZjhRSDRBc0llaXNFK3UzN211K3c5SnFxNnVYbC8zak9EYmdVRGdHR1BNWHlXVnVxNzdSOGR4bnJiV1hpcHBxakdtcUtpbzZINDErTElOQkFKNWt2cFpheDhLQm9NdHZwSStaTWlRL1YzWDNkcUdud2xvYzhhWUw2MjFKemF4T2RISnJheTE1eVM2ODJLTVdSTDlPUlFLN2ZEYTBIVjMyZDZ0MzFaUVVOREpXdnRMU1E4WEZ4ZVhCZ0tCcXlVOTVmUDV6ZytGUXJNeU1qSW1XR3U5cnVzK2szQ250VTZRMUYvU0c5YmFTeVNWT283emVxS09peGN2WGhjSUJJNEpCb01yNmo3VC96aU84OWVLaW9wOU16SXl6clBXdnBxWm1mbUlwQXRWT3d6MVNrbXYxRTEySmRkMWYrODR6cXVCUU9DMG9xS2lSbmNYdHljUUNCd3Y2YXFhbXBveGl4WXRhdldkTFd2dFNtdnRzWFZ4aFpjdFc3WkYwc081dWJsZE1qSXliakRHbkMzcGFtdnR5WkpXUzlyUEdIT082N29YTFZ5NDhJdUcrelBHbkdLdExROEdnM1BVd3FJa0x5L3Z5M0E0ZkZ0clB3dVNnL3dRai94QWZnQ3daNkt3VDU1THJMVkZvVkJvWmJTaGJwamJINjIxUDVjMHFhcXE2bzYwdExRakpLbXFxdW8xcjlmN2hkZnJmZDd2OTE5c2pKbHNqSmxkYnlqZkxaTENydXMrdFNOQkxGNjhlRjN6dllEa3F2dDMva2FpYlg2L1A1Sm90RzFWVmRVN0xaa2NxeTI0cm51NXBDNnFHN1phVkZUMFRDQVE2RjlSVWZHQ3orYzdXZEpFU2M4bU90R01xcHRZNjEvNStmbUhTanJWR0hOYllXRmhUZDNtYWttZDYvY3ZLaXFLM1cweXhoeGhyUzJwKzd5disvMytLZGJhY1VPSERyM2Y2L1grUkZJLzEzVi9IZTBmQ29WZXk4dkxPN0s0dVBpVEhmMnMxdHF1a2tha3BhVjlWRkJRY0hKaFlXSENXY2Rid25YZE55V3RDSVZDc2VkMWZUNWY5N3BsTzM4bmFXMDRIQjVXWEZ4YzVQZjdUNVpVV1ZWVmRVcG1adWI5SG84bjZQZjcvMC9TQTlHTG1UNmZ6MWQzWi9SUjdjQ2R4cnFDaGd1Y0tZcjhRSDRnUHdBQWhYM1MxSzBKSzBrS0JBSUYxdHFuakRHSFdtdG5oOFBod1lzV0xWb3VTZm41K2JIM0ZCY1hmekp3NE1ERE9uZnUvQ2RKLyt1NjdtMEZCUVVEcmJXL2tqVEtkZDBwQ3hjdS9HNjNmeGhnRCtieitYSWszU2JweFdBd0dMM2JaNHVLaW03MSsvM2pqREgzV0d0WE9vNHp2djc3ckxXVnhwaCtmci8vTjNVek4vZDFYZmNyWTh3QVNhdXFxNnNmcXRkOWlUSG0xMzYvL3k1SlJRMzJreVBwVjhhWWFkRzJxcXFxNjlMUzBwNU9UMC8vM2xwN3Q2UTNRNkhRaC9YZjUvVjZmWUZBNE5VR0g4Y3JTY2FZdVlGQW9PR0o3NFZGUlVYL0RBYURjL3grZjZta2wxM1gvZERuOHgwZlhUZDZSNFZDb1c5VTczbFp2OTgvelJoemliVjJyVEhtdXFLaW9pZlZZTGJ0dXVIRDQzdyszeHhqekJSanpHZCt2Lys2aW9xS3h4ekhlVkpTZVhWMTlWMDdFdy9RMXNnUDVBY0EyRjBvN051Qm9xS2lJcC9QTjBYU1c4RmdjT1gyK2k1ZHVyUk0waDhLQ2dvbVNUcFFVbzIxOWpaalRPSDY5ZXR2MkIzeEFvalRYVko1T0J6K1EvM0d2THc4dnpGbXNxUnZyYlVuMXArc1NwTHFubys5MkJnelMxTFlXanZQZGQyWDZ1NE92U1lwdHVwRldWblp0RzdkdWdVa1hXV002ZExnK09XU1hxaXNySXdORmEwN3VRMUtNbjYvLy9sd09IeDNnL2ZJV3J2QVdudE53L2FtR0dOaWszQUZnOEgzOHZMeWp2ZDZ2VzlKdWxqU1ZTM2RUelBIbUc2dG5SOE1CditoWnBiUENvVkM3MHJ5NStmbkQ2K3BxZmtnS3l2ckttdnRFRW5uTEY2OCtOOXRFUS9RQnNnUDVBY0FBRnJHNy9jZlZWQlEwTFA1bmdCMmhhRkRoL1pJMUI0SUJJNHJLQ2pvdEx2ajJWM3k4dklHU21vdlMyMTRmRDdmU2NrT0FtaUkvTkF1a0I4QUFBQUFBQUFBQUFBQUFBQUFBQUFBQUFBQUFBQUFBQUFBQUFBQUFBQUFBQUFBQUFBQUFBQUFBQUFBQUFBQUFBQUFBQUFBQUFBQUFBQUFBQUFBQUFBQUFBQUFBQUFBQUFBQUFBQUFBQUFBQUFBQUFBQUFBQUFBQUFBQUFBQUFBQUFBQUFBQUFBQUFBQUFBQUFBQUFBQUFBQUIyZzV5Y25NeWNuSnpNWk1jQm9QMGhQd0JvQ3ZrQkFEb1dKOWtCb0hYMjJtdXZYL2ZvMGVQQ1pNY0JvUDBoUHdCb0N2a0JBRG9XQ3ZzVTV6ak9XZGJhYzVNZEI0RDJoL3dBb0Nua0J3RG9XQ2pzVTFoZVh0NUFTYm5HbUVQejh2SUN5WTRIUVBzeGRPalFvYXJMRDNVL0E0QWs4Z01BZEVRVTlpbk00L0VFakRIN1NPcG1qRGsyMmZFQWFEOGN4emtxbWg4OEhzK1J5WTRIUVB0QmZnQ0Fqb2ZDUGtYVlRYaHp0TFUyUzFLNjR6aEg1ZWJtZGtsMlhBQ1NMeWNuSjlNWWMxUTBQMGc2bXZ3QVFDSS9BRUJIUldHZm9ucjA2TkhWR0RQTS9OZEFyOWZiUGRseEFVaStIajE2ZEhVYzUvQjYrV0VvK1FHQVJINEFnSTZLd2o1RlJTS1JBeVFOaXI2MjFoN3FPRTcvSklZRW9KMm95dyt4ZkdDTU9ZejhBRUFpUHdCQVIwVmhuNkljeHpsUFVwYTFWdFphR1dNeWpERy9USFpjQUpLdkxqOWtSdk9EcEV6eUF3Q0ovQUFBSFJXRmZXcnlHbU4rbmFEOVRFbHB1enNZQU8wSytRRkFVOGdQQU5CQlVkaW5JTC9mZjVJeHBrL2RsWFpKaXQ2MTcrMzMrMDlQWW1nQWtvejhBS0FwNUFjQTZMZ283Rk9RdGZiYzdXeSthTGNGQXFEZElUOEFhQXI1QVFBNkxncjdGRE53NE1EOWpESCs2TlYyWTR5TU1aSmlWOTE5ZVhsNUJ5VXpSZ0RKa1p1YjI2KzUvSkNibTlzdm1URUNTQTd5QXdCMGJCVDJLU1lySytzSVkwenY3WFRaeStQeEROOXRBUUZvTjlMUzBuN2FYSDdJek13OGFyY0ZCS0RkSUQ4QVFNZEdZWjlhUEk3akhHYXQ3ZEpVQjJ0dHBqR21RSkozTjhZRklQazh4cGloemVVSGE2MWY1QWRnVDBOK0FJQU9qc0kraFJRVUZIU3gxaDV0akhFa3hZYlExZi9aR09OWWEzMURoZ3paT3psUkFraUdnb0tDTG83akhONWNmakRHL0lqOEFPeFp5QThBMFBGUjJLY1ExM1gzTjhiOHBBVmQ4eDNINFRsN1lBL2l1dTcrMXRvam11dG5yVDJDL0FEc1djZ1BBTkR4VWRpbkVHdnRTWks2MVYrbUprRWZHV002ZXp5ZW4rKyt5QUFrbTdYMkpHTk1seGJraHk3a0IyRFBRbjRBZ0k2UHdqNTFlSXd4bDBueE05blcxNkQ5TjVJOHV5ODhBRWxFZmdEUUZQSURBT3dCS094VGhNL24rN0V4cG45TCt4dGpEdkg3L1MwWnRnOGd4WkVmQURTRi9BQUFld1ptUGswUmtVamtTMk9NcjBGem5qSG1ma2tacnV0ZWE0ejVvUDdHNnVycWYrKytDQUVrU3hQNTRYQmp6RDJTTXF5MXY1UDBlZjJONUFkZ3owQitBSUE5QTRWOWlsaTBhTkZHU1J2cnQrWGw1V1Y1dmQ2d3RkYnJPTTd5b3FLaWhVa0tEMEFTSmNvUFBwK3ZoekVtYkszMVdtdS9EWVZDNUFkZ0QwUitBSUE5QTBQeEFRQUFBQUJJWVJUMkFBQUFBQUNrTUFwN0FBQUFBQUJTR00vWXB6Q1B4N1BGV3Z1aE1TWTlFb2xzU0hZOEFOcVZUZEg4WUszZGxPeGdBQUFBc090UTJLZXdZREQ0amQvdnZ6d2NEcHR3T015Sk80Q1k2dXJxSlJrWkdlUUhBQUFBQUFBQUFBQUFBQUFBQUFBQUFBQUFBQUNBZUNiWkFXRG5EUjQ4K01ETXpNeUxKWG5ENGZDVGl4WXQraXJaTVFGb0h3NDc3TEQrNmVucHY1SGtyYTZ1bnZIRkYxOHNTM1pNQUFBQTJEV1lQQytGcGFXbDdXdU11Y1JhbTVtV2x2YWVKQXA3QUpLa3RMUzB2dlh5dzF1U0tPd0JTSko4UGwrT01XYTBKSysxZG5Zb0ZDcEpka3dBZ05haHNBY0FBTml6NUJoanJySFdaa3I2UkJLRlBRQ2tPQ2ZaQVFBQUFBQUFnSjFIWVE4QUFBQUFRQXFqc0FjQUFBQUFJSVZSMkFNQUFBQUFrTUlvN0FFQUFBQUFTR0VVOWdBQUFBQUFwREFLZXdBQUFBQUFVaGlGUFFBQUFBQUFLY3liN0FEUUt1dGMxMzFTVXBxa1Zja09Ca0Q3WWExZEU4MFAxdG8xeVk0SEFBQUF1NDVKZGdBQUFBRFlmZkx5OG83MGVEelRqREVaNFhENHN1TGk0bytUSFJNQUFBQUFBQUFBQUFBQUFBQUFwQjVQc2dOQXEzajY5Ky9mdFh2Mzdwa2JOMjZNU0hLVEhSQ0Fkc1BidjMvL0x1UUhBQUNBam8vQ1BvWDUvZjdCR1JrWlU3T3lzczdxMWF2WE4rdldyZnN1MlRFQmFCOThQbDllUmtiRy9WbFpXV2YxN3QzN2k3VnIxNjVOZGt3QUFBRFlOWmdWUDRWRklwRnVYcS8zYUd0dHBzZmp5VTUyUEFEYWxlN0dtS090dFptU3VpYzdHQUR0aDkvdlAxelMzY2FZREd2dDFjRmc4UE5reHdRQWFCMEtld0FBZ0QySXRiYUw0emhEckxXWjF0b3V5WTRIQU5CNlRySURBQUFBQUFBQU80L0NIZ0FBQUFDQUZFWmhEd0FBQUFCQUNxT3dCd0FBQUFBZ2hWSFlBd0FBQUFDUXdpanNBUUFBQUFCSVlSVDJBQUFBQUFDa01BcDdBQUFBQUFCU21EZlpBV0RuaGNQaEVzZHgvbVNNOFZaVVZIeVo3SGdBdEIrdTZ5NlQ5Q2RqakxmdVp3QUFBSFJRSnRrQkFBQUFZUGZ4K1h3NXhwalJrcnpXMnRtaFVLZ2syVEVCQUFBQUFBQUFBQUFBQUFBQVFPcGhLSDRLNjkrL2Y3Y3VYYm9Nc2RZNjRYQjR5UmRmZkxFaDJURUJhQjk4UGw5M1NibldXc2NZc3pnVUNtMUtka3dBQUFEWU5aZ1ZQNFYxNnRTcHYrTTREM2s4bnVsZXJ6Yy8yZkVBYUZkeW8vbEJVbTZ5Z3dFQUFNQ3V3Nno0cVMxZFVpOXJiYWJINDhsSWRqQUEycFZZZnFqN0dRQWtTVDZmNzFqSGNmNW1yYzIwMW80S2hVTHZKanNtQUVEcmNNY2VBQUFBQUlBVVJtRVBBQUFBQUVBS283QUhBQUFBQUNDRlVkZ0RBQUFBQUpEQ0tPd0JBQUFBQUVoaEZQWUFBQUFBQUtRd0Nuc0FBQUFBQUZJWWhUMEFBQUFBQUNuTW0rd0FzUE04SGs5WTBtWkpWZGJhbW1USEE2RDlzTmJXencvaFpNY0RBQUNBWFlmQ1BvV1ZsWlY5M2FWTGw0dXN0VTQ0SEY2UzdIZ0F0Qi9HbU1XdTYxNWtyWFdNTVl1VEhROEFBQUIySFpQc0FBQUFBTEQ3NU9ibWRrbExTenZRV212QzRYREpraVZMeXBNZEV3QUFBQUFBQUFBQUFBQUFBQUNrSG9iaXA3Qzh2THhlSG8vbkJOZDFQWkZJWk83aXhZdi9uZXlZQUxRUEF3Y08zSzlUcDA0alhOZjFWRlpXdnJsMDZkSTF5WTRKQUFBQXV3YVQ1NlcyZzQweGt4ekh5ZlI0UEwrV1JHRVBRSktVbFpWMWFEUS9aR1ZsalpKRVlROUFrcFNUazVQWnJWdTNucTdybXZMeThoOUtTa29xa3gwVEFLQjFXTWNlQUFCZ0Q5SzllL2NqdlY3dloybHBhY1hkdTNjL010bnhBQUJhajhJZUFBQUFBSUFVUm1FUEFBQUFBRUFLbzdBSEFBQUFBQ0NGVWRnREFBQUFBSkRDS093QkFBQUFBRWhoRlBZQUFBQUFBS1F3Q25zQUFBQUFBRklZaFQwQUFBQUFBQ25NbSt3QW1yUGZJVU1PU0UvekhwTHNPTnFqeW9nT3pIVGNyeDFqMHJaVlJuSnlCdm1PVFhaTTdWRlZWZFdLNzFkOHVUTFpjYUR0a1IrYXRxM0c3WitacHRyOFVPUDJ6eG5rUzNaSTdSTDVvZU1pUHpTdHFrYStqRFNiTGxsdlZZMTg1SWZFeUE4ZEYva0JyZFVlODROSmRnRGJzMy8vdkw1cFh2T1VqQVlsTzViMnlGb3JSOGFSSkd1czI4Ny9PcE5wbFNyTTJTVWxvWkprQjRLMms1UGp5MUdtZllMODBCUXJZOGtQTFVCKzZJRElEOXZuTlVydm5PNTBsNnpaV20wM2hxMnFreDFUTzBWKzZJQ29MOUJHMmwxK2FOZDM3Tk9rdmpJYVpHVDZaR1ZseWV2MUpEc2twSkJJT0tLS3lrcTUxbVlxVXptUzJzMHZIdHBBcG5LaSthRlRWcFk4NUFmc0FQSkRCMGQrYUphdCs3TlR1cktUR2tnN1JIN28yS2d2MEJydE9UKzA2OEkrcWxOV2xzWmRjYWw4ZVVPU0hRcFN5Skl2bCtvdkR6MnFUVnUySkRzVTdFS2RzckowOWZncmxUdDRZTEpEUVFvaFArd1p5QS9ZR2VTSFBRUDFCWFpHZTg3aHUyYVNBQUFnQUVsRVFWUVBLVkhZZTd3ZURSNDRRRWNlY1hpeVEwR0tTVXRMUzNZSTJNVThYbzl5Qnc4a1AyQ0hrUjg2UHZJRGRoYjVvZU9qdnNET2FxLzVnVm54QVFBQUFBQklZUlQyQUFBQUFBQ2tNQXA3QUFBQUFBQlNHSVU5QUFBQUFBQXBqTUllQUFBQUFJQVVsaEt6NGdNZGliWFdOdDhydVl3eEp0a3hBQUFBemhzQXRBeDM3QUVBQUFBQVNHRVU5Z0FBQUFBQXBEQUtld0FBQUFBQVVoaUZQWkJrMzN6empiWnMyYkpiamxWZFhhMlNraEpWVkZUc2x1TUJBSUMydFhYclZpMWJ0a3hWVlZXNzVYaWxwYVg2L3Z2dmQ4dXhBT3c4Q25zZ2lhcXJxM1g1NVpkcjh1VEpyZHJQcWxXck5HblNKRlZXVm02MzM0b1ZLelI2OUdoOS92bm5yVG9lQUFCSWprOC8vVlJubjMyMlZxNWMyYXI5UFBMSUkvcnNzOCthN1hmUFBmZm9EMy80UTZ1T0JXRFhZMVo4SUlsZWVlVVZiZHEwU2VlZGQxNlRmUll1WEtpWFhub3A0YllycnJoQysreXpqNHFMaXpWbnpod0ZnMEZObmp4WisrKy8vNjRLR1FBQXRBT3RtWWgrNjlhdGV1Kzk5elI5K25TTkd6ZE81NTkvZmh0R0JpQVpLT3lCSkttb3FOQmpqejBtU2ZyVnIzNlZzTS9OTjk4c1NYcnBwWmMwWU1BQWViMjF2N0pidG16UmQ5OTlwM1BPT1VmNzdMT1BUam5sRlBYbzBVTVRKMDdVbURGajlKZS8vRVdISFhiWTd2a2dBQUJndDNGZGQ3dmJKMCtlckk4Ly9qamh0b0tDQWwxNzdiWHEzTG16cGsrZnJ1dXV1MDdUcGszVDh1WExkZXV0dCs2S2NBSHNKaFQyUUpKTW16Wk5temR2MWswMzNhVDA5SFE5OTl4eldyZHVuYTY2NnFwWW43eThQQlVWRlVtU3BrNmRxdDY5ZTB1UzVzNmRxei8rOFk5eCt4czJiSmdlZnZoaFRaczJUWDM3OXRWTk45Mmt0OTkrTzY1UGRDbmNpUk1ueW5IaW44UVpNbVNJSG5ua2tUYi9uQUFBb0hVMmJOaWdVMDg5VmRKL0Mvdnp6ejgvN3E3OTJMRmpkZUdGRjJydDJyWGFzR0dEVGovOTlMaDl2UExLSzNIUHltZGxaZW0rKys3VGJiZmRwdno4ZksxWXNTTGhDTUxxNm1wWmF6VnMyTEJHMis2Ly8zNzkrTWMvYnBQUENLQjFLT3lCSkhqenpUZjEzSFBQNmNvcnI5UVpaNXdoU1Zxd1lJRzJidDJxazA0NkthNXZ0TEJ2aWFGRGg4WkdBVlJXVnFwcjE2NjY4TUlMWTl0TFMwczFjK1pNblhycXFUcmtrRU5pN1hQbXpHbjIrWHdBQUpBY21abVorczF2ZmlOSit2YmJielZ2M2p5ZGZ2cnA2dDY5dThMaHNHYk1tQkc3ZUM5SjJkblpHajkrZk53K1B2MzAwMGI3OVhxOXV1MjIyeVJKeTVZdFUyVmxwVWFOR3FVQkF3YkUrcno0NG9zcUt5dUxIVitTMXE1ZHF5ZWZmRktSU0tSTlB5ZUFuVWRoRHlUQnlwVXJGUWdFMnVTWnR0V3JWK3ZXVzIvVjlkZGZyNE1PT2lodVcvZnUzWFgyMldmSFhpOWR1bFF6Wjg3VU1jY2NvMk9PT1NiVy91R0hIMnJUcGsydGpnVUFBTFM5VHAwNjZiTExMcE1rdmY3NjY1bzNiNTdPUGZkYzllM2JWOXUyYmRPTUdUUGs4WGhhdkw4cFU2YW9jK2ZPR2p0MmJLTVJmTU9HRGRQdzRjTmpyei81NUJPVmxwYkduVThzV2JKRVR6NzVaQ3MvRllDMlJHRVBKRUZ1YnE2TU1Ycm1tV2RpYlNVbEpkcThlWFBjRjJXZlBuMmEzVmRwYWFtKy92cHJuWGZlZWJyeHhodDE0b2tuN3BLWUFRQkE4dFhVMUVpUzB0UFRKU2wyMTd5bGhYMGtFdEhhdFdzMWQrNWNCWU5CM1gzMzNlcmV2ZnV1Q1JiQWJrTmhEeVRCZSsrOXA3bHo1OGExYmQyNlZhN3JhdWJNbWJHMi9Qejh1S3ZtaVFRQ0FjMmFOVXNUSmt6UWpUZmVLRWtVOXdBQWRGRGw1ZVdTYXUvaVMvOHQ3S01UN0RiSDQvSG9ubnZ1MFlNUFBxZ1pNMlpvN05peG1qMTc5cTRKRnNCdVEyRVBKTUgxMTErdjY2Ky9QcTd0dXV1dTA3Smx5L1Q4ODgvSHRiLzg4c3ZON2k4bkowZXpaczNTbzQ4K3F1T09PNjVOWXdVQUFPM0g1czJiNWZWNjFhVkxGMGs3ZnNkZXFsMHE3OG9ycjFST1RvNDZkZXEwUSs4RjBENVIyQU5KOHVxcnIrcmVlKy9WcTYrK0d2dHlibzN1M2J0cjRzU0pjVzNMbHkvWHlKRWpZNitqWC80MzNuaGpiQWlmSkpXVmxXbmd3SUd0amdFQUFPeGFtemR2VnJkdTNXS3ZvN1BrdC9TT2ZYMG5uM3h5bzdaYmJybEZkOTExVit4MVdWbVpYTmROZUQ0Qm9QMmdzQWVTcExxNld1WGw1WEd6Mks1WXNTSnVPWmtKRXlZb016T3p4ZnRjdEdpUmhnNGRHbnVkbloyZGNGYjg0NDgvdnRHcytBQUFvUDFiczJhTnNyT3pZNitycXFva1NXbHBhVHU4cjVLU0VtVm5aOGRkS0JnNWNtU0xaOFVIMEg1UTJBUHRTTStlUGZYYjMvNDI5bnJJa0NGYXZIaHhpOTc3M1hmZjZZSUxMdEFWVjF5aHNXUEhTbUpXZkFBQU9wckZpeGZycHovOWFleDFhd3I3R1RObWFQNzgrWHJqalRkaWJjeUtENlFtQ251Z0hlbmF0YXRPTysyMHVMWkVoWDA0SEpha3VDVnFQdmpnQTBtS3UyTVBBQUE2anBVclYycno1czNLeTh1THRWVldWa3BTM0NOMkxXR3QxWWNmZnFoRERqbEVXVmxaYlJvbmdOMlB3aDVveHlvcUttSS9yMXExU2dzV0xGQ25UcDMwN0xQUHloaWpYcjE2eGJhLy8vNzc2dGF0bXdvS0NwSVJLZ0FBMk1XaUsrcms1K2ZIMnFKMzdIZTBzRit5WklrMmJ0eW9DeTY0b08wQ0JKQTBGUFpBTzFCV1ZxYXlzakp0MnJSSmYvN3puN1ZzMlRJdFc3Wk13NFlOMCtHSEh5NnBkam04dSsrK08vYWVpeTY2S0RicDN0YXRXL1haWjUvcDV6Ly8rVTVObmdNQUFOcTNjRGlzNTU5L1hybTV1WEh6NUVSdkF0U2ZrNmVpb2tLZmZQSkozUHUzYnQycXZmZmVPL2I2M1hmZmxTUlcwd0U2Q0NvQVlEZHpYVmZUcDAvWHA1OStLa2thTldxVU5tN2NLRW5LeXNwU01CalVnUWNlcUYvODRoYzY4c2dqOWU5Ly8xdVNOSERnUUwzd3dndVNwTDMzM2p0dUp2MjMzMzViMWRYVmpiNmNhMnBxdEdiTm10anJIMzc0UVpLMFljT0d1UGJvMVg0QUFOQSsvZk9mLzlRUFAveWdxNjY2S3E3OTIyKy9sU1R0czg4K3NiYnZ2LzgrYnM2ZXFINzkrc1YrZnVPTk56Unc0RUR0dDk5K2NYMDJidHdZZDQ1UVdWblo2SHhpL2ZyMXJmc3dBTm9jaFQyd216bU9vNVVyVjZwcjE2NGFNMmFNK3ZYcnAzNzkrdW5BQXcrTSsxS09paGIyanVQb3dBTVBUTGpQMTE5L1hWbFpXVHJ5eUNQajJrdEtTblRxcWFjMjZuL2JiYmMxYWhzeVpNak9mQndBQUxDTHJWcTFTcE1uVDFiZnZuMDFjdVJJUGZmY2MxcTVjcVdrMm9LL1o4K2VjUVg2Z1FjZXFJY2VlaWh1SHhNbVRJajl2SERoUXExWnMwWlhYSEZGbzJQZGVlZWRDV05JZEQ0Qm9QMmdzQWVTb0trdnpaMFJpVVRrOVhvMWZQaHdaV1JreEczcjI3ZXZicnJwcG1iMzhjQUREOFF0dXdjQUFOcVBOOTk4VTFWVlZicjk5dHVWbnA2dXpaczNhL2JzMmJMV3FsZXZYcnJoaGh2aUhzWHplRHpxM2J0MzNEN3FiMSsvZnIzMjIyKy9oTVB3cjdqaUN2bDh2dTNHczNMbHlyaTE3Z0VrSDRWOWtsUlhWMnZObWpYcTNidDNzek9SQm9OQkRSNDhPT0Y2NXF0WHI5YWFOV3QweEJGSHhOcmVmdnR0NWVmbnh6MUh0VDJyVnEzUzNudnZyYzZkTysvWWg4QnVjZHBwcHpXYUtiOCtqOGVqYWRPbU5XcS80NDQ3WksxTitPK21vWmt6WjdZcVJpU0h0VllWRlJWS1QwOXZrN2tWVnExYXBhNWR1NnBIang3YjdiZDA2VkwxNnRVclliL3k4bko5OXRsbkdqWnNXR3dpcDJBd3FDNWR1c1N0aXd3Z3NhMWJ0K3I3NzcvWEFRY2MwT2hpN2E1UVdscXFTQ1NpZmZmZHQ5bSs3N3p6anY3OTczL0hyV2VPM2VQaWl5L1d3SUVEWTdQaFgzTEpKYnJra2t2a3VtN2NDam1TOU9jLy96bmhQcDUrK3VuWXp6LzcyYy8wczUvOUxHNzd3UWNmckFVTEZpZ2pJME1lajJlNzhSeCsrT0VhUFhyMHpud1U3SUNWSzFjMk9WcHpSM3p6elRjNjZLQ0RkdGs4VEMwOWY0aGF0MjZkUEI2UGV2YnNtWEQ3cGsyYnRHM2JOdTI3Nzc0eXhyUmxxQjJhMDN3WDdJaFZxMVpwMHFSSnNhVkhtckppeFFxTkhqMWFuMy8rK1hiN2JkMjZWWmRlZXFsV3IxNmRjUHQ3NzcybmUrNjVKNjd0MWx0djFiSmx5MW9Vcit1NkdqOSt2SzYrK3VvVzlVZnF5TWpJYUZGUmo3Yno1Sk5QYXVUSWtYRnRhOWV1MVpvMWE1cjlyN1MwTk81OTgrYk4wN0JodzdScDA2WW1qMWRhV3FwampqbEdyNzMyV3BOOUtpc3JkZWVkZCtyNzc3OXZOdjR4WThhMDZDTFBIWGZjb2JmZWVpdmh0dSsrKzA3WFhIT050bXpaRW10NzZxbW5tdXdQSU42bm4zNnFzODgrT3piTWVtYzk4c2dqK3V5eno1cnRkODg5OStnUGYvaERpL1paV0ZpNDNYeURYY2R4bkxpMTYrdTN0K1V4T25YcTFHeFJqN1pUVVZHaGNlUEc2ZU9QUDI2MHJiaTRXR2VlZWFaZWVlV1ZWaDFqelpvMU91ZWNjelJqeG93ZGV0K3VPSCtRcEU4KytVUW5uWFNTWG4vOTlZVGJ3K0d3emp2dlBOMTAwMDBVOVR1SU8vWnRyTGk0V0hQbXpGRXdHTlRreVpPMS8vNzd0MnAvbjMvK3VYcjM3cTMrL2Z2SDJ0NTU1NTNZTDgvNjlldTFZY01HblgvKytiSHQyN1p0MDczMzNodWJYRzMwNk5GTjN2R05YbjIvNXBwcldoVW4wQko1ZVhtZEhjZkpENFZDbjBvS0p6dWUzZUdjYzg3UjVzMmJtKzNYdDI5ZnZmVFNTN0hYNFhDNDJRdUVMYkZxMVNxOS9mYmJtanQzcnU2NjZ5NGRkZFJScmRyZjVzMmJ0WFRwVWsyYU5Dblc5djMzMyt2YWE2K1Y5Ti8xbENkTW1CQzdNN0J5NVVvdFdiSWtObUhrWVljZHBva1RKN1lxRG5ROGUySisySjdXbk5CdTNicFY3NzMzbnFaUG42NXg0OGJGblNPMHRhKysra29YWDN4eHdtMDVPVGw2NXBsbmR0bXhzZWZvcVBsaHk1WXRXcjkrdmE2ODhrcWRmLzc1dXZMS0syTVhWbWJPbkttMHREVDE3OTgvTnQ5U1V3NDQ0SUFtdHozMTFGTktUMC9YTDMvNXl4MktyYTNQSDZUYTNIVGJiYmVwYytmT3lzM04xYUpGaStLMjkrdlhUNis4OG9xKy8vNTduWEhHR1kyMlM5S0FBUU80Y2RVRUN2czJkc29wcDZoSGp4NmFPSEdpeG93Wm83Lzg1Uzg2N0xERGRucC9jK2ZPMVY1NzdhVW5uM3d5MXRhdlh6K05HVE5HVXUzYTVSOTk5RkhzdFNUZGZQUE5Hamx5Wk94aVFQVFBrcEtTUm5meW4zamlDWFhyMWsyVmxaV3h0VkczWjhDQUFXMHlKR2hQWnZiZ3k0OGVqNmVuTWVZRHY5Ly9yZXU2MHgzSGVkbGF1eVlVQ3BWSmlpUTd2bDNsbkhQTzBlbW5ueTZwOWpuSkdUTm02TWtubjR3TnM1MDFhNWFLaTR1YjNjOXJyNzJtT1hQbTZMSEhIbXZ4SFpWRER6MVVzMmJOMHJoeDR6UisvSGhkZDkxMU92UE1NM2Y2czd6Nzdydkt5c3FLeXhkOSt2U0o1YUExYTlabzZ0U3Arc1V2ZnFHdVhidEtxdjE4ZmZyMDBmSEhIeTlKTFg1TUNIdVdQVFUvTk9TNjduYTNUNTQ4T2VIZFBVa3FLQ2pRdGRkZXE4NmRPMnY2OU9tNjdycnJORzNhTkMxZnZseTMzbnJycmdoWHJ1dXFzckpTSjV4d2dnNDY2S0JZKzV0dnZobGJoZzJ0c3llZk4wUjExUHpRdTNkdnpadzVVN2ZmZnJ0bXpacWxiZHUyNmRwcnIxVkpTWW5tejU4dlNUcjMzSE9iM2M4bm4zd2lyOWVyWURDby8vem5QN0YyMTNYMThzc3ZhL0Rnd2MyT0VvNDY0b2dqMUsxYnR6WS9mNmlwcWRITk45K3N0V3ZYS2pNelUrUEhqNWUxTnU0aTV1V1hYNjVISDMxVVhxOVhUenp4aEo1NDRvbEcrM242NmFmamNnMytpOEorRnhnMmJKZ2VmdmhoVFpzMkxUWjUyZHR2dngzWEp6cFIyY1NKRXhzTm94b3laSWdlZWVRUmJkNjhXZlBtelZOMmRyYW1UcDJxUG4zNnlPdjFhdHk0Y2JIaHZoa1pHZXJjdWJOR2pCZ1JlLzk3Nzcybm4vM3NaNDJlWjMzbm5YZjB3QU1QSkl6NWozLzhZNHMrMjRRSkUzaTJEcTFtakRuRTQvSGNiYTI5d1JoVEdBZ0VQbk5kTnlUcGcxQW9WSkxzK05wYWRuWjI3QUpiWVdHaEpPbWdndzVTcDA2ZEpFbDc3YlZYaS9hemJ0MDZMVnk0Y0xzVEhWWlVWT2pUVHovVmozLzg0OWdWN2I1OSsyckdqQm1hT0hHaUJnOGVyQmRlZUVHVEowOXU5TjdLeWtvOSsreXptak5uVHFOdDc3enpqdExUMC9YM3YvOWQ2ZW5wZXZqaGg1V1ZsYVV1WGJybzJHT1AxZTkrOXp0SnRZWDlva1dMTkdMRWlGaGgvOTEzMzZsUG56NXhlUXBveXA2V0g2VGFKVWlqTTQ1SEMvdnp6ejgvN29SMzdOaXh1dkRDQzdWMjdWcHQyTEFoZHJFd0tucVhLeW9ySzB2MzNYZWZicnZ0TnVYbjUydkZpaFU2Nzd6ekdoMjd1cnBhMWxvTkd6YXMwYmI3Nzc5ZjJkblpXcjU4dWFUYTBUZGxaV1Y2ODgwM0pTbnVQR1BFaUJFYVBueDQ3UFhTcFV0ank3QUJiYVVqNW9mTXpFemRlZWVkNnQrL2Yrd0MrSDMzM2FlOTl0cEwwNlpOVTFwYVdyUDdpSTZRZS96eHgvWFJSeDgxMmg0TUJoVU1CbHNVejFOUFBhWGMzRnhKYlhmKzRMcXVycm5tR24zMDBVY2FOMjZjTHJ6d1FrMmFORW5mZnZ1dEprMmFwQjQ5ZXFpOHZGeGp4NDZWSkQzLy9QTXFLeXZUNzMvL2UvM3BUMy9TMFVjZjNhTFk5M1FVOXJ2STBLRkQ5ZGhqajBtcS9jZmV0V3RYWFhqaGhiSHRwYVdsbWpsenBrNDk5VlFkY3NnaHNmWTVjK2JFaHJJKysreXoybi8vL2ZYY2M4L3BpQ09PMEYvLytsZmw1T1JJa2s0KytlUzRLM0x2di8rK1huamhoZGdYYy9SNTF0NjllOGVHOS83cVY3K0tXNnBrL1BqeHFxNnUxc01QUHh4cnUrbW1tK1R6K1pxY0VLWCsydWxBYTlSZHBlMGk2WCtzdFQ5MUhLZk1XbHZxOS91TGpURXp0MnpaOHRheVpjdXFraDFuUzVTVWxHamJ0bTJ4U2FpV0xGa2k2YjlENDBwTFMyTnRhOWV1bFZSNzBodTlZNzlodzRaV0hYL2R1bldhUFh1MkZpeFlvTTgvLzF3MU5UVjY5OTEzNDRhcVpXZG5hL3IwNlpKcUh4bXFyS3pVaEFrVDRpYm5tanAxcXZMeTh1Sk96ai85OUZPOSsrNjdzdGJxODg4LzE5S2xTL1h5eXkvcjVwdHYxb2dSSS9TTFgveENVbTN1K05lLy9oVjczOGlSSXpWbnpoemRjY2NkQ29WQ2ttcEhFMG0xZWE1djM3NnQrc3pvMkRwU2ZtaUp6TXpNMkVYemI3LzlWdlBtemRQcHA1K3U3dDI3S3h3T2E4YU1HWEVYOUxLenN6VisvUGk0ZlVRZmRhblA2L1hHbGpkZHRteVpLaXNyTldyVXFMaUMvTVVYWDFSWldWbmNSZnUxYTlmcXlTZWZWQ1FTMGJ4NTgvVFVVMDlKK3U5RmdPZytMNzMwVXYzb1J6OXFvLzhMUU10MDFQd1FyUk9lZSs0NWZmVFJSN3J1dXV0MmVDbml1KzY2UzlYVjFaSnFoL21QR1ROR3h4OS92SDc3Mjk5S3FqMGZ1ZXV1dTNUaGhSY3FQejgvNFQ2NmQrOGU5N290emgvcWp6QSs2Nnl6TkdYS0ZKMTExbG02Kys2NzlmSEhIK3ZFRTAvVXRtM2JKTlhPNDlPdlh6OUp0YlhMcEVtVDlILy85MzlNOHQwQ0ZQWnRhUFhxMWJyMTFsdDEvZlhYTnhvaTByMTdkNTE5OXRteDEwdVhMdFhNbVROMXpESEg2Smhqam9tMWYvamhoOXEwYVpQQzRiQ2VlKzQ1WFgvOTlRbWZzNnV1cnRiNzc3OHZTVnErZkhsc09FdE5UWTNtejUrdnpNek1XSHRVVmxaV2JBYis5OTkvWDB1WEx0VmRkOTBWTnlQbHNtWExsSk9UMCtRc2xVQmJxbmVpYXF5MTNTUjFNOGIwbDNSbTE2NWQxL245L3VjaWtjak02dXJxbFpXVmxWdExTa3BhLzlENUxuRHp6VGRyOGVMRnNkZlJZZW4zM1hlZnBOb3Y2ZWVlZXk3dVBkR3IwbEhSUW5mNjlPbGFzMmFOdnZ2dU8wbTF3MjdUMHRMaWh1SlphMVZjWEJ3cnBCOSsrR0ZsWm1icVJ6LzZrWTQ4OHNqWXJNWlZWVlc2NXBwck5IcjBhQjE3N0xHTjRoNDFhbFRzcnJva1BmamdneG80Y0dCY3JxcXFxdEs3Nzc0clNmcmIzLzZtTTg4OHM5RVNTbEx0bkFEVHBrMVRJQkNRSlAzODV6K1h0VmJWMWRXYU5HbFM3S0pqdEIxb1RrZkpEeTNScVZNblhYYlpaWktrMTE5L1hmUG16ZE81NTU2cnZuMzdhdHUyYlpveFk4WU9UV2cyWmNvVWRlN2NXV1BIam0wMEtuRFlzR0Z4SjkrZmZQS0pTa3RMNDM3dmx5eFpFbnNFOFBMTEw5ZmxsMTh1cVRablpHUms2TmxubjQzckMreHVIU0UvaE1OaGpSczNUc09IRDlkWlo1MGx4M0cwZXZYcVdKSGN1WFBuaENOcDZoczllblRjQk5qZHVuV0wvZnpNTTg4b0hBN3Iwa3N2alozWGw1ZVg2OHN2djVTMWRydm4rbTE5L2pCaXhBaE5tVEpGUC8zcFQ3VnUzVG85L2ZUVE92YllZMk0zUWNQaHNLeTFtakpsaWh6SDBicDE2eVJKSjU1NG9vNDk5bGlWbDVlcnZMeGNQWHYyWkhMSDdhQ3diME9scGFYNit1dXZkZDU1NStuR0cyL1VpU2VldU5QNzhucTltakZqeG5hZlp4ODNicHdrTlpwZzYrcXJyNWJqT0UxT3ZHV3QxVi8vK2xjZGROQkJqV2J3N29pc2E1WG1pUnpjM0pxczJQV01NYjNyL1J4cnIxL29SWCt1NjN1VjErdTl4T3YxZnBtVmxiVm9yNzMyK2t6U0J3c1hMbXpaZUxMZFpQTGt5YXF1cnRhTEw3Nm9GMTU0SVhaM0t6czdXNUowMldXWHhZYkF2dkRDQzVveVpZcmVldXV0MklXMmFkT214WWJPYmRpd1FhV2xwYkVKOTM3NDRRZDV2VjV0MnJSSmE5YXNrU1NkY01JSjJyUnBVMndJLzBVWFhhU3hZOGNxSXlORE0yZk8xSUlGQzVTZW5xNzE2OWRyN2RxMSt2M3ZmNi96emp0UDQ4ZVBiOVVYNG8wMzNyamRwWEttVHAwYSs2TGZ1blZyclAyaGh4N1MzLzcydDBidDdZRjFyVEs4dGovNUlmazZhbjdZVVRVMU5aSVVXeTR5RXFsOWZMaWx2N3VSU0VScjE2N1YzTGx6RlF3R2RmZmRkemU2QTdjelZxMWFwVldyVnUxUnkxYVNIOXFQanBnZnlzdkxsWkdSb1h2dnZWZXZ2ZmFhL3ZTblAybmZmZmVOelpWaHJkVU5OOXl3M1gwMFZTZjg4TU1QbWoxN3RrNC8vWFQxNmRObmgyTXJLeXRyMC9NSFNRbFhkWWhhdlhwMWk1WlAvTWMvL3JIZGlRTDNkQlQyYlNnUUNHaldyRm1hTUdHQ2JyenhSa2xxVlhILys5Ly9QdmE4bk91NnNUdDJCeDk4c1BiWlp4OWRjTUVGbWo5L3Z2eCt2MTU3N1RXVmxwWnF5SkFodXZ6eXk1V1dscWExYTlkcTFxeFpqZmI3MWx0djZldXZ2OVo5OTkzWHBzdWt0RmRHVXFlMHRITWN4K3o4TElab0U5WmFUNklSS0ltK3BPdDlRV2RLOGt2eWVUeWVYMG9xOWZsOFN5dHFiRkdWcTNZeG9WRDBxbmZYcmwzbE9JNzIyMisvdU8xcGFXbXg1K21qejhwbFpXWEYydW9YeTlIWjR0OTg4MDFkZi8zMXV1ZWVlK1QxZWpWaXhJallDZitvVWFOMDdMSEhxbWZQbmpyNTVKUGoxcnV1cnE2Ty9keXpaMDg5OGNRVHV2YmFhL1gwMDA5cjI3WnR6WjRrYk0rRER6NFlXK3FxdXJwYW9WQklVNlpNa1ZUN2hYM1dXV2RwNmRLbCtzbFBmaUtwZGdiOWd3NDZTSGw1ZVRyNDRJTWxTYmZjY2t1N3V0cHVKR1dtT1dNY3h6azAyYkhzNlRwcWZ0aFI1ZVhsa2hUTEQ5SEN2cVhyVDNzOEh0MXp6ejE2OE1FSE5XUEdESTBkTzFhelo4OXVkVnoxbDl6Nis5Ly9ycE5QUHJuRHoweE5mbWcvMmpJL1ZOWFlUeXJhUVg3bzNyMjdwazZkcXRkZmYxMTMzMzIzZnZ2YjMrcWxsMTdTdEduVFluMTJkbld0Ung5OVZKSjB5U1dYN05UNzIvcjhvYkt5VWs4Ly9iU2svMTdnZi9YVlYxVllXS2hldlhvcEx5OVBVdTB3L01HREJ6ZDYvK0xGaTJPUDg2RnBGUFp0TENjblI3Tm16ZEtqano2cTQ0NDdybFg3dXVPT08ySW44aGRkZEpGdXZ2bG03YnZ2dnNyTXpOU0FBUU0wYytaTXpaMDdWMWRkZFpVT08rd3duWG5tbVpvNWM2WUdEUm9rcWZZNS8wUjM1R2ZNbUtFdVhicW90TFMwMFpkOVpXV2x2dm5tbTRRbkFXZWNjVWJjOHpRcHhkZzBhOVd4ejBCU2dERm1oNjhrTlpneDFTT3BrekZtTDhkUnV0elVHTkpkVWxLaUJRc1dTRkpzTXFrUFAvd3c5dnNVSFhiZmxDNWR1dWgzdi91ZGxpOWZyamx6NXVqeXl5K1gxK3VORFZXcnI2S2lJallTSVByZXFWT242c0VISDlRWlo1elJxczl4L3Zubng1Yk92UGZlZTNYNDRZZkg4dHpnd1lQMTVaZGY2dmJiYjlmSko1K3NCeDk4VUtOR2pkS3ZmLzNydUVtKy92NzN2N2NxaGwzQk1TYk5Xa3QrU0xJOU5UODB0SG56Wm5tOTN0aWNOanQ2eDE2cUxYYXV2UEpLNWVUa3RNbTY1T0Z3V0MrLy9MTDIzbnR2YmR5NFVYLzk2MS8xNnF1dnhoVWdIZlZHQWZtaGZXakwvQ0RyWmlqNWRYM01pU2VlcUtGRGgrby8vL21QTWpNejlkNTc3K21XVzI1cDluMFRKa3hvTkltbUpQM25QLy9SU3krOXBFTVBQYlRSNU4zUitiaysvUEREdUxtNnBOcUpmRTg0NFlUWTY3WThmM0JkVnlVbHRYTWJybHExU2xMdFVybVZsWldLUkNLeHdyNVBuejZ4K2NUcVc3OStmYXVPdjZlZ3NOOEZ1bmZ2M21pTjV1WExsOGNWMmRFdjZodHZ2REUyM0U2cUhmb3ljT0JBU2JVWENTb3FLdFNqUnc5SnRjdFc3YjMzM3JGaDlrOC8vYlM2ZHUycXUrNjZTMUx0NUR2WFhudHRvNGsyN3JqampyalhGUlVWc2VkaEc2cXNyTlNpUll2MDVaZGZOdHAyL1BISHAyUmhieVZ0cXc3UDZwTHVYWjdzV1BaMGRjUGpubTNZM3RRejEzVmZ5SlhXMnE4a0xiTFdmaGFKUkQ0b0xpNHV5aG5rTzFaR3Y5NmxBYmVSVjE5OU5YYW5PL3Bacjd2dXV0aDIxM1diblV6dTdMUFBUcmpzUzBOYnRteUozZW1MOG5nOHV1cXFxeHIxSFRWcVZOemRqdkx5Y3MyWk15Y1dxeFQvcU05KysrMm50TFEwOWU3ZFc1MDdkOWIrKysrdkFRTUdxTEt5VWw2dlY0OC8vcmk2ZE9rU2UvN1c2L1hxd1FjZmpKdC9RSkl1dnZqaWRyTlVUVzEraU16b2xPWXNhN1l6ZHFrOU5UODB0SG56NXJqblpLT3o1TGYwam4xOUo1OThjcU8yVzI2NUpYYmVJTldlZDdpdW0vQWNKZXFsbDE1U1dWbVpUampoQkgzeHhSZTY1WlpiZE5sbGwyblNwRW14Q1RRNzRzUlc1SWYybzAzelEvKzhJNVdtTVFuZm1DUjkrL2FOblFjY2ZQREJzY251RXFtcXF0TDk5OThmdS9uWFVIbDV1ZExTMHJSaXhZcUU1L3BTN1Z3ZTBkVXRvZzQrK09DNHdsNXF1L09IVHAwNnhlcVJpUk1uNm9zdnZ0RFlzV1BsOS9zbEtWYjBYM1BOTlFsWEFXanFzeUllaGYwdXNtalJJZzBkT2pUMk9qczdPK0dzK01jZmYzeWpXZkdqNXMrZkgxdXpPbXJhdEducTNidTNObS9lckkwYk44YjlBaDU2NktGYXQyNWRzOC9TdmZ6eXkwMXVHemx5cEVhTUdOSGk1ZTlTZ1hHTXdxNTNlU2dVZWpmWnNlenAvSDcvZ2RFdmdtYStqR1d0L2NGYSs1SzE5cGx3T1B4dFRVM05wcVZMbDVidHRtRGJ5RkZISGFYaHc0ZkhsbnFiUFh1MjdyMzNYczJmUHo5V2dML3d3Z3V0bW9CcTA2Wk5zUkVCNzcvL2ZzSm5ZTC84OGtzTkdEQWdyamo0elc5KzAyaFcyNkZEaHlhYzFWYXFmZjcvcEpOT2lpM1pKOVhtcVJkZmZGSG5uSE9PRml4WW9PT09PeTZXZzNKemN6VjM3dHhHT1dsbkNwUmR4VGhHMVJHejdPc3Z5QS9KdGlmbWgwVFdyRmtUbTU5RHFqMkpsOVNpSmE4YUtpa3BVWFoyZHR5RmdwRWpSN1o0Vm54SjJyWnRtNlpQbjY1VFRqa2xGc09nUVlQMHdBTVBhUC85OTQ5ZHVHdnBzcDJwaFB6UWZuVDAvQkFNQnBXVmxhVkJnd2FwYjkrK3NRdG1pWlNYbCt2KysrK1BYZlJyNk1BREQ5UUhIM3lRY0Z0SlNZbEdqeDZ0MjIrL3ZjVkwwTGJGK1VQVTJyVnJOWC8rZkVtMUUvSldWVlhweUNPUGpHMi80SUlMNHVxaXFHKysrYWJKaXhUNHIvWnpkdFdCZlBmZGQ3cmdnZ3QweFJWWHhHYSszdEZaOGJkbjZkS2xzVitLYzg0NUo5Yit5aXV2YU5HaVJYRnREZS9jQWUxSnZTOWhhNHlwa0xURmRkM0Z4cGhIeXNySy9wbUt5OVUwZE9lZGR6YmI1OHd6ejlTWlo1NjUwOGVvcnE3Vy8vdC8vMCtTbEpHUm9mUFBQNzlSbjJ1dXVVWUhISEJBM1BLV096cXJiVk9xcXFwaWR3QkhqQmdSdTZpNWN1VktMVml3SUM0bmVUeWVoTFBxQXczdENma2hrY1dMRjhkTk10V2F3bjdHakJtYVAzKyszbmpqalZqYmpzNktQMlBHREczWXNFRmp4b3lKbXcwLytuc2VQVk1UUm5RQUFDQUFTVVJCVkdmcGlJVTkycStPbGgrZWVlWVp2ZlBPTy9yWHYvNFZkMkV2a2Vpak5idnJMblpibmo4OC92ampHalJva0JZdlhxelZxMWZyNnF1djF0U3BVN1hQUHZ0SWtvYjgvL2J1UFQ2Syt1ejcrSGRtZDNNR0V3WGtMR28wRWlBa0lob0ZUMmlzUlR6d1dEbTA5VkRsNFZCRW4zcTRSYm05MjJKVnVFRlJ4SUtWR3kxU1dyU0tLSXBhaXVBQmJoUWhnZ2FqeUVFd1JBNkdZN0pzZG1lZVA4S3V1K1MwQ1VzMnUvbThYeTllM2ZuTi9HYXVzYk5YNXRxWitVM1Bub0dyK01HQzcyNUc3U2pzVHdEL3IyVEJWK3dqcVZ1M2J1cmJ0NjhtVDU2czRjTi91dE93c3JKU1BwOHZwTzNxcTY4T3VlVVhhQzRNdzVCdDI0Y2tmV1lZeGllMmJhLzErWHlyMTY5ZnZ5WGFzVVdDYmRzaFY5TDkvRmUzbGl4WlV1MUUvWW9ycm1qVTdhenQyclVMREVyVHBVc1hiZG15UmZQbXpkUDExMSt2VnExYTZkdHZ2MVZwYWFrR0Roell5TDJwVzJKaW9oNTQ0QUZObmp4WkV5ZE9EUHlxYjFtV3lzdkxRM0pTKy9idEl6S1FGK0pidk9lSDJtemJ0azM3OSs4UFBHOHEvWFE3YTBOUGJHM2Ixc3FWSzNYbW1XZUdqTHZSVUsxYnQ5YXdZY05xZlZ4bzQ4YU55c2pJVUx0MjdXcGRoOGZqMFovKzlDZU5IRG15M3NlT2dQckVXMzd3ZXIxYXZYcTFldlRvVVc5UkwxVTllbXVhWm1BUXVtWExsaWtuSitlRXZLbzZrdWNQUlVWRldyaHdvYVpNbWFMNzdydFA5OXh6ajE1NjZTWGRkOTk5ZXVhWlp5UlZ2WGE3SnJXMUl4U0YvUW53MFVjZnFYWHIxdXJUcDg4SldYOWlZcUl1dlBCQ1NRcGN1WmVxYnZGZHMyYU5wa3laVXEzUE45OThvOXR1dTYzZWRidmRicjMyMm10MTNxNC9iOTY4WnZOOExHS1RiZHRiSmIzazgvbmU5bnE5VzR1S2l2Wktpb3NIcU54dXR4NTc3REd0V0xGQ2d3Y1BEcno2enMvcjlVcVNubnp5eVdwOXp6MzMzR3FGL1ljZmZxaFBQdmxFaHc0ZENqblpQMWJ3S0xJYk4yN1V0R25UMUxkdlgyVmxaUVYrYkR6ZUFUM3Jjdm5sbDJ2eTVNbDYrdW1uZGQ1NTUwbXEra004Y3VUSWFvUDNBSFdKNS94UW42VkxsMHFTZXZmdUhXanpYN0Z2YUdGZlZGU2tzckt5c1A3MjErVzY2NjZyYy9UN3p6NzdyTVlyYk1GKy9QRkh2ZlhXVzhyUHo2ZXd4M0dKeC95d2R1MWFsWmVYaC8wMzJqQU10VzdkV2ovKytLT2txc2QwKy9idHE3UE9Pa3RQUC8xMFdPdDQrT0dIYXgxbFBqMDlYVys5OVpZa1Jlejh3ZTEyNi9lLy83M3k4L09WblowdHFlck9nOG1USit1VFR6NEpQQzQwYmRxMGtHZjMvV3A3N0FDaEtPd2o3UERody9yMDAwOTExVlZYTmNsenBNR3ZzZGkxYTVjT0hUb1UwdGEzYjErTkhEbFNiZHEwMGFoUm8rcGQzL1BQUDYrenpqcExsMTEyV2EzTCtBZnpBeHJxeUpFamV4TVRFeTlidDI3ZFNzWDRIK0pnOCtiTjA4cVZLN1Z1M1RwNVBCNjkvLzc3NnQrL3Z3b0tDalI2OU9pUVpmM1AyUC9yWC8rcThWRVp0OXV0VmF0VzZmWFhYNWRVTmRCVmx5NWROR3pZTUZWVVZJUXNtNXFhcXVIRGh3ZGVKZWUzZmZ0MkdZWVJlTC90OHVYTDFiNTkreHBmSVJOcFU2ZE9EZHllVjFGUlVTMG5uWFRTU1pvNmRlb0pqd094SjE3elE3aThYcTllZWVVVlpXZG5oenhqNnYvZUJ4ZlhGUlVWV3IxNmRVai93NGNQNjVSVFRnbE0rMitCUGQ0VDhyckc3Zm5xcTYvMDdiZmZCbDdIVzV1eXNqSkpDdHh1Q3pSVVBPY0gvdzk2d1kvSTFLZFRwMDdhdm4yN3BLckhZZHEzYjY5ZXZYclZlNjVmVmxhbXVYUG5xcUNnUUptWm1UVXVFNXhySW5YK3NHalJJcFdVbEFSZWtSdThyVXN1dVNRd2VONnp6ejViNHcrRmE5YXNDYXVPYWVrbzdDTnMyYkpsOG5nODFmNlFWbFpXcXFTa0pEQzllL2R1U1ZXL1lnZTMrMytaRCthL0RhKzB0RlFIRGh3SWVUNDErTm5WanovK1dKczJiUXBwOHkrYmtaRVJNakJPYlY1NjZTVmxaV1dGdFN6UVVFVkZSWWNrcmFoM3dSaXpiTmt5N2RtelI4T0dEZE9BQVFQVXMyZlBHbjl4cm85bFdicmhoaHUwZS9kdW5YVFNTYnJwcHB0MHpUWFhCQjdybVQ5L3ZxU3FQOHh0MjdaVldscWE3cnZ2dm1ycktTd3MxR21ubmFha3BDU1ZsSlRvODg4L0Q4a0xmcVdscFRwNDhLZnhoQ3pMMHVIRGgwTnlVdkI4djhyS1NsbVdwZjM3OTFmN3NlSEtLNjhNRkNXbHBhWGF0bTFieUxaajhjMGFhQnJ4bWgvQzllYWJiMnIzN3QzVlJxRDJ2eUl6dUNqZXVYTm5qYU5tZCszYU5mRDVuWGZlVVZaV2xqcDI3Qml5VEZsWldjaDMzTzEyVnp0SENmZlZVczg5OTV6YXRXdFg0MjI2cG1rR3ptbjg2KzdRb1VOWTZ3V09GYS81NGNpUkkzcjMzWGQxK3VtbkIzNk1EMGVQSGoyMGVQRmlsWldWNmVEQmcrclNwWXU2ZCs5ZWJ3RytkZXRXelowN1Y1ZGNja205ZytkRjh2ekJQMjVJNTg2ZGEzeFZMeUtEd2o3Q2xpeFpvdVRrNUpBUkhxV3FMOUsxMTE1YmJmbUpFeWRXYXd0K1hkM2F0V3ZWcjE4L3VWd3VQZlRRUXpweTVFaklhTFllanlmdzJlZnp5YmJ0a0xidDI3Zkw0WEFFWHFFSElQS2VldXFwa0ZHbnBhcVQ1U1ZMbGxSYmR2MzY5WktxQnJzODlobDdoOE9oRVNOR3FFMmJOdXJmdjMrMXUzNzhmN0IvOTd2ZmFjQ0FBZFhtZTcxZXJWMjdWa1ZGUlJvNWNxUWtCUWJOcXVtcTNiQmh3NnExTFZ5NFVBc1hMcXh6Zi9QejgrVndPRlJjWEN6VE5FUHlTMlZsWlNBSCtRZjJDYzVKSG85SHExYXRDanhPQktEcXZjNVBQUEdFT25mdXJJS0NBcjM4OHN2YXRtMmJwS3FDdjAyYk5pRUYrbW1ubmFhWk0yZUdyT1B1dSs4T2ZQNzg4ODlWVWxLaU1XUEdWTnRXYlFONjFuU09VcGRYWDMxVkgzendnUjUrK09FYUIvWnIzNzY5bGk1ZHFudnV1VWRmZi8yMTJyUnBvMDZkT2pWb0cwQzhXN0ZpaFE0ZE9xUWhRNFkwcU44MTExeWpsMTkrV1RmZlhQWFd2cm9lMVd1c1NKNC9kT2pRSVdSZ3ZkcU1IVHVXVy9HUEE0VjlCUGw4UGptZFRsMSsrZVhWcmtwMTd0eFpEei84Y0wzcm1ERmpSdUExSHBkZGRwbVdMVnVtMU5UVXdBbjgvUG56UTI2TGUvUE5OMFA2dDJyVnFscmJGVmRjUVdFUG5FREhGdlZTMVN1aWFydmxQQ2twcWNibjRCSVRFK3Q4SGowdkwwL2p4bzNUZ2dVTDlPeXp6OWE0VEVaR2hvWU1HYUk3N3JoRFV0VVBES2VmZm5ySU03dCtUejMxVkwyRGFyMzMzbnQ2OWRWWEpWVzl0blBwMHFWS1NVa0o1TGcxYTlhRXZGWm41Y3FWK3ZMTEx3UFR2WHYzcnBhVHVuYnRTbUVQQkhuMzNYZDE1TWdSUGZMSUkwcElTTkQrL2Z1MVlNRUMyYmF0ZHUzYWFjS0VDU0UvNU5YMGRvbmcrWHYyN0ZISGpoMXJQQ0VmTTJhTWNuTno2NHhuMjdadEllKzZQMVpGUllYbXpKbWptMjY2U1RmY2NFT055L3pxVjcvUzVzMmI5ZTIzM3lvOVBiM1dFM2FnSld2VHBvMTY5T2pSNEVkbWV2YnNxYnZ1dWt1elo4L1drQ0ZEMUw1OSs0akhGc256aDNDTkdER2l4bkc4dnYzMjIyby9acUs2WnAxaHUyWG01TXRsTEd6ZHFsWDc2Vk1uNmRLTCswVTdwRVk1Y3VTSWJOdXVjL0FaUk43L2ZySkdkOTA3WHJ2Mzd0MG5XNE8zZnNWN2FPTkp0M055TDVOaC83MTFxMWJ0bjN0bW12TFBQeS9hSWNVTXI5Y3JqOGZUb2wrSFNYNkliN0dXSHl6TDBrY2ZmUlR5bWp0L3UybWFFZHVHMisxV1ltSmk0SFZaeDJQZnZuMXExYXBWUk5iVjNKQWY0bHU4MUJmUkVJbnpCOXUyZGVqUUlhV2twTVJrL21qTytZRXI5azJBWjBvQk5DZE9wN05KQnZjRUVCN1ROS3NWOWY3MlNHNGprai9tMVRXb0hvRDRGSW56QjhNd0FvUHNJcklpOXhjREFBQUFBQUEwT1FwN0FBQUFBQUJpR0lVOUFBQUFBQUF4ak1JZUFBQUFBSUFZUm1FUEFBQUFBRUFNbzdBSEFBQUFBQ0NHVWRnREFBQUFBQkRES093QkFBQUFBSWhoRlBZQUFBQUFBTVF3Q25zQUFBQUFBR0lZaFQwQUFBQUFBREdNd2g0QUFBQUFnQmhHWVE4QUFBQUFRQXlqc0FjQUFBQUFJSVpSMkFNQUFBQUFFTU1vN0FFQUFBQUFpR0VVOWdBQUFBQUF4REFLZXdBQUFBQUFZaGlGUFFBQUFBQUFNWXpDSGdBQUFBQ0FHRVpoRHdBQUFBQkFES093QndBQUFBQWdobEhZQXdBQUFBQVF3eWpzQVFBQUFBQ0lZUlQyQUFBQUFBREVNQXA3QUFBQUFBQmlHSVU5QUFBQUFBQXh6Qm50QU1MaDgvcTBzZmdiSlNZbVJqc1V4SkNpamNXcXJLeU1kaGc0d1h4ZW40bzJGa2M3RE1RWThrUExRSDVBWTVBZldnYnFDelJHYzg0UE1WSFlWN2pkbWpWN2poSmNDZEVPQlRHa3NySlNCdzRlakhZWU9NRXEzRzQ5TS9NdmNybGMwUTRGTVlUODBES1FIOUFZNUllV2dmb0NqZEdjODBPekx1d3R3OTVseXRocDJYYlMvZ1BOOHo5ZzFGbDIxZithUm5UamFNNXMrd2VQYmUrTWRoaUlMSTl0N1V3d3F2TER2Z01Ib2gyT2JNdVcvMXRvU3pMNFR0YXN1ZVVzOGtOY2FtNzVvYmtoWDRXSi9CQ1hxQzhRRWMwd1B6VDNURzUyemV4eGp1bDB0WXQySU0xVnNzdSsycFNSY0xoU2IwUTdsdWJLWjFoN3RtOWNYeVRKaW5Zc2lLaG1sUjhTSEZabWtzdTgyVFFNVjduSE44ZmpNemRGTzZibUtOVmxYeUVacWMwbFo1RWY0bGF6eWcvTmpUOWZTWks3MG5xSmZGVXo4a1BjSWovZ3VEWEgvTkRjQzN2VUl5OHY3MjNidGxzWEZoYjJqM1lzUUV1V201dDdtV21hZjdkdE84bTI3Y0dGaFlYTG94MVRjM1R1dWVmK3c3S3N6dVFzSUhyOCtVcVNMTXNhVHI0Q2dOakhxUGd4ckZldlhyMGtaUnVHY2ZiUnp3RFFiT1hrNUdUWnR0M0xNSXl6YzNKeXpvMTJQQUFBQVBHQ3dqNkdPUnlPQ3lTMWtkVGE2WFNlSCsxNEFLQXVEb2NqenpDTXpwSmFHNFp4YWJUakFRQUFpQmNVOWpHcVc3ZHVTWkl1a3BRaUtjRzI3WDdaMmRscFVRNExBR3AwTkdmMXMyMjdsYVFFaDhOeFlXNXVibnEwNHdJQUFJZ0hGUFl4S2lNam81VnBtbjJObitRNG5VNU9rZ0UwU3hrWkdhME13K2puVDFpU3pyRnRtNEdMQUFBQUlvRENQa2I1Zkw0dWtqTDkwNFpoOURCTk03T09MZ0FRTlVkejFqbithZHUyejNZNEhGbFJEQWtBQUNCdVVOakhLTk0wZnkwcHliWnQyYll0U1VtR1lReUpjbGdBVUtPak9TdlpuN01NdzBpMExHdHd0T01DQUFDSUJ4VDJzY2xwR01id0d0ci9qeVJYVXdjREFQV29NV2NaaGpHb1Q1OCs1Q3dBQUlEalJHRWZnL0x5OGdZYWh0SCs2SlY2U2ZKZkFUczFMeS92K2lpR0JnRFY1T1RrWEZsTHptcnI4L2x1aW1Kb0FBQUFjWUhDUGdiWnR2MnJPbWJmM21TQkFFQVlIQTdITCtxWVBhYkpBZ0VBQUloVEZQWXhKanM3dTZ0aEdIbitLMStHWWFocWdPbkFGYkRjN096c3J0R01FV2lKTE12YVpGbldmMGw2eUxLc1RkR09wN25JeXNycWFCakd1YlhsTE5NMGUrZms1SndlelJpQmxzYWZyNDcrSTE4QlFCeHdSanNBTkl6TDVickVNSXhUZzI5cFBjWkpTVWxKRjByNnJnbkRBbHE4OWV2WDc1RDBmTFRqYUc2U2s1UFB0MjM3dERvV1NYSTRISmRMMnRKVU1RRXRIZmtLQU9JUFYreGppOE13akY2MmJhZlZ0b0J0MjBtMmJlZUpIMjBBUkovRE5NMGVrdEpyVzhDMmJhZGhHSDJ5czdNVG1qQXVBQUNBdUVKaEgwUDY5T21UWnBybWVZWmhtSklDdDdNR2Z6WU13elFNbzIvUG5qMVBpVTZVQUZDbFQ1OCthYlp0WDFSUHpqSnMyODVOVGs1dUg1MG9BUUFBWWg5WGRXT0laVm1kSkowZmZISmNFOXUyenpkTjgzUkpQelJKWUFDVW01dWJMaW5idG0zVE1Jd3ZDZ3NMOTBVN3BtaXpMS3VUWVJqOXcxaTB0OC9ueXhLUEVBRk53cCt2ams0V2thOEFJUFp4eFQ2RzJMWTkwRENNdERxZXIvY1BvSmZtY0RpdWFzTFFBRWpacG1uT2REZ2NzL1hUQ1hPTFp0djJRRW10dzhoWnFZWmhYTkYwa1FFdFhyWnBtak5OMDV3cDhoVUF4QVVLKzlqaE1BeGpsQlE2cW5Td1k5cHZrZVJvdXZDQUZpOUJVanZidGs4OStybWxhMmpPR2lweUZ0QlVFaVMxTy9xUGZBVUFjWURDUGtiazV1WmVZQmhHWnJqTEc0WnhabDVlWGppM3dBSkF4UFh1M2J0UEEzTld0N3k4dk10T1pFd0FBQUR4aW1mc1k0VFA1OXRvR0VadVEvcDRQSjd0SnlvZUFLaUwwK2tzdGl3ckpHZFpsbldxdytHNDByYnRSSi9QdDlUaGNJUThVMTlSVWJHamFhTUVBQUNJRHhUMk1XTERoZzFsa3NxT2FYWm1abWFtV0pabGJONjgrYkFrYnhSQ0E0QnFQdnZzcy8yU1BnOXV5OG5KeWJkdCt5Wko2VTZuYzhuYXRXcy9yN2szQUFBQUdvSmI4V05ZYm01dXoxYXRXcjJRbnA0K0x6YzN0MmUwNHdFQUFBQUFORDJ1Mk1lMmRNTXdMckp0TzBsU2VyU0RBUUFBQUFBMFBhN1lBd0FBQUFBUXd5anNBUUFBQUFDSVlSVDJBQUFBQUFERU1KNnhCNEFJc0czYksybS9wQ05IUHdOQXN4U1VyMFMrQW9ENFFHRVBBQkZnR01ZWGxtWGRidHUyYVJqR0Y5R09Cd0JxNDg5WFJ6OFhSVHNlQU1EeG83QUhnQWdvTEN6Y0oybGx0T01BZ1BxUXJ3QWcvdkNNUFFBQUFBQUFNWXdyOWdDQUp1RndPQTVJK2wvRE1OSjhQdCtQMFk0SEFBQWdYbERZQTBBRVpHVmxkVXhKU2JuU3NpeUgyKzErdDdpNHVDVGFNVFUzNjlhdCt5WXZMKzh1cjlkcmVMM2VmZEdPQjJpcC9QbEtrc3JMeTVlU3J3QWc5bEhZeHpETHNqWkoraS9ETUp4SFB3T0lrdVRrNUxNTnc1aHNtbVpTY25MeVlFbWNLRmRYdVc3ZHV0M1JEZ0pvNmZ6NTZ1am40U0pmQVVETW83Q1BZZXZYcjk4aDZmbG94d0VBQUFBQWlCNEd6d01BQUFBQUlJWnh4UjRBMENTNmQrOStXbEpTMGkyU2tyMWU3OXdOR3paOEZlMllBQUFBNGdHRmZRekx6YzFObDVSdDI3WnBHTVlYUjk5TEN3RE5rc3ZsNmlEcGRrbnBMcGZyQTBrVTlnQUFBQkhBcmZpeExkczB6WmtPaDJPMnBPeG9Cd01BQUFBQWFIcGNzWTl0Q1pMYTJiYWRkUFF6QUFBQUFLQ0Y0WW85QUFBQUFBQXhqTUllQUFBQUFJQVlSbUVQQUFBQUFFQU00eG43K09DVWxKdWJteXZidHIzSGpwQ2ZsWlhWTVRrNStld3cxN1hQNC9FVUZSVVZlZndOUFhyMHlIUzVYSjNENld6YmRzbm5uMy8rZFhCc3VibTVQU1dsaDlQZnNxeE42OWV2MytHZjlvLzhyekRHRUdEZjJYZC9XNVQyZlo5dDJ5c053MGl3YlpzM1ZOVE5hVmxXVHE5ZXZiWWU4OG83czJmUG5qMmRUdWZKNGF6RTQvRnNMaW9xK3M0L25aMmRuZVp5dWJJTncwZ0pwNzlsV1VYcjE2L2Y1Wi9PeWNscFo1cG1XQU9SMnJaZFhsbFpXVlJVVkhRb2FQdGRFeElTemdpbnY5ZnIvZkdMTDc3NFFwTGxiK3ZWcTljNURvZWpmVGo5S3lzcmQzejU1WmViZ3JhZDRIUTZlNXFtMlRxYy9oVVZGVjhYRnhlWCtLZWI4anRuV2RhQkF3Y09GRzNkdXRYdGIrdlZxOWNaRG9lamF6ajlmVDVmNmJISFRVNU9UclpwbW0zQzZTOXBhMkZoNFZiL1JNZU9IVlBhdG0zYnM3SEh6ZGxubjkwbU5UVTEyN2J0ZWkrV1dKYmw5bnE5WHh6bmNWTWt5ZXR2NjkyNzk5bUdZWFFNcDMvUWNiUFB0dTJWUjV2SlZ3QVFCeWpzNDBPS1lSZ1BHNGJoa2JUZnNxemJKYTBNekV4SnVkSXdqTW5ock1pMjdaV0ppWW1qSmUzMnR5VWtKTnhpR01iL0RhZS9aVmx6SlQzZ244N016UFRIZGxHWSsvSmZrcDRQbXM0MlRYT21wSFpoOUdYZjJYZEowZGwzajhkVGxKaVlPTnJyOVJwZXI1Y1Q1YnFsR0lieGdNdmw2aWpwLy9rYk16TXpYUzZYYTd4aEdKZUhzNUtrcEtSSEpjM3dUN3RjcnRNY0RzY1RrakxEakdPMHBFWCtDZE0wTHpSTmMxYVlmVGNkN2Y5bFVEelhTWm9RVG1lWHkvVitabWJtYnpadDJuUWtxRzIwcEtIaDlFOUlTSGhlVmQ4YlNWSmlZdUpKaG1GTWxOUW5uUDRwS1NrUFNKb2IxTlJrM3puVE5EOUxTMHNiSTJtN3Y4M2hjQXczVGZQT01Qc3YwREhIamRQcHZGZlMxZUgwdHl6ckNVbFQvZFB0MjdmdktLblJ4MDFhV3RwNXRtM1BORTB6cWI2T2htRnNOd3pqTnpxKzQyYjBwazJiRGdTdDh3N1RORzhKcDcvL3VQSG5LMG55ZUR6N3cra0xBR2plS094am1HVlpPMDNUM0NrcFNaSjVkSFQ4SThkZU5iQXN5eEhPQ1lja0dZYVI0UFY2aldPYW5VZlhIUTdYTWRzMmpsN0JESGY3SWNmazBYMUpETE0vK3g2NmZmWTl2RzFIWk4rUFh2SGZYYyt5TFpwdDI3c2tmYStxT3psTUhYUGNIQlgyY1dQYmRzaHhZMW1XYVpwbWdxcHlZcjFNMDNRY085MkEvOThUTE1zNjlyaHpHb1lSZHY4YTJsd04ySDdJdnZ0OFBzUGhjQ1FxekgyM0xDdGszNXZ5T3ljcDBiS3NSbi9uRE1PbzZiZ0orNy9kc2ZuR242L1V5T1BHdisvaGJOOHdqTVRqUFc1cStHL1g0T09HZkFVQThZZkNQb2F0WDcvK203eTh2Ri9idGgyNHd1Sy9SVEo0T2JmYi9XNXljdkxnY05acDIvYStZNjgyZWp5ZU9TNlg2NzB3KzVjRVQyL2V2UGx3Ym03dXcyckFMZG5CMDRaaGZISDB5bERZdDRjR3Q3SHY3SHNZL1NPNjc2amRoZzBidHViazVOeGhtbVlIU2ZKNnZhWEI4emR0MmxUWnMyZlBpVTZuYzBiTmF3amw4WGcyQjAvN2ZMNHRwbW1PQy9lV2FwL1BWeFE4N2ZWNlB6Sk5NOXpqcHR6bjgyMDVKcDdYRWhJU0NzUHA3L1Y2Zjl5MGFWTmxjRnRsWmVVekRvZmpsWEQ2VjFaVzdnaWVQbm9NUHhEdXJmaHV0enY0MFprbS9jNVpsbldndkx4OFYzQ2J6K2Q3eWVGd3JBaW5mMDNIVFU1T3ppVFROR2VIMDEvUzF1Q0pYYnQyZmQrMmJkdEdIemZsNWVXclUxTlRoNFp6Szc3UDUzTWY3M0d6ZWZQbXc4RnR0bTNQa3ZSR09QMlBQVzRBQUFBQUFBQUFBQUFBQUFBQUFBQUFBQUFBQUFBQUFBQUFBQUFBQUFBQUFBQUFBQUFBQUFBQUFBQUF4RFVqMmdFQXdXemJ0cU1kQTA0TXd6RElONGdyNUt2NFJiNENBTVFhTTlvQkFBQUFBQUNBeHFPd0J3QUFBQUFnaGxIWUF3QUFBQUFRd3lqczBlSnQzNzVkbFpXVkVWL3ZybDI3dEhQbnpyQ1gzN3Qzci9iczJSUHhPQ0pseTVZdG1qaHhvbmJ2M2gxbzI3bHpweVpQbnF3ZE8zWkVNVEtnNVNCZmhZZDhCUUJvYVNqczBTTDRmTDVhNTQwYk4wNGpSNDRNZTEzUFBmZWNQdjMwMDNxWG16UnBrdTYvLy82dzF6dDc5bXhkZmZYVktpMHREYnZQc1E0ZE9xUjkrL1kxK3QvQmd3ZHJYZmV1WGJ1MGFORWk3ZCsvUDlDMmZQbHl2Znp5eXlvdkwyOTB6QUJDa2EvSVZ3QUFOSlF6MmdFQUo5cThlZk8wWXNVS1BmUE1NMHBLU2dxWnQyWExGbTNmdmwyREJ3OE9hMTJIRHgvV0J4OThvTm16Wit2T08rL1VyYmZlR3BFWVBSNlAzbm5uSFdWbVpzcXlMSldVbElUZE55VWxSZW5wNlpLazBhTkhhK1BHalkyTzQ0d3p6dEFycjd3Uzl2THZ2LysrT25YcXBMUFBQcnZSMndUd0UvSlYrTWhYQUFEOGhNSWVjYTl0MjdaYXUzYXQ3ci8vZmsyYk5rMU81MCtIL1p0dnZpbEordG5QZmhiV3VsSlRVelY3OW13OStPQ0RtajU5dWpadjNxdy8vdkdQeHgzajY2Ky9yZ01IRHVqQWdRTzY5dHByRzlSMzBLQkJJVEYwNnRSSlk4ZU9iWEFNZi83em4wT21OMi9lckwvLy9lOGFPWEtrMnJadFcyMzVrcElTZmZiWlovcjFyMy9kNEcwQjhXVGJ0bTE2K3Vtbkc5My9ONy81alhyMTZpV0pmQlV1OGhVQUFLRW83QkgzZnZhem4ybnYzcjE2NG9rbjlLYy8vVWwvK01NZkpFbVZsWlZhdkhpeEpPbkdHMitzY3gxMzNIR0hici85ZGtsU2NuS3lwazZkcW9rVEo2cDM3OTdhc21WTGpTZUxIbzlIdG0yclg3OSsxZVk5K2VTVHV1Q0NDd0p4L1BXdmYxWFhybDAxY2VMRUJ1OWZSa1pHeUhUcjFxM0RQdkVQTm4vKy9KQmJWRXRMUy9YYWE2OXA2TkNoTlo0b0wxcTBTSkpVVmxhbUYxNTRvZGIxNXVUa3FFK2ZQZzJPQjRnVmh3NGQwdXJWcXh2ZFAvZ0tQUGtxUE9RckFBQkNVZGlqUmZqbEwzK3BiNzc1Um0rODhZWjY5T2lobTI2NlNZc1hMOWJldlh0MTIyMjNxVU9IRGpYMjI3eDVzeFlzV0tDVWxKU1FkcWZUR1RpcDNiUnBrOXh1dHdZUEhxeXp6am9yc016Q2hRdDE4T0JCM1hMTExZRzIwdEpTelowN04rUVoyaGRmZkZHbHBhVjY2cW1uQWxmdG1qdTMyNjEvL3ZPZk1rMVQvLzczdjBQbStYdytWVlpXQm00anZ2bm1temxSUmx6cjBhT0hQdjc0NDRpdGozd1ZXZVFyQUVCTFFHR1BGbVA4K1BGS1MwdlR3SUVENWZWNjllS0xMK3FjYzg3UnVISGpKRW5QUHZ1c1BCNlBmdmU3M3dYNi9PZC8vcWVjVG1mZ2l0SzBhZE9VbXBxcUVTTkd5RFJEeDU3czE2K2ZMci84OHNEMDZ0V3J0V3ZYTGcwZE9qVFFWbFJVcExsejV3YW12L3Z1TzgyWk0wZjUrZmxLVGs1dThBbmxnZ1VMbEptWldldjhXYk5tNmFXWFhxcDEvb0FCQS9USUk0ODBhSnVTOU1ZYmIyamZ2bjNxM3IyNzVzMmJGekx2eFJkZjFEUFBQS05seTVZcE1UR3h3ZXNHUUw2cUNma0tBSURhVWRpanhVaE1UTlM5OTk0clNmcmIzLzZtSFR0MmFOcTBhWUg1bjN6eVNjaGdWVC84OElQKzlhOS82Y29ycjFSR1JvWjhQcDlLUzB1MWRPbFNyVnUzVG84Ly9uaGdFS2pHOEhnOEdqOSt2RXpUMVAzMzM2LzA5SFE5OWRSVERWcEhiVmZ1Z3JmaDgvbjAwRU1QVlpzM2E5WXN1ZDN1Qm0zUHYwNy9yYXcxdlI1cno1NDlTazlQNXlRWk9BN2txMURrS3dBQTZrWmhqMmJGdG0xVlZGUkVaRjJtYVZZYlZkcXlMSm1tcVZhdFd1bUNDeTdRSlpkY0Vwam5QOEh6ZStPTk4rVDFlZ01qU1RzY0RrMmFORWwvL3ZPZk5XZk9ISTBZTVVJTEZpeG9kSHhMbHk1VmNYR3hIbnZzTVhYcjFrMlNkUEhGRnpkNmZiVnhPQnk2N3JycnFyWFBueisvVWV0NzU1MTN0R3ZYTHYzODV6L1hraVZMdEdmUEhyVnAweVl3Lzd2dnZsUEhqaDBiSFMrQUt1U3JuNUN2QUFDb0c0VTltcFc5ZS9jMmFpQ2xtdFQwS3FTUkkwZnEybXV2MWZYWFh4OXk4dWgydS9YRER6OW8xNjVkT25Ub2tOTFMwalJpeEFqMTc5OC81TlZJaG1GbzdOaXg2dGF0bTFKU1V1UndPQm9kMzRVWFhxaGYvdktYK3Y3Nzcyc2NzS28rQ3hZc1VPZk9uUnU5L2NZcUtDZ0lGQkJMbGl6UnA1OStxcC8vL09lU3FuNllXYjkrdmE2NTVwb21qd3VJTitTcjQwZStBZ0MwRkJUMmFGYVNrcEkwYU5DZ2lLeXJYYnQySWRPclZxM1N1blhyZE9xcHArcjY2NjhQbVZkVVZDVGJ0bVhidHBZdlg2NUJnd2JKTUF4MTc5Njl4blhYZENMNGh6LzhRWTg5OWxoZyt1REJnN0lzU3dVRkJZRzI0RUdvTWpJeWRPKzk5NnE0dURqa0NsSjlDZ3NMdFdqUkl0bTJIWGFmU0VwT1R0Wi8vTWQvU0pJeU16TzFkT25Td0lueWhnMGJkUERnUVoxMzNubFJpUTJJRitTcnlDQmZBUUJhQ2dwN05DdHBhV2tSZWM5eVRXYlBuaTJYeTZVNzc3eXoycnozMzM5Znljbkp5cy9QMSt1dnYxN3Zqd3RidDI3VnlTZWZyTmF0V3dmYUNnb0t3aDVsT2xoV1ZwYXlzckxDM2crbjA2bEZpeGFGbkhRM2hTTkhqbFJyR3pod29HYk1tS0dkTzNlcVE0Y09ldjMxMTlXNmRXdGRkTkZGVFJvYkVHL0lWOGVIZkFVQWFHa283TkVpckZxMVNvV0ZoYnI1NXB1ckRlQlVYbDZ1dDk5K1c1ZGVlcW11dWVZYWpSczNUbXZXcktuektzNmNPWE8wWXNVS3ZmUE9PNEcyeG93eTNSZ0pDUW1TcWdhRkNvZmI3YTd4MXRralI0Nm9TNWN1dGZielgySGJzV09IRml4WW9EZmZmTFBhTWpmZWVLTmVlT0VGUGYzMDB4bzdkcXplZnZ0dERSczJqSUdvZ09OQXZpSmZBUURRVUJUMmlIdVdaV25HakJsS1MwdlQ3YmZmWG0zK0N5KzhvSDM3OW1uWXNHSHEwYU9IdW5YcnBzbVRKMnYrL1BseXVWelZscmR0V3l0WHJ0U1paNTZwNU9Ua3B0aUZFSzFhdFpJazdkKy9YNUswYjkrK09rZTdkcmxjZXVDQkI2cTF6NW8xcTg3dGJObXlSWkowNzczM0tqVTFWWmRlZXFtV0xsMGFza3hhV3BwR2p4NnRLVk9tcUxpNFdDa3BLYnJ0dHRzYXREOEFma0srSWw4QkFOQVlGUGFJZTRzWDNGMUdZUUFBQkxwSlJFRlVMOVpYWDMybHNXUEhodHlLS2tucjFxM1RYLy82VnhVVUZLaFhyMTZTcEFjZmZGQ2pSbzNTZi8vM2YydkNoQW5WMWxkVVZLU3lzcktvblJDMmI5OWVVdFhyclNUcHQ3LzlyZkx6ODNYWFhYZFZXN2Fnb0VDWm1aa2FPSEJndFhrbm5YU1NVbE5UYTkxT2NYR3hKR25Ja0NFYU5XcVVpb3VMcTUwb1M5TFFvVVAxajMvOFE5OTk5NTF1dmZYVzQzcWxGdERTa2EvSVZ3QUFOQWFGUGVMYWdRTUhOSDM2ZEdWa1pHajQ4T0VoODc3KyttdmRjODg5T3Zua2t6VisvUGhBKzNubm5hZkJnd2ZydGRkZVUwWkdobjc3MjkrRzlGdStmTGtrYWNDQUFTZCtCMnJRcVZNbkpTVWxxYmk0V0lNR0RkS1BQLzVZNDVVNlNlcmV2WHV0QTJwZGV1bWxkVzVud29RSkdqaHdvQzY4OE1KYWx5a3ZMOWVqano2cTdkdTM2NVJUVHRIY3VYUGw5WG8xY3VSSXBhV2xoYjlUUUl4eXU5MnFyS3c4N3ZXNFhDNTVQQjd5RmZrS0FJQkdvYkJIWENzcUtsSkZSWVZHalJvVmNodnFoeDkrcUFrVEpzZ3dERTJmUHIzYVZadng0OGZyKysrLzEvLzh6Ly9vaHg5KzBJTVBQcWlrcENSSlZlOUZ6c3JLcXZidTQ3S3lNcFdVbEFTbS9TZjh3VzE3OXV3NTduMXlPcDNxM2J1M1ZxNWNxYkZqeDJyMzd0MDY3YlRUQXZNcktpcTBZY09HQnErM3ZMdzhaRG9wS2FuT2srUlZxMVpwMHFSSktpa3AwZDEzMzYwaFE0Ym84Y2NmMTkvKzlqZTk5ZFpiR2o1OHVIN3hpMTl3UlF4eDdmSEhIOWZpeFl1UGV6MERCZ3pRalRmZVNMNEtFL2tLQUlCUUZQYUlhL241K1Zxd1lJRk9PZVVVU1ZYUGVUNzc3TE42OWRWWDFhWk5HMDJmUGoza3ZjOStUcWRUVTZaTTBkMTMzNjNGaXhlcnNMQlFVNmRPVlhsNXVVcEtTalJtekpocWZSNTk5TkVhWTdqMjJtc2p1MU9TYnJqaEJqMzQ0SU9CYmViazVBVG1iZDI2dGRHMzNaNXh4aG4xTHJOMTYxYk5tREZESDM3NG9icDA2YUsvL09VdnlzdkxreVQ5OFk5LzFGVlhYYVVubjN4U00yZk8xUFBQUDYraFE0ZnFubnZ1YVZROFFIUFh2My8vUUg0NUhwbVptZVNyQmlKZkFRRHdFd3A3eEwzT25Uc0hQaTlhdEVpdnZ2cXF6ai8vZkQzeXlDTjF2bzg1TFMxTnMyYk4wcVJKazFSY1hLd3VYYnJvNDQ4L1ZzZU9IV3U4clhYTW1ESEt6YzJ0TTVadDI3YUZ2RHU2c1FvS0N2VGhoeDlxMmJKbHV2WFdXMFAyOFl3enp0Q1VLVk1hdk03eDQ4ZUgvVXFxalJzM2F0U29VYnIxMWx1cmpTamRyMTgvNWVmbjY3MzMzdE1ycjd4UzR6dTBnWGhSVUZBUTh1NzM0MFcrQ2cvNUNnQ0FVRWEwQXdDQzJmNTNGcDI0OWV1amp6N1N4UmRmM0tCK2h3OGZyblhnSnN1eTVIYTdsWmlZS0lmREVZa3dtejJmejlmZ2ZUVU1nM3lEdUVLK2lnM2tLd0JBUzhBZkxqUXJKL3BFR2RIRGlUTGlEZmtxZnBHdkFBQ3h4b3gy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XlQdi9hbHl5aXhJemFMb0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9874</Words>
  <Characters>10743</Characters>
  <Lines>443</Lines>
  <Paragraphs>124</Paragraphs>
  <TotalTime>7</TotalTime>
  <ScaleCrop>false</ScaleCrop>
  <LinksUpToDate>false</LinksUpToDate>
  <CharactersWithSpaces>10897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2024-03-28T02:53:00Z</dcterms:created>
  <dc:creator>盐汽水</dc:creator>
  <cp:lastModifiedBy>MM</cp:lastModifiedBy>
  <cp:lastPrinted>2024-09-30T08:36:00Z</cp:lastPrinted>
  <dcterms:modified xsi:type="dcterms:W3CDTF">2025-08-13T01:56:22Z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7187D3E341E440A79FF83BA01A455181_13</vt:lpwstr>
  </property>
  <property fmtid="{D5CDD505-2E9C-101B-9397-08002B2CF9AE}" pid="4" name="KSOTemplateDocerSaveRecord">
    <vt:lpwstr>eyJoZGlkIjoiMjQ2NTI2MzYxZGYxODgyMjQ4MWU4MzdmZjczMmI5YWYiLCJ1c2VySWQiOiI0MzI1NjI1NDQifQ==</vt:lpwstr>
  </property>
</Properties>
</file>