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3208174E">
      <w:pPr>
        <w:keepNext w:val="0"/>
        <w:keepLines w:val="0"/>
        <w:pageBreakBefore w:val="0"/>
        <w:widowControl w:val="0"/>
        <w:kinsoku/>
        <w:wordWrap/>
        <w:overflowPunct/>
        <w:topLinePunct w:val="0"/>
        <w:autoSpaceDE/>
        <w:autoSpaceDN/>
        <w:bidi w:val="0"/>
        <w:adjustRightInd/>
        <w:snapToGrid/>
        <w:jc w:val="center"/>
        <w:textAlignment w:val="auto"/>
        <w:rPr>
          <w:rFonts w:ascii="仿宋_GB2312" w:hAnsi="仿宋_GB2312" w:eastAsia="仿宋_GB2312" w:cs="仿宋_GB2312"/>
          <w:sz w:val="36"/>
          <w:szCs w:val="36"/>
        </w:rPr>
      </w:pPr>
      <w:bookmarkStart w:id="0" w:name="_Toc71811559"/>
      <w:bookmarkStart w:id="1" w:name="_Toc67493946"/>
      <w:bookmarkStart w:id="2" w:name="_Toc81646394"/>
    </w:p>
    <w:p w14:paraId="19FCFF21">
      <w:pPr>
        <w:bidi w:val="0"/>
        <w:jc w:val="center"/>
        <w:rPr>
          <w:rFonts w:hint="eastAsia"/>
          <w:b/>
          <w:bCs/>
          <w:sz w:val="72"/>
          <w:szCs w:val="72"/>
        </w:rPr>
      </w:pPr>
    </w:p>
    <w:p w14:paraId="6903C3E5">
      <w:pPr>
        <w:bidi w:val="0"/>
        <w:jc w:val="center"/>
        <w:rPr>
          <w:rFonts w:hint="eastAsia" w:ascii="方正小标宋_GBK" w:eastAsia="方正小标宋_GBK"/>
          <w:bCs/>
          <w:szCs w:val="72"/>
        </w:rPr>
      </w:pPr>
      <w:r>
        <w:rPr>
          <w:rFonts w:hint="eastAsia"/>
          <w:b/>
          <w:bCs/>
          <w:sz w:val="72"/>
          <w:szCs w:val="72"/>
        </w:rPr>
        <w:t>建设项目环境影响报告表</w:t>
      </w:r>
    </w:p>
    <w:p w14:paraId="6CDD9154">
      <w:pPr>
        <w:adjustRightInd w:val="0"/>
        <w:snapToGrid w:val="0"/>
        <w:spacing w:before="192" w:beforeLines="80"/>
        <w:jc w:val="center"/>
        <w:rPr>
          <w:rFonts w:hint="eastAsia" w:ascii="楷体_GB2312" w:eastAsia="楷体_GB2312"/>
          <w:bCs/>
          <w:sz w:val="48"/>
          <w:szCs w:val="48"/>
        </w:rPr>
      </w:pPr>
    </w:p>
    <w:p w14:paraId="1B35A064">
      <w:pPr>
        <w:bidi w:val="0"/>
        <w:jc w:val="center"/>
      </w:pPr>
    </w:p>
    <w:p w14:paraId="768F8A4B">
      <w:pPr>
        <w:pStyle w:val="22"/>
      </w:pPr>
    </w:p>
    <w:p w14:paraId="5A08F321">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仿宋_GB2312" w:eastAsia="仿宋_GB2312"/>
          <w:sz w:val="36"/>
          <w:szCs w:val="36"/>
          <w:u w:val="single"/>
        </w:rPr>
      </w:pPr>
    </w:p>
    <w:p w14:paraId="0AA47627">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仿宋_GB2312" w:eastAsia="仿宋_GB2312"/>
          <w:sz w:val="36"/>
          <w:szCs w:val="36"/>
        </w:rPr>
      </w:pPr>
    </w:p>
    <w:p w14:paraId="5EAD3A58">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仿宋_GB2312" w:eastAsia="仿宋_GB2312"/>
          <w:sz w:val="36"/>
          <w:szCs w:val="36"/>
        </w:rPr>
      </w:pPr>
    </w:p>
    <w:p w14:paraId="79F96F25">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ascii="仿宋_GB2312" w:eastAsia="仿宋_GB2312"/>
          <w:sz w:val="36"/>
          <w:szCs w:val="36"/>
        </w:rPr>
      </w:pPr>
    </w:p>
    <w:p w14:paraId="26CE5AB3">
      <w:pPr>
        <w:pStyle w:val="12"/>
      </w:pPr>
    </w:p>
    <w:p w14:paraId="7FE0676E">
      <w:bookmarkStart w:id="28" w:name="_GoBack"/>
      <w:bookmarkEnd w:id="28"/>
    </w:p>
    <w:p w14:paraId="7F510A5C">
      <w:pPr>
        <w:keepNext w:val="0"/>
        <w:keepLines w:val="0"/>
        <w:pageBreakBefore w:val="0"/>
        <w:widowControl w:val="0"/>
        <w:kinsoku/>
        <w:wordWrap/>
        <w:overflowPunct/>
        <w:topLinePunct w:val="0"/>
        <w:autoSpaceDE/>
        <w:autoSpaceDN/>
        <w:bidi w:val="0"/>
        <w:spacing w:line="240" w:lineRule="auto"/>
        <w:ind w:firstLine="0"/>
        <w:jc w:val="center"/>
        <w:textAlignment w:val="auto"/>
        <w:rPr>
          <w:rFonts w:eastAsia="仿宋"/>
          <w:sz w:val="52"/>
          <w:szCs w:val="52"/>
        </w:rPr>
      </w:pPr>
    </w:p>
    <w:p w14:paraId="58AD033B">
      <w:pPr>
        <w:rPr>
          <w:rFonts w:hint="eastAsia" w:ascii="Times New Roman" w:hAnsi="Times New Roman" w:eastAsia="宋体" w:cs="Times New Roman"/>
          <w:b/>
          <w:sz w:val="32"/>
          <w:szCs w:val="32"/>
          <w:lang w:val="en-US" w:eastAsia="zh-CN"/>
        </w:rPr>
      </w:pPr>
    </w:p>
    <w:p w14:paraId="1CF3A85F">
      <w:pPr>
        <w:keepNext w:val="0"/>
        <w:keepLines w:val="0"/>
        <w:pageBreakBefore w:val="0"/>
        <w:widowControl w:val="0"/>
        <w:kinsoku/>
        <w:wordWrap/>
        <w:overflowPunct/>
        <w:topLinePunct w:val="0"/>
        <w:autoSpaceDE/>
        <w:autoSpaceDN/>
        <w:bidi w:val="0"/>
        <w:adjustRightInd/>
        <w:snapToGrid/>
        <w:spacing w:line="480" w:lineRule="auto"/>
        <w:ind w:firstLine="321" w:firstLineChars="100"/>
        <w:textAlignment w:val="auto"/>
        <w:rPr>
          <w:rFonts w:hint="default" w:ascii="Times New Roman" w:hAnsi="Times New Roman" w:eastAsia="宋体" w:cs="Times New Roman"/>
          <w:b/>
          <w:sz w:val="32"/>
          <w:szCs w:val="32"/>
          <w:lang w:val="en-US"/>
        </w:rPr>
      </w:pPr>
      <w:r>
        <w:rPr>
          <w:rFonts w:hint="eastAsia" w:ascii="Times New Roman" w:hAnsi="Times New Roman" w:eastAsia="宋体" w:cs="Times New Roman"/>
          <w:b/>
          <w:sz w:val="32"/>
          <w:szCs w:val="32"/>
        </w:rPr>
        <w:t>项目名称：</w:t>
      </w:r>
      <w:r>
        <w:rPr>
          <w:rFonts w:hint="eastAsia" w:ascii="Times New Roman" w:hAnsi="Times New Roman" w:eastAsia="宋体" w:cs="Times New Roman"/>
          <w:b/>
          <w:sz w:val="32"/>
          <w:szCs w:val="32"/>
          <w:u w:val="single"/>
          <w:lang w:val="en-US" w:eastAsia="zh-CN"/>
        </w:rPr>
        <w:t xml:space="preserve">   </w:t>
      </w:r>
      <w:r>
        <w:rPr>
          <w:rFonts w:hint="eastAsia" w:cs="Times New Roman"/>
          <w:b/>
          <w:sz w:val="32"/>
          <w:szCs w:val="32"/>
          <w:u w:val="single"/>
          <w:lang w:val="en-US" w:eastAsia="zh-CN"/>
        </w:rPr>
        <w:t xml:space="preserve">  </w:t>
      </w:r>
      <w:r>
        <w:rPr>
          <w:rFonts w:hint="eastAsia" w:ascii="Times New Roman" w:hAnsi="Times New Roman" w:eastAsia="宋体" w:cs="Times New Roman"/>
          <w:b/>
          <w:sz w:val="32"/>
          <w:szCs w:val="32"/>
          <w:u w:val="single"/>
          <w:lang w:val="en-US" w:eastAsia="zh-CN"/>
        </w:rPr>
        <w:t xml:space="preserve">  </w:t>
      </w:r>
      <w:r>
        <w:rPr>
          <w:rFonts w:hint="eastAsia" w:cs="Times New Roman"/>
          <w:b/>
          <w:sz w:val="32"/>
          <w:szCs w:val="32"/>
          <w:u w:val="single"/>
          <w:lang w:val="en-US" w:eastAsia="zh-CN"/>
        </w:rPr>
        <w:t xml:space="preserve">年产6万吨优质大米项目    </w:t>
      </w:r>
      <w:r>
        <w:rPr>
          <w:rFonts w:hint="eastAsia" w:ascii="Times New Roman" w:hAnsi="Times New Roman" w:eastAsia="宋体" w:cs="Times New Roman"/>
          <w:b/>
          <w:sz w:val="32"/>
          <w:szCs w:val="32"/>
          <w:u w:val="single"/>
          <w:lang w:val="en-US" w:eastAsia="zh-CN"/>
        </w:rPr>
        <w:t xml:space="preserve">   </w:t>
      </w:r>
      <w:r>
        <w:rPr>
          <w:rFonts w:hint="eastAsia" w:cs="Times New Roman"/>
          <w:b/>
          <w:sz w:val="32"/>
          <w:szCs w:val="32"/>
          <w:u w:val="single"/>
          <w:lang w:val="en-US" w:eastAsia="zh-CN"/>
        </w:rPr>
        <w:t xml:space="preserve"> </w:t>
      </w:r>
      <w:r>
        <w:rPr>
          <w:rFonts w:hint="eastAsia" w:ascii="Times New Roman" w:hAnsi="Times New Roman" w:eastAsia="宋体" w:cs="Times New Roman"/>
          <w:b/>
          <w:sz w:val="32"/>
          <w:szCs w:val="32"/>
          <w:u w:val="single"/>
          <w:lang w:val="en-US" w:eastAsia="zh-CN"/>
        </w:rPr>
        <w:t xml:space="preserve">   </w:t>
      </w:r>
    </w:p>
    <w:p w14:paraId="6EC4D03A">
      <w:pPr>
        <w:keepNext w:val="0"/>
        <w:keepLines w:val="0"/>
        <w:pageBreakBefore w:val="0"/>
        <w:widowControl w:val="0"/>
        <w:kinsoku/>
        <w:wordWrap/>
        <w:overflowPunct/>
        <w:topLinePunct w:val="0"/>
        <w:autoSpaceDE/>
        <w:autoSpaceDN/>
        <w:bidi w:val="0"/>
        <w:adjustRightInd/>
        <w:snapToGrid/>
        <w:spacing w:line="480" w:lineRule="auto"/>
        <w:ind w:firstLine="321" w:firstLineChars="100"/>
        <w:textAlignment w:val="auto"/>
        <w:rPr>
          <w:rFonts w:hint="default" w:ascii="Times New Roman" w:hAnsi="Times New Roman" w:eastAsia="宋体" w:cs="Times New Roman"/>
          <w:b/>
          <w:sz w:val="32"/>
          <w:szCs w:val="32"/>
          <w:lang w:val="en-US" w:eastAsia="zh-CN"/>
        </w:rPr>
      </w:pPr>
      <w:r>
        <w:rPr>
          <w:rFonts w:hint="eastAsia" w:ascii="Times New Roman" w:hAnsi="Times New Roman" w:eastAsia="宋体" w:cs="Times New Roman"/>
          <w:b/>
          <w:sz w:val="32"/>
          <w:szCs w:val="32"/>
        </w:rPr>
        <w:t>建设单位（盖章）：</w:t>
      </w:r>
      <w:r>
        <w:rPr>
          <w:rFonts w:hint="eastAsia" w:ascii="Times New Roman" w:hAnsi="Times New Roman" w:eastAsia="宋体" w:cs="Times New Roman"/>
          <w:b/>
          <w:sz w:val="32"/>
          <w:szCs w:val="32"/>
          <w:u w:val="single"/>
        </w:rPr>
        <w:t xml:space="preserve"> </w:t>
      </w:r>
      <w:r>
        <w:rPr>
          <w:rFonts w:hint="eastAsia" w:ascii="Times New Roman" w:hAnsi="Times New Roman" w:eastAsia="宋体" w:cs="Times New Roman"/>
          <w:b/>
          <w:sz w:val="32"/>
          <w:szCs w:val="32"/>
          <w:u w:val="single"/>
          <w:lang w:val="en-US" w:eastAsia="zh-CN"/>
        </w:rPr>
        <w:t xml:space="preserve">  </w:t>
      </w:r>
      <w:r>
        <w:rPr>
          <w:rFonts w:hint="eastAsia" w:cs="Times New Roman"/>
          <w:b/>
          <w:sz w:val="32"/>
          <w:szCs w:val="32"/>
          <w:u w:val="single"/>
          <w:lang w:val="en-US" w:eastAsia="zh-CN"/>
        </w:rPr>
        <w:t>淮南市三好米业有限公司</w:t>
      </w:r>
      <w:r>
        <w:rPr>
          <w:rFonts w:hint="eastAsia" w:ascii="Times New Roman" w:hAnsi="Times New Roman" w:eastAsia="宋体" w:cs="Times New Roman"/>
          <w:b/>
          <w:sz w:val="32"/>
          <w:szCs w:val="32"/>
          <w:u w:val="single"/>
          <w:lang w:val="en-US" w:eastAsia="zh-CN"/>
        </w:rPr>
        <w:t xml:space="preserve">  </w:t>
      </w:r>
      <w:r>
        <w:rPr>
          <w:rFonts w:hint="eastAsia" w:cs="Times New Roman"/>
          <w:b/>
          <w:sz w:val="32"/>
          <w:szCs w:val="32"/>
          <w:u w:val="single"/>
          <w:lang w:val="en-US" w:eastAsia="zh-CN"/>
        </w:rPr>
        <w:t xml:space="preserve">  </w:t>
      </w:r>
      <w:r>
        <w:rPr>
          <w:rFonts w:hint="eastAsia" w:ascii="Times New Roman" w:hAnsi="Times New Roman" w:eastAsia="宋体" w:cs="Times New Roman"/>
          <w:b/>
          <w:sz w:val="32"/>
          <w:szCs w:val="32"/>
          <w:u w:val="single"/>
          <w:lang w:val="en-US" w:eastAsia="zh-CN"/>
        </w:rPr>
        <w:t xml:space="preserve">    </w:t>
      </w:r>
    </w:p>
    <w:p w14:paraId="7CCF4533">
      <w:pPr>
        <w:keepNext w:val="0"/>
        <w:keepLines w:val="0"/>
        <w:pageBreakBefore w:val="0"/>
        <w:widowControl w:val="0"/>
        <w:kinsoku/>
        <w:wordWrap/>
        <w:overflowPunct/>
        <w:topLinePunct w:val="0"/>
        <w:autoSpaceDE/>
        <w:autoSpaceDN/>
        <w:bidi w:val="0"/>
        <w:adjustRightInd/>
        <w:snapToGrid/>
        <w:spacing w:line="480" w:lineRule="auto"/>
        <w:ind w:firstLine="321" w:firstLineChars="100"/>
        <w:textAlignment w:val="auto"/>
        <w:rPr>
          <w:rFonts w:hint="eastAsia" w:ascii="Times New Roman" w:hAnsi="Times New Roman" w:eastAsia="宋体" w:cs="Times New Roman"/>
          <w:b/>
          <w:sz w:val="32"/>
          <w:szCs w:val="32"/>
          <w:lang w:val="en-US" w:eastAsia="zh-CN"/>
        </w:rPr>
      </w:pPr>
      <w:r>
        <w:rPr>
          <w:rFonts w:hint="eastAsia" w:ascii="Times New Roman" w:hAnsi="Times New Roman" w:eastAsia="宋体" w:cs="Times New Roman"/>
          <w:b/>
          <w:sz w:val="32"/>
          <w:szCs w:val="32"/>
        </w:rPr>
        <w:t>编</w:t>
      </w:r>
      <w:r>
        <w:rPr>
          <w:rFonts w:hint="eastAsia" w:ascii="Times New Roman" w:hAnsi="Times New Roman" w:eastAsia="宋体" w:cs="Times New Roman"/>
          <w:b/>
          <w:sz w:val="32"/>
          <w:szCs w:val="32"/>
          <w:lang w:val="en-US" w:eastAsia="zh-CN"/>
        </w:rPr>
        <w:t xml:space="preserve">  </w:t>
      </w:r>
      <w:r>
        <w:rPr>
          <w:rFonts w:hint="eastAsia" w:ascii="Times New Roman" w:hAnsi="Times New Roman" w:eastAsia="宋体" w:cs="Times New Roman"/>
          <w:b/>
          <w:sz w:val="32"/>
          <w:szCs w:val="32"/>
        </w:rPr>
        <w:t>制</w:t>
      </w:r>
      <w:r>
        <w:rPr>
          <w:rFonts w:hint="eastAsia" w:ascii="Times New Roman" w:hAnsi="Times New Roman" w:eastAsia="宋体" w:cs="Times New Roman"/>
          <w:b/>
          <w:sz w:val="32"/>
          <w:szCs w:val="32"/>
          <w:lang w:val="en-US" w:eastAsia="zh-CN"/>
        </w:rPr>
        <w:t xml:space="preserve">  </w:t>
      </w:r>
      <w:r>
        <w:rPr>
          <w:rFonts w:hint="eastAsia" w:ascii="Times New Roman" w:hAnsi="Times New Roman" w:eastAsia="宋体" w:cs="Times New Roman"/>
          <w:b/>
          <w:sz w:val="32"/>
          <w:szCs w:val="32"/>
        </w:rPr>
        <w:t>日</w:t>
      </w:r>
      <w:r>
        <w:rPr>
          <w:rFonts w:hint="eastAsia" w:ascii="Times New Roman" w:hAnsi="Times New Roman" w:eastAsia="宋体" w:cs="Times New Roman"/>
          <w:b/>
          <w:sz w:val="32"/>
          <w:szCs w:val="32"/>
          <w:lang w:val="en-US" w:eastAsia="zh-CN"/>
        </w:rPr>
        <w:t xml:space="preserve">  </w:t>
      </w:r>
      <w:r>
        <w:rPr>
          <w:rFonts w:hint="eastAsia" w:ascii="Times New Roman" w:hAnsi="Times New Roman" w:eastAsia="宋体" w:cs="Times New Roman"/>
          <w:b/>
          <w:sz w:val="32"/>
          <w:szCs w:val="32"/>
        </w:rPr>
        <w:t>期：</w:t>
      </w:r>
      <w:r>
        <w:rPr>
          <w:rFonts w:hint="eastAsia" w:ascii="Times New Roman" w:hAnsi="Times New Roman" w:eastAsia="宋体" w:cs="Times New Roman"/>
          <w:b/>
          <w:sz w:val="32"/>
          <w:szCs w:val="32"/>
          <w:u w:val="single"/>
        </w:rPr>
        <w:t xml:space="preserve"> </w:t>
      </w:r>
      <w:r>
        <w:rPr>
          <w:rFonts w:hint="eastAsia" w:ascii="Times New Roman" w:hAnsi="Times New Roman" w:eastAsia="宋体" w:cs="Times New Roman"/>
          <w:b/>
          <w:sz w:val="32"/>
          <w:szCs w:val="32"/>
          <w:u w:val="single"/>
          <w:lang w:val="en-US" w:eastAsia="zh-CN"/>
        </w:rPr>
        <w:t xml:space="preserve">       二〇二五年</w:t>
      </w:r>
      <w:r>
        <w:rPr>
          <w:rFonts w:hint="eastAsia" w:cs="Times New Roman"/>
          <w:b/>
          <w:sz w:val="32"/>
          <w:szCs w:val="32"/>
          <w:u w:val="single"/>
          <w:lang w:val="en-US" w:eastAsia="zh-CN"/>
        </w:rPr>
        <w:t>八</w:t>
      </w:r>
      <w:r>
        <w:rPr>
          <w:rFonts w:hint="eastAsia" w:ascii="Times New Roman" w:hAnsi="Times New Roman" w:eastAsia="宋体" w:cs="Times New Roman"/>
          <w:b/>
          <w:sz w:val="32"/>
          <w:szCs w:val="32"/>
          <w:u w:val="single"/>
          <w:lang w:val="en-US" w:eastAsia="zh-CN"/>
        </w:rPr>
        <w:t xml:space="preserve">月     </w:t>
      </w:r>
      <w:r>
        <w:rPr>
          <w:rFonts w:hint="eastAsia" w:cs="Times New Roman"/>
          <w:b/>
          <w:sz w:val="32"/>
          <w:szCs w:val="32"/>
          <w:u w:val="single"/>
          <w:lang w:val="en-US" w:eastAsia="zh-CN"/>
        </w:rPr>
        <w:t xml:space="preserve"> </w:t>
      </w:r>
      <w:r>
        <w:rPr>
          <w:rFonts w:hint="eastAsia" w:ascii="Times New Roman" w:hAnsi="Times New Roman" w:eastAsia="宋体" w:cs="Times New Roman"/>
          <w:b/>
          <w:sz w:val="32"/>
          <w:szCs w:val="32"/>
          <w:u w:val="single"/>
          <w:lang w:val="en-US" w:eastAsia="zh-CN"/>
        </w:rPr>
        <w:t xml:space="preserve">     </w:t>
      </w:r>
      <w:r>
        <w:rPr>
          <w:rFonts w:ascii="Times New Roman" w:hAnsi="Times New Roman" w:eastAsia="宋体" w:cs="Times New Roman"/>
          <w:b/>
          <w:sz w:val="32"/>
          <w:szCs w:val="32"/>
          <w:u w:val="single"/>
        </w:rPr>
        <w:t xml:space="preserve"> </w:t>
      </w:r>
      <w:r>
        <w:rPr>
          <w:rFonts w:hint="eastAsia" w:ascii="Times New Roman" w:hAnsi="Times New Roman" w:eastAsia="宋体" w:cs="Times New Roman"/>
          <w:b/>
          <w:sz w:val="32"/>
          <w:szCs w:val="32"/>
          <w:u w:val="single"/>
          <w:lang w:val="en-US" w:eastAsia="zh-CN"/>
        </w:rPr>
        <w:t xml:space="preserve"> </w:t>
      </w:r>
    </w:p>
    <w:p w14:paraId="6ECECD4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eastAsia="仿宋_GB2312"/>
          <w:sz w:val="36"/>
          <w:szCs w:val="36"/>
          <w:lang w:val="en-US" w:eastAsia="zh-CN"/>
        </w:rPr>
      </w:pPr>
      <w:bookmarkStart w:id="3" w:name="_Hlk57884087"/>
    </w:p>
    <w:p w14:paraId="70BF01A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eastAsia="仿宋_GB2312"/>
          <w:sz w:val="36"/>
          <w:szCs w:val="36"/>
          <w:lang w:val="en-US" w:eastAsia="zh-CN"/>
        </w:rPr>
      </w:pPr>
    </w:p>
    <w:p w14:paraId="38A48382">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eastAsia="仿宋_GB2312"/>
          <w:sz w:val="36"/>
          <w:szCs w:val="36"/>
          <w:lang w:val="en-US" w:eastAsia="zh-CN"/>
        </w:rPr>
      </w:pPr>
    </w:p>
    <w:p w14:paraId="7F71803A">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eastAsia="仿宋_GB2312"/>
          <w:sz w:val="36"/>
          <w:szCs w:val="36"/>
          <w:lang w:val="en-US" w:eastAsia="zh-CN"/>
        </w:rPr>
      </w:pPr>
    </w:p>
    <w:p w14:paraId="45AEBFCD">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eastAsia" w:ascii="仿宋_GB2312" w:eastAsia="仿宋_GB2312"/>
          <w:sz w:val="36"/>
          <w:szCs w:val="36"/>
          <w:lang w:val="en-US" w:eastAsia="zh-CN"/>
        </w:rPr>
      </w:pPr>
    </w:p>
    <w:p w14:paraId="32075986">
      <w:pPr>
        <w:keepNext w:val="0"/>
        <w:keepLines w:val="0"/>
        <w:pageBreakBefore w:val="0"/>
        <w:widowControl w:val="0"/>
        <w:kinsoku/>
        <w:wordWrap/>
        <w:overflowPunct/>
        <w:topLinePunct w:val="0"/>
        <w:autoSpaceDE/>
        <w:autoSpaceDN/>
        <w:bidi w:val="0"/>
        <w:adjustRightInd w:val="0"/>
        <w:snapToGrid w:val="0"/>
        <w:spacing w:line="240" w:lineRule="auto"/>
        <w:ind w:firstLine="0"/>
        <w:jc w:val="center"/>
        <w:textAlignment w:val="auto"/>
        <w:rPr>
          <w:rFonts w:hint="default" w:ascii="仿宋_GB2312" w:eastAsia="仿宋_GB2312"/>
          <w:sz w:val="36"/>
          <w:szCs w:val="36"/>
          <w:lang w:val="en-US" w:eastAsia="zh-CN"/>
        </w:rPr>
      </w:pPr>
    </w:p>
    <w:bookmarkEnd w:id="3"/>
    <w:p w14:paraId="76DEEE88">
      <w:pPr>
        <w:keepNext w:val="0"/>
        <w:keepLines w:val="0"/>
        <w:pageBreakBefore w:val="0"/>
        <w:widowControl w:val="0"/>
        <w:kinsoku/>
        <w:wordWrap/>
        <w:overflowPunct/>
        <w:topLinePunct w:val="0"/>
        <w:autoSpaceDE/>
        <w:autoSpaceDN/>
        <w:bidi w:val="0"/>
        <w:adjustRightInd/>
        <w:snapToGrid/>
        <w:spacing w:line="480" w:lineRule="auto"/>
        <w:ind w:firstLine="321" w:firstLineChars="100"/>
        <w:jc w:val="center"/>
        <w:textAlignment w:val="auto"/>
      </w:pPr>
      <w:r>
        <w:rPr>
          <w:rFonts w:hint="eastAsia" w:ascii="Times New Roman" w:hAnsi="Times New Roman" w:eastAsia="宋体" w:cs="Times New Roman"/>
          <w:b/>
          <w:sz w:val="32"/>
          <w:szCs w:val="32"/>
        </w:rPr>
        <w:t>中华人民共和国生态环境部制</w:t>
      </w:r>
    </w:p>
    <w:p w14:paraId="5697F7FD">
      <w:pPr>
        <w:rPr>
          <w:rFonts w:hint="default" w:ascii="Times New Roman" w:hAnsi="Times New Roman" w:eastAsia="宋体" w:cs="Times New Roman"/>
          <w:color w:val="auto"/>
          <w:sz w:val="36"/>
          <w:szCs w:val="36"/>
        </w:rPr>
      </w:pPr>
      <w:r>
        <w:rPr>
          <w:rFonts w:hint="default" w:ascii="Times New Roman" w:hAnsi="Times New Roman" w:eastAsia="宋体" w:cs="Times New Roman"/>
          <w:color w:val="auto"/>
          <w:sz w:val="36"/>
          <w:szCs w:val="36"/>
        </w:rPr>
        <w:br w:type="page"/>
      </w:r>
    </w:p>
    <w:p w14:paraId="2E8DAFBE">
      <w:pPr>
        <w:spacing w:line="360" w:lineRule="auto"/>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36"/>
          <w:szCs w:val="36"/>
        </w:rPr>
        <w:t>目  录</w:t>
      </w:r>
      <w:bookmarkEnd w:id="0"/>
      <w:bookmarkEnd w:id="1"/>
      <w:bookmarkEnd w:id="2"/>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TOC \o "1-3" \h \z \u </w:instrText>
      </w:r>
      <w:r>
        <w:rPr>
          <w:rFonts w:hint="default" w:ascii="Times New Roman" w:hAnsi="Times New Roman" w:eastAsia="宋体" w:cs="Times New Roman"/>
          <w:color w:val="auto"/>
          <w:sz w:val="24"/>
          <w:szCs w:val="24"/>
        </w:rPr>
        <w:fldChar w:fldCharType="separate"/>
      </w:r>
    </w:p>
    <w:p w14:paraId="2AFA60C1">
      <w:pPr>
        <w:pStyle w:val="28"/>
        <w:keepNext w:val="0"/>
        <w:keepLines w:val="0"/>
        <w:pageBreakBefore w:val="0"/>
        <w:widowControl w:val="0"/>
        <w:tabs>
          <w:tab w:val="right" w:leader="dot" w:pos="850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\l _Toc2202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bCs/>
          <w:color w:val="auto"/>
          <w:sz w:val="24"/>
          <w:szCs w:val="32"/>
        </w:rPr>
        <w:t>一、建设项目基本情况</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_Toc2202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rPr>
        <w:fldChar w:fldCharType="end"/>
      </w:r>
    </w:p>
    <w:p w14:paraId="2C324A0F">
      <w:pPr>
        <w:pStyle w:val="28"/>
        <w:keepNext w:val="0"/>
        <w:keepLines w:val="0"/>
        <w:pageBreakBefore w:val="0"/>
        <w:widowControl w:val="0"/>
        <w:tabs>
          <w:tab w:val="right" w:leader="dot" w:pos="850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\l _Toc9463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bCs/>
          <w:color w:val="auto"/>
          <w:sz w:val="24"/>
          <w:szCs w:val="32"/>
        </w:rPr>
        <w:t>二、建设项目工程分析</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_Toc9463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13</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rPr>
        <w:fldChar w:fldCharType="end"/>
      </w:r>
    </w:p>
    <w:p w14:paraId="0BAE3748">
      <w:pPr>
        <w:pStyle w:val="28"/>
        <w:keepNext w:val="0"/>
        <w:keepLines w:val="0"/>
        <w:pageBreakBefore w:val="0"/>
        <w:widowControl w:val="0"/>
        <w:tabs>
          <w:tab w:val="right" w:leader="dot" w:pos="850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\l _Toc26979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bCs/>
          <w:color w:val="auto"/>
          <w:sz w:val="24"/>
          <w:szCs w:val="32"/>
        </w:rPr>
        <w:t>三、区域环境质量现状、环境保护目标及评价标准</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_Toc26979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22</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rPr>
        <w:fldChar w:fldCharType="end"/>
      </w:r>
    </w:p>
    <w:p w14:paraId="55C062C4">
      <w:pPr>
        <w:pStyle w:val="28"/>
        <w:keepNext w:val="0"/>
        <w:keepLines w:val="0"/>
        <w:pageBreakBefore w:val="0"/>
        <w:widowControl w:val="0"/>
        <w:tabs>
          <w:tab w:val="right" w:leader="dot" w:pos="850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\l _Toc9093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bCs/>
          <w:color w:val="auto"/>
          <w:sz w:val="24"/>
          <w:szCs w:val="32"/>
        </w:rPr>
        <w:t>四、 主要环境影响和保护措施</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_Toc9093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30</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rPr>
        <w:fldChar w:fldCharType="end"/>
      </w:r>
    </w:p>
    <w:p w14:paraId="3215139C">
      <w:pPr>
        <w:pStyle w:val="28"/>
        <w:keepNext w:val="0"/>
        <w:keepLines w:val="0"/>
        <w:pageBreakBefore w:val="0"/>
        <w:widowControl w:val="0"/>
        <w:tabs>
          <w:tab w:val="right" w:leader="dot" w:pos="850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\l _Toc14614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bCs/>
          <w:color w:val="auto"/>
          <w:sz w:val="24"/>
          <w:szCs w:val="32"/>
        </w:rPr>
        <w:t>五、环境保护措施监督检查清单</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_Toc14614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55</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rPr>
        <w:fldChar w:fldCharType="end"/>
      </w:r>
    </w:p>
    <w:p w14:paraId="37A659CA">
      <w:pPr>
        <w:pStyle w:val="28"/>
        <w:keepNext w:val="0"/>
        <w:keepLines w:val="0"/>
        <w:pageBreakBefore w:val="0"/>
        <w:widowControl w:val="0"/>
        <w:tabs>
          <w:tab w:val="right" w:leader="dot" w:pos="850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\l _Toc29595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bCs/>
          <w:color w:val="auto"/>
          <w:sz w:val="24"/>
          <w:szCs w:val="32"/>
        </w:rPr>
        <w:t>六、结论</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_Toc29595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58</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rPr>
        <w:fldChar w:fldCharType="end"/>
      </w:r>
    </w:p>
    <w:p w14:paraId="6D80F69F">
      <w:pPr>
        <w:pStyle w:val="28"/>
        <w:keepNext w:val="0"/>
        <w:keepLines w:val="0"/>
        <w:pageBreakBefore w:val="0"/>
        <w:widowControl w:val="0"/>
        <w:tabs>
          <w:tab w:val="right" w:leader="dot" w:pos="850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color w:val="auto"/>
          <w:sz w:val="24"/>
          <w:szCs w:val="32"/>
        </w:rPr>
        <w:instrText xml:space="preserve"> HYPERLINK \l _Toc31040 </w:instrText>
      </w:r>
      <w:r>
        <w:rPr>
          <w:rFonts w:hint="default" w:ascii="Times New Roman" w:hAnsi="Times New Roman" w:eastAsia="宋体" w:cs="Times New Roman"/>
          <w:color w:val="auto"/>
          <w:sz w:val="24"/>
          <w:szCs w:val="32"/>
        </w:rPr>
        <w:fldChar w:fldCharType="separate"/>
      </w:r>
      <w:r>
        <w:rPr>
          <w:rFonts w:hint="default" w:ascii="Times New Roman" w:hAnsi="Times New Roman" w:eastAsia="宋体" w:cs="Times New Roman"/>
          <w:color w:val="auto"/>
          <w:sz w:val="24"/>
          <w:szCs w:val="40"/>
        </w:rPr>
        <w:t>附表</w:t>
      </w:r>
      <w:r>
        <w:rPr>
          <w:rFonts w:hint="default" w:ascii="Times New Roman" w:hAnsi="Times New Roman" w:eastAsia="宋体" w:cs="Times New Roman"/>
          <w:color w:val="auto"/>
          <w:sz w:val="24"/>
          <w:szCs w:val="22"/>
        </w:rPr>
        <w:tab/>
      </w:r>
      <w:r>
        <w:rPr>
          <w:rFonts w:hint="default" w:ascii="Times New Roman" w:hAnsi="Times New Roman" w:eastAsia="宋体" w:cs="Times New Roman"/>
          <w:color w:val="auto"/>
          <w:sz w:val="24"/>
          <w:szCs w:val="22"/>
        </w:rPr>
        <w:fldChar w:fldCharType="begin"/>
      </w:r>
      <w:r>
        <w:rPr>
          <w:rFonts w:hint="default" w:ascii="Times New Roman" w:hAnsi="Times New Roman" w:eastAsia="宋体" w:cs="Times New Roman"/>
          <w:color w:val="auto"/>
          <w:sz w:val="24"/>
          <w:szCs w:val="22"/>
        </w:rPr>
        <w:instrText xml:space="preserve"> PAGEREF _Toc31040 \h </w:instrText>
      </w:r>
      <w:r>
        <w:rPr>
          <w:rFonts w:hint="default" w:ascii="Times New Roman" w:hAnsi="Times New Roman" w:eastAsia="宋体" w:cs="Times New Roman"/>
          <w:color w:val="auto"/>
          <w:sz w:val="24"/>
          <w:szCs w:val="22"/>
        </w:rPr>
        <w:fldChar w:fldCharType="separate"/>
      </w:r>
      <w:r>
        <w:rPr>
          <w:rFonts w:hint="default" w:ascii="Times New Roman" w:hAnsi="Times New Roman" w:eastAsia="宋体" w:cs="Times New Roman"/>
          <w:color w:val="auto"/>
          <w:sz w:val="24"/>
          <w:szCs w:val="22"/>
        </w:rPr>
        <w:t>59</w:t>
      </w:r>
      <w:r>
        <w:rPr>
          <w:rFonts w:hint="default" w:ascii="Times New Roman" w:hAnsi="Times New Roman" w:eastAsia="宋体" w:cs="Times New Roman"/>
          <w:color w:val="auto"/>
          <w:sz w:val="24"/>
          <w:szCs w:val="22"/>
        </w:rPr>
        <w:fldChar w:fldCharType="end"/>
      </w:r>
      <w:r>
        <w:rPr>
          <w:rFonts w:hint="default" w:ascii="Times New Roman" w:hAnsi="Times New Roman" w:eastAsia="宋体" w:cs="Times New Roman"/>
          <w:color w:val="auto"/>
          <w:sz w:val="24"/>
          <w:szCs w:val="32"/>
        </w:rPr>
        <w:fldChar w:fldCharType="end"/>
      </w:r>
    </w:p>
    <w:p w14:paraId="213516E5">
      <w:pPr>
        <w:pStyle w:val="42"/>
        <w:spacing w:line="360" w:lineRule="auto"/>
        <w:jc w:val="both"/>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color w:val="auto"/>
          <w:sz w:val="24"/>
          <w:szCs w:val="24"/>
        </w:rPr>
        <w:fldChar w:fldCharType="end"/>
      </w:r>
      <w:bookmarkStart w:id="4" w:name="_Toc10392"/>
      <w:r>
        <w:rPr>
          <w:rFonts w:hint="eastAsia" w:ascii="Times New Roman" w:hAnsi="Times New Roman" w:eastAsia="宋体" w:cs="Times New Roman"/>
          <w:b w:val="0"/>
          <w:bCs w:val="0"/>
          <w:color w:val="auto"/>
          <w:kern w:val="2"/>
          <w:sz w:val="21"/>
          <w:szCs w:val="21"/>
          <w:lang w:val="en-US" w:eastAsia="zh-CN" w:bidi="ar-SA"/>
        </w:rPr>
        <w:t>附件及附图：</w:t>
      </w:r>
      <w:bookmarkEnd w:id="4"/>
    </w:p>
    <w:p w14:paraId="2CC20CCF">
      <w:pPr>
        <w:spacing w:line="360" w:lineRule="auto"/>
        <w:jc w:val="left"/>
        <w:rPr>
          <w:color w:val="auto"/>
          <w:szCs w:val="21"/>
        </w:rPr>
      </w:pPr>
      <w:r>
        <w:rPr>
          <w:color w:val="auto"/>
          <w:szCs w:val="21"/>
        </w:rPr>
        <w:t>附件1  环评委托书</w:t>
      </w:r>
    </w:p>
    <w:p w14:paraId="01F711E6">
      <w:pPr>
        <w:spacing w:line="360" w:lineRule="auto"/>
        <w:jc w:val="left"/>
        <w:rPr>
          <w:color w:val="auto"/>
          <w:szCs w:val="21"/>
        </w:rPr>
      </w:pPr>
      <w:r>
        <w:rPr>
          <w:color w:val="auto"/>
          <w:szCs w:val="21"/>
        </w:rPr>
        <w:t>附件2  项目备案文件</w:t>
      </w:r>
    </w:p>
    <w:p w14:paraId="106F45D0">
      <w:pPr>
        <w:spacing w:line="360" w:lineRule="auto"/>
        <w:jc w:val="left"/>
        <w:rPr>
          <w:rFonts w:hint="eastAsia" w:eastAsia="宋体"/>
          <w:color w:val="auto"/>
          <w:szCs w:val="21"/>
          <w:lang w:eastAsia="zh-CN"/>
        </w:rPr>
      </w:pPr>
      <w:r>
        <w:rPr>
          <w:rFonts w:hint="eastAsia"/>
          <w:color w:val="auto"/>
          <w:szCs w:val="21"/>
        </w:rPr>
        <w:t xml:space="preserve">附件3  </w:t>
      </w:r>
      <w:r>
        <w:rPr>
          <w:rFonts w:hint="eastAsia"/>
          <w:color w:val="auto"/>
          <w:szCs w:val="21"/>
          <w:lang w:eastAsia="zh-CN"/>
        </w:rPr>
        <w:t>建设</w:t>
      </w:r>
      <w:r>
        <w:rPr>
          <w:rFonts w:hint="eastAsia"/>
          <w:color w:val="auto"/>
          <w:szCs w:val="21"/>
        </w:rPr>
        <w:t>项目土地</w:t>
      </w:r>
      <w:r>
        <w:rPr>
          <w:rFonts w:hint="eastAsia"/>
          <w:color w:val="auto"/>
          <w:szCs w:val="21"/>
          <w:lang w:eastAsia="zh-CN"/>
        </w:rPr>
        <w:t>文件</w:t>
      </w:r>
    </w:p>
    <w:p w14:paraId="375AACEF">
      <w:pPr>
        <w:spacing w:line="360" w:lineRule="auto"/>
        <w:jc w:val="left"/>
        <w:rPr>
          <w:rFonts w:hint="eastAsia"/>
          <w:color w:val="auto"/>
          <w:szCs w:val="21"/>
          <w:lang w:eastAsia="zh-CN"/>
        </w:rPr>
      </w:pPr>
      <w:r>
        <w:rPr>
          <w:rFonts w:hint="eastAsia"/>
          <w:color w:val="auto"/>
          <w:szCs w:val="21"/>
        </w:rPr>
        <w:t>附件4  项目环境现状监测</w:t>
      </w:r>
      <w:r>
        <w:rPr>
          <w:rFonts w:hint="eastAsia"/>
          <w:color w:val="auto"/>
          <w:szCs w:val="21"/>
          <w:lang w:eastAsia="zh-CN"/>
        </w:rPr>
        <w:t>报告</w:t>
      </w:r>
    </w:p>
    <w:p w14:paraId="38BF36F8">
      <w:pPr>
        <w:spacing w:line="360" w:lineRule="auto"/>
        <w:jc w:val="left"/>
        <w:rPr>
          <w:rFonts w:hint="eastAsia"/>
          <w:color w:val="auto"/>
          <w:szCs w:val="21"/>
          <w:lang w:val="en-US" w:eastAsia="zh-CN"/>
        </w:rPr>
      </w:pPr>
      <w:r>
        <w:rPr>
          <w:rFonts w:hint="eastAsia"/>
          <w:color w:val="auto"/>
          <w:szCs w:val="21"/>
          <w:lang w:eastAsia="zh-CN"/>
        </w:rPr>
        <w:t>附件</w:t>
      </w:r>
      <w:r>
        <w:rPr>
          <w:rFonts w:hint="eastAsia"/>
          <w:color w:val="auto"/>
          <w:szCs w:val="21"/>
          <w:lang w:val="en-US" w:eastAsia="zh-CN"/>
        </w:rPr>
        <w:t>5  建设单位营业执照</w:t>
      </w:r>
    </w:p>
    <w:p w14:paraId="69F2B2BA">
      <w:pPr>
        <w:spacing w:line="360" w:lineRule="auto"/>
        <w:jc w:val="left"/>
        <w:rPr>
          <w:rFonts w:hint="eastAsia"/>
          <w:color w:val="auto"/>
          <w:szCs w:val="21"/>
          <w:lang w:val="en-US" w:eastAsia="zh-CN"/>
        </w:rPr>
      </w:pPr>
      <w:r>
        <w:rPr>
          <w:rFonts w:hint="eastAsia"/>
          <w:color w:val="auto"/>
          <w:szCs w:val="21"/>
          <w:lang w:val="en-US" w:eastAsia="zh-CN"/>
        </w:rPr>
        <w:t>附件6  关于环评报告真实性承诺</w:t>
      </w:r>
    </w:p>
    <w:p w14:paraId="3A51857A">
      <w:pPr>
        <w:spacing w:line="360" w:lineRule="auto"/>
        <w:jc w:val="left"/>
        <w:rPr>
          <w:rFonts w:hint="default"/>
          <w:color w:val="auto"/>
          <w:szCs w:val="21"/>
          <w:lang w:val="en-US" w:eastAsia="zh-CN"/>
        </w:rPr>
      </w:pPr>
      <w:r>
        <w:rPr>
          <w:rFonts w:hint="eastAsia"/>
          <w:color w:val="auto"/>
          <w:szCs w:val="21"/>
          <w:lang w:val="en-US" w:eastAsia="zh-CN"/>
        </w:rPr>
        <w:t>附件7  房屋租赁协议</w:t>
      </w:r>
    </w:p>
    <w:p w14:paraId="5FEC8B36">
      <w:pPr>
        <w:spacing w:line="360" w:lineRule="auto"/>
        <w:jc w:val="left"/>
        <w:rPr>
          <w:color w:val="auto"/>
          <w:szCs w:val="21"/>
        </w:rPr>
      </w:pPr>
      <w:r>
        <w:rPr>
          <w:color w:val="auto"/>
          <w:szCs w:val="21"/>
        </w:rPr>
        <w:t>附图1  建设项目地理位置图</w:t>
      </w:r>
    </w:p>
    <w:p w14:paraId="02F61BA7">
      <w:pPr>
        <w:spacing w:line="360" w:lineRule="auto"/>
        <w:jc w:val="left"/>
        <w:rPr>
          <w:color w:val="auto"/>
          <w:szCs w:val="21"/>
        </w:rPr>
      </w:pPr>
      <w:r>
        <w:rPr>
          <w:rFonts w:hint="eastAsia"/>
          <w:color w:val="auto"/>
          <w:szCs w:val="21"/>
        </w:rPr>
        <w:t xml:space="preserve">附图2  </w:t>
      </w:r>
      <w:r>
        <w:rPr>
          <w:rFonts w:hint="eastAsia"/>
          <w:color w:val="auto"/>
          <w:szCs w:val="21"/>
          <w:lang w:eastAsia="zh-CN"/>
        </w:rPr>
        <w:t>平圩镇国土空间现状图</w:t>
      </w:r>
    </w:p>
    <w:p w14:paraId="2E17BBDD">
      <w:pPr>
        <w:spacing w:line="360" w:lineRule="auto"/>
        <w:jc w:val="left"/>
        <w:rPr>
          <w:color w:val="auto"/>
          <w:szCs w:val="21"/>
        </w:rPr>
      </w:pPr>
      <w:r>
        <w:rPr>
          <w:color w:val="auto"/>
          <w:szCs w:val="21"/>
        </w:rPr>
        <w:t>附图</w:t>
      </w:r>
      <w:r>
        <w:rPr>
          <w:rFonts w:hint="eastAsia"/>
          <w:color w:val="auto"/>
          <w:szCs w:val="21"/>
        </w:rPr>
        <w:t>3</w:t>
      </w:r>
      <w:r>
        <w:rPr>
          <w:color w:val="auto"/>
          <w:szCs w:val="21"/>
        </w:rPr>
        <w:t xml:space="preserve">  </w:t>
      </w:r>
      <w:r>
        <w:rPr>
          <w:rFonts w:hint="eastAsia"/>
          <w:color w:val="auto"/>
          <w:szCs w:val="21"/>
          <w:lang w:eastAsia="zh-CN"/>
        </w:rPr>
        <w:t>建设</w:t>
      </w:r>
      <w:r>
        <w:rPr>
          <w:color w:val="auto"/>
          <w:szCs w:val="21"/>
        </w:rPr>
        <w:t>项目平面布置</w:t>
      </w:r>
      <w:r>
        <w:rPr>
          <w:rFonts w:hint="eastAsia"/>
          <w:color w:val="auto"/>
          <w:szCs w:val="21"/>
        </w:rPr>
        <w:t>图</w:t>
      </w:r>
    </w:p>
    <w:p w14:paraId="2FC6A3BD">
      <w:pPr>
        <w:spacing w:line="360" w:lineRule="auto"/>
        <w:jc w:val="left"/>
        <w:rPr>
          <w:rFonts w:hint="eastAsia" w:eastAsia="宋体"/>
          <w:color w:val="auto"/>
          <w:szCs w:val="21"/>
          <w:lang w:eastAsia="zh-CN"/>
        </w:rPr>
      </w:pPr>
      <w:r>
        <w:rPr>
          <w:rFonts w:hint="eastAsia"/>
          <w:color w:val="auto"/>
          <w:szCs w:val="21"/>
        </w:rPr>
        <w:t>附图</w:t>
      </w:r>
      <w:r>
        <w:rPr>
          <w:rFonts w:hint="eastAsia"/>
          <w:color w:val="auto"/>
          <w:szCs w:val="21"/>
          <w:lang w:val="en-US" w:eastAsia="zh-CN"/>
        </w:rPr>
        <w:t>4</w:t>
      </w:r>
      <w:r>
        <w:rPr>
          <w:rFonts w:hint="eastAsia"/>
          <w:color w:val="auto"/>
          <w:szCs w:val="21"/>
        </w:rPr>
        <w:t xml:space="preserve">  </w:t>
      </w:r>
      <w:r>
        <w:rPr>
          <w:rFonts w:hint="eastAsia"/>
          <w:color w:val="auto"/>
          <w:szCs w:val="21"/>
          <w:lang w:eastAsia="zh-CN"/>
        </w:rPr>
        <w:t>淮南市生态保护红线区域分布图</w:t>
      </w:r>
    </w:p>
    <w:p w14:paraId="312D9CA1">
      <w:pPr>
        <w:spacing w:line="360" w:lineRule="auto"/>
        <w:jc w:val="left"/>
        <w:rPr>
          <w:rFonts w:hint="eastAsia"/>
          <w:color w:val="auto"/>
          <w:szCs w:val="21"/>
          <w:lang w:eastAsia="zh-CN"/>
        </w:rPr>
      </w:pPr>
      <w:r>
        <w:rPr>
          <w:rFonts w:hint="eastAsia"/>
          <w:color w:val="auto"/>
          <w:szCs w:val="21"/>
        </w:rPr>
        <w:t>附图</w:t>
      </w:r>
      <w:r>
        <w:rPr>
          <w:rFonts w:hint="eastAsia"/>
          <w:color w:val="auto"/>
          <w:szCs w:val="21"/>
          <w:lang w:val="en-US" w:eastAsia="zh-CN"/>
        </w:rPr>
        <w:t>5</w:t>
      </w:r>
      <w:r>
        <w:rPr>
          <w:rFonts w:hint="eastAsia"/>
          <w:color w:val="auto"/>
          <w:szCs w:val="21"/>
        </w:rPr>
        <w:t xml:space="preserve">  </w:t>
      </w:r>
      <w:r>
        <w:rPr>
          <w:rFonts w:hint="eastAsia"/>
          <w:color w:val="auto"/>
          <w:szCs w:val="21"/>
          <w:lang w:eastAsia="zh-CN"/>
        </w:rPr>
        <w:t>项目与大气环境分区管控位置关系图</w:t>
      </w:r>
    </w:p>
    <w:p w14:paraId="7659BE8D">
      <w:pPr>
        <w:spacing w:line="360" w:lineRule="auto"/>
        <w:jc w:val="left"/>
        <w:rPr>
          <w:rFonts w:hint="eastAsia"/>
          <w:color w:val="auto"/>
          <w:szCs w:val="21"/>
          <w:lang w:eastAsia="zh-CN"/>
        </w:rPr>
      </w:pPr>
      <w:r>
        <w:rPr>
          <w:rFonts w:hint="eastAsia"/>
          <w:color w:val="auto"/>
          <w:szCs w:val="21"/>
        </w:rPr>
        <w:t>附图</w:t>
      </w:r>
      <w:r>
        <w:rPr>
          <w:rFonts w:hint="eastAsia"/>
          <w:color w:val="auto"/>
          <w:szCs w:val="21"/>
          <w:lang w:val="en-US" w:eastAsia="zh-CN"/>
        </w:rPr>
        <w:t>6</w:t>
      </w:r>
      <w:r>
        <w:rPr>
          <w:rFonts w:hint="eastAsia"/>
          <w:color w:val="auto"/>
          <w:szCs w:val="21"/>
        </w:rPr>
        <w:t xml:space="preserve">  </w:t>
      </w:r>
      <w:r>
        <w:rPr>
          <w:rFonts w:hint="eastAsia"/>
          <w:color w:val="auto"/>
          <w:szCs w:val="21"/>
          <w:lang w:eastAsia="zh-CN"/>
        </w:rPr>
        <w:t>项目与水环境分区管控位置关系图</w:t>
      </w:r>
    </w:p>
    <w:p w14:paraId="46EBE52B">
      <w:pPr>
        <w:spacing w:line="360" w:lineRule="auto"/>
        <w:jc w:val="left"/>
        <w:rPr>
          <w:rFonts w:hint="eastAsia"/>
          <w:color w:val="auto"/>
          <w:szCs w:val="21"/>
          <w:lang w:eastAsia="zh-CN"/>
        </w:rPr>
      </w:pPr>
      <w:r>
        <w:rPr>
          <w:rFonts w:hint="eastAsia"/>
          <w:color w:val="auto"/>
          <w:szCs w:val="21"/>
        </w:rPr>
        <w:t>附图</w:t>
      </w:r>
      <w:r>
        <w:rPr>
          <w:rFonts w:hint="eastAsia"/>
          <w:color w:val="auto"/>
          <w:szCs w:val="21"/>
          <w:lang w:val="en-US" w:eastAsia="zh-CN"/>
        </w:rPr>
        <w:t>7</w:t>
      </w:r>
      <w:r>
        <w:rPr>
          <w:rFonts w:hint="eastAsia"/>
          <w:color w:val="auto"/>
          <w:szCs w:val="21"/>
        </w:rPr>
        <w:t xml:space="preserve">  </w:t>
      </w:r>
      <w:r>
        <w:rPr>
          <w:rFonts w:hint="eastAsia"/>
          <w:color w:val="auto"/>
          <w:szCs w:val="21"/>
          <w:lang w:eastAsia="zh-CN"/>
        </w:rPr>
        <w:t>项目与土壤环境分区管控位置关系图</w:t>
      </w:r>
    </w:p>
    <w:p w14:paraId="34E38394">
      <w:pPr>
        <w:spacing w:line="360" w:lineRule="auto"/>
        <w:jc w:val="left"/>
        <w:rPr>
          <w:rFonts w:hint="eastAsia" w:eastAsia="宋体"/>
          <w:color w:val="auto"/>
          <w:szCs w:val="21"/>
          <w:lang w:eastAsia="zh-CN"/>
        </w:rPr>
      </w:pPr>
      <w:r>
        <w:rPr>
          <w:rFonts w:hint="eastAsia"/>
          <w:color w:val="auto"/>
          <w:szCs w:val="21"/>
        </w:rPr>
        <w:t>附图</w:t>
      </w:r>
      <w:r>
        <w:rPr>
          <w:rFonts w:hint="eastAsia"/>
          <w:color w:val="auto"/>
          <w:szCs w:val="21"/>
          <w:lang w:val="en-US" w:eastAsia="zh-CN"/>
        </w:rPr>
        <w:t>8</w:t>
      </w:r>
      <w:r>
        <w:rPr>
          <w:rFonts w:hint="eastAsia"/>
          <w:color w:val="auto"/>
          <w:szCs w:val="21"/>
        </w:rPr>
        <w:t xml:space="preserve">  </w:t>
      </w:r>
      <w:r>
        <w:rPr>
          <w:rFonts w:hint="eastAsia"/>
          <w:color w:val="auto"/>
          <w:szCs w:val="21"/>
          <w:lang w:eastAsia="zh-CN"/>
        </w:rPr>
        <w:t>项目四至关系图</w:t>
      </w:r>
    </w:p>
    <w:p w14:paraId="6961DFE8">
      <w:pPr>
        <w:tabs>
          <w:tab w:val="left" w:pos="5103"/>
        </w:tabs>
        <w:spacing w:line="360" w:lineRule="auto"/>
        <w:jc w:val="left"/>
        <w:rPr>
          <w:rFonts w:hint="eastAsia" w:eastAsia="宋体"/>
          <w:color w:val="auto"/>
          <w:szCs w:val="21"/>
          <w:lang w:eastAsia="zh-CN"/>
        </w:rPr>
      </w:pPr>
      <w:r>
        <w:rPr>
          <w:rFonts w:hint="eastAsia"/>
          <w:color w:val="auto"/>
          <w:szCs w:val="21"/>
        </w:rPr>
        <w:t>附图</w:t>
      </w:r>
      <w:r>
        <w:rPr>
          <w:rFonts w:hint="eastAsia"/>
          <w:color w:val="auto"/>
          <w:szCs w:val="21"/>
          <w:lang w:val="en-US" w:eastAsia="zh-CN"/>
        </w:rPr>
        <w:t>9</w:t>
      </w:r>
      <w:r>
        <w:rPr>
          <w:rFonts w:hint="eastAsia"/>
          <w:color w:val="auto"/>
          <w:szCs w:val="21"/>
        </w:rPr>
        <w:t xml:space="preserve">  </w:t>
      </w:r>
      <w:r>
        <w:rPr>
          <w:rFonts w:hint="eastAsia"/>
          <w:color w:val="auto"/>
          <w:szCs w:val="21"/>
          <w:lang w:eastAsia="zh-CN"/>
        </w:rPr>
        <w:t>项目</w:t>
      </w:r>
      <w:r>
        <w:rPr>
          <w:rFonts w:hint="eastAsia"/>
          <w:color w:val="auto"/>
          <w:szCs w:val="21"/>
          <w:lang w:val="en-US" w:eastAsia="zh-CN"/>
        </w:rPr>
        <w:t>周边环境敏感点位图</w:t>
      </w:r>
    </w:p>
    <w:p w14:paraId="35E15514">
      <w:pPr>
        <w:spacing w:line="360" w:lineRule="auto"/>
        <w:jc w:val="left"/>
        <w:rPr>
          <w:rFonts w:hint="eastAsia"/>
          <w:color w:val="auto"/>
          <w:szCs w:val="21"/>
        </w:rPr>
      </w:pPr>
      <w:r>
        <w:rPr>
          <w:rFonts w:hint="eastAsia"/>
          <w:color w:val="auto"/>
          <w:szCs w:val="21"/>
        </w:rPr>
        <w:t>建设项目污染物排放量汇总表</w:t>
      </w:r>
    </w:p>
    <w:p w14:paraId="2ECB458F">
      <w:pPr>
        <w:spacing w:line="360" w:lineRule="auto"/>
        <w:rPr>
          <w:color w:val="auto"/>
          <w:sz w:val="24"/>
          <w:szCs w:val="24"/>
        </w:rPr>
      </w:pPr>
    </w:p>
    <w:p w14:paraId="72167E54">
      <w:pPr>
        <w:rPr>
          <w:rFonts w:hint="eastAsia"/>
          <w:color w:val="auto"/>
          <w:szCs w:val="21"/>
        </w:rPr>
      </w:pPr>
      <w:r>
        <w:rPr>
          <w:rFonts w:hint="eastAsia"/>
          <w:color w:val="auto"/>
          <w:szCs w:val="21"/>
        </w:rPr>
        <w:br w:type="page"/>
      </w:r>
    </w:p>
    <w:p w14:paraId="52B72CAB">
      <w:pPr>
        <w:spacing w:line="360" w:lineRule="auto"/>
        <w:jc w:val="left"/>
        <w:rPr>
          <w:rFonts w:hint="eastAsia"/>
          <w:color w:val="auto"/>
          <w:szCs w:val="21"/>
        </w:rPr>
      </w:pPr>
    </w:p>
    <w:p w14:paraId="2FB43BBD">
      <w:pPr>
        <w:rPr>
          <w:color w:val="auto"/>
          <w:sz w:val="24"/>
          <w:szCs w:val="24"/>
        </w:rPr>
      </w:pPr>
      <w:r>
        <w:rPr>
          <w:color w:val="auto"/>
          <w:sz w:val="24"/>
          <w:szCs w:val="24"/>
        </w:rPr>
        <w:br w:type="page"/>
      </w:r>
    </w:p>
    <w:p w14:paraId="6DF67EC0">
      <w:pPr>
        <w:spacing w:line="360" w:lineRule="auto"/>
        <w:jc w:val="left"/>
        <w:rPr>
          <w:color w:val="auto"/>
          <w:sz w:val="24"/>
          <w:szCs w:val="24"/>
        </w:rPr>
        <w:sectPr>
          <w:headerReference r:id="rId3" w:type="default"/>
          <w:pgSz w:w="11906" w:h="16838"/>
          <w:pgMar w:top="1418" w:right="1701" w:bottom="1418" w:left="1701" w:header="851" w:footer="992" w:gutter="0"/>
          <w:pgBorders>
            <w:top w:val="none" w:sz="0" w:space="0"/>
            <w:left w:val="none" w:sz="0" w:space="0"/>
            <w:bottom w:val="none" w:sz="0" w:space="0"/>
            <w:right w:val="none" w:sz="0" w:space="0"/>
          </w:pgBorders>
          <w:pgNumType w:fmt="decimal" w:start="1"/>
          <w:cols w:space="720" w:num="1"/>
          <w:docGrid w:linePitch="312" w:charSpace="0"/>
        </w:sectPr>
      </w:pPr>
    </w:p>
    <w:p w14:paraId="13CE917F">
      <w:pPr>
        <w:spacing w:line="360" w:lineRule="auto"/>
        <w:jc w:val="center"/>
        <w:outlineLvl w:val="0"/>
        <w:rPr>
          <w:rFonts w:eastAsia="黑体"/>
          <w:b/>
          <w:bCs/>
          <w:color w:val="auto"/>
          <w:sz w:val="30"/>
          <w:szCs w:val="24"/>
        </w:rPr>
      </w:pPr>
      <w:bookmarkStart w:id="5" w:name="_Toc2202"/>
      <w:r>
        <w:rPr>
          <w:rFonts w:hint="eastAsia" w:eastAsia="黑体"/>
          <w:b/>
          <w:bCs/>
          <w:color w:val="auto"/>
          <w:sz w:val="30"/>
          <w:szCs w:val="24"/>
        </w:rPr>
        <w:t>一、</w:t>
      </w:r>
      <w:r>
        <w:rPr>
          <w:rFonts w:eastAsia="黑体"/>
          <w:b/>
          <w:bCs/>
          <w:color w:val="auto"/>
          <w:sz w:val="30"/>
          <w:szCs w:val="24"/>
        </w:rPr>
        <w:t>建设项目基本情况</w:t>
      </w:r>
      <w:bookmarkEnd w:id="5"/>
    </w:p>
    <w:tbl>
      <w:tblPr>
        <w:tblStyle w:val="45"/>
        <w:tblW w:w="993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4"/>
        <w:gridCol w:w="1633"/>
        <w:gridCol w:w="2196"/>
        <w:gridCol w:w="3989"/>
      </w:tblGrid>
      <w:tr w14:paraId="16840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36E9791C">
            <w:pPr>
              <w:spacing w:line="276" w:lineRule="auto"/>
              <w:jc w:val="center"/>
              <w:rPr>
                <w:color w:val="auto"/>
                <w:sz w:val="24"/>
                <w:szCs w:val="24"/>
              </w:rPr>
            </w:pPr>
            <w:r>
              <w:rPr>
                <w:rFonts w:hint="eastAsia"/>
                <w:color w:val="auto"/>
                <w:sz w:val="24"/>
                <w:szCs w:val="24"/>
              </w:rPr>
              <w:t>建设</w:t>
            </w:r>
            <w:r>
              <w:rPr>
                <w:color w:val="auto"/>
                <w:sz w:val="24"/>
                <w:szCs w:val="24"/>
              </w:rPr>
              <w:t>项目名称</w:t>
            </w:r>
          </w:p>
        </w:tc>
        <w:tc>
          <w:tcPr>
            <w:tcW w:w="7818" w:type="dxa"/>
            <w:gridSpan w:val="3"/>
            <w:vAlign w:val="center"/>
          </w:tcPr>
          <w:p w14:paraId="1C306C31">
            <w:pPr>
              <w:spacing w:line="276" w:lineRule="auto"/>
              <w:jc w:val="center"/>
              <w:rPr>
                <w:rFonts w:hint="default" w:eastAsia="宋体"/>
                <w:bCs/>
                <w:color w:val="auto"/>
                <w:sz w:val="24"/>
                <w:szCs w:val="24"/>
                <w:lang w:val="en-US" w:eastAsia="zh-CN"/>
              </w:rPr>
            </w:pPr>
            <w:r>
              <w:rPr>
                <w:rFonts w:hint="eastAsia"/>
                <w:color w:val="auto"/>
                <w:sz w:val="24"/>
                <w:szCs w:val="24"/>
                <w:lang w:eastAsia="zh-CN"/>
              </w:rPr>
              <w:t>年产</w:t>
            </w:r>
            <w:r>
              <w:rPr>
                <w:rFonts w:hint="eastAsia"/>
                <w:color w:val="auto"/>
                <w:sz w:val="24"/>
                <w:szCs w:val="24"/>
                <w:lang w:val="en-US" w:eastAsia="zh-CN"/>
              </w:rPr>
              <w:t>6万吨优质大米项目</w:t>
            </w:r>
          </w:p>
        </w:tc>
      </w:tr>
      <w:tr w14:paraId="0585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0DE032A1">
            <w:pPr>
              <w:spacing w:line="276" w:lineRule="auto"/>
              <w:jc w:val="center"/>
              <w:rPr>
                <w:color w:val="auto"/>
                <w:sz w:val="24"/>
                <w:szCs w:val="24"/>
              </w:rPr>
            </w:pPr>
            <w:r>
              <w:rPr>
                <w:rFonts w:hint="eastAsia"/>
                <w:color w:val="auto"/>
                <w:sz w:val="24"/>
                <w:szCs w:val="24"/>
              </w:rPr>
              <w:t>项目代码</w:t>
            </w:r>
          </w:p>
        </w:tc>
        <w:tc>
          <w:tcPr>
            <w:tcW w:w="7818" w:type="dxa"/>
            <w:gridSpan w:val="3"/>
            <w:vAlign w:val="center"/>
          </w:tcPr>
          <w:p w14:paraId="018BE24F">
            <w:pPr>
              <w:spacing w:line="276" w:lineRule="auto"/>
              <w:jc w:val="center"/>
              <w:rPr>
                <w:rFonts w:hint="default" w:eastAsia="宋体"/>
                <w:color w:val="auto"/>
                <w:sz w:val="24"/>
                <w:szCs w:val="24"/>
                <w:lang w:val="en-US" w:eastAsia="zh-CN"/>
              </w:rPr>
            </w:pPr>
            <w:r>
              <w:rPr>
                <w:rFonts w:hint="eastAsia"/>
                <w:color w:val="auto"/>
                <w:sz w:val="24"/>
                <w:szCs w:val="24"/>
                <w:lang w:val="en-US" w:eastAsia="zh-CN"/>
              </w:rPr>
              <w:t>2104-340406-04-01-778237</w:t>
            </w:r>
          </w:p>
        </w:tc>
      </w:tr>
      <w:tr w14:paraId="74D8B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2A702D60">
            <w:pPr>
              <w:spacing w:line="276" w:lineRule="auto"/>
              <w:jc w:val="center"/>
              <w:rPr>
                <w:color w:val="auto"/>
                <w:sz w:val="24"/>
                <w:szCs w:val="24"/>
              </w:rPr>
            </w:pPr>
            <w:r>
              <w:rPr>
                <w:rFonts w:hint="eastAsia"/>
                <w:color w:val="auto"/>
                <w:sz w:val="24"/>
                <w:szCs w:val="24"/>
              </w:rPr>
              <w:t>建设单位联系人</w:t>
            </w:r>
          </w:p>
        </w:tc>
        <w:tc>
          <w:tcPr>
            <w:tcW w:w="1633" w:type="dxa"/>
            <w:vAlign w:val="center"/>
          </w:tcPr>
          <w:p w14:paraId="1C262AF3">
            <w:pPr>
              <w:spacing w:line="276" w:lineRule="auto"/>
              <w:jc w:val="center"/>
              <w:rPr>
                <w:rFonts w:hint="eastAsia" w:eastAsia="宋体"/>
                <w:color w:val="auto"/>
                <w:sz w:val="24"/>
                <w:szCs w:val="24"/>
                <w:lang w:eastAsia="zh-CN"/>
              </w:rPr>
            </w:pPr>
            <w:r>
              <w:rPr>
                <w:rFonts w:hint="eastAsia"/>
                <w:color w:val="auto"/>
                <w:sz w:val="24"/>
                <w:szCs w:val="24"/>
                <w:lang w:eastAsia="zh-CN"/>
              </w:rPr>
              <w:t>陈建对</w:t>
            </w:r>
          </w:p>
        </w:tc>
        <w:tc>
          <w:tcPr>
            <w:tcW w:w="2196" w:type="dxa"/>
            <w:vAlign w:val="center"/>
          </w:tcPr>
          <w:p w14:paraId="5A509219">
            <w:pPr>
              <w:spacing w:line="276" w:lineRule="auto"/>
              <w:jc w:val="center"/>
              <w:rPr>
                <w:color w:val="auto"/>
                <w:sz w:val="24"/>
                <w:szCs w:val="24"/>
              </w:rPr>
            </w:pPr>
            <w:r>
              <w:rPr>
                <w:rFonts w:hint="eastAsia"/>
                <w:color w:val="auto"/>
                <w:sz w:val="24"/>
                <w:szCs w:val="24"/>
              </w:rPr>
              <w:t>联系方式</w:t>
            </w:r>
          </w:p>
        </w:tc>
        <w:tc>
          <w:tcPr>
            <w:tcW w:w="3989" w:type="dxa"/>
            <w:vAlign w:val="center"/>
          </w:tcPr>
          <w:p w14:paraId="60CDED12">
            <w:pPr>
              <w:spacing w:line="276" w:lineRule="auto"/>
              <w:jc w:val="center"/>
              <w:rPr>
                <w:rFonts w:hint="default" w:eastAsia="宋体"/>
                <w:color w:val="auto"/>
                <w:sz w:val="24"/>
                <w:szCs w:val="24"/>
                <w:lang w:val="en-US" w:eastAsia="zh-CN"/>
              </w:rPr>
            </w:pPr>
            <w:r>
              <w:rPr>
                <w:rFonts w:hint="default" w:eastAsia="宋体"/>
                <w:color w:val="auto"/>
                <w:sz w:val="24"/>
                <w:szCs w:val="24"/>
                <w:lang w:val="en-US" w:eastAsia="zh-CN"/>
              </w:rPr>
              <w:t>13956419862</w:t>
            </w:r>
          </w:p>
        </w:tc>
      </w:tr>
      <w:tr w14:paraId="343D3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3E9BE0A3">
            <w:pPr>
              <w:spacing w:line="276" w:lineRule="auto"/>
              <w:jc w:val="center"/>
              <w:rPr>
                <w:color w:val="auto"/>
                <w:sz w:val="24"/>
                <w:szCs w:val="24"/>
              </w:rPr>
            </w:pPr>
            <w:r>
              <w:rPr>
                <w:rFonts w:hint="eastAsia"/>
                <w:color w:val="auto"/>
                <w:sz w:val="24"/>
                <w:szCs w:val="24"/>
              </w:rPr>
              <w:t>建设地点</w:t>
            </w:r>
          </w:p>
        </w:tc>
        <w:tc>
          <w:tcPr>
            <w:tcW w:w="7818" w:type="dxa"/>
            <w:gridSpan w:val="3"/>
            <w:vAlign w:val="center"/>
          </w:tcPr>
          <w:p w14:paraId="1C36331E">
            <w:pPr>
              <w:spacing w:line="276" w:lineRule="auto"/>
              <w:jc w:val="center"/>
              <w:rPr>
                <w:color w:val="auto"/>
                <w:sz w:val="24"/>
                <w:szCs w:val="24"/>
              </w:rPr>
            </w:pPr>
            <w:r>
              <w:rPr>
                <w:color w:val="auto"/>
                <w:sz w:val="24"/>
                <w:szCs w:val="24"/>
                <w:u w:val="single"/>
              </w:rPr>
              <w:t xml:space="preserve"> 安徽 </w:t>
            </w:r>
            <w:r>
              <w:rPr>
                <w:color w:val="auto"/>
                <w:sz w:val="24"/>
                <w:szCs w:val="24"/>
              </w:rPr>
              <w:t>省</w:t>
            </w:r>
            <w:r>
              <w:rPr>
                <w:color w:val="auto"/>
                <w:sz w:val="24"/>
                <w:szCs w:val="24"/>
                <w:u w:val="single"/>
              </w:rPr>
              <w:t xml:space="preserve"> </w:t>
            </w:r>
            <w:r>
              <w:rPr>
                <w:rFonts w:hint="eastAsia"/>
                <w:color w:val="auto"/>
                <w:sz w:val="24"/>
                <w:szCs w:val="24"/>
                <w:u w:val="single"/>
                <w:lang w:eastAsia="zh-CN"/>
              </w:rPr>
              <w:t>淮南</w:t>
            </w:r>
            <w:r>
              <w:rPr>
                <w:color w:val="auto"/>
                <w:sz w:val="24"/>
                <w:szCs w:val="24"/>
                <w:u w:val="single"/>
              </w:rPr>
              <w:t xml:space="preserve"> </w:t>
            </w:r>
            <w:r>
              <w:rPr>
                <w:color w:val="auto"/>
                <w:sz w:val="24"/>
                <w:szCs w:val="24"/>
              </w:rPr>
              <w:t>市</w:t>
            </w:r>
            <w:r>
              <w:rPr>
                <w:color w:val="auto"/>
                <w:sz w:val="24"/>
                <w:szCs w:val="24"/>
                <w:u w:val="single"/>
              </w:rPr>
              <w:t xml:space="preserve"> </w:t>
            </w:r>
            <w:r>
              <w:rPr>
                <w:rFonts w:hint="eastAsia"/>
                <w:color w:val="auto"/>
                <w:sz w:val="24"/>
                <w:szCs w:val="24"/>
                <w:u w:val="single"/>
                <w:lang w:eastAsia="zh-CN"/>
              </w:rPr>
              <w:t>潘集区平圩镇邵圩村</w:t>
            </w:r>
            <w:r>
              <w:rPr>
                <w:color w:val="auto"/>
                <w:sz w:val="24"/>
                <w:szCs w:val="24"/>
                <w:u w:val="single"/>
              </w:rPr>
              <w:t xml:space="preserve">  </w:t>
            </w:r>
          </w:p>
        </w:tc>
      </w:tr>
      <w:tr w14:paraId="06B2E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4523BE77">
            <w:pPr>
              <w:spacing w:line="276" w:lineRule="auto"/>
              <w:jc w:val="center"/>
              <w:rPr>
                <w:color w:val="auto"/>
                <w:sz w:val="24"/>
                <w:szCs w:val="24"/>
              </w:rPr>
            </w:pPr>
            <w:r>
              <w:rPr>
                <w:rFonts w:hint="eastAsia"/>
                <w:color w:val="auto"/>
                <w:sz w:val="24"/>
                <w:szCs w:val="24"/>
              </w:rPr>
              <w:t>地理坐标</w:t>
            </w:r>
          </w:p>
        </w:tc>
        <w:tc>
          <w:tcPr>
            <w:tcW w:w="7818" w:type="dxa"/>
            <w:gridSpan w:val="3"/>
            <w:vAlign w:val="center"/>
          </w:tcPr>
          <w:p w14:paraId="4DB0320E">
            <w:pPr>
              <w:spacing w:line="276" w:lineRule="auto"/>
              <w:jc w:val="center"/>
              <w:rPr>
                <w:color w:val="auto"/>
                <w:sz w:val="24"/>
                <w:szCs w:val="24"/>
              </w:rPr>
            </w:pPr>
            <w:r>
              <w:rPr>
                <w:color w:val="auto"/>
                <w:sz w:val="24"/>
                <w:szCs w:val="24"/>
              </w:rPr>
              <w:t>（</w:t>
            </w:r>
            <w:r>
              <w:rPr>
                <w:color w:val="auto"/>
                <w:sz w:val="24"/>
                <w:szCs w:val="24"/>
                <w:u w:val="single"/>
              </w:rPr>
              <w:t xml:space="preserve"> </w:t>
            </w:r>
            <w:r>
              <w:rPr>
                <w:rFonts w:hint="eastAsia"/>
                <w:color w:val="auto"/>
                <w:sz w:val="24"/>
                <w:szCs w:val="24"/>
                <w:u w:val="single"/>
                <w:lang w:val="en-US" w:eastAsia="zh-CN"/>
              </w:rPr>
              <w:t>116</w:t>
            </w:r>
            <w:r>
              <w:rPr>
                <w:color w:val="auto"/>
                <w:sz w:val="24"/>
                <w:szCs w:val="24"/>
                <w:u w:val="single"/>
              </w:rPr>
              <w:t xml:space="preserve"> </w:t>
            </w:r>
            <w:r>
              <w:rPr>
                <w:color w:val="auto"/>
                <w:sz w:val="24"/>
                <w:szCs w:val="24"/>
              </w:rPr>
              <w:t>度</w:t>
            </w:r>
            <w:r>
              <w:rPr>
                <w:color w:val="auto"/>
                <w:sz w:val="24"/>
                <w:szCs w:val="24"/>
                <w:u w:val="single"/>
              </w:rPr>
              <w:t xml:space="preserve"> </w:t>
            </w:r>
            <w:r>
              <w:rPr>
                <w:rFonts w:hint="eastAsia"/>
                <w:color w:val="auto"/>
                <w:sz w:val="24"/>
                <w:szCs w:val="24"/>
                <w:u w:val="single"/>
                <w:lang w:val="en-US" w:eastAsia="zh-CN"/>
              </w:rPr>
              <w:t>56</w:t>
            </w:r>
            <w:r>
              <w:rPr>
                <w:color w:val="auto"/>
                <w:sz w:val="24"/>
                <w:szCs w:val="24"/>
                <w:u w:val="single"/>
              </w:rPr>
              <w:t xml:space="preserve"> </w:t>
            </w:r>
            <w:r>
              <w:rPr>
                <w:color w:val="auto"/>
                <w:sz w:val="24"/>
                <w:szCs w:val="24"/>
              </w:rPr>
              <w:t>分</w:t>
            </w:r>
            <w:r>
              <w:rPr>
                <w:color w:val="auto"/>
                <w:sz w:val="24"/>
                <w:szCs w:val="24"/>
                <w:u w:val="single"/>
              </w:rPr>
              <w:t xml:space="preserve"> </w:t>
            </w:r>
            <w:r>
              <w:rPr>
                <w:rFonts w:hint="eastAsia"/>
                <w:color w:val="auto"/>
                <w:sz w:val="24"/>
                <w:szCs w:val="24"/>
                <w:u w:val="single"/>
                <w:lang w:val="en-US" w:eastAsia="zh-CN"/>
              </w:rPr>
              <w:t>33.298</w:t>
            </w:r>
            <w:r>
              <w:rPr>
                <w:color w:val="auto"/>
                <w:sz w:val="24"/>
                <w:szCs w:val="24"/>
                <w:u w:val="single"/>
              </w:rPr>
              <w:t xml:space="preserve"> </w:t>
            </w:r>
            <w:r>
              <w:rPr>
                <w:color w:val="auto"/>
                <w:sz w:val="24"/>
                <w:szCs w:val="24"/>
              </w:rPr>
              <w:t>秒；</w:t>
            </w:r>
            <w:r>
              <w:rPr>
                <w:color w:val="auto"/>
                <w:sz w:val="24"/>
                <w:szCs w:val="24"/>
                <w:u w:val="single"/>
              </w:rPr>
              <w:t xml:space="preserve"> </w:t>
            </w:r>
            <w:r>
              <w:rPr>
                <w:rFonts w:hint="eastAsia"/>
                <w:color w:val="auto"/>
                <w:sz w:val="24"/>
                <w:szCs w:val="24"/>
                <w:u w:val="single"/>
                <w:lang w:val="en-US" w:eastAsia="zh-CN"/>
              </w:rPr>
              <w:t>32</w:t>
            </w:r>
            <w:r>
              <w:rPr>
                <w:color w:val="auto"/>
                <w:sz w:val="24"/>
                <w:szCs w:val="24"/>
                <w:u w:val="single"/>
              </w:rPr>
              <w:t xml:space="preserve"> </w:t>
            </w:r>
            <w:r>
              <w:rPr>
                <w:color w:val="auto"/>
                <w:sz w:val="24"/>
                <w:szCs w:val="24"/>
              </w:rPr>
              <w:t>度</w:t>
            </w:r>
            <w:r>
              <w:rPr>
                <w:color w:val="auto"/>
                <w:sz w:val="24"/>
                <w:szCs w:val="24"/>
                <w:u w:val="single"/>
              </w:rPr>
              <w:t xml:space="preserve"> </w:t>
            </w:r>
            <w:r>
              <w:rPr>
                <w:rFonts w:hint="eastAsia"/>
                <w:color w:val="auto"/>
                <w:sz w:val="24"/>
                <w:szCs w:val="24"/>
                <w:u w:val="single"/>
                <w:lang w:val="en-US" w:eastAsia="zh-CN"/>
              </w:rPr>
              <w:t>43</w:t>
            </w:r>
            <w:r>
              <w:rPr>
                <w:color w:val="auto"/>
                <w:sz w:val="24"/>
                <w:szCs w:val="24"/>
                <w:u w:val="single"/>
              </w:rPr>
              <w:t xml:space="preserve"> </w:t>
            </w:r>
            <w:r>
              <w:rPr>
                <w:color w:val="auto"/>
                <w:sz w:val="24"/>
                <w:szCs w:val="24"/>
              </w:rPr>
              <w:t>分</w:t>
            </w:r>
            <w:r>
              <w:rPr>
                <w:color w:val="auto"/>
                <w:sz w:val="24"/>
                <w:szCs w:val="24"/>
                <w:u w:val="single"/>
              </w:rPr>
              <w:t xml:space="preserve"> </w:t>
            </w:r>
            <w:r>
              <w:rPr>
                <w:rFonts w:hint="eastAsia"/>
                <w:color w:val="auto"/>
                <w:sz w:val="24"/>
                <w:szCs w:val="24"/>
                <w:u w:val="single"/>
                <w:lang w:val="en-US" w:eastAsia="zh-CN"/>
              </w:rPr>
              <w:t>41.527</w:t>
            </w:r>
            <w:r>
              <w:rPr>
                <w:color w:val="auto"/>
                <w:sz w:val="24"/>
                <w:szCs w:val="24"/>
                <w:u w:val="single"/>
              </w:rPr>
              <w:t xml:space="preserve"> </w:t>
            </w:r>
            <w:r>
              <w:rPr>
                <w:color w:val="auto"/>
                <w:sz w:val="24"/>
                <w:szCs w:val="24"/>
              </w:rPr>
              <w:t>秒）</w:t>
            </w:r>
          </w:p>
        </w:tc>
      </w:tr>
      <w:tr w14:paraId="539A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047EA02E">
            <w:pPr>
              <w:spacing w:line="276" w:lineRule="auto"/>
              <w:jc w:val="center"/>
              <w:rPr>
                <w:color w:val="auto"/>
                <w:sz w:val="24"/>
                <w:szCs w:val="24"/>
              </w:rPr>
            </w:pPr>
            <w:r>
              <w:rPr>
                <w:rFonts w:hint="eastAsia"/>
                <w:color w:val="auto"/>
                <w:sz w:val="24"/>
                <w:szCs w:val="24"/>
              </w:rPr>
              <w:t>国民经济</w:t>
            </w:r>
          </w:p>
          <w:p w14:paraId="39671634">
            <w:pPr>
              <w:spacing w:line="276" w:lineRule="auto"/>
              <w:jc w:val="center"/>
              <w:rPr>
                <w:color w:val="auto"/>
                <w:sz w:val="24"/>
                <w:szCs w:val="24"/>
              </w:rPr>
            </w:pPr>
            <w:r>
              <w:rPr>
                <w:rFonts w:hint="eastAsia"/>
                <w:color w:val="auto"/>
                <w:sz w:val="24"/>
                <w:szCs w:val="24"/>
              </w:rPr>
              <w:t>行业类别</w:t>
            </w:r>
          </w:p>
        </w:tc>
        <w:tc>
          <w:tcPr>
            <w:tcW w:w="1633" w:type="dxa"/>
            <w:vAlign w:val="center"/>
          </w:tcPr>
          <w:p w14:paraId="003E2079">
            <w:pPr>
              <w:spacing w:line="276" w:lineRule="auto"/>
              <w:jc w:val="center"/>
              <w:rPr>
                <w:rStyle w:val="59"/>
                <w:color w:val="auto"/>
              </w:rPr>
            </w:pPr>
            <w:r>
              <w:rPr>
                <w:rFonts w:hint="eastAsia"/>
                <w:color w:val="auto"/>
                <w:sz w:val="24"/>
                <w:szCs w:val="24"/>
                <w:lang w:eastAsia="zh-CN"/>
              </w:rPr>
              <w:t>稻谷加工</w:t>
            </w:r>
            <w:r>
              <w:rPr>
                <w:rFonts w:hint="eastAsia"/>
                <w:color w:val="auto"/>
                <w:sz w:val="24"/>
                <w:szCs w:val="24"/>
              </w:rPr>
              <w:t>（C</w:t>
            </w:r>
            <w:r>
              <w:rPr>
                <w:rFonts w:hint="eastAsia"/>
                <w:color w:val="auto"/>
                <w:sz w:val="24"/>
                <w:szCs w:val="24"/>
                <w:lang w:val="en-US" w:eastAsia="zh-CN"/>
              </w:rPr>
              <w:t>1311</w:t>
            </w:r>
            <w:r>
              <w:rPr>
                <w:rFonts w:hint="eastAsia"/>
                <w:color w:val="auto"/>
                <w:sz w:val="24"/>
                <w:szCs w:val="24"/>
              </w:rPr>
              <w:t>）</w:t>
            </w:r>
          </w:p>
        </w:tc>
        <w:tc>
          <w:tcPr>
            <w:tcW w:w="2196" w:type="dxa"/>
            <w:vAlign w:val="center"/>
          </w:tcPr>
          <w:p w14:paraId="77160922">
            <w:pPr>
              <w:spacing w:line="276" w:lineRule="auto"/>
              <w:jc w:val="center"/>
              <w:rPr>
                <w:color w:val="auto"/>
                <w:sz w:val="24"/>
                <w:szCs w:val="24"/>
              </w:rPr>
            </w:pPr>
            <w:r>
              <w:rPr>
                <w:rFonts w:hint="eastAsia"/>
                <w:color w:val="auto"/>
                <w:sz w:val="24"/>
                <w:szCs w:val="24"/>
              </w:rPr>
              <w:t>建设项目</w:t>
            </w:r>
          </w:p>
          <w:p w14:paraId="4C27B970">
            <w:pPr>
              <w:spacing w:line="276" w:lineRule="auto"/>
              <w:jc w:val="center"/>
              <w:rPr>
                <w:color w:val="auto"/>
                <w:sz w:val="24"/>
                <w:szCs w:val="24"/>
              </w:rPr>
            </w:pPr>
            <w:r>
              <w:rPr>
                <w:rFonts w:hint="eastAsia"/>
                <w:color w:val="auto"/>
                <w:sz w:val="24"/>
                <w:szCs w:val="24"/>
              </w:rPr>
              <w:t>行业类别</w:t>
            </w:r>
          </w:p>
        </w:tc>
        <w:tc>
          <w:tcPr>
            <w:tcW w:w="3989" w:type="dxa"/>
            <w:vAlign w:val="center"/>
          </w:tcPr>
          <w:p w14:paraId="1D84F3CA">
            <w:pPr>
              <w:spacing w:line="276" w:lineRule="auto"/>
              <w:jc w:val="center"/>
              <w:rPr>
                <w:rFonts w:hint="default" w:eastAsia="宋体"/>
                <w:color w:val="auto"/>
                <w:sz w:val="24"/>
                <w:szCs w:val="24"/>
                <w:lang w:val="en-US" w:eastAsia="zh-CN"/>
              </w:rPr>
            </w:pPr>
            <w:r>
              <w:rPr>
                <w:rFonts w:hint="eastAsia"/>
                <w:color w:val="auto"/>
                <w:sz w:val="24"/>
                <w:szCs w:val="24"/>
                <w:lang w:eastAsia="zh-CN"/>
              </w:rPr>
              <w:t>十</w:t>
            </w:r>
            <w:r>
              <w:rPr>
                <w:rFonts w:hint="eastAsia"/>
                <w:color w:val="auto"/>
                <w:sz w:val="24"/>
                <w:szCs w:val="24"/>
              </w:rPr>
              <w:t>、</w:t>
            </w:r>
            <w:r>
              <w:rPr>
                <w:rFonts w:hint="eastAsia"/>
                <w:color w:val="auto"/>
                <w:sz w:val="24"/>
                <w:szCs w:val="24"/>
                <w:lang w:eastAsia="zh-CN"/>
              </w:rPr>
              <w:t>农副产品加工业</w:t>
            </w:r>
            <w:r>
              <w:rPr>
                <w:rFonts w:hint="eastAsia"/>
                <w:color w:val="auto"/>
                <w:sz w:val="24"/>
                <w:szCs w:val="24"/>
                <w:lang w:val="en-US" w:eastAsia="zh-CN"/>
              </w:rPr>
              <w:t xml:space="preserve"> 15谷物磨制131</w:t>
            </w:r>
          </w:p>
        </w:tc>
      </w:tr>
      <w:tr w14:paraId="7B0A0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5C931B14">
            <w:pPr>
              <w:spacing w:line="276" w:lineRule="auto"/>
              <w:jc w:val="center"/>
              <w:rPr>
                <w:color w:val="auto"/>
                <w:sz w:val="24"/>
                <w:szCs w:val="24"/>
              </w:rPr>
            </w:pPr>
            <w:r>
              <w:rPr>
                <w:rFonts w:hint="eastAsia"/>
                <w:color w:val="auto"/>
                <w:sz w:val="24"/>
                <w:szCs w:val="24"/>
              </w:rPr>
              <w:t>建设性质</w:t>
            </w:r>
          </w:p>
        </w:tc>
        <w:tc>
          <w:tcPr>
            <w:tcW w:w="1633" w:type="dxa"/>
            <w:vAlign w:val="center"/>
          </w:tcPr>
          <w:p w14:paraId="56C8B2D0">
            <w:pPr>
              <w:spacing w:line="276" w:lineRule="auto"/>
              <w:jc w:val="left"/>
              <w:rPr>
                <w:color w:val="auto"/>
                <w:sz w:val="24"/>
                <w:szCs w:val="24"/>
              </w:rPr>
            </w:pPr>
            <w:r>
              <w:rPr>
                <w:rFonts w:hint="eastAsia"/>
                <w:color w:val="auto"/>
                <w:sz w:val="24"/>
                <w:szCs w:val="24"/>
              </w:rPr>
              <w:sym w:font="Wingdings 2" w:char="F052"/>
            </w:r>
            <w:r>
              <w:rPr>
                <w:rFonts w:hint="eastAsia"/>
                <w:color w:val="auto"/>
                <w:sz w:val="24"/>
                <w:szCs w:val="24"/>
              </w:rPr>
              <w:t>新建（迁建）</w:t>
            </w:r>
          </w:p>
          <w:p w14:paraId="0D14E8A7">
            <w:pPr>
              <w:spacing w:line="276" w:lineRule="auto"/>
              <w:jc w:val="left"/>
              <w:rPr>
                <w:rFonts w:ascii="宋体" w:hAnsi="宋体"/>
                <w:color w:val="auto"/>
                <w:sz w:val="24"/>
                <w:szCs w:val="24"/>
              </w:rPr>
            </w:pPr>
            <w:r>
              <w:rPr>
                <w:rFonts w:hint="eastAsia" w:ascii="宋体" w:hAnsi="宋体"/>
                <w:color w:val="auto"/>
                <w:sz w:val="24"/>
                <w:szCs w:val="24"/>
              </w:rPr>
              <w:t>□改建</w:t>
            </w:r>
          </w:p>
          <w:p w14:paraId="7E0DF6CB">
            <w:pPr>
              <w:spacing w:line="276" w:lineRule="auto"/>
              <w:jc w:val="left"/>
              <w:rPr>
                <w:color w:val="auto"/>
                <w:sz w:val="24"/>
                <w:szCs w:val="24"/>
              </w:rPr>
            </w:pPr>
            <w:r>
              <w:rPr>
                <w:rFonts w:hint="eastAsia" w:ascii="宋体" w:hAnsi="宋体"/>
                <w:color w:val="auto"/>
                <w:sz w:val="24"/>
                <w:szCs w:val="24"/>
              </w:rPr>
              <w:t>□扩建</w:t>
            </w:r>
          </w:p>
          <w:p w14:paraId="692E7BB2">
            <w:pPr>
              <w:spacing w:line="276" w:lineRule="auto"/>
              <w:jc w:val="left"/>
              <w:rPr>
                <w:color w:val="auto"/>
                <w:sz w:val="24"/>
                <w:szCs w:val="24"/>
              </w:rPr>
            </w:pPr>
            <w:r>
              <w:rPr>
                <w:rFonts w:hint="eastAsia" w:ascii="宋体" w:hAnsi="宋体"/>
                <w:color w:val="auto"/>
                <w:sz w:val="24"/>
                <w:szCs w:val="24"/>
              </w:rPr>
              <w:t>□技术改造</w:t>
            </w:r>
          </w:p>
        </w:tc>
        <w:tc>
          <w:tcPr>
            <w:tcW w:w="2196" w:type="dxa"/>
            <w:vAlign w:val="center"/>
          </w:tcPr>
          <w:p w14:paraId="20AD8AB1">
            <w:pPr>
              <w:spacing w:line="276" w:lineRule="auto"/>
              <w:jc w:val="center"/>
              <w:rPr>
                <w:color w:val="auto"/>
                <w:sz w:val="24"/>
                <w:szCs w:val="24"/>
              </w:rPr>
            </w:pPr>
            <w:r>
              <w:rPr>
                <w:rFonts w:hint="eastAsia"/>
                <w:color w:val="auto"/>
                <w:sz w:val="24"/>
                <w:szCs w:val="24"/>
              </w:rPr>
              <w:t>建设项目</w:t>
            </w:r>
          </w:p>
          <w:p w14:paraId="70C137A6">
            <w:pPr>
              <w:spacing w:line="276" w:lineRule="auto"/>
              <w:jc w:val="center"/>
              <w:rPr>
                <w:color w:val="auto"/>
                <w:sz w:val="24"/>
                <w:szCs w:val="24"/>
              </w:rPr>
            </w:pPr>
            <w:r>
              <w:rPr>
                <w:rFonts w:hint="eastAsia"/>
                <w:color w:val="auto"/>
                <w:sz w:val="24"/>
                <w:szCs w:val="24"/>
              </w:rPr>
              <w:t>申报情形</w:t>
            </w:r>
          </w:p>
        </w:tc>
        <w:tc>
          <w:tcPr>
            <w:tcW w:w="3989" w:type="dxa"/>
            <w:vAlign w:val="center"/>
          </w:tcPr>
          <w:p w14:paraId="646A4E45">
            <w:pPr>
              <w:spacing w:line="276" w:lineRule="auto"/>
              <w:jc w:val="left"/>
              <w:rPr>
                <w:color w:val="auto"/>
                <w:sz w:val="24"/>
                <w:szCs w:val="24"/>
              </w:rPr>
            </w:pPr>
            <w:r>
              <w:rPr>
                <w:rFonts w:hint="eastAsia"/>
                <w:color w:val="auto"/>
                <w:sz w:val="24"/>
                <w:szCs w:val="24"/>
              </w:rPr>
              <w:sym w:font="Wingdings 2" w:char="F052"/>
            </w:r>
            <w:r>
              <w:rPr>
                <w:rFonts w:hint="eastAsia"/>
                <w:color w:val="auto"/>
                <w:sz w:val="24"/>
                <w:szCs w:val="24"/>
              </w:rPr>
              <w:t>首次申报项目</w:t>
            </w:r>
          </w:p>
          <w:p w14:paraId="15F9223D">
            <w:pPr>
              <w:spacing w:line="276" w:lineRule="auto"/>
              <w:jc w:val="left"/>
              <w:rPr>
                <w:rFonts w:ascii="宋体" w:hAnsi="宋体"/>
                <w:color w:val="auto"/>
                <w:sz w:val="24"/>
                <w:szCs w:val="24"/>
              </w:rPr>
            </w:pPr>
            <w:r>
              <w:rPr>
                <w:rFonts w:hint="eastAsia" w:ascii="宋体" w:hAnsi="宋体"/>
                <w:color w:val="auto"/>
                <w:sz w:val="24"/>
                <w:szCs w:val="24"/>
              </w:rPr>
              <w:t>□不予批准后再次申报项目</w:t>
            </w:r>
          </w:p>
          <w:p w14:paraId="11A43BD6">
            <w:pPr>
              <w:spacing w:line="276" w:lineRule="auto"/>
              <w:jc w:val="left"/>
              <w:rPr>
                <w:color w:val="auto"/>
                <w:sz w:val="24"/>
                <w:szCs w:val="24"/>
              </w:rPr>
            </w:pPr>
            <w:r>
              <w:rPr>
                <w:rFonts w:hint="eastAsia" w:ascii="宋体" w:hAnsi="宋体"/>
                <w:color w:val="auto"/>
                <w:sz w:val="24"/>
                <w:szCs w:val="24"/>
              </w:rPr>
              <w:t>□超五年重新审核项目</w:t>
            </w:r>
          </w:p>
          <w:p w14:paraId="773770B2">
            <w:pPr>
              <w:spacing w:line="276" w:lineRule="auto"/>
              <w:jc w:val="left"/>
              <w:rPr>
                <w:color w:val="auto"/>
                <w:sz w:val="24"/>
                <w:szCs w:val="24"/>
              </w:rPr>
            </w:pPr>
            <w:r>
              <w:rPr>
                <w:rFonts w:hint="eastAsia" w:ascii="宋体" w:hAnsi="宋体"/>
                <w:color w:val="auto"/>
                <w:sz w:val="24"/>
                <w:szCs w:val="24"/>
              </w:rPr>
              <w:t>□重大变动重新报批项目</w:t>
            </w:r>
          </w:p>
        </w:tc>
      </w:tr>
      <w:tr w14:paraId="62525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2BB35998">
            <w:pPr>
              <w:spacing w:line="276" w:lineRule="auto"/>
              <w:jc w:val="center"/>
              <w:rPr>
                <w:color w:val="auto"/>
                <w:sz w:val="24"/>
                <w:szCs w:val="24"/>
              </w:rPr>
            </w:pPr>
            <w:r>
              <w:rPr>
                <w:rFonts w:hint="eastAsia"/>
                <w:color w:val="auto"/>
                <w:sz w:val="24"/>
                <w:szCs w:val="24"/>
              </w:rPr>
              <w:t>项目审批（核准</w:t>
            </w:r>
            <w:r>
              <w:rPr>
                <w:color w:val="auto"/>
                <w:sz w:val="24"/>
                <w:szCs w:val="24"/>
              </w:rPr>
              <w:t>/</w:t>
            </w:r>
            <w:r>
              <w:rPr>
                <w:rFonts w:hint="eastAsia"/>
                <w:color w:val="auto"/>
                <w:sz w:val="24"/>
                <w:szCs w:val="24"/>
              </w:rPr>
              <w:t>备案）部门</w:t>
            </w:r>
          </w:p>
        </w:tc>
        <w:tc>
          <w:tcPr>
            <w:tcW w:w="1633" w:type="dxa"/>
            <w:vAlign w:val="center"/>
          </w:tcPr>
          <w:p w14:paraId="5FE29BAD">
            <w:pPr>
              <w:spacing w:line="276" w:lineRule="auto"/>
              <w:jc w:val="center"/>
              <w:rPr>
                <w:rFonts w:hint="eastAsia" w:eastAsia="宋体"/>
                <w:color w:val="auto"/>
                <w:sz w:val="24"/>
                <w:szCs w:val="24"/>
                <w:lang w:eastAsia="zh-CN"/>
              </w:rPr>
            </w:pPr>
            <w:r>
              <w:rPr>
                <w:rFonts w:hint="eastAsia"/>
                <w:color w:val="auto"/>
                <w:sz w:val="24"/>
                <w:szCs w:val="24"/>
                <w:lang w:eastAsia="zh-CN"/>
              </w:rPr>
              <w:t>潘集区发展改革委</w:t>
            </w:r>
          </w:p>
        </w:tc>
        <w:tc>
          <w:tcPr>
            <w:tcW w:w="2196" w:type="dxa"/>
            <w:vAlign w:val="center"/>
          </w:tcPr>
          <w:p w14:paraId="06185183">
            <w:pPr>
              <w:spacing w:line="276" w:lineRule="auto"/>
              <w:jc w:val="center"/>
              <w:rPr>
                <w:color w:val="auto"/>
                <w:sz w:val="24"/>
                <w:szCs w:val="24"/>
              </w:rPr>
            </w:pPr>
            <w:r>
              <w:rPr>
                <w:rFonts w:hint="eastAsia"/>
                <w:color w:val="auto"/>
                <w:sz w:val="24"/>
                <w:szCs w:val="24"/>
              </w:rPr>
              <w:t>项目审批（核准</w:t>
            </w:r>
            <w:r>
              <w:rPr>
                <w:color w:val="auto"/>
                <w:sz w:val="24"/>
                <w:szCs w:val="24"/>
              </w:rPr>
              <w:t>/</w:t>
            </w:r>
            <w:r>
              <w:rPr>
                <w:rFonts w:hint="eastAsia"/>
                <w:color w:val="auto"/>
                <w:sz w:val="24"/>
                <w:szCs w:val="24"/>
              </w:rPr>
              <w:t>备案）文号</w:t>
            </w:r>
          </w:p>
        </w:tc>
        <w:tc>
          <w:tcPr>
            <w:tcW w:w="3989" w:type="dxa"/>
            <w:vAlign w:val="center"/>
          </w:tcPr>
          <w:p w14:paraId="0F43E1E2">
            <w:pPr>
              <w:spacing w:line="276" w:lineRule="auto"/>
              <w:jc w:val="center"/>
              <w:rPr>
                <w:rFonts w:hint="default" w:eastAsia="宋体"/>
                <w:color w:val="auto"/>
                <w:sz w:val="24"/>
                <w:szCs w:val="24"/>
                <w:lang w:val="en-US" w:eastAsia="zh-CN"/>
              </w:rPr>
            </w:pPr>
            <w:r>
              <w:rPr>
                <w:rFonts w:hint="eastAsia"/>
                <w:color w:val="auto"/>
                <w:sz w:val="24"/>
                <w:szCs w:val="24"/>
                <w:lang w:val="en-US" w:eastAsia="zh-CN"/>
              </w:rPr>
              <w:t>/</w:t>
            </w:r>
          </w:p>
        </w:tc>
      </w:tr>
      <w:tr w14:paraId="5127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360FF851">
            <w:pPr>
              <w:spacing w:line="276" w:lineRule="auto"/>
              <w:jc w:val="center"/>
              <w:rPr>
                <w:color w:val="auto"/>
                <w:sz w:val="24"/>
                <w:szCs w:val="24"/>
              </w:rPr>
            </w:pPr>
            <w:r>
              <w:rPr>
                <w:rFonts w:hint="eastAsia"/>
                <w:color w:val="auto"/>
                <w:sz w:val="24"/>
                <w:szCs w:val="24"/>
              </w:rPr>
              <w:t>总投资（万元）</w:t>
            </w:r>
          </w:p>
        </w:tc>
        <w:tc>
          <w:tcPr>
            <w:tcW w:w="1633" w:type="dxa"/>
            <w:vAlign w:val="center"/>
          </w:tcPr>
          <w:p w14:paraId="6AF02ABD">
            <w:pPr>
              <w:spacing w:line="276" w:lineRule="auto"/>
              <w:jc w:val="center"/>
              <w:rPr>
                <w:rFonts w:hint="default" w:eastAsia="宋体"/>
                <w:color w:val="auto"/>
                <w:sz w:val="24"/>
                <w:szCs w:val="24"/>
                <w:lang w:val="en-US" w:eastAsia="zh-CN"/>
              </w:rPr>
            </w:pPr>
            <w:r>
              <w:rPr>
                <w:rFonts w:hint="eastAsia"/>
                <w:color w:val="auto"/>
                <w:kern w:val="0"/>
                <w:sz w:val="24"/>
                <w:szCs w:val="24"/>
                <w:lang w:val="en-US" w:eastAsia="zh-CN"/>
              </w:rPr>
              <w:t>5600</w:t>
            </w:r>
          </w:p>
        </w:tc>
        <w:tc>
          <w:tcPr>
            <w:tcW w:w="2196" w:type="dxa"/>
            <w:vAlign w:val="center"/>
          </w:tcPr>
          <w:p w14:paraId="499E6EDC">
            <w:pPr>
              <w:spacing w:line="276" w:lineRule="auto"/>
              <w:jc w:val="center"/>
              <w:rPr>
                <w:color w:val="auto"/>
                <w:sz w:val="24"/>
                <w:szCs w:val="24"/>
              </w:rPr>
            </w:pPr>
            <w:r>
              <w:rPr>
                <w:rFonts w:hint="eastAsia"/>
                <w:color w:val="auto"/>
                <w:sz w:val="24"/>
                <w:szCs w:val="24"/>
              </w:rPr>
              <w:t>环保投资</w:t>
            </w:r>
          </w:p>
          <w:p w14:paraId="78F2DC26">
            <w:pPr>
              <w:spacing w:line="276" w:lineRule="auto"/>
              <w:jc w:val="center"/>
              <w:rPr>
                <w:color w:val="auto"/>
                <w:sz w:val="24"/>
                <w:szCs w:val="24"/>
              </w:rPr>
            </w:pPr>
            <w:r>
              <w:rPr>
                <w:rFonts w:hint="eastAsia"/>
                <w:color w:val="auto"/>
                <w:sz w:val="24"/>
                <w:szCs w:val="24"/>
              </w:rPr>
              <w:t>（万元）</w:t>
            </w:r>
          </w:p>
        </w:tc>
        <w:tc>
          <w:tcPr>
            <w:tcW w:w="3989" w:type="dxa"/>
            <w:vAlign w:val="center"/>
          </w:tcPr>
          <w:p w14:paraId="0A84351D">
            <w:pPr>
              <w:spacing w:line="276" w:lineRule="auto"/>
              <w:jc w:val="center"/>
              <w:rPr>
                <w:rFonts w:hint="default" w:eastAsia="宋体"/>
                <w:color w:val="auto"/>
                <w:sz w:val="24"/>
                <w:szCs w:val="24"/>
                <w:lang w:val="en-US" w:eastAsia="zh-CN"/>
              </w:rPr>
            </w:pPr>
            <w:r>
              <w:rPr>
                <w:rFonts w:hint="eastAsia"/>
                <w:color w:val="auto"/>
                <w:sz w:val="24"/>
                <w:szCs w:val="24"/>
                <w:lang w:val="en-US" w:eastAsia="zh-CN"/>
              </w:rPr>
              <w:t>53</w:t>
            </w:r>
          </w:p>
        </w:tc>
      </w:tr>
      <w:tr w14:paraId="1AA9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184A679A">
            <w:pPr>
              <w:spacing w:line="276" w:lineRule="auto"/>
              <w:jc w:val="center"/>
              <w:rPr>
                <w:color w:val="auto"/>
                <w:sz w:val="24"/>
                <w:szCs w:val="24"/>
              </w:rPr>
            </w:pPr>
            <w:r>
              <w:rPr>
                <w:rFonts w:hint="eastAsia"/>
                <w:color w:val="auto"/>
                <w:sz w:val="24"/>
                <w:szCs w:val="24"/>
              </w:rPr>
              <w:t>环保投资占比（</w:t>
            </w:r>
            <w:r>
              <w:rPr>
                <w:color w:val="auto"/>
                <w:sz w:val="24"/>
                <w:szCs w:val="24"/>
              </w:rPr>
              <w:t>%</w:t>
            </w:r>
            <w:r>
              <w:rPr>
                <w:rFonts w:hint="eastAsia"/>
                <w:color w:val="auto"/>
                <w:sz w:val="24"/>
                <w:szCs w:val="24"/>
              </w:rPr>
              <w:t>）</w:t>
            </w:r>
          </w:p>
        </w:tc>
        <w:tc>
          <w:tcPr>
            <w:tcW w:w="1633" w:type="dxa"/>
            <w:vAlign w:val="center"/>
          </w:tcPr>
          <w:p w14:paraId="78C7E2F1">
            <w:pPr>
              <w:spacing w:line="276" w:lineRule="auto"/>
              <w:jc w:val="center"/>
              <w:rPr>
                <w:rFonts w:hint="default" w:eastAsia="宋体"/>
                <w:color w:val="auto"/>
                <w:sz w:val="24"/>
                <w:szCs w:val="24"/>
                <w:lang w:val="en-US" w:eastAsia="zh-CN"/>
              </w:rPr>
            </w:pPr>
            <w:r>
              <w:rPr>
                <w:rFonts w:hint="eastAsia"/>
                <w:color w:val="auto"/>
                <w:sz w:val="24"/>
                <w:szCs w:val="24"/>
                <w:lang w:val="en-US" w:eastAsia="zh-CN"/>
              </w:rPr>
              <w:t>0.95</w:t>
            </w:r>
          </w:p>
        </w:tc>
        <w:tc>
          <w:tcPr>
            <w:tcW w:w="2196" w:type="dxa"/>
            <w:vAlign w:val="center"/>
          </w:tcPr>
          <w:p w14:paraId="0908070E">
            <w:pPr>
              <w:spacing w:line="276" w:lineRule="auto"/>
              <w:jc w:val="center"/>
              <w:rPr>
                <w:color w:val="auto"/>
                <w:sz w:val="24"/>
                <w:szCs w:val="24"/>
              </w:rPr>
            </w:pPr>
            <w:r>
              <w:rPr>
                <w:rFonts w:hint="eastAsia"/>
                <w:color w:val="auto"/>
                <w:sz w:val="24"/>
                <w:szCs w:val="24"/>
              </w:rPr>
              <w:t>施工工期</w:t>
            </w:r>
          </w:p>
        </w:tc>
        <w:tc>
          <w:tcPr>
            <w:tcW w:w="3989" w:type="dxa"/>
            <w:vAlign w:val="center"/>
          </w:tcPr>
          <w:p w14:paraId="43F3573E">
            <w:pPr>
              <w:spacing w:line="276" w:lineRule="auto"/>
              <w:jc w:val="center"/>
              <w:rPr>
                <w:color w:val="auto"/>
                <w:sz w:val="24"/>
                <w:szCs w:val="24"/>
              </w:rPr>
            </w:pPr>
            <w:r>
              <w:rPr>
                <w:rFonts w:hint="eastAsia"/>
                <w:color w:val="auto"/>
                <w:sz w:val="24"/>
                <w:szCs w:val="24"/>
                <w:lang w:val="en-US" w:eastAsia="zh-CN"/>
              </w:rPr>
              <w:t>24</w:t>
            </w:r>
            <w:r>
              <w:rPr>
                <w:rFonts w:hint="eastAsia"/>
                <w:color w:val="auto"/>
                <w:sz w:val="24"/>
                <w:szCs w:val="24"/>
              </w:rPr>
              <w:t>个月</w:t>
            </w:r>
          </w:p>
        </w:tc>
      </w:tr>
      <w:tr w14:paraId="7E3E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024CF84B">
            <w:pPr>
              <w:spacing w:line="276" w:lineRule="auto"/>
              <w:jc w:val="center"/>
              <w:rPr>
                <w:color w:val="auto"/>
                <w:sz w:val="24"/>
                <w:szCs w:val="24"/>
              </w:rPr>
            </w:pPr>
            <w:r>
              <w:rPr>
                <w:rFonts w:hint="eastAsia"/>
                <w:color w:val="auto"/>
                <w:sz w:val="24"/>
                <w:szCs w:val="24"/>
              </w:rPr>
              <w:t>是否开工建设</w:t>
            </w:r>
          </w:p>
        </w:tc>
        <w:tc>
          <w:tcPr>
            <w:tcW w:w="1633" w:type="dxa"/>
            <w:vAlign w:val="center"/>
          </w:tcPr>
          <w:p w14:paraId="6F21B8C2">
            <w:pPr>
              <w:spacing w:line="276" w:lineRule="auto"/>
              <w:jc w:val="left"/>
              <w:rPr>
                <w:color w:val="auto"/>
                <w:sz w:val="24"/>
                <w:szCs w:val="24"/>
              </w:rPr>
            </w:pPr>
            <w:r>
              <w:rPr>
                <w:rFonts w:hint="eastAsia"/>
                <w:color w:val="auto"/>
                <w:sz w:val="24"/>
                <w:szCs w:val="24"/>
              </w:rPr>
              <w:sym w:font="Wingdings 2" w:char="F052"/>
            </w:r>
            <w:r>
              <w:rPr>
                <w:rFonts w:hint="eastAsia"/>
                <w:color w:val="auto"/>
                <w:sz w:val="24"/>
                <w:szCs w:val="24"/>
              </w:rPr>
              <w:t>否</w:t>
            </w:r>
          </w:p>
          <w:p w14:paraId="01DBFFE9">
            <w:pPr>
              <w:spacing w:line="276" w:lineRule="auto"/>
              <w:jc w:val="left"/>
              <w:rPr>
                <w:color w:val="auto"/>
                <w:sz w:val="24"/>
                <w:szCs w:val="24"/>
              </w:rPr>
            </w:pPr>
            <w:r>
              <w:rPr>
                <w:rFonts w:hint="eastAsia"/>
                <w:color w:val="auto"/>
                <w:sz w:val="24"/>
                <w:szCs w:val="24"/>
              </w:rPr>
              <w:sym w:font="Wingdings 2" w:char="00A3"/>
            </w:r>
            <w:r>
              <w:rPr>
                <w:rFonts w:hint="eastAsia"/>
                <w:color w:val="auto"/>
                <w:sz w:val="24"/>
                <w:szCs w:val="24"/>
              </w:rPr>
              <w:t>是：</w:t>
            </w:r>
            <w:r>
              <w:rPr>
                <w:rFonts w:hint="eastAsia"/>
                <w:color w:val="auto"/>
                <w:sz w:val="24"/>
                <w:szCs w:val="24"/>
                <w:u w:val="single"/>
              </w:rPr>
              <w:t xml:space="preserve">          </w:t>
            </w:r>
          </w:p>
        </w:tc>
        <w:tc>
          <w:tcPr>
            <w:tcW w:w="2196" w:type="dxa"/>
            <w:vAlign w:val="center"/>
          </w:tcPr>
          <w:p w14:paraId="51A507DA">
            <w:pPr>
              <w:spacing w:line="276" w:lineRule="auto"/>
              <w:jc w:val="center"/>
              <w:rPr>
                <w:color w:val="auto"/>
                <w:sz w:val="24"/>
                <w:szCs w:val="24"/>
              </w:rPr>
            </w:pPr>
            <w:r>
              <w:rPr>
                <w:rFonts w:hint="eastAsia"/>
                <w:color w:val="auto"/>
                <w:sz w:val="24"/>
                <w:szCs w:val="24"/>
              </w:rPr>
              <w:t>用地面积（</w:t>
            </w:r>
            <w:r>
              <w:rPr>
                <w:color w:val="auto"/>
                <w:sz w:val="24"/>
                <w:szCs w:val="24"/>
              </w:rPr>
              <w:t>m</w:t>
            </w:r>
            <w:r>
              <w:rPr>
                <w:color w:val="auto"/>
                <w:sz w:val="24"/>
                <w:szCs w:val="24"/>
                <w:vertAlign w:val="superscript"/>
              </w:rPr>
              <w:t>2</w:t>
            </w:r>
            <w:r>
              <w:rPr>
                <w:rFonts w:hint="eastAsia"/>
                <w:color w:val="auto"/>
                <w:sz w:val="24"/>
                <w:szCs w:val="24"/>
              </w:rPr>
              <w:t>）</w:t>
            </w:r>
          </w:p>
        </w:tc>
        <w:tc>
          <w:tcPr>
            <w:tcW w:w="3989" w:type="dxa"/>
            <w:vAlign w:val="center"/>
          </w:tcPr>
          <w:p w14:paraId="4D460958">
            <w:pPr>
              <w:spacing w:line="276" w:lineRule="auto"/>
              <w:jc w:val="center"/>
              <w:rPr>
                <w:rFonts w:hint="default" w:eastAsia="宋体"/>
                <w:color w:val="auto"/>
                <w:sz w:val="24"/>
                <w:szCs w:val="24"/>
                <w:lang w:val="en-US" w:eastAsia="zh-CN"/>
              </w:rPr>
            </w:pPr>
            <w:r>
              <w:rPr>
                <w:rFonts w:hint="eastAsia"/>
                <w:color w:val="auto"/>
                <w:sz w:val="24"/>
                <w:szCs w:val="24"/>
                <w:lang w:val="en-US" w:eastAsia="zh-CN"/>
              </w:rPr>
              <w:t>8037.31</w:t>
            </w:r>
          </w:p>
        </w:tc>
      </w:tr>
      <w:tr w14:paraId="335D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2114" w:type="dxa"/>
            <w:vAlign w:val="center"/>
          </w:tcPr>
          <w:p w14:paraId="691D1E8A">
            <w:pPr>
              <w:spacing w:line="276" w:lineRule="auto"/>
              <w:jc w:val="center"/>
              <w:rPr>
                <w:color w:val="auto"/>
                <w:sz w:val="24"/>
                <w:szCs w:val="24"/>
              </w:rPr>
            </w:pPr>
            <w:r>
              <w:rPr>
                <w:rFonts w:hint="eastAsia"/>
                <w:color w:val="auto"/>
                <w:sz w:val="24"/>
                <w:szCs w:val="24"/>
              </w:rPr>
              <w:t>专项评价设置情况</w:t>
            </w:r>
          </w:p>
        </w:tc>
        <w:tc>
          <w:tcPr>
            <w:tcW w:w="7818" w:type="dxa"/>
            <w:gridSpan w:val="3"/>
            <w:vAlign w:val="center"/>
          </w:tcPr>
          <w:p w14:paraId="29162396">
            <w:pPr>
              <w:spacing w:line="276" w:lineRule="auto"/>
              <w:jc w:val="center"/>
              <w:rPr>
                <w:color w:val="auto"/>
                <w:sz w:val="24"/>
                <w:szCs w:val="24"/>
              </w:rPr>
            </w:pPr>
            <w:r>
              <w:rPr>
                <w:rFonts w:hint="eastAsia"/>
                <w:color w:val="auto"/>
                <w:sz w:val="24"/>
                <w:szCs w:val="24"/>
              </w:rPr>
              <w:t>无</w:t>
            </w:r>
          </w:p>
        </w:tc>
      </w:tr>
      <w:tr w14:paraId="7F2CB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114" w:type="dxa"/>
            <w:vAlign w:val="center"/>
          </w:tcPr>
          <w:p w14:paraId="6E876B19">
            <w:pPr>
              <w:spacing w:line="276" w:lineRule="auto"/>
              <w:jc w:val="center"/>
              <w:rPr>
                <w:color w:val="auto"/>
                <w:sz w:val="24"/>
                <w:szCs w:val="24"/>
              </w:rPr>
            </w:pPr>
            <w:r>
              <w:rPr>
                <w:rFonts w:hint="eastAsia"/>
                <w:color w:val="auto"/>
                <w:sz w:val="24"/>
                <w:szCs w:val="24"/>
              </w:rPr>
              <w:t>规划情况</w:t>
            </w:r>
          </w:p>
        </w:tc>
        <w:tc>
          <w:tcPr>
            <w:tcW w:w="7818" w:type="dxa"/>
            <w:gridSpan w:val="3"/>
            <w:vAlign w:val="center"/>
          </w:tcPr>
          <w:p w14:paraId="273281EC">
            <w:pPr>
              <w:autoSpaceDE w:val="0"/>
              <w:autoSpaceDN w:val="0"/>
              <w:spacing w:line="360" w:lineRule="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规划名称：《潘集区平圩镇</w:t>
            </w:r>
            <w:r>
              <w:rPr>
                <w:rFonts w:hint="eastAsia" w:ascii="Times New Roman" w:hAnsi="Times New Roman" w:eastAsia="宋体" w:cs="Times New Roman"/>
                <w:color w:val="auto"/>
                <w:kern w:val="0"/>
                <w:sz w:val="24"/>
                <w:szCs w:val="24"/>
                <w:lang w:val="en-US" w:eastAsia="zh-CN"/>
              </w:rPr>
              <w:t>国土空间总体规划</w:t>
            </w:r>
            <w:r>
              <w:rPr>
                <w:rFonts w:hint="default" w:ascii="Times New Roman" w:hAnsi="Times New Roman" w:eastAsia="宋体" w:cs="Times New Roman"/>
                <w:color w:val="auto"/>
                <w:kern w:val="0"/>
                <w:sz w:val="24"/>
                <w:szCs w:val="24"/>
                <w:lang w:val="en-US" w:eastAsia="zh-CN"/>
              </w:rPr>
              <w:t>（2021-2035年）》</w:t>
            </w:r>
          </w:p>
          <w:p w14:paraId="1A8FEBAB">
            <w:pPr>
              <w:autoSpaceDE w:val="0"/>
              <w:autoSpaceDN w:val="0"/>
              <w:spacing w:line="360" w:lineRule="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审批机关：/</w:t>
            </w:r>
          </w:p>
          <w:p w14:paraId="76744920">
            <w:pPr>
              <w:spacing w:line="360" w:lineRule="auto"/>
              <w:jc w:val="both"/>
              <w:rPr>
                <w:rFonts w:hint="eastAsia" w:ascii="Times New Roman" w:hAnsi="Times New Roman" w:eastAsia="宋体" w:cs="Times New Roman"/>
                <w:bCs/>
                <w:color w:val="auto"/>
                <w:sz w:val="24"/>
                <w:szCs w:val="24"/>
                <w:lang w:eastAsia="zh-CN"/>
              </w:rPr>
            </w:pPr>
            <w:r>
              <w:rPr>
                <w:rFonts w:hint="default" w:ascii="Times New Roman" w:hAnsi="Times New Roman" w:eastAsia="宋体" w:cs="Times New Roman"/>
                <w:color w:val="auto"/>
                <w:kern w:val="0"/>
                <w:sz w:val="24"/>
                <w:szCs w:val="24"/>
                <w:lang w:val="en-US" w:eastAsia="zh-CN"/>
              </w:rPr>
              <w:t>审批文件名称及文号：/</w:t>
            </w:r>
          </w:p>
        </w:tc>
      </w:tr>
      <w:tr w14:paraId="440E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 w:hRule="atLeast"/>
          <w:jc w:val="center"/>
        </w:trPr>
        <w:tc>
          <w:tcPr>
            <w:tcW w:w="2114" w:type="dxa"/>
            <w:vAlign w:val="center"/>
          </w:tcPr>
          <w:p w14:paraId="012A245B">
            <w:pPr>
              <w:spacing w:line="276" w:lineRule="auto"/>
              <w:jc w:val="center"/>
              <w:rPr>
                <w:color w:val="auto"/>
                <w:sz w:val="24"/>
                <w:szCs w:val="24"/>
              </w:rPr>
            </w:pPr>
            <w:r>
              <w:rPr>
                <w:rFonts w:hint="eastAsia"/>
                <w:color w:val="auto"/>
                <w:sz w:val="24"/>
                <w:szCs w:val="24"/>
              </w:rPr>
              <w:t>规划环境影响评价情况</w:t>
            </w:r>
          </w:p>
        </w:tc>
        <w:tc>
          <w:tcPr>
            <w:tcW w:w="7818" w:type="dxa"/>
            <w:gridSpan w:val="3"/>
            <w:vAlign w:val="center"/>
          </w:tcPr>
          <w:p w14:paraId="24BFD43C">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ascii="Times New Roman" w:hAnsi="Times New Roman" w:eastAsia="宋体" w:cs="Times New Roman"/>
                <w:bCs/>
                <w:color w:val="auto"/>
                <w:sz w:val="24"/>
                <w:szCs w:val="24"/>
                <w:lang w:eastAsia="zh-CN"/>
              </w:rPr>
            </w:pPr>
            <w:r>
              <w:rPr>
                <w:rFonts w:hint="eastAsia" w:cs="Times New Roman"/>
                <w:bCs/>
                <w:color w:val="auto"/>
                <w:sz w:val="24"/>
                <w:szCs w:val="24"/>
                <w:lang w:eastAsia="zh-CN"/>
              </w:rPr>
              <w:t>无</w:t>
            </w:r>
          </w:p>
        </w:tc>
      </w:tr>
      <w:tr w14:paraId="472C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jc w:val="center"/>
        </w:trPr>
        <w:tc>
          <w:tcPr>
            <w:tcW w:w="2114" w:type="dxa"/>
            <w:vAlign w:val="center"/>
          </w:tcPr>
          <w:p w14:paraId="681D1E44">
            <w:pPr>
              <w:spacing w:line="360" w:lineRule="auto"/>
              <w:jc w:val="center"/>
              <w:rPr>
                <w:color w:val="auto"/>
                <w:sz w:val="24"/>
                <w:szCs w:val="24"/>
              </w:rPr>
            </w:pPr>
            <w:r>
              <w:rPr>
                <w:rFonts w:hint="eastAsia"/>
                <w:color w:val="auto"/>
                <w:sz w:val="24"/>
                <w:szCs w:val="24"/>
              </w:rPr>
              <w:t>规划及规划环境影响评价符合性分析</w:t>
            </w:r>
          </w:p>
        </w:tc>
        <w:tc>
          <w:tcPr>
            <w:tcW w:w="7818" w:type="dxa"/>
            <w:gridSpan w:val="3"/>
            <w:vAlign w:val="center"/>
          </w:tcPr>
          <w:p w14:paraId="7D8C9DDC">
            <w:pPr>
              <w:spacing w:line="360" w:lineRule="auto"/>
              <w:ind w:firstLine="482" w:firstLineChars="200"/>
              <w:jc w:val="left"/>
              <w:rPr>
                <w:rFonts w:hint="eastAsia" w:ascii="Times New Roman" w:hAnsi="Times New Roman"/>
                <w:b/>
                <w:color w:val="auto"/>
                <w:sz w:val="24"/>
              </w:rPr>
            </w:pPr>
            <w:r>
              <w:rPr>
                <w:rFonts w:hint="eastAsia" w:ascii="Times New Roman" w:hAnsi="Times New Roman"/>
                <w:b/>
                <w:color w:val="auto"/>
                <w:sz w:val="24"/>
              </w:rPr>
              <w:t>1、与《</w:t>
            </w:r>
            <w:r>
              <w:rPr>
                <w:rFonts w:hint="eastAsia" w:ascii="Times New Roman" w:hAnsi="Times New Roman"/>
                <w:b/>
                <w:color w:val="auto"/>
                <w:sz w:val="24"/>
                <w:lang w:val="en-US" w:eastAsia="zh-CN"/>
              </w:rPr>
              <w:t>潘集区平圩镇国土空间总体规划（2021-2035年）</w:t>
            </w:r>
            <w:r>
              <w:rPr>
                <w:rFonts w:hint="eastAsia" w:ascii="Times New Roman" w:hAnsi="Times New Roman"/>
                <w:b/>
                <w:color w:val="auto"/>
                <w:sz w:val="24"/>
              </w:rPr>
              <w:t>》符合性分析</w:t>
            </w:r>
          </w:p>
          <w:p w14:paraId="57D6A5C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（1）规划范围</w:t>
            </w:r>
          </w:p>
          <w:p w14:paraId="0FA1DBC0">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规划范围</w:t>
            </w:r>
            <w:r>
              <w:rPr>
                <w:rFonts w:hint="eastAsia" w:ascii="Times New Roman" w:hAnsi="Times New Roman" w:eastAsia="宋体" w:cs="Times New Roman"/>
                <w:color w:val="auto"/>
                <w:kern w:val="0"/>
                <w:sz w:val="24"/>
                <w:szCs w:val="24"/>
                <w:lang w:val="en-US" w:eastAsia="zh-CN"/>
              </w:rPr>
              <w:t>为平圩镇行政管辖范围，总面积约5199.58公顷（约7.8万亩）。</w:t>
            </w:r>
          </w:p>
          <w:p w14:paraId="5BFD883A">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（2）产业发展规划</w:t>
            </w:r>
          </w:p>
          <w:p w14:paraId="182C4F6C">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依托平圩电厂、潘集经济开发区、煤化工园区，聚焦新质生产力，突出煤电绿能低碳环保产业，大力发展以高端煤化工、新材料、新能源、高端制造食品加工为主产业，打造绿色转型新高地</w:t>
            </w:r>
            <w:r>
              <w:rPr>
                <w:rFonts w:hint="eastAsia" w:cs="Times New Roman"/>
                <w:color w:val="auto"/>
                <w:kern w:val="0"/>
                <w:sz w:val="24"/>
                <w:szCs w:val="24"/>
                <w:lang w:val="en-US" w:eastAsia="zh-CN"/>
              </w:rPr>
              <w:t>：</w:t>
            </w:r>
          </w:p>
          <w:p w14:paraId="7D820662">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大力发展商贸物流、现代服务、都市休闲旅游等产业，围绕芦家湖区域，发展文旅及休闲旅游产业，打造产城融合示范镇、安徽省十强镇。依托公铁水运立体交通优势，充分利用平圩作业区发展港口经济。规划形成“一核两园，三轴三区”的产业空间布局。</w:t>
            </w:r>
          </w:p>
          <w:p w14:paraId="67E003F1">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w:t>
            </w:r>
            <w:r>
              <w:rPr>
                <w:rFonts w:hint="eastAsia" w:ascii="Times New Roman" w:hAnsi="Times New Roman" w:eastAsia="宋体" w:cs="Times New Roman"/>
                <w:color w:val="auto"/>
                <w:kern w:val="0"/>
                <w:sz w:val="24"/>
                <w:szCs w:val="24"/>
                <w:lang w:val="en-US" w:eastAsia="zh-CN"/>
              </w:rPr>
              <w:t>3</w:t>
            </w:r>
            <w:r>
              <w:rPr>
                <w:rFonts w:hint="default" w:ascii="Times New Roman" w:hAnsi="Times New Roman" w:eastAsia="宋体" w:cs="Times New Roman"/>
                <w:color w:val="auto"/>
                <w:kern w:val="0"/>
                <w:sz w:val="24"/>
                <w:szCs w:val="24"/>
                <w:lang w:val="en-US" w:eastAsia="zh-CN"/>
              </w:rPr>
              <w:t>）符合性</w:t>
            </w:r>
            <w:r>
              <w:rPr>
                <w:rFonts w:hint="eastAsia" w:ascii="Times New Roman" w:hAnsi="Times New Roman" w:eastAsia="宋体" w:cs="Times New Roman"/>
                <w:color w:val="auto"/>
                <w:kern w:val="0"/>
                <w:sz w:val="24"/>
                <w:szCs w:val="24"/>
                <w:lang w:val="en-US" w:eastAsia="zh-CN"/>
              </w:rPr>
              <w:t>分析</w:t>
            </w:r>
          </w:p>
          <w:p w14:paraId="39421525">
            <w:pPr>
              <w:spacing w:line="360" w:lineRule="auto"/>
              <w:ind w:firstLine="480" w:firstLineChars="200"/>
              <w:jc w:val="left"/>
              <w:rPr>
                <w:color w:val="auto"/>
              </w:rPr>
            </w:pPr>
            <w:r>
              <w:rPr>
                <w:rFonts w:hint="default" w:ascii="Times New Roman" w:hAnsi="Times New Roman" w:eastAsia="宋体" w:cs="Times New Roman"/>
                <w:color w:val="auto"/>
                <w:kern w:val="0"/>
                <w:sz w:val="24"/>
                <w:szCs w:val="24"/>
                <w:lang w:val="en-US" w:eastAsia="zh-CN"/>
              </w:rPr>
              <w:t>本项目</w:t>
            </w:r>
            <w:r>
              <w:rPr>
                <w:rFonts w:hint="eastAsia" w:ascii="Times New Roman" w:hAnsi="Times New Roman" w:eastAsia="宋体" w:cs="Times New Roman"/>
                <w:color w:val="auto"/>
                <w:kern w:val="0"/>
                <w:sz w:val="24"/>
                <w:szCs w:val="24"/>
                <w:lang w:val="en-US" w:eastAsia="zh-CN"/>
              </w:rPr>
              <w:t>位于潘集区平圩镇邵圩村</w:t>
            </w:r>
            <w:r>
              <w:rPr>
                <w:rFonts w:hint="default" w:ascii="Times New Roman" w:hAnsi="Times New Roman" w:eastAsia="宋体" w:cs="Times New Roman"/>
                <w:color w:val="auto"/>
                <w:kern w:val="0"/>
                <w:sz w:val="24"/>
                <w:szCs w:val="24"/>
                <w:lang w:val="en-US" w:eastAsia="zh-CN"/>
              </w:rPr>
              <w:t>，项目</w:t>
            </w:r>
            <w:r>
              <w:rPr>
                <w:rFonts w:hint="eastAsia" w:ascii="Times New Roman" w:hAnsi="Times New Roman" w:eastAsia="宋体" w:cs="Times New Roman"/>
                <w:color w:val="auto"/>
                <w:kern w:val="0"/>
                <w:sz w:val="24"/>
                <w:szCs w:val="24"/>
                <w:lang w:val="en-US" w:eastAsia="zh-CN"/>
              </w:rPr>
              <w:t>属于C1311稻谷加工</w:t>
            </w:r>
            <w:r>
              <w:rPr>
                <w:rFonts w:hint="default" w:ascii="Times New Roman" w:hAnsi="Times New Roman" w:eastAsia="宋体" w:cs="Times New Roman"/>
                <w:color w:val="auto"/>
                <w:kern w:val="0"/>
                <w:sz w:val="24"/>
                <w:szCs w:val="24"/>
                <w:lang w:val="en-US" w:eastAsia="zh-CN"/>
              </w:rPr>
              <w:t>，产品为</w:t>
            </w:r>
            <w:r>
              <w:rPr>
                <w:rFonts w:hint="eastAsia" w:ascii="Times New Roman" w:hAnsi="Times New Roman" w:eastAsia="宋体" w:cs="Times New Roman"/>
                <w:color w:val="auto"/>
                <w:kern w:val="0"/>
                <w:sz w:val="24"/>
                <w:szCs w:val="24"/>
                <w:lang w:val="en-US" w:eastAsia="zh-CN"/>
              </w:rPr>
              <w:t>优质大米</w:t>
            </w:r>
            <w:r>
              <w:rPr>
                <w:rFonts w:hint="default" w:ascii="Times New Roman" w:hAnsi="Times New Roman" w:eastAsia="宋体" w:cs="Times New Roman"/>
                <w:color w:val="auto"/>
                <w:kern w:val="0"/>
                <w:sz w:val="24"/>
                <w:szCs w:val="24"/>
                <w:lang w:val="en-US" w:eastAsia="zh-CN"/>
              </w:rPr>
              <w:t>，项目所在地用地性质为工业用地，</w:t>
            </w:r>
            <w:r>
              <w:rPr>
                <w:rFonts w:hint="eastAsia" w:ascii="Times New Roman" w:hAnsi="Times New Roman" w:eastAsia="宋体" w:cs="Times New Roman"/>
                <w:color w:val="auto"/>
                <w:kern w:val="0"/>
                <w:sz w:val="24"/>
                <w:szCs w:val="24"/>
                <w:lang w:val="en-US" w:eastAsia="zh-CN"/>
              </w:rPr>
              <w:t>项目为粮食加工企业，属于平圩镇发展规划中的高端制造食品加工业；满足平圩镇产业发展规划。</w:t>
            </w:r>
            <w:r>
              <w:rPr>
                <w:rFonts w:hint="default" w:ascii="Times New Roman" w:hAnsi="Times New Roman" w:eastAsia="宋体" w:cs="Times New Roman"/>
                <w:color w:val="auto"/>
                <w:kern w:val="0"/>
                <w:sz w:val="24"/>
                <w:szCs w:val="24"/>
                <w:lang w:val="en-US" w:eastAsia="zh-CN"/>
              </w:rPr>
              <w:t>故本项目符合《潘集区平圩镇</w:t>
            </w:r>
            <w:r>
              <w:rPr>
                <w:rFonts w:hint="eastAsia" w:ascii="Times New Roman" w:hAnsi="Times New Roman" w:eastAsia="宋体" w:cs="Times New Roman"/>
                <w:color w:val="auto"/>
                <w:kern w:val="0"/>
                <w:sz w:val="24"/>
                <w:szCs w:val="24"/>
                <w:lang w:val="en-US" w:eastAsia="zh-CN"/>
              </w:rPr>
              <w:t>国土空间总体</w:t>
            </w:r>
            <w:r>
              <w:rPr>
                <w:rFonts w:hint="default" w:ascii="Times New Roman" w:hAnsi="Times New Roman" w:eastAsia="宋体" w:cs="Times New Roman"/>
                <w:color w:val="auto"/>
                <w:kern w:val="0"/>
                <w:sz w:val="24"/>
                <w:szCs w:val="24"/>
                <w:lang w:val="en-US" w:eastAsia="zh-CN"/>
              </w:rPr>
              <w:t>规划（2021-2035年）》要求。</w:t>
            </w:r>
          </w:p>
        </w:tc>
      </w:tr>
      <w:tr w14:paraId="291E1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114" w:type="dxa"/>
            <w:vAlign w:val="center"/>
          </w:tcPr>
          <w:p w14:paraId="6E8161E5">
            <w:pPr>
              <w:spacing w:line="360" w:lineRule="auto"/>
              <w:jc w:val="center"/>
              <w:rPr>
                <w:color w:val="auto"/>
                <w:sz w:val="24"/>
                <w:szCs w:val="24"/>
              </w:rPr>
            </w:pPr>
            <w:r>
              <w:rPr>
                <w:rFonts w:hint="eastAsia"/>
                <w:color w:val="auto"/>
                <w:sz w:val="24"/>
                <w:szCs w:val="24"/>
              </w:rPr>
              <w:t>其他符合性分析</w:t>
            </w:r>
          </w:p>
        </w:tc>
        <w:tc>
          <w:tcPr>
            <w:tcW w:w="7818" w:type="dxa"/>
            <w:gridSpan w:val="3"/>
            <w:vAlign w:val="center"/>
          </w:tcPr>
          <w:p w14:paraId="3A99FC15">
            <w:pPr>
              <w:spacing w:line="360" w:lineRule="auto"/>
              <w:ind w:firstLine="482" w:firstLineChars="200"/>
              <w:rPr>
                <w:rFonts w:hint="default" w:ascii="Times New Roman" w:hAnsi="Times New Roman" w:eastAsia="宋体" w:cs="Times New Roman"/>
                <w:b/>
                <w:bCs/>
                <w:color w:val="auto"/>
                <w:sz w:val="24"/>
                <w:lang w:val="en-US" w:eastAsia="zh-CN"/>
              </w:rPr>
            </w:pPr>
            <w:r>
              <w:rPr>
                <w:rFonts w:hint="eastAsia" w:ascii="Times New Roman" w:hAnsi="Times New Roman" w:cs="Times New Roman"/>
                <w:b/>
                <w:bCs/>
                <w:color w:val="auto"/>
                <w:sz w:val="24"/>
                <w:lang w:val="en-US" w:eastAsia="zh-CN"/>
              </w:rPr>
              <w:t>1</w:t>
            </w:r>
            <w:r>
              <w:rPr>
                <w:rFonts w:hint="default" w:ascii="Times New Roman" w:hAnsi="Times New Roman" w:cs="Times New Roman"/>
                <w:b/>
                <w:bCs/>
                <w:color w:val="auto"/>
                <w:sz w:val="24"/>
              </w:rPr>
              <w:t>、选址论证</w:t>
            </w:r>
            <w:r>
              <w:rPr>
                <w:rFonts w:hint="default" w:ascii="Times New Roman" w:hAnsi="Times New Roman" w:cs="Times New Roman"/>
                <w:b/>
                <w:bCs/>
                <w:color w:val="auto"/>
                <w:sz w:val="24"/>
                <w:lang w:val="en-US" w:eastAsia="zh-CN"/>
              </w:rPr>
              <w:t>分析</w:t>
            </w:r>
          </w:p>
          <w:p w14:paraId="6496986D">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cs="Times New Roman"/>
                <w:b/>
                <w:bCs/>
                <w:color w:val="auto"/>
                <w:sz w:val="24"/>
                <w:lang w:val="en-US" w:eastAsia="zh-CN"/>
              </w:rPr>
            </w:pPr>
            <w:r>
              <w:rPr>
                <w:rFonts w:hint="eastAsia" w:ascii="Times New Roman" w:hAnsi="Times New Roman" w:cs="Times New Roman"/>
                <w:b/>
                <w:bCs/>
                <w:color w:val="auto"/>
                <w:sz w:val="24"/>
                <w:lang w:val="en-US" w:eastAsia="zh-CN"/>
              </w:rPr>
              <w:t>①用地可行性分析</w:t>
            </w:r>
          </w:p>
          <w:p w14:paraId="0EACC33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lang w:val="en-US" w:eastAsia="zh-CN"/>
              </w:rPr>
            </w:pPr>
            <w:r>
              <w:rPr>
                <w:rFonts w:hint="eastAsia"/>
                <w:color w:val="auto"/>
                <w:sz w:val="24"/>
                <w:lang w:val="en-US" w:eastAsia="zh-CN"/>
              </w:rPr>
              <w:t>本项目为新建项目，新建生产厂房，增加相关设施设备，厂址选择在潘集区平圩镇邵圩村，根据淮南市自然资源和规划局颁发的土地证（皖2025淮南市不动产权第0001722号），项目用地性质为工业用地，符合项目土地利用规划，本项目不占用基本农田，建设地点不位于饮用水源保护区范围内。本项目未被列入国土资源部、原国家经贸委发布的《限制用地项目目录（2012 年本）》和《禁止用地项目目录（2012 年本）》内，并由淮南市潘集区发展和改革委员会（项目代码：2104-340406-04-01-778237）予以备案。因此项目用地符合当地用地规划。</w:t>
            </w:r>
          </w:p>
          <w:p w14:paraId="5D29D35E">
            <w:pPr>
              <w:pStyle w:val="11"/>
              <w:keepNext w:val="0"/>
              <w:keepLines w:val="0"/>
              <w:pageBreakBefore w:val="0"/>
              <w:widowControl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rPr>
              <w:t>②</w:t>
            </w:r>
            <w:r>
              <w:rPr>
                <w:rFonts w:hint="eastAsia" w:ascii="Times New Roman" w:hAnsi="Times New Roman" w:cs="Times New Roman"/>
                <w:b/>
                <w:bCs/>
                <w:color w:val="auto"/>
                <w:sz w:val="24"/>
                <w:lang w:val="en-US" w:eastAsia="zh-CN"/>
              </w:rPr>
              <w:t>基础设施配套可行性分析</w:t>
            </w:r>
          </w:p>
          <w:p w14:paraId="7161179C">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rPr>
            </w:pPr>
            <w:r>
              <w:rPr>
                <w:rStyle w:val="55"/>
                <w:rFonts w:hint="default" w:ascii="Times New Roman" w:hAnsi="Times New Roman" w:cs="Times New Roman"/>
                <w:b w:val="0"/>
                <w:color w:val="auto"/>
                <w:sz w:val="24"/>
              </w:rPr>
              <w:t>项目所在地基础设施均完善，其中供水及供电系统依托</w:t>
            </w:r>
            <w:r>
              <w:rPr>
                <w:rStyle w:val="55"/>
                <w:rFonts w:hint="eastAsia" w:cs="Times New Roman"/>
                <w:b w:val="0"/>
                <w:color w:val="auto"/>
                <w:sz w:val="24"/>
                <w:lang w:val="en-US" w:eastAsia="zh-CN"/>
              </w:rPr>
              <w:t>平圩镇</w:t>
            </w:r>
            <w:r>
              <w:rPr>
                <w:rStyle w:val="55"/>
                <w:rFonts w:hint="default" w:ascii="Times New Roman" w:hAnsi="Times New Roman" w:cs="Times New Roman"/>
                <w:b w:val="0"/>
                <w:color w:val="auto"/>
                <w:sz w:val="24"/>
              </w:rPr>
              <w:t>供水、供电管网</w:t>
            </w:r>
            <w:r>
              <w:rPr>
                <w:rStyle w:val="55"/>
                <w:rFonts w:hint="eastAsia" w:cs="Times New Roman"/>
                <w:b w:val="0"/>
                <w:color w:val="auto"/>
                <w:sz w:val="24"/>
                <w:lang w:eastAsia="zh-CN"/>
              </w:rPr>
              <w:t>；</w:t>
            </w:r>
            <w:r>
              <w:rPr>
                <w:rFonts w:hint="eastAsia" w:cs="Times New Roman"/>
                <w:color w:val="auto"/>
                <w:sz w:val="24"/>
                <w:lang w:val="en-US" w:eastAsia="zh-CN"/>
              </w:rPr>
              <w:t>生活污水经厂区化粪池处理后定期清掏农用，不外排；</w:t>
            </w:r>
            <w:r>
              <w:rPr>
                <w:rFonts w:hint="eastAsia" w:ascii="Times New Roman" w:hAnsi="Times New Roman" w:cs="Times New Roman"/>
                <w:color w:val="auto"/>
                <w:sz w:val="24"/>
                <w:lang w:val="en-US" w:eastAsia="zh-CN"/>
              </w:rPr>
              <w:t>建设项目基础设施齐全，可满足企业生产需要，</w:t>
            </w:r>
            <w:r>
              <w:rPr>
                <w:rFonts w:hint="default" w:ascii="Times New Roman" w:hAnsi="Times New Roman" w:cs="Times New Roman"/>
                <w:color w:val="auto"/>
                <w:sz w:val="24"/>
              </w:rPr>
              <w:t>因此</w:t>
            </w:r>
            <w:r>
              <w:rPr>
                <w:rFonts w:hint="eastAsia" w:cs="Times New Roman"/>
                <w:color w:val="auto"/>
                <w:sz w:val="24"/>
                <w:lang w:eastAsia="zh-CN"/>
              </w:rPr>
              <w:t>本</w:t>
            </w:r>
            <w:r>
              <w:rPr>
                <w:rFonts w:hint="eastAsia" w:ascii="Times New Roman" w:hAnsi="Times New Roman" w:cs="Times New Roman"/>
                <w:color w:val="auto"/>
                <w:sz w:val="24"/>
                <w:lang w:val="en-US" w:eastAsia="zh-CN"/>
              </w:rPr>
              <w:t>项目基础设施配套可行</w:t>
            </w:r>
            <w:r>
              <w:rPr>
                <w:rFonts w:hint="default" w:ascii="Times New Roman" w:hAnsi="Times New Roman" w:cs="Times New Roman"/>
                <w:color w:val="auto"/>
                <w:sz w:val="24"/>
              </w:rPr>
              <w:t>。</w:t>
            </w:r>
          </w:p>
          <w:p w14:paraId="7794C60B">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default" w:ascii="Times New Roman" w:hAnsi="Times New Roman" w:eastAsia="宋体" w:cs="Times New Roman"/>
                <w:color w:val="auto"/>
                <w:sz w:val="24"/>
                <w:lang w:val="en-US" w:eastAsia="zh-CN"/>
              </w:rPr>
            </w:pPr>
            <w:r>
              <w:rPr>
                <w:rFonts w:hint="default" w:ascii="Times New Roman" w:hAnsi="Times New Roman" w:cs="Times New Roman"/>
                <w:b/>
                <w:bCs/>
                <w:color w:val="auto"/>
                <w:sz w:val="24"/>
              </w:rPr>
              <w:t>③</w:t>
            </w:r>
            <w:r>
              <w:rPr>
                <w:rFonts w:hint="eastAsia" w:ascii="Times New Roman" w:hAnsi="Times New Roman" w:cs="Times New Roman"/>
                <w:b/>
                <w:bCs/>
                <w:color w:val="auto"/>
                <w:sz w:val="24"/>
                <w:lang w:val="en-US" w:eastAsia="zh-CN"/>
              </w:rPr>
              <w:t>污染物达标排放可行性分析</w:t>
            </w:r>
          </w:p>
          <w:p w14:paraId="147E3D09">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rPr>
            </w:pPr>
            <w:r>
              <w:rPr>
                <w:rFonts w:hint="default" w:ascii="Times New Roman" w:hAnsi="Times New Roman" w:cs="Times New Roman"/>
                <w:color w:val="auto"/>
                <w:sz w:val="24"/>
              </w:rPr>
              <w:t>建设项目</w:t>
            </w:r>
            <w:r>
              <w:rPr>
                <w:rFonts w:hint="eastAsia" w:cs="Times New Roman"/>
                <w:color w:val="auto"/>
                <w:sz w:val="24"/>
                <w:lang w:eastAsia="zh-CN"/>
              </w:rPr>
              <w:t>生产</w:t>
            </w:r>
            <w:r>
              <w:rPr>
                <w:rFonts w:hint="default" w:ascii="Times New Roman" w:hAnsi="Times New Roman" w:cs="Times New Roman"/>
                <w:color w:val="auto"/>
                <w:sz w:val="24"/>
              </w:rPr>
              <w:t>工艺废气经配套</w:t>
            </w:r>
            <w:r>
              <w:rPr>
                <w:rFonts w:hint="eastAsia" w:ascii="Times New Roman" w:hAnsi="Times New Roman" w:cs="Times New Roman"/>
                <w:color w:val="auto"/>
                <w:sz w:val="24"/>
                <w:lang w:val="en-US" w:eastAsia="zh-CN"/>
              </w:rPr>
              <w:t>废气</w:t>
            </w:r>
            <w:r>
              <w:rPr>
                <w:rFonts w:hint="default" w:ascii="Times New Roman" w:hAnsi="Times New Roman" w:cs="Times New Roman"/>
                <w:color w:val="auto"/>
                <w:sz w:val="24"/>
              </w:rPr>
              <w:t>污染治理设施处理后达标排放；</w:t>
            </w:r>
            <w:r>
              <w:rPr>
                <w:rFonts w:hint="eastAsia" w:cs="Times New Roman"/>
                <w:color w:val="auto"/>
                <w:sz w:val="24"/>
                <w:lang w:val="en-US" w:eastAsia="zh-CN"/>
              </w:rPr>
              <w:t>生活污水经厂区化粪池处理后回用于周边农田施肥，不外排；</w:t>
            </w:r>
            <w:r>
              <w:rPr>
                <w:rFonts w:hint="eastAsia" w:ascii="Times New Roman" w:hAnsi="Times New Roman"/>
                <w:color w:val="auto"/>
                <w:sz w:val="24"/>
              </w:rPr>
              <w:t>项目固废均可进行合理处置及综合利用，</w:t>
            </w:r>
            <w:r>
              <w:rPr>
                <w:rFonts w:hint="eastAsia" w:ascii="Times New Roman" w:hAnsi="Times New Roman" w:cs="Times New Roman"/>
                <w:color w:val="auto"/>
                <w:sz w:val="24"/>
                <w:lang w:val="en-US" w:eastAsia="zh-CN"/>
              </w:rPr>
              <w:t>项目生产排放污染物均可满足达标排放要求</w:t>
            </w:r>
            <w:r>
              <w:rPr>
                <w:rFonts w:hint="default" w:ascii="Times New Roman" w:hAnsi="Times New Roman" w:cs="Times New Roman"/>
                <w:color w:val="auto"/>
                <w:sz w:val="24"/>
              </w:rPr>
              <w:t>。</w:t>
            </w:r>
          </w:p>
          <w:p w14:paraId="3638EFDE">
            <w:pPr>
              <w:pStyle w:val="11"/>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rPr>
                <w:rFonts w:hint="eastAsia" w:ascii="Times New Roman" w:hAnsi="Times New Roman" w:cs="Times New Roman"/>
                <w:b/>
                <w:bCs/>
                <w:color w:val="auto"/>
                <w:sz w:val="24"/>
                <w:lang w:val="en-US" w:eastAsia="zh-CN"/>
              </w:rPr>
            </w:pPr>
            <w:r>
              <w:rPr>
                <w:rFonts w:hint="eastAsia" w:ascii="Times New Roman" w:hAnsi="Times New Roman" w:eastAsia="宋体" w:cs="Times New Roman"/>
                <w:b/>
                <w:bCs/>
                <w:color w:val="auto"/>
                <w:sz w:val="24"/>
                <w:lang w:val="en-US" w:eastAsia="zh-CN"/>
              </w:rPr>
              <w:t>④</w:t>
            </w:r>
            <w:r>
              <w:rPr>
                <w:rFonts w:hint="eastAsia" w:ascii="Times New Roman" w:hAnsi="Times New Roman" w:cs="Times New Roman"/>
                <w:b/>
                <w:bCs/>
                <w:color w:val="auto"/>
                <w:sz w:val="24"/>
                <w:lang w:val="en-US" w:eastAsia="zh-CN"/>
              </w:rPr>
              <w:t>与周边企业环境相容性分析</w:t>
            </w:r>
          </w:p>
          <w:p w14:paraId="45CAC3C9">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auto"/>
                <w:kern w:val="0"/>
                <w:sz w:val="24"/>
                <w:lang w:val="en-US" w:eastAsia="zh-CN"/>
              </w:rPr>
            </w:pPr>
            <w:r>
              <w:rPr>
                <w:rFonts w:hint="eastAsia" w:ascii="Times New Roman" w:hAnsi="Times New Roman" w:cs="Times New Roman"/>
                <w:bCs/>
                <w:color w:val="auto"/>
                <w:kern w:val="0"/>
                <w:sz w:val="24"/>
                <w:lang w:val="en-US" w:eastAsia="zh-CN"/>
              </w:rPr>
              <w:t>本项目位于淮南市潘集区平圩镇邵圩村，本项目建设地点中心坐标为：</w:t>
            </w:r>
            <w:r>
              <w:rPr>
                <w:rFonts w:hint="eastAsia" w:cs="Times New Roman"/>
                <w:bCs/>
                <w:color w:val="auto"/>
                <w:kern w:val="0"/>
                <w:sz w:val="24"/>
                <w:lang w:val="en-US" w:eastAsia="zh-CN"/>
              </w:rPr>
              <w:t>东经：116 度56分33.298秒；</w:t>
            </w:r>
            <w:r>
              <w:rPr>
                <w:rFonts w:hint="eastAsia" w:ascii="Times New Roman" w:hAnsi="Times New Roman" w:cs="Times New Roman"/>
                <w:bCs/>
                <w:color w:val="auto"/>
                <w:kern w:val="0"/>
                <w:sz w:val="24"/>
                <w:lang w:val="en-US" w:eastAsia="zh-CN"/>
              </w:rPr>
              <w:t>北纬：</w:t>
            </w:r>
            <w:r>
              <w:rPr>
                <w:rFonts w:hint="eastAsia" w:cs="Times New Roman"/>
                <w:bCs/>
                <w:color w:val="auto"/>
                <w:kern w:val="0"/>
                <w:sz w:val="24"/>
                <w:lang w:val="en-US" w:eastAsia="zh-CN"/>
              </w:rPr>
              <w:t>32度43分41.527秒</w:t>
            </w:r>
            <w:r>
              <w:rPr>
                <w:rFonts w:hint="eastAsia" w:ascii="Times New Roman" w:hAnsi="Times New Roman" w:cs="Times New Roman"/>
                <w:bCs/>
                <w:color w:val="auto"/>
                <w:kern w:val="0"/>
                <w:sz w:val="24"/>
                <w:lang w:val="en-US" w:eastAsia="zh-CN"/>
              </w:rPr>
              <w:t>。</w:t>
            </w:r>
            <w:r>
              <w:rPr>
                <w:rFonts w:hint="eastAsia" w:cs="Times New Roman"/>
                <w:bCs/>
                <w:color w:val="auto"/>
                <w:kern w:val="0"/>
                <w:sz w:val="24"/>
                <w:lang w:val="en-US" w:eastAsia="zh-CN"/>
              </w:rPr>
              <w:t>项目北侧为道路，周边为邵圩村居民点。</w:t>
            </w:r>
            <w:r>
              <w:rPr>
                <w:rFonts w:hint="eastAsia" w:ascii="Times New Roman" w:hAnsi="Times New Roman" w:cs="Times New Roman"/>
                <w:bCs/>
                <w:color w:val="auto"/>
                <w:kern w:val="0"/>
                <w:sz w:val="24"/>
                <w:lang w:val="en-US" w:eastAsia="zh-CN"/>
              </w:rPr>
              <w:t>本项目产生的废气主要为大米加工过程中产生的粉尘以及设备设施运行过程产生的噪声，</w:t>
            </w:r>
            <w:r>
              <w:rPr>
                <w:rFonts w:hint="eastAsia" w:cs="Times New Roman"/>
                <w:bCs/>
                <w:color w:val="auto"/>
                <w:kern w:val="0"/>
                <w:sz w:val="24"/>
                <w:lang w:val="en-US" w:eastAsia="zh-CN"/>
              </w:rPr>
              <w:t>产生的废气</w:t>
            </w:r>
            <w:r>
              <w:rPr>
                <w:rFonts w:hint="eastAsia" w:ascii="Times New Roman" w:hAnsi="Times New Roman" w:cs="Times New Roman"/>
                <w:bCs/>
                <w:color w:val="auto"/>
                <w:kern w:val="0"/>
                <w:sz w:val="24"/>
                <w:lang w:val="en-US" w:eastAsia="zh-CN"/>
              </w:rPr>
              <w:t>采取旋风除尘器+布袋除尘器处理后由15m高排气筒达标排放，排气筒设置在厂区</w:t>
            </w:r>
            <w:r>
              <w:rPr>
                <w:rFonts w:hint="eastAsia" w:cs="Times New Roman"/>
                <w:bCs/>
                <w:color w:val="auto"/>
                <w:kern w:val="0"/>
                <w:sz w:val="24"/>
                <w:lang w:val="en-US" w:eastAsia="zh-CN"/>
              </w:rPr>
              <w:t>南</w:t>
            </w:r>
            <w:r>
              <w:rPr>
                <w:rFonts w:hint="eastAsia" w:ascii="Times New Roman" w:hAnsi="Times New Roman" w:cs="Times New Roman"/>
                <w:bCs/>
                <w:color w:val="auto"/>
                <w:kern w:val="0"/>
                <w:sz w:val="24"/>
                <w:lang w:val="en-US" w:eastAsia="zh-CN"/>
              </w:rPr>
              <w:t>侧，远离</w:t>
            </w:r>
            <w:r>
              <w:rPr>
                <w:rFonts w:hint="eastAsia" w:cs="Times New Roman"/>
                <w:bCs/>
                <w:color w:val="auto"/>
                <w:kern w:val="0"/>
                <w:sz w:val="24"/>
                <w:lang w:val="en-US" w:eastAsia="zh-CN"/>
              </w:rPr>
              <w:t>周边</w:t>
            </w:r>
            <w:r>
              <w:rPr>
                <w:rFonts w:hint="eastAsia" w:ascii="Times New Roman" w:hAnsi="Times New Roman" w:cs="Times New Roman"/>
                <w:bCs/>
                <w:color w:val="auto"/>
                <w:kern w:val="0"/>
                <w:sz w:val="24"/>
                <w:lang w:val="en-US" w:eastAsia="zh-CN"/>
              </w:rPr>
              <w:t>零散住户；项目风机等高噪声设备布置在厂区南侧，通过隔声、减振等措施以降低对外环境的影响，通过预测厂界噪声可达《工业企业厂界环境噪声排放标准》（GB12348-2008）中2类标准，因此项目与周边环境基本相容。同时，企业对周边居民进行了走访询问，走访结果表明周边居民对本项目的建设不持反对意见（项目已将50m范围内的居民点房屋进行租赁，用于企业原料仓储使用）。综上，本项目通过优化厂平面布置，与周边环境基本相容。</w:t>
            </w:r>
          </w:p>
          <w:p w14:paraId="691D9321">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Times New Roman" w:hAnsi="Times New Roman" w:cs="Times New Roman"/>
                <w:bCs/>
                <w:color w:val="auto"/>
                <w:kern w:val="0"/>
                <w:sz w:val="24"/>
                <w:lang w:val="en-US" w:eastAsia="zh-CN"/>
              </w:rPr>
            </w:pPr>
            <w:r>
              <w:rPr>
                <w:rFonts w:hint="eastAsia" w:ascii="Times New Roman" w:hAnsi="Times New Roman" w:cs="Times New Roman"/>
                <w:bCs/>
                <w:color w:val="auto"/>
                <w:kern w:val="0"/>
                <w:sz w:val="24"/>
                <w:lang w:val="en-US" w:eastAsia="zh-CN"/>
              </w:rPr>
              <w:t>根据GB/T26433-2010《粮油加工环境要求》规定，粮油加工企业选址应遵守国家基本建设方针、执行国家技术政策、符合建设总体规划。应注意环境保护，节约用地，尽可能不占或减少占用耕地。本项目选址遵循国家基本建设方针，不在国家限制用地项目目录和禁止用地项目目录内，执行相关国家技术政策，与国家与地区颁布政策方针相符，项目建设用地为工业用地，不占用农田。</w:t>
            </w:r>
          </w:p>
          <w:p w14:paraId="49A55AD6">
            <w:pPr>
              <w:pStyle w:val="11"/>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b w:val="0"/>
                <w:bCs w:val="0"/>
                <w:color w:val="auto"/>
                <w:sz w:val="24"/>
              </w:rPr>
            </w:pPr>
            <w:r>
              <w:rPr>
                <w:rFonts w:hint="eastAsia" w:ascii="Times New Roman" w:hAnsi="Times New Roman" w:cs="Times New Roman"/>
                <w:bCs/>
                <w:color w:val="auto"/>
                <w:kern w:val="0"/>
                <w:sz w:val="24"/>
                <w:lang w:val="en-US" w:eastAsia="zh-CN"/>
              </w:rPr>
              <w:t>综合考虑本项目的规划相容性，和对周围环境保护目标的影响，总平面布置，本项目选址基本可行。</w:t>
            </w:r>
          </w:p>
          <w:p w14:paraId="57563045">
            <w:pPr>
              <w:spacing w:line="360" w:lineRule="auto"/>
              <w:jc w:val="left"/>
              <w:rPr>
                <w:b/>
                <w:color w:val="auto"/>
                <w:sz w:val="24"/>
                <w:szCs w:val="24"/>
              </w:rPr>
            </w:pPr>
            <w:r>
              <w:rPr>
                <w:rFonts w:hint="eastAsia"/>
                <w:b/>
                <w:color w:val="auto"/>
                <w:sz w:val="24"/>
                <w:szCs w:val="24"/>
                <w:lang w:val="en-US" w:eastAsia="zh-CN"/>
              </w:rPr>
              <w:t>2</w:t>
            </w:r>
            <w:r>
              <w:rPr>
                <w:rFonts w:hint="eastAsia"/>
                <w:b/>
                <w:color w:val="auto"/>
                <w:sz w:val="24"/>
                <w:szCs w:val="24"/>
              </w:rPr>
              <w:t>、产业政策符合性分析</w:t>
            </w:r>
          </w:p>
          <w:p w14:paraId="3E582EC5">
            <w:pPr>
              <w:spacing w:line="360" w:lineRule="auto"/>
              <w:ind w:firstLine="480" w:firstLineChars="200"/>
              <w:jc w:val="left"/>
              <w:rPr>
                <w:bCs/>
                <w:color w:val="auto"/>
                <w:sz w:val="24"/>
                <w:szCs w:val="24"/>
              </w:rPr>
            </w:pPr>
            <w:r>
              <w:rPr>
                <w:bCs/>
                <w:color w:val="auto"/>
                <w:sz w:val="24"/>
                <w:szCs w:val="24"/>
              </w:rPr>
              <w:t>（1）对照《产业结构调整指导目录》（20</w:t>
            </w:r>
            <w:r>
              <w:rPr>
                <w:rFonts w:hint="eastAsia"/>
                <w:bCs/>
                <w:color w:val="auto"/>
                <w:sz w:val="24"/>
                <w:szCs w:val="24"/>
              </w:rPr>
              <w:t>24</w:t>
            </w:r>
            <w:r>
              <w:rPr>
                <w:bCs/>
                <w:color w:val="auto"/>
                <w:sz w:val="24"/>
                <w:szCs w:val="24"/>
              </w:rPr>
              <w:t>年本），本项目</w:t>
            </w:r>
            <w:r>
              <w:rPr>
                <w:rFonts w:hint="eastAsia"/>
                <w:bCs/>
                <w:color w:val="auto"/>
                <w:sz w:val="24"/>
                <w:szCs w:val="24"/>
                <w:lang w:eastAsia="zh-CN"/>
              </w:rPr>
              <w:t>不</w:t>
            </w:r>
            <w:r>
              <w:rPr>
                <w:bCs/>
                <w:color w:val="auto"/>
                <w:sz w:val="24"/>
                <w:szCs w:val="24"/>
              </w:rPr>
              <w:t>属于其中的</w:t>
            </w:r>
            <w:r>
              <w:rPr>
                <w:rFonts w:hint="eastAsia"/>
                <w:bCs/>
                <w:color w:val="auto"/>
                <w:sz w:val="24"/>
                <w:szCs w:val="24"/>
                <w:lang w:eastAsia="zh-CN"/>
              </w:rPr>
              <w:t>鼓励类、</w:t>
            </w:r>
            <w:r>
              <w:rPr>
                <w:bCs/>
                <w:color w:val="auto"/>
                <w:sz w:val="24"/>
                <w:szCs w:val="24"/>
              </w:rPr>
              <w:t>淘汰</w:t>
            </w:r>
            <w:r>
              <w:rPr>
                <w:rFonts w:hint="eastAsia"/>
                <w:bCs/>
                <w:color w:val="auto"/>
                <w:sz w:val="24"/>
                <w:szCs w:val="24"/>
                <w:lang w:eastAsia="zh-CN"/>
              </w:rPr>
              <w:t>类</w:t>
            </w:r>
            <w:r>
              <w:rPr>
                <w:bCs/>
                <w:color w:val="auto"/>
                <w:sz w:val="24"/>
                <w:szCs w:val="24"/>
              </w:rPr>
              <w:t>与限制类范畴，</w:t>
            </w:r>
            <w:r>
              <w:rPr>
                <w:rFonts w:hint="eastAsia"/>
                <w:bCs/>
                <w:color w:val="auto"/>
                <w:sz w:val="24"/>
                <w:szCs w:val="24"/>
              </w:rPr>
              <w:t>属于</w:t>
            </w:r>
            <w:r>
              <w:rPr>
                <w:rFonts w:hint="eastAsia"/>
                <w:bCs/>
                <w:color w:val="auto"/>
                <w:sz w:val="24"/>
                <w:szCs w:val="24"/>
                <w:lang w:eastAsia="zh-CN"/>
              </w:rPr>
              <w:t>允许类</w:t>
            </w:r>
            <w:r>
              <w:rPr>
                <w:bCs/>
                <w:color w:val="auto"/>
                <w:sz w:val="24"/>
                <w:szCs w:val="24"/>
              </w:rPr>
              <w:t>，符合产业政策</w:t>
            </w:r>
            <w:r>
              <w:rPr>
                <w:rFonts w:hint="eastAsia"/>
                <w:bCs/>
                <w:color w:val="auto"/>
                <w:sz w:val="24"/>
                <w:szCs w:val="24"/>
              </w:rPr>
              <w:t>。</w:t>
            </w:r>
          </w:p>
          <w:p w14:paraId="1B705872">
            <w:pPr>
              <w:spacing w:line="360" w:lineRule="auto"/>
              <w:ind w:firstLine="480" w:firstLineChars="200"/>
              <w:jc w:val="left"/>
              <w:rPr>
                <w:rFonts w:hint="default" w:ascii="Times New Roman" w:hAnsi="Times New Roman" w:cs="Times New Roman"/>
                <w:bCs/>
                <w:color w:val="auto"/>
                <w:sz w:val="24"/>
                <w:szCs w:val="24"/>
              </w:rPr>
            </w:pPr>
            <w:r>
              <w:rPr>
                <w:rFonts w:hint="eastAsia"/>
                <w:bCs/>
                <w:color w:val="auto"/>
                <w:sz w:val="24"/>
                <w:szCs w:val="24"/>
                <w:lang w:eastAsia="zh-CN"/>
              </w:rPr>
              <w:t>（</w:t>
            </w:r>
            <w:r>
              <w:rPr>
                <w:rFonts w:hint="eastAsia"/>
                <w:bCs/>
                <w:color w:val="auto"/>
                <w:sz w:val="24"/>
                <w:szCs w:val="24"/>
                <w:lang w:val="en-US" w:eastAsia="zh-CN"/>
              </w:rPr>
              <w:t>2</w:t>
            </w:r>
            <w:r>
              <w:rPr>
                <w:rFonts w:hint="eastAsia"/>
                <w:bCs/>
                <w:color w:val="auto"/>
                <w:sz w:val="24"/>
                <w:szCs w:val="24"/>
                <w:lang w:eastAsia="zh-CN"/>
              </w:rPr>
              <w:t>）</w:t>
            </w:r>
            <w:r>
              <w:rPr>
                <w:rFonts w:hint="default" w:ascii="Times New Roman" w:hAnsi="Times New Roman" w:cs="Times New Roman"/>
                <w:bCs/>
                <w:color w:val="auto"/>
                <w:sz w:val="24"/>
                <w:szCs w:val="24"/>
              </w:rPr>
              <w:t>对照国家发展改革委商务部市场监管总局关于印发《市场准入负面清单</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2025年版</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》的通知，本项目属于</w:t>
            </w:r>
            <w:r>
              <w:rPr>
                <w:rFonts w:hint="eastAsia"/>
                <w:color w:val="auto"/>
                <w:sz w:val="24"/>
                <w:szCs w:val="24"/>
                <w:lang w:eastAsia="zh-CN"/>
              </w:rPr>
              <w:t>农副产品加工业</w:t>
            </w:r>
            <w:r>
              <w:rPr>
                <w:rFonts w:hint="default" w:ascii="Times New Roman" w:hAnsi="Times New Roman" w:cs="Times New Roman"/>
                <w:bCs/>
                <w:color w:val="auto"/>
                <w:sz w:val="24"/>
                <w:szCs w:val="24"/>
              </w:rPr>
              <w:t>，不属于《市场准入负面清单</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2025年版</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》禁止准入类和许可准入类，对市场准入负面清单以外的行业、领域、业务等，各类市场主体皆可依法平等进入。因此，项目符合《市场准入负面清单</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2025年版</w:t>
            </w:r>
            <w:r>
              <w:rPr>
                <w:rFonts w:hint="eastAsia" w:ascii="Times New Roman" w:hAnsi="Times New Roman" w:cs="Times New Roman"/>
                <w:bCs/>
                <w:color w:val="auto"/>
                <w:sz w:val="24"/>
                <w:szCs w:val="24"/>
                <w:lang w:eastAsia="zh-CN"/>
              </w:rPr>
              <w:t>）</w:t>
            </w:r>
            <w:r>
              <w:rPr>
                <w:rFonts w:hint="default" w:ascii="Times New Roman" w:hAnsi="Times New Roman" w:cs="Times New Roman"/>
                <w:bCs/>
                <w:color w:val="auto"/>
                <w:sz w:val="24"/>
                <w:szCs w:val="24"/>
              </w:rPr>
              <w:t>》。</w:t>
            </w:r>
          </w:p>
          <w:p w14:paraId="1618AABC">
            <w:pPr>
              <w:spacing w:line="360" w:lineRule="auto"/>
              <w:ind w:firstLine="480" w:firstLineChars="200"/>
              <w:rPr>
                <w:bCs/>
                <w:color w:val="auto"/>
                <w:sz w:val="24"/>
                <w:szCs w:val="24"/>
              </w:rPr>
            </w:pPr>
            <w:r>
              <w:rPr>
                <w:bCs/>
                <w:color w:val="auto"/>
                <w:sz w:val="24"/>
                <w:szCs w:val="24"/>
              </w:rPr>
              <w:t>（</w:t>
            </w:r>
            <w:r>
              <w:rPr>
                <w:rFonts w:hint="eastAsia"/>
                <w:bCs/>
                <w:color w:val="auto"/>
                <w:sz w:val="24"/>
                <w:szCs w:val="24"/>
                <w:lang w:val="en-US" w:eastAsia="zh-CN"/>
              </w:rPr>
              <w:t>3</w:t>
            </w:r>
            <w:r>
              <w:rPr>
                <w:bCs/>
                <w:color w:val="auto"/>
                <w:sz w:val="24"/>
                <w:szCs w:val="24"/>
              </w:rPr>
              <w:t>）</w:t>
            </w:r>
            <w:r>
              <w:rPr>
                <w:rFonts w:hint="eastAsia"/>
                <w:bCs/>
                <w:color w:val="auto"/>
                <w:sz w:val="24"/>
                <w:szCs w:val="24"/>
              </w:rPr>
              <w:t>本</w:t>
            </w:r>
            <w:r>
              <w:rPr>
                <w:bCs/>
                <w:color w:val="auto"/>
                <w:sz w:val="24"/>
                <w:szCs w:val="24"/>
              </w:rPr>
              <w:t>项目已</w:t>
            </w:r>
            <w:r>
              <w:rPr>
                <w:rFonts w:hint="eastAsia"/>
                <w:bCs/>
                <w:color w:val="auto"/>
                <w:sz w:val="24"/>
                <w:szCs w:val="24"/>
              </w:rPr>
              <w:t>于202</w:t>
            </w:r>
            <w:r>
              <w:rPr>
                <w:rFonts w:hint="eastAsia"/>
                <w:bCs/>
                <w:color w:val="auto"/>
                <w:sz w:val="24"/>
                <w:szCs w:val="24"/>
                <w:lang w:val="en-US" w:eastAsia="zh-CN"/>
              </w:rPr>
              <w:t>4</w:t>
            </w:r>
            <w:r>
              <w:rPr>
                <w:rFonts w:hint="eastAsia"/>
                <w:bCs/>
                <w:color w:val="auto"/>
                <w:sz w:val="24"/>
                <w:szCs w:val="24"/>
              </w:rPr>
              <w:t>年</w:t>
            </w:r>
            <w:r>
              <w:rPr>
                <w:rFonts w:hint="eastAsia"/>
                <w:bCs/>
                <w:color w:val="auto"/>
                <w:sz w:val="24"/>
                <w:szCs w:val="24"/>
                <w:lang w:val="en-US" w:eastAsia="zh-CN"/>
              </w:rPr>
              <w:t>11</w:t>
            </w:r>
            <w:r>
              <w:rPr>
                <w:rFonts w:hint="eastAsia"/>
                <w:bCs/>
                <w:color w:val="auto"/>
                <w:sz w:val="24"/>
                <w:szCs w:val="24"/>
              </w:rPr>
              <w:t>月</w:t>
            </w:r>
            <w:r>
              <w:rPr>
                <w:rFonts w:hint="eastAsia"/>
                <w:bCs/>
                <w:color w:val="auto"/>
                <w:sz w:val="24"/>
                <w:szCs w:val="24"/>
                <w:lang w:val="en-US" w:eastAsia="zh-CN"/>
              </w:rPr>
              <w:t>8</w:t>
            </w:r>
            <w:r>
              <w:rPr>
                <w:rFonts w:hint="eastAsia"/>
                <w:bCs/>
                <w:color w:val="auto"/>
                <w:sz w:val="24"/>
                <w:szCs w:val="24"/>
              </w:rPr>
              <w:t>日</w:t>
            </w:r>
            <w:r>
              <w:rPr>
                <w:bCs/>
                <w:color w:val="auto"/>
                <w:sz w:val="24"/>
                <w:szCs w:val="24"/>
              </w:rPr>
              <w:t>获得</w:t>
            </w:r>
            <w:r>
              <w:rPr>
                <w:rFonts w:hint="eastAsia"/>
                <w:bCs/>
                <w:color w:val="auto"/>
                <w:sz w:val="24"/>
                <w:szCs w:val="24"/>
                <w:lang w:eastAsia="zh-CN"/>
              </w:rPr>
              <w:t>潘集区发展改革委</w:t>
            </w:r>
            <w:r>
              <w:rPr>
                <w:rFonts w:hint="eastAsia"/>
                <w:bCs/>
                <w:color w:val="auto"/>
                <w:sz w:val="24"/>
                <w:szCs w:val="24"/>
              </w:rPr>
              <w:t>备案文件《</w:t>
            </w:r>
            <w:r>
              <w:rPr>
                <w:rFonts w:hint="eastAsia"/>
                <w:bCs/>
                <w:color w:val="auto"/>
                <w:sz w:val="24"/>
                <w:szCs w:val="24"/>
                <w:lang w:eastAsia="zh-CN"/>
              </w:rPr>
              <w:t>潘集区发展改革委项目</w:t>
            </w:r>
            <w:r>
              <w:rPr>
                <w:rFonts w:hint="eastAsia"/>
                <w:bCs/>
                <w:color w:val="auto"/>
                <w:sz w:val="24"/>
                <w:szCs w:val="24"/>
              </w:rPr>
              <w:t>备案表》</w:t>
            </w:r>
            <w:r>
              <w:rPr>
                <w:bCs/>
                <w:color w:val="auto"/>
                <w:sz w:val="24"/>
                <w:szCs w:val="24"/>
              </w:rPr>
              <w:t>（</w:t>
            </w:r>
            <w:r>
              <w:rPr>
                <w:rFonts w:hint="eastAsia"/>
                <w:bCs/>
                <w:color w:val="auto"/>
                <w:sz w:val="24"/>
                <w:szCs w:val="24"/>
              </w:rPr>
              <w:t>项目代码：</w:t>
            </w:r>
            <w:r>
              <w:rPr>
                <w:rFonts w:hint="eastAsia"/>
                <w:bCs/>
                <w:color w:val="auto"/>
                <w:sz w:val="24"/>
                <w:szCs w:val="24"/>
                <w:lang w:val="en-US" w:eastAsia="zh-CN"/>
              </w:rPr>
              <w:t>2104-340406-04-01-778237</w:t>
            </w:r>
            <w:r>
              <w:rPr>
                <w:bCs/>
                <w:color w:val="auto"/>
                <w:sz w:val="24"/>
                <w:szCs w:val="24"/>
              </w:rPr>
              <w:t>）</w:t>
            </w:r>
            <w:r>
              <w:rPr>
                <w:rFonts w:hint="eastAsia"/>
                <w:bCs/>
                <w:color w:val="auto"/>
                <w:sz w:val="24"/>
                <w:szCs w:val="24"/>
              </w:rPr>
              <w:t>，因此本项目</w:t>
            </w:r>
            <w:r>
              <w:rPr>
                <w:bCs/>
                <w:color w:val="auto"/>
                <w:sz w:val="24"/>
                <w:szCs w:val="24"/>
              </w:rPr>
              <w:t>符合产业政策。</w:t>
            </w:r>
          </w:p>
          <w:p w14:paraId="6EF058A8">
            <w:pPr>
              <w:spacing w:line="360" w:lineRule="auto"/>
              <w:ind w:firstLine="480" w:firstLineChars="200"/>
              <w:jc w:val="left"/>
              <w:rPr>
                <w:bCs/>
                <w:color w:val="auto"/>
                <w:sz w:val="24"/>
                <w:szCs w:val="24"/>
              </w:rPr>
            </w:pPr>
            <w:r>
              <w:rPr>
                <w:bCs/>
                <w:color w:val="auto"/>
                <w:sz w:val="24"/>
                <w:szCs w:val="24"/>
              </w:rPr>
              <w:t>综上所述，拟建项目符合国家和地方产业政策。</w:t>
            </w:r>
          </w:p>
          <w:p w14:paraId="42478392">
            <w:pPr>
              <w:spacing w:line="360" w:lineRule="auto"/>
              <w:jc w:val="left"/>
              <w:rPr>
                <w:b/>
                <w:color w:val="auto"/>
                <w:sz w:val="24"/>
                <w:szCs w:val="24"/>
              </w:rPr>
            </w:pPr>
            <w:r>
              <w:rPr>
                <w:rFonts w:hint="eastAsia"/>
                <w:b/>
                <w:color w:val="auto"/>
                <w:sz w:val="24"/>
                <w:szCs w:val="24"/>
                <w:lang w:val="en-US" w:eastAsia="zh-CN"/>
              </w:rPr>
              <w:t>3</w:t>
            </w:r>
            <w:r>
              <w:rPr>
                <w:rFonts w:hint="eastAsia"/>
                <w:b/>
                <w:color w:val="auto"/>
                <w:sz w:val="24"/>
                <w:szCs w:val="24"/>
              </w:rPr>
              <w:t>、与“三线一单”符合性分析</w:t>
            </w:r>
          </w:p>
          <w:p w14:paraId="3DE565C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jc w:val="left"/>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eastAsia="zh-CN"/>
              </w:rPr>
              <w:t>根据《关于以改善环境质量为核心加强环境影响评价管理的通知》（环环评</w:t>
            </w:r>
            <w:r>
              <w:rPr>
                <w:rFonts w:hint="eastAsia" w:cs="Times New Roman"/>
                <w:color w:val="auto"/>
                <w:sz w:val="24"/>
                <w:szCs w:val="24"/>
                <w:lang w:eastAsia="zh-CN"/>
              </w:rPr>
              <w:t>〔2016〕150号</w:t>
            </w:r>
            <w:r>
              <w:rPr>
                <w:rFonts w:hint="default" w:ascii="Times New Roman" w:hAnsi="Times New Roman" w:eastAsia="宋体" w:cs="Times New Roman"/>
                <w:color w:val="auto"/>
                <w:sz w:val="24"/>
                <w:szCs w:val="24"/>
                <w:lang w:eastAsia="zh-CN"/>
              </w:rPr>
              <w:t>）要求，切实加强环境影响评价管理，落实</w:t>
            </w:r>
            <w:r>
              <w:rPr>
                <w:rFonts w:hint="eastAsia" w:ascii="宋体" w:hAnsi="宋体" w:eastAsia="宋体" w:cs="宋体"/>
                <w:color w:val="auto"/>
                <w:sz w:val="24"/>
                <w:szCs w:val="24"/>
                <w:lang w:eastAsia="zh-CN"/>
              </w:rPr>
              <w:t>“生态保护红线、环境质量底线、资源利用上线和环境准入负面清单”</w:t>
            </w:r>
            <w:r>
              <w:rPr>
                <w:rFonts w:hint="default" w:ascii="Times New Roman" w:hAnsi="Times New Roman" w:eastAsia="宋体" w:cs="Times New Roman"/>
                <w:color w:val="auto"/>
                <w:sz w:val="24"/>
                <w:szCs w:val="24"/>
                <w:lang w:eastAsia="zh-CN"/>
              </w:rPr>
              <w:t>约束，建立项目环评审批与规划、现有项目环境管理、区域环境质量联动机制，更好地发挥环评制度从源头防范环境污染和生态破坏的作用，加强推进改善环境质量。本项目与</w:t>
            </w:r>
            <w:r>
              <w:rPr>
                <w:rFonts w:hint="eastAsia" w:ascii="宋体" w:hAnsi="宋体" w:eastAsia="宋体" w:cs="宋体"/>
                <w:color w:val="auto"/>
                <w:sz w:val="24"/>
                <w:szCs w:val="24"/>
                <w:lang w:eastAsia="zh-CN"/>
              </w:rPr>
              <w:t>“三线一单”</w:t>
            </w:r>
            <w:r>
              <w:rPr>
                <w:rFonts w:hint="default" w:ascii="Times New Roman" w:hAnsi="Times New Roman" w:eastAsia="宋体" w:cs="Times New Roman"/>
                <w:color w:val="auto"/>
                <w:sz w:val="24"/>
                <w:szCs w:val="24"/>
                <w:lang w:eastAsia="zh-CN"/>
              </w:rPr>
              <w:t>符合性</w:t>
            </w:r>
            <w:r>
              <w:rPr>
                <w:rFonts w:hint="eastAsia" w:ascii="Times New Roman" w:hAnsi="Times New Roman" w:eastAsia="宋体" w:cs="Times New Roman"/>
                <w:color w:val="auto"/>
                <w:sz w:val="24"/>
                <w:szCs w:val="24"/>
                <w:lang w:val="en-US" w:eastAsia="zh-CN"/>
              </w:rPr>
              <w:t>分析</w:t>
            </w:r>
            <w:r>
              <w:rPr>
                <w:rFonts w:hint="default" w:ascii="Times New Roman" w:hAnsi="Times New Roman" w:eastAsia="宋体" w:cs="Times New Roman"/>
                <w:color w:val="auto"/>
                <w:sz w:val="24"/>
                <w:szCs w:val="24"/>
                <w:lang w:eastAsia="zh-CN"/>
              </w:rPr>
              <w:t>见下表。</w:t>
            </w:r>
          </w:p>
          <w:p w14:paraId="360DF812">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sz w:val="21"/>
                <w:szCs w:val="21"/>
                <w:highlight w:val="none"/>
                <w:lang w:val="zh-CN"/>
              </w:rPr>
            </w:pPr>
            <w:r>
              <w:rPr>
                <w:rFonts w:hint="default" w:ascii="Times New Roman" w:hAnsi="Times New Roman" w:eastAsia="宋体" w:cs="Times New Roman"/>
                <w:b/>
                <w:bCs/>
                <w:color w:val="auto"/>
                <w:sz w:val="21"/>
                <w:szCs w:val="21"/>
                <w:lang w:eastAsia="zh-CN"/>
              </w:rPr>
              <w:t>表</w:t>
            </w:r>
            <w:r>
              <w:rPr>
                <w:rFonts w:hint="eastAsia" w:ascii="Times New Roman" w:hAnsi="Times New Roman" w:eastAsia="宋体"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w:t>
            </w:r>
            <w:r>
              <w:rPr>
                <w:rFonts w:hint="eastAsia" w:cs="Times New Roman"/>
                <w:b/>
                <w:bCs/>
                <w:color w:val="auto"/>
                <w:sz w:val="21"/>
                <w:szCs w:val="21"/>
                <w:lang w:val="en-US" w:eastAsia="zh-CN"/>
              </w:rPr>
              <w:t>1</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highlight w:val="none"/>
                <w:lang w:val="zh-CN"/>
              </w:rPr>
              <w:t>“三线一单”符合性分析一览表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1"/>
              <w:gridCol w:w="2973"/>
              <w:gridCol w:w="3348"/>
              <w:gridCol w:w="697"/>
            </w:tblGrid>
            <w:tr w14:paraId="35BD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 w:type="pct"/>
                  <w:noWrap w:val="0"/>
                  <w:vAlign w:val="center"/>
                </w:tcPr>
                <w:p w14:paraId="7BB0CE37">
                  <w:pPr>
                    <w:spacing w:line="360" w:lineRule="exact"/>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内容</w:t>
                  </w:r>
                </w:p>
              </w:tc>
              <w:tc>
                <w:tcPr>
                  <w:tcW w:w="1958" w:type="pct"/>
                  <w:noWrap w:val="0"/>
                  <w:vAlign w:val="center"/>
                </w:tcPr>
                <w:p w14:paraId="6ADDB9E9">
                  <w:pPr>
                    <w:spacing w:line="360" w:lineRule="exact"/>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kern w:val="0"/>
                      <w:sz w:val="21"/>
                      <w:szCs w:val="21"/>
                    </w:rPr>
                    <w:t>文件要求</w:t>
                  </w:r>
                </w:p>
              </w:tc>
              <w:tc>
                <w:tcPr>
                  <w:tcW w:w="2205" w:type="pct"/>
                  <w:noWrap w:val="0"/>
                  <w:vAlign w:val="center"/>
                </w:tcPr>
                <w:p w14:paraId="78BAD3EA">
                  <w:pPr>
                    <w:spacing w:line="360" w:lineRule="exact"/>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sz w:val="21"/>
                      <w:szCs w:val="21"/>
                    </w:rPr>
                    <w:t>本项目情况对照简析</w:t>
                  </w:r>
                </w:p>
              </w:tc>
              <w:tc>
                <w:tcPr>
                  <w:tcW w:w="459" w:type="pct"/>
                  <w:noWrap w:val="0"/>
                  <w:vAlign w:val="center"/>
                </w:tcPr>
                <w:p w14:paraId="475AB692">
                  <w:pPr>
                    <w:spacing w:line="360" w:lineRule="exact"/>
                    <w:jc w:val="center"/>
                    <w:rPr>
                      <w:rFonts w:hint="default" w:ascii="Times New Roman" w:hAnsi="Times New Roman" w:eastAsia="宋体" w:cs="Times New Roman"/>
                      <w:b/>
                      <w:bCs w:val="0"/>
                      <w:color w:val="auto"/>
                      <w:kern w:val="0"/>
                      <w:sz w:val="21"/>
                      <w:szCs w:val="21"/>
                    </w:rPr>
                  </w:pPr>
                  <w:r>
                    <w:rPr>
                      <w:rFonts w:hint="default" w:ascii="Times New Roman" w:hAnsi="Times New Roman" w:eastAsia="宋体" w:cs="Times New Roman"/>
                      <w:b/>
                      <w:bCs w:val="0"/>
                      <w:color w:val="auto"/>
                      <w:sz w:val="21"/>
                      <w:szCs w:val="21"/>
                    </w:rPr>
                    <w:t>分析结果</w:t>
                  </w:r>
                </w:p>
              </w:tc>
            </w:tr>
            <w:tr w14:paraId="0B5A3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6" w:hRule="atLeast"/>
              </w:trPr>
              <w:tc>
                <w:tcPr>
                  <w:tcW w:w="376" w:type="pct"/>
                  <w:noWrap w:val="0"/>
                  <w:vAlign w:val="center"/>
                </w:tcPr>
                <w:p w14:paraId="6AFC4190">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生态保护红线</w:t>
                  </w:r>
                </w:p>
              </w:tc>
              <w:tc>
                <w:tcPr>
                  <w:tcW w:w="1958" w:type="pct"/>
                  <w:noWrap w:val="0"/>
                  <w:vAlign w:val="center"/>
                </w:tcPr>
                <w:p w14:paraId="71A288C7">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生态保护红线是生态空间范围内具有特殊重要生态功能必须实行强制性严格保护的区域。在生态保护红线范围内，严控各类开发建设活动，依法不予审批新建工业项目和矿产开发</w:t>
                  </w:r>
                </w:p>
              </w:tc>
              <w:tc>
                <w:tcPr>
                  <w:tcW w:w="2205" w:type="pct"/>
                  <w:noWrap w:val="0"/>
                  <w:vAlign w:val="center"/>
                </w:tcPr>
                <w:p w14:paraId="7DE2286E">
                  <w:pPr>
                    <w:spacing w:line="360" w:lineRule="exact"/>
                    <w:jc w:val="center"/>
                    <w:rPr>
                      <w:rFonts w:hint="eastAsia" w:ascii="Times New Roman" w:hAnsi="Times New Roman" w:eastAsia="宋体" w:cs="Times New Roman"/>
                      <w:bCs/>
                      <w:color w:val="auto"/>
                      <w:kern w:val="0"/>
                      <w:sz w:val="21"/>
                      <w:szCs w:val="21"/>
                      <w:lang w:eastAsia="zh-CN"/>
                    </w:rPr>
                  </w:pPr>
                  <w:r>
                    <w:rPr>
                      <w:rFonts w:hint="default" w:ascii="Times New Roman" w:hAnsi="Times New Roman" w:eastAsia="宋体" w:cs="Times New Roman"/>
                      <w:bCs/>
                      <w:color w:val="auto"/>
                      <w:kern w:val="0"/>
                      <w:sz w:val="21"/>
                      <w:szCs w:val="21"/>
                    </w:rPr>
                    <w:t>本项目位于</w:t>
                  </w:r>
                  <w:r>
                    <w:rPr>
                      <w:rFonts w:hint="default" w:ascii="Times New Roman" w:hAnsi="Times New Roman" w:eastAsia="宋体" w:cs="Times New Roman"/>
                      <w:bCs/>
                      <w:color w:val="auto"/>
                      <w:kern w:val="0"/>
                      <w:sz w:val="21"/>
                      <w:szCs w:val="21"/>
                      <w:lang w:val="en-US" w:eastAsia="zh-CN"/>
                    </w:rPr>
                    <w:t>淮南市潘集区平圩镇</w:t>
                  </w:r>
                  <w:r>
                    <w:rPr>
                      <w:rFonts w:hint="eastAsia" w:ascii="Times New Roman" w:hAnsi="Times New Roman" w:eastAsia="宋体" w:cs="Times New Roman"/>
                      <w:bCs/>
                      <w:color w:val="auto"/>
                      <w:kern w:val="0"/>
                      <w:sz w:val="21"/>
                      <w:szCs w:val="21"/>
                      <w:lang w:val="en-US" w:eastAsia="zh-CN"/>
                    </w:rPr>
                    <w:t>邵圩</w:t>
                  </w:r>
                  <w:r>
                    <w:rPr>
                      <w:rFonts w:hint="eastAsia" w:cs="Times New Roman"/>
                      <w:bCs/>
                      <w:color w:val="auto"/>
                      <w:kern w:val="0"/>
                      <w:sz w:val="21"/>
                      <w:szCs w:val="21"/>
                      <w:lang w:val="en-US" w:eastAsia="zh-CN"/>
                    </w:rPr>
                    <w:t>村</w:t>
                  </w:r>
                  <w:r>
                    <w:rPr>
                      <w:rFonts w:hint="default" w:ascii="Times New Roman" w:hAnsi="Times New Roman" w:eastAsia="宋体" w:cs="Times New Roman"/>
                      <w:bCs/>
                      <w:color w:val="auto"/>
                      <w:kern w:val="0"/>
                      <w:sz w:val="21"/>
                      <w:szCs w:val="21"/>
                    </w:rPr>
                    <w:t>，根据《淮南市</w:t>
                  </w:r>
                  <w:r>
                    <w:rPr>
                      <w:rFonts w:hint="eastAsia" w:ascii="宋体" w:hAnsi="宋体" w:eastAsia="宋体" w:cs="宋体"/>
                      <w:bCs/>
                      <w:color w:val="auto"/>
                      <w:kern w:val="0"/>
                      <w:sz w:val="21"/>
                      <w:szCs w:val="21"/>
                    </w:rPr>
                    <w:t>“三线一单”</w:t>
                  </w:r>
                  <w:r>
                    <w:rPr>
                      <w:rFonts w:hint="default" w:ascii="Times New Roman" w:hAnsi="Times New Roman" w:eastAsia="宋体" w:cs="Times New Roman"/>
                      <w:bCs/>
                      <w:color w:val="auto"/>
                      <w:kern w:val="0"/>
                      <w:sz w:val="21"/>
                      <w:szCs w:val="21"/>
                    </w:rPr>
                    <w:t>编制文本》，项目所处区域无自然保护区、风景名胜区、文化自然遗产等，不属于生态保护红线管控的区域，符合生态保护红线要求</w:t>
                  </w:r>
                </w:p>
              </w:tc>
              <w:tc>
                <w:tcPr>
                  <w:tcW w:w="459" w:type="pct"/>
                  <w:noWrap w:val="0"/>
                  <w:vAlign w:val="center"/>
                </w:tcPr>
                <w:p w14:paraId="5D79286D">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符合</w:t>
                  </w:r>
                </w:p>
              </w:tc>
            </w:tr>
            <w:tr w14:paraId="0EA83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 w:type="pct"/>
                  <w:noWrap w:val="0"/>
                  <w:vAlign w:val="center"/>
                </w:tcPr>
                <w:p w14:paraId="2ECA48FE">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环境质量</w:t>
                  </w:r>
                  <w:r>
                    <w:rPr>
                      <w:rFonts w:hint="eastAsia" w:cs="Times New Roman"/>
                      <w:color w:val="auto"/>
                      <w:sz w:val="21"/>
                      <w:szCs w:val="21"/>
                      <w:lang w:eastAsia="zh-CN"/>
                    </w:rPr>
                    <w:t>底线</w:t>
                  </w:r>
                </w:p>
              </w:tc>
              <w:tc>
                <w:tcPr>
                  <w:tcW w:w="1958" w:type="pct"/>
                  <w:noWrap w:val="0"/>
                  <w:vAlign w:val="center"/>
                </w:tcPr>
                <w:p w14:paraId="154E2B58">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2205" w:type="pct"/>
                  <w:noWrap w:val="0"/>
                  <w:vAlign w:val="center"/>
                </w:tcPr>
                <w:p w14:paraId="4AA26AC5">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zh-CN" w:eastAsia="zh-CN"/>
                    </w:rPr>
                    <w:t>根据202</w:t>
                  </w:r>
                  <w:r>
                    <w:rPr>
                      <w:rFonts w:hint="eastAsia" w:ascii="Times New Roman" w:hAnsi="Times New Roman" w:eastAsia="宋体" w:cs="Times New Roman"/>
                      <w:bCs/>
                      <w:color w:val="auto"/>
                      <w:kern w:val="0"/>
                      <w:sz w:val="21"/>
                      <w:szCs w:val="21"/>
                      <w:lang w:val="en-US" w:eastAsia="zh-CN"/>
                    </w:rPr>
                    <w:t>4</w:t>
                  </w:r>
                  <w:r>
                    <w:rPr>
                      <w:rFonts w:hint="default" w:ascii="Times New Roman" w:hAnsi="Times New Roman" w:eastAsia="宋体" w:cs="Times New Roman"/>
                      <w:bCs/>
                      <w:color w:val="auto"/>
                      <w:kern w:val="0"/>
                      <w:sz w:val="21"/>
                      <w:szCs w:val="21"/>
                      <w:lang w:val="zh-CN" w:eastAsia="zh-CN"/>
                    </w:rPr>
                    <w:t>年淮南市环境质量公报统计结果，项目所在区域</w:t>
                  </w:r>
                  <w:r>
                    <w:rPr>
                      <w:rFonts w:hint="default" w:ascii="Times New Roman" w:hAnsi="Times New Roman" w:eastAsia="宋体" w:cs="Times New Roman"/>
                      <w:bCs/>
                      <w:color w:val="auto"/>
                      <w:kern w:val="0"/>
                      <w:sz w:val="21"/>
                      <w:szCs w:val="21"/>
                      <w:lang w:val="en-US" w:eastAsia="zh-CN"/>
                    </w:rPr>
                    <w:t>202</w:t>
                  </w:r>
                  <w:r>
                    <w:rPr>
                      <w:rFonts w:hint="eastAsia" w:ascii="Times New Roman" w:hAnsi="Times New Roman" w:eastAsia="宋体" w:cs="Times New Roman"/>
                      <w:bCs/>
                      <w:color w:val="auto"/>
                      <w:kern w:val="0"/>
                      <w:sz w:val="21"/>
                      <w:szCs w:val="21"/>
                      <w:lang w:val="en-US" w:eastAsia="zh-CN"/>
                    </w:rPr>
                    <w:t>4</w:t>
                  </w:r>
                  <w:r>
                    <w:rPr>
                      <w:rFonts w:hint="default" w:ascii="Times New Roman" w:hAnsi="Times New Roman" w:eastAsia="宋体" w:cs="Times New Roman"/>
                      <w:bCs/>
                      <w:color w:val="auto"/>
                      <w:kern w:val="0"/>
                      <w:sz w:val="21"/>
                      <w:szCs w:val="21"/>
                      <w:lang w:val="en-US" w:eastAsia="zh-CN"/>
                    </w:rPr>
                    <w:t>年PM</w:t>
                  </w:r>
                  <w:r>
                    <w:rPr>
                      <w:rFonts w:hint="eastAsia" w:cs="Times New Roman"/>
                      <w:bCs/>
                      <w:color w:val="auto"/>
                      <w:kern w:val="0"/>
                      <w:sz w:val="21"/>
                      <w:szCs w:val="21"/>
                      <w:vertAlign w:val="subscript"/>
                      <w:lang w:val="en-US" w:eastAsia="zh-CN"/>
                    </w:rPr>
                    <w:t>2.5</w:t>
                  </w:r>
                  <w:r>
                    <w:rPr>
                      <w:rFonts w:hint="default" w:ascii="Times New Roman" w:hAnsi="Times New Roman" w:eastAsia="宋体" w:cs="Times New Roman"/>
                      <w:bCs/>
                      <w:color w:val="auto"/>
                      <w:kern w:val="0"/>
                      <w:sz w:val="21"/>
                      <w:szCs w:val="21"/>
                      <w:lang w:val="en-US" w:eastAsia="zh-CN"/>
                    </w:rPr>
                    <w:t>年平均质量浓度超标，</w:t>
                  </w:r>
                  <w:r>
                    <w:rPr>
                      <w:rFonts w:hint="default" w:ascii="Times New Roman" w:hAnsi="Times New Roman" w:eastAsia="宋体" w:cs="Times New Roman"/>
                      <w:bCs/>
                      <w:color w:val="auto"/>
                      <w:kern w:val="0"/>
                      <w:sz w:val="21"/>
                      <w:szCs w:val="21"/>
                      <w:lang w:val="zh-CN" w:eastAsia="zh-CN"/>
                    </w:rPr>
                    <w:t>其他基本污染物均满足《环境空气质量标准》（GB3095-2012）中二级标准要求，项目所在区域空气质量判定为不达标区，对此淮南市生态环境局采取一系列措施努力做到环境空气质量的改善。</w:t>
                  </w:r>
                  <w:r>
                    <w:rPr>
                      <w:rFonts w:hint="eastAsia" w:cs="Times New Roman"/>
                      <w:bCs/>
                      <w:color w:val="auto"/>
                      <w:kern w:val="0"/>
                      <w:sz w:val="21"/>
                      <w:szCs w:val="21"/>
                      <w:lang w:val="en-US" w:eastAsia="zh-CN"/>
                    </w:rPr>
                    <w:t>泥河</w:t>
                  </w:r>
                  <w:r>
                    <w:rPr>
                      <w:rFonts w:hint="default" w:ascii="Times New Roman" w:hAnsi="Times New Roman" w:eastAsia="宋体" w:cs="Times New Roman"/>
                      <w:bCs/>
                      <w:color w:val="auto"/>
                      <w:kern w:val="0"/>
                      <w:sz w:val="21"/>
                      <w:szCs w:val="21"/>
                      <w:lang w:val="zh-CN" w:eastAsia="zh-CN"/>
                    </w:rPr>
                    <w:t>水质满足《地表水环境质量标准》（GB3838-2002）中Ⅲ类标准要求。本项目废水、废气、固体废物均得到合理处置，噪声对周边影响较小，不会突破项目所在地的环境质量底线</w:t>
                  </w:r>
                </w:p>
              </w:tc>
              <w:tc>
                <w:tcPr>
                  <w:tcW w:w="459" w:type="pct"/>
                  <w:noWrap w:val="0"/>
                  <w:vAlign w:val="center"/>
                </w:tcPr>
                <w:p w14:paraId="4DD98951">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符合</w:t>
                  </w:r>
                </w:p>
              </w:tc>
            </w:tr>
            <w:tr w14:paraId="577D5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 w:type="pct"/>
                  <w:noWrap w:val="0"/>
                  <w:vAlign w:val="center"/>
                </w:tcPr>
                <w:p w14:paraId="4CE7097B">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资源利用上线</w:t>
                  </w:r>
                </w:p>
              </w:tc>
              <w:tc>
                <w:tcPr>
                  <w:tcW w:w="1958" w:type="pct"/>
                  <w:noWrap w:val="0"/>
                  <w:vAlign w:val="center"/>
                </w:tcPr>
                <w:p w14:paraId="5C259F90">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依据有关资源利用上线要求，即各地区能源、水、土地等资源消耗是不得突破的</w:t>
                  </w:r>
                  <w:r>
                    <w:rPr>
                      <w:rFonts w:hint="eastAsia" w:ascii="宋体" w:hAnsi="宋体" w:eastAsia="宋体" w:cs="宋体"/>
                      <w:color w:val="auto"/>
                      <w:sz w:val="21"/>
                      <w:szCs w:val="21"/>
                    </w:rPr>
                    <w:t>“天花板”</w:t>
                  </w:r>
                </w:p>
              </w:tc>
              <w:tc>
                <w:tcPr>
                  <w:tcW w:w="2205" w:type="pct"/>
                  <w:noWrap w:val="0"/>
                  <w:vAlign w:val="center"/>
                </w:tcPr>
                <w:p w14:paraId="08266873">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本项目所使用的资源能源主要为水、电能等，物耗及能耗水平较低。工艺设备选用了高效、先进的设备，提高了生产效率，通过内部管理、设备选择、原辅材料的选用和管理、废物回收利用、污染治理等方面采取合理可行的防治措施，以</w:t>
                  </w:r>
                  <w:r>
                    <w:rPr>
                      <w:rFonts w:hint="eastAsia" w:ascii="宋体" w:hAnsi="宋体" w:eastAsia="宋体" w:cs="宋体"/>
                      <w:color w:val="auto"/>
                      <w:sz w:val="21"/>
                      <w:szCs w:val="21"/>
                    </w:rPr>
                    <w:t>“节能、降耗、减污”</w:t>
                  </w:r>
                  <w:r>
                    <w:rPr>
                      <w:rFonts w:hint="default" w:ascii="Times New Roman" w:hAnsi="Times New Roman" w:eastAsia="宋体" w:cs="Times New Roman"/>
                      <w:color w:val="auto"/>
                      <w:sz w:val="21"/>
                      <w:szCs w:val="21"/>
                    </w:rPr>
                    <w:t>为目标，有效的控制污染。项目的水、电等资源利用不会突破区域的资源利用上线</w:t>
                  </w:r>
                </w:p>
              </w:tc>
              <w:tc>
                <w:tcPr>
                  <w:tcW w:w="459" w:type="pct"/>
                  <w:noWrap w:val="0"/>
                  <w:vAlign w:val="center"/>
                </w:tcPr>
                <w:p w14:paraId="09333259">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符合</w:t>
                  </w:r>
                </w:p>
              </w:tc>
            </w:tr>
            <w:tr w14:paraId="175311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76" w:type="pct"/>
                  <w:noWrap w:val="0"/>
                  <w:vAlign w:val="center"/>
                </w:tcPr>
                <w:p w14:paraId="70FD8E3C">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环境准入负面清单</w:t>
                  </w:r>
                </w:p>
              </w:tc>
              <w:tc>
                <w:tcPr>
                  <w:tcW w:w="1958" w:type="pct"/>
                  <w:noWrap w:val="0"/>
                  <w:vAlign w:val="center"/>
                </w:tcPr>
                <w:p w14:paraId="572F3545">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color w:val="auto"/>
                      <w:sz w:val="21"/>
                      <w:szCs w:val="21"/>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2205" w:type="pct"/>
                  <w:noWrap w:val="0"/>
                  <w:vAlign w:val="center"/>
                </w:tcPr>
                <w:p w14:paraId="45262697">
                  <w:pPr>
                    <w:spacing w:line="360" w:lineRule="exact"/>
                    <w:jc w:val="center"/>
                    <w:rPr>
                      <w:rFonts w:hint="eastAsia" w:ascii="Times New Roman" w:hAnsi="Times New Roman" w:eastAsia="宋体" w:cs="Times New Roman"/>
                      <w:bCs/>
                      <w:color w:val="auto"/>
                      <w:kern w:val="0"/>
                      <w:sz w:val="21"/>
                      <w:szCs w:val="21"/>
                      <w:lang w:eastAsia="zh-CN"/>
                    </w:rPr>
                  </w:pPr>
                  <w:r>
                    <w:rPr>
                      <w:rFonts w:hint="eastAsia" w:ascii="Times New Roman" w:hAnsi="Times New Roman" w:eastAsia="宋体" w:cs="Times New Roman"/>
                      <w:bCs/>
                      <w:color w:val="auto"/>
                      <w:kern w:val="0"/>
                      <w:sz w:val="21"/>
                      <w:szCs w:val="21"/>
                      <w:lang w:eastAsia="zh-CN"/>
                    </w:rPr>
                    <w:t>本项目为</w:t>
                  </w:r>
                  <w:r>
                    <w:rPr>
                      <w:rFonts w:hint="eastAsia" w:ascii="Times New Roman" w:hAnsi="Times New Roman" w:eastAsia="宋体" w:cs="Times New Roman"/>
                      <w:bCs/>
                      <w:color w:val="auto"/>
                      <w:kern w:val="0"/>
                      <w:sz w:val="21"/>
                      <w:szCs w:val="21"/>
                      <w:lang w:val="en-US" w:eastAsia="zh-CN"/>
                    </w:rPr>
                    <w:t>C1311稻谷加工，</w:t>
                  </w:r>
                  <w:r>
                    <w:rPr>
                      <w:rFonts w:hint="eastAsia" w:ascii="Times New Roman" w:hAnsi="Times New Roman" w:eastAsia="宋体" w:cs="Times New Roman"/>
                      <w:bCs/>
                      <w:color w:val="auto"/>
                      <w:kern w:val="0"/>
                      <w:sz w:val="21"/>
                      <w:szCs w:val="21"/>
                      <w:lang w:eastAsia="zh-CN"/>
                    </w:rPr>
                    <w:t>本项目已取得备案。因此，该项目符合国家、地方产业政策。</w:t>
                  </w:r>
                </w:p>
              </w:tc>
              <w:tc>
                <w:tcPr>
                  <w:tcW w:w="459" w:type="pct"/>
                  <w:noWrap w:val="0"/>
                  <w:vAlign w:val="center"/>
                </w:tcPr>
                <w:p w14:paraId="245EF4CE">
                  <w:pPr>
                    <w:spacing w:line="360" w:lineRule="exact"/>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rPr>
                    <w:t>符合</w:t>
                  </w:r>
                </w:p>
              </w:tc>
            </w:tr>
          </w:tbl>
          <w:p w14:paraId="4AD5A319">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Times New Roman" w:hAnsi="Times New Roman" w:eastAsia="宋体" w:cs="Times New Roman"/>
                <w:b w:val="0"/>
                <w:bCs w:val="0"/>
                <w:color w:val="auto"/>
                <w:sz w:val="24"/>
                <w:szCs w:val="24"/>
                <w:lang w:val="en-US"/>
              </w:rPr>
            </w:pPr>
            <w:r>
              <w:rPr>
                <w:rFonts w:hint="default" w:ascii="Times New Roman" w:hAnsi="Times New Roman" w:eastAsia="宋体" w:cs="Times New Roman"/>
                <w:b w:val="0"/>
                <w:bCs w:val="0"/>
                <w:color w:val="auto"/>
                <w:sz w:val="24"/>
                <w:szCs w:val="24"/>
                <w:lang w:val="en-US"/>
              </w:rPr>
              <w:t>综上，</w:t>
            </w:r>
            <w:r>
              <w:rPr>
                <w:rFonts w:hint="eastAsia" w:ascii="Times New Roman" w:hAnsi="Times New Roman" w:eastAsia="宋体" w:cs="Times New Roman"/>
                <w:b w:val="0"/>
                <w:bCs w:val="0"/>
                <w:color w:val="auto"/>
                <w:sz w:val="24"/>
                <w:szCs w:val="24"/>
                <w:lang w:val="en-US" w:eastAsia="zh-CN"/>
              </w:rPr>
              <w:t>本</w:t>
            </w:r>
            <w:r>
              <w:rPr>
                <w:rFonts w:hint="default" w:ascii="Times New Roman" w:hAnsi="Times New Roman" w:eastAsia="宋体" w:cs="Times New Roman"/>
                <w:b w:val="0"/>
                <w:bCs w:val="0"/>
                <w:color w:val="auto"/>
                <w:sz w:val="24"/>
                <w:szCs w:val="24"/>
                <w:lang w:val="en-US"/>
              </w:rPr>
              <w:t>项目符合《关于以改善环境质量为核心加强环境影响评价管理的通知》（环环评</w:t>
            </w:r>
            <w:r>
              <w:rPr>
                <w:rFonts w:hint="eastAsia" w:ascii="Times New Roman" w:hAnsi="Times New Roman" w:cs="Times New Roman"/>
                <w:b w:val="0"/>
                <w:bCs w:val="0"/>
                <w:color w:val="auto"/>
                <w:sz w:val="24"/>
                <w:szCs w:val="24"/>
                <w:lang w:val="en-US" w:eastAsia="zh-CN"/>
              </w:rPr>
              <w:t>〔2016〕150号</w:t>
            </w:r>
            <w:r>
              <w:rPr>
                <w:rFonts w:hint="default" w:ascii="Times New Roman" w:hAnsi="Times New Roman" w:eastAsia="宋体" w:cs="Times New Roman"/>
                <w:b w:val="0"/>
                <w:bCs w:val="0"/>
                <w:color w:val="auto"/>
                <w:sz w:val="24"/>
                <w:szCs w:val="24"/>
                <w:lang w:val="en-US"/>
              </w:rPr>
              <w:t>）中</w:t>
            </w:r>
            <w:r>
              <w:rPr>
                <w:rFonts w:hint="eastAsia" w:ascii="宋体" w:hAnsi="宋体" w:eastAsia="宋体" w:cs="宋体"/>
                <w:b w:val="0"/>
                <w:bCs w:val="0"/>
                <w:color w:val="auto"/>
                <w:sz w:val="24"/>
                <w:szCs w:val="24"/>
                <w:lang w:val="en-US"/>
              </w:rPr>
              <w:t>“三线一单”</w:t>
            </w:r>
            <w:r>
              <w:rPr>
                <w:rFonts w:hint="eastAsia" w:ascii="宋体" w:hAnsi="宋体" w:eastAsia="宋体" w:cs="宋体"/>
                <w:b w:val="0"/>
                <w:bCs w:val="0"/>
                <w:color w:val="auto"/>
                <w:sz w:val="24"/>
                <w:szCs w:val="24"/>
                <w:lang w:val="en-US" w:eastAsia="zh-CN"/>
              </w:rPr>
              <w:t>的</w:t>
            </w:r>
            <w:r>
              <w:rPr>
                <w:rFonts w:hint="default" w:ascii="Times New Roman" w:hAnsi="Times New Roman" w:eastAsia="宋体" w:cs="Times New Roman"/>
                <w:b w:val="0"/>
                <w:bCs w:val="0"/>
                <w:color w:val="auto"/>
                <w:sz w:val="24"/>
                <w:szCs w:val="24"/>
                <w:lang w:val="en-US"/>
              </w:rPr>
              <w:t>相关要求。</w:t>
            </w:r>
          </w:p>
          <w:p w14:paraId="1816DE5E">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6735B737">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4D16A5B8">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05A04271">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2128F47A">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1D687A4B">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6D09AB46">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00CF22AB">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1D6ED181">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0F94E582">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p w14:paraId="1A512026">
            <w:pPr>
              <w:numPr>
                <w:ilvl w:val="0"/>
                <w:numId w:val="0"/>
              </w:numPr>
              <w:spacing w:line="348" w:lineRule="auto"/>
              <w:jc w:val="both"/>
              <w:rPr>
                <w:rFonts w:hint="eastAsia" w:ascii="Times New Roman" w:hAnsi="Times New Roman" w:eastAsia="宋体" w:cs="Times New Roman"/>
                <w:b/>
                <w:color w:val="auto"/>
                <w:sz w:val="24"/>
                <w:szCs w:val="24"/>
                <w:lang w:val="en-US" w:eastAsia="zh-CN"/>
              </w:rPr>
            </w:pPr>
          </w:p>
        </w:tc>
      </w:tr>
    </w:tbl>
    <w:p w14:paraId="67C00353">
      <w:pPr>
        <w:rPr>
          <w:rFonts w:hint="eastAsia" w:eastAsia="黑体"/>
          <w:b/>
          <w:bCs/>
          <w:color w:val="auto"/>
          <w:sz w:val="30"/>
          <w:szCs w:val="24"/>
        </w:rPr>
        <w:sectPr>
          <w:footerReference r:id="rId4" w:type="default"/>
          <w:pgSz w:w="11906" w:h="16838"/>
          <w:pgMar w:top="1361" w:right="1701" w:bottom="1361" w:left="1701" w:header="851" w:footer="992" w:gutter="0"/>
          <w:pgBorders>
            <w:top w:val="none" w:sz="0" w:space="0"/>
            <w:left w:val="none" w:sz="0" w:space="0"/>
            <w:bottom w:val="none" w:sz="0" w:space="0"/>
            <w:right w:val="none" w:sz="0" w:space="0"/>
          </w:pgBorders>
          <w:pgNumType w:fmt="decimal" w:start="1"/>
          <w:cols w:space="720" w:num="1"/>
          <w:docGrid w:linePitch="312" w:charSpace="0"/>
        </w:sectPr>
      </w:pP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13198"/>
      </w:tblGrid>
      <w:tr w14:paraId="7E29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83" w:type="dxa"/>
            <w:vAlign w:val="center"/>
          </w:tcPr>
          <w:p w14:paraId="51A06981">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 w:val="24"/>
                <w:szCs w:val="32"/>
                <w:vertAlign w:val="baseline"/>
                <w:lang w:val="en-US" w:eastAsia="zh-CN"/>
              </w:rPr>
            </w:pPr>
            <w:r>
              <w:rPr>
                <w:rFonts w:hint="eastAsia"/>
                <w:color w:val="auto"/>
                <w:sz w:val="24"/>
                <w:szCs w:val="24"/>
              </w:rPr>
              <w:t>其他符合性分析</w:t>
            </w:r>
          </w:p>
        </w:tc>
        <w:tc>
          <w:tcPr>
            <w:tcW w:w="13069" w:type="dxa"/>
          </w:tcPr>
          <w:p w14:paraId="7911FDD4">
            <w:pPr>
              <w:pStyle w:val="68"/>
              <w:bidi w:val="0"/>
              <w:rPr>
                <w:rFonts w:hint="default" w:ascii="Times New Roman" w:hAnsi="Times New Roman" w:eastAsia="宋体" w:cs="Times New Roman"/>
                <w:b/>
                <w:bCs/>
                <w:color w:val="auto"/>
                <w:sz w:val="21"/>
                <w:szCs w:val="16"/>
              </w:rPr>
            </w:pPr>
            <w:r>
              <w:rPr>
                <w:rFonts w:hint="default" w:ascii="Times New Roman" w:hAnsi="Times New Roman" w:eastAsia="宋体" w:cs="Times New Roman"/>
                <w:b/>
                <w:bCs/>
                <w:color w:val="auto"/>
                <w:sz w:val="21"/>
                <w:szCs w:val="16"/>
                <w:lang w:val="en-US" w:eastAsia="zh-CN"/>
              </w:rPr>
              <w:t>表1-</w:t>
            </w:r>
            <w:r>
              <w:rPr>
                <w:rFonts w:hint="eastAsia" w:ascii="Times New Roman" w:hAnsi="Times New Roman" w:eastAsia="宋体" w:cs="Times New Roman"/>
                <w:b/>
                <w:bCs/>
                <w:color w:val="auto"/>
                <w:sz w:val="21"/>
                <w:szCs w:val="16"/>
                <w:lang w:val="en-US" w:eastAsia="zh-CN"/>
              </w:rPr>
              <w:t xml:space="preserve">2  </w:t>
            </w:r>
            <w:r>
              <w:rPr>
                <w:rFonts w:hint="default" w:ascii="Times New Roman" w:hAnsi="Times New Roman" w:eastAsia="宋体" w:cs="Times New Roman"/>
                <w:b/>
                <w:bCs/>
                <w:color w:val="auto"/>
                <w:sz w:val="21"/>
                <w:szCs w:val="16"/>
              </w:rPr>
              <w:t>《长江经济带战略环境评价</w:t>
            </w:r>
            <w:r>
              <w:rPr>
                <w:rFonts w:hint="default" w:ascii="Times New Roman" w:hAnsi="Times New Roman" w:eastAsia="宋体" w:cs="Times New Roman"/>
                <w:b/>
                <w:bCs/>
                <w:color w:val="auto"/>
                <w:sz w:val="21"/>
                <w:szCs w:val="16"/>
                <w:lang w:eastAsia="zh-CN"/>
              </w:rPr>
              <w:t>淮南市“</w:t>
            </w:r>
            <w:r>
              <w:rPr>
                <w:rFonts w:hint="default" w:ascii="Times New Roman" w:hAnsi="Times New Roman" w:eastAsia="宋体" w:cs="Times New Roman"/>
                <w:b/>
                <w:bCs/>
                <w:color w:val="auto"/>
                <w:sz w:val="21"/>
                <w:szCs w:val="16"/>
              </w:rPr>
              <w:t>三线一单</w:t>
            </w:r>
            <w:r>
              <w:rPr>
                <w:rFonts w:hint="default" w:ascii="Times New Roman" w:hAnsi="Times New Roman" w:eastAsia="宋体" w:cs="Times New Roman"/>
                <w:b/>
                <w:bCs/>
                <w:color w:val="auto"/>
                <w:sz w:val="21"/>
                <w:szCs w:val="16"/>
                <w:lang w:eastAsia="zh-CN"/>
              </w:rPr>
              <w:t>”</w:t>
            </w:r>
            <w:r>
              <w:rPr>
                <w:rFonts w:hint="default" w:ascii="Times New Roman" w:hAnsi="Times New Roman" w:eastAsia="宋体" w:cs="Times New Roman"/>
                <w:b/>
                <w:bCs/>
                <w:color w:val="auto"/>
                <w:sz w:val="21"/>
                <w:szCs w:val="16"/>
              </w:rPr>
              <w:t>》的符合性</w:t>
            </w:r>
          </w:p>
          <w:tbl>
            <w:tblPr>
              <w:tblStyle w:val="45"/>
              <w:tblW w:w="5001"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108" w:type="dxa"/>
                <w:bottom w:w="0" w:type="dxa"/>
                <w:right w:w="108" w:type="dxa"/>
              </w:tblCellMar>
            </w:tblPr>
            <w:tblGrid>
              <w:gridCol w:w="612"/>
              <w:gridCol w:w="680"/>
              <w:gridCol w:w="7533"/>
              <w:gridCol w:w="3428"/>
              <w:gridCol w:w="727"/>
            </w:tblGrid>
            <w:tr w14:paraId="18CBC4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blHeader/>
              </w:trPr>
              <w:tc>
                <w:tcPr>
                  <w:tcW w:w="3399" w:type="pct"/>
                  <w:gridSpan w:val="3"/>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164922F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《长江经济带战略环境评价</w:t>
                  </w:r>
                  <w:r>
                    <w:rPr>
                      <w:rFonts w:hint="default" w:ascii="Times New Roman" w:hAnsi="Times New Roman" w:eastAsia="宋体" w:cs="Times New Roman"/>
                      <w:b/>
                      <w:bCs/>
                      <w:color w:val="auto"/>
                      <w:sz w:val="21"/>
                      <w:szCs w:val="21"/>
                      <w:lang w:eastAsia="zh-CN"/>
                    </w:rPr>
                    <w:t>淮南市“</w:t>
                  </w:r>
                  <w:r>
                    <w:rPr>
                      <w:rFonts w:hint="default" w:ascii="Times New Roman" w:hAnsi="Times New Roman" w:eastAsia="宋体" w:cs="Times New Roman"/>
                      <w:b/>
                      <w:bCs/>
                      <w:color w:val="auto"/>
                      <w:sz w:val="21"/>
                      <w:szCs w:val="21"/>
                    </w:rPr>
                    <w:t>三线一单</w:t>
                  </w:r>
                  <w:r>
                    <w:rPr>
                      <w:rFonts w:hint="default"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文本》要求</w:t>
                  </w:r>
                </w:p>
              </w:tc>
              <w:tc>
                <w:tcPr>
                  <w:tcW w:w="132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5CFCD6A2">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符合性分析</w:t>
                  </w:r>
                </w:p>
              </w:tc>
              <w:tc>
                <w:tcPr>
                  <w:tcW w:w="28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44C69A8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结果</w:t>
                  </w:r>
                </w:p>
              </w:tc>
            </w:tr>
            <w:tr w14:paraId="31392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498" w:type="pct"/>
                  <w:gridSpan w:val="2"/>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3111801E">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生态保护红线</w:t>
                  </w:r>
                </w:p>
              </w:tc>
              <w:tc>
                <w:tcPr>
                  <w:tcW w:w="2900" w:type="pct"/>
                  <w:tcBorders>
                    <w:top w:val="single" w:color="000000" w:sz="2" w:space="0"/>
                    <w:left w:val="single" w:color="000000" w:sz="2" w:space="0"/>
                    <w:bottom w:val="single" w:color="000000" w:sz="2" w:space="0"/>
                    <w:right w:val="single" w:color="000000" w:sz="2" w:space="0"/>
                  </w:tcBorders>
                  <w:noWrap w:val="0"/>
                  <w:vAlign w:val="center"/>
                </w:tcPr>
                <w:p w14:paraId="505033F8">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淮南市的生态保护红线为淮河中下游湖泊洼地生物多样性维护生态保护红线。地理分布：该区沿淮河中下游的安徽段两侧分布，包括淮河两岸的县市，北岸主要有阜南、颍上、凤台、怀远、五河等县的南部，南岸有霍邱、寿县、长丰、凤阳、明光等县市的北部地区，以及淮南和蚌埠市市辖区的大部。红线面积1174.12</w:t>
                  </w:r>
                  <w:r>
                    <w:rPr>
                      <w:rFonts w:hint="default" w:ascii="Times New Roman" w:hAnsi="Times New Roman" w:eastAsia="宋体" w:cs="Times New Roman"/>
                      <w:color w:val="auto"/>
                      <w:sz w:val="21"/>
                      <w:szCs w:val="21"/>
                      <w:lang w:val="en-US" w:eastAsia="zh-CN"/>
                    </w:rPr>
                    <w:t>km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color w:val="auto"/>
                      <w:sz w:val="21"/>
                      <w:szCs w:val="21"/>
                    </w:rPr>
                    <w:t>，占全省生态保护红线总面积的5.54%。</w:t>
                  </w:r>
                </w:p>
              </w:tc>
              <w:tc>
                <w:tcPr>
                  <w:tcW w:w="132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5C17871F">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项目位于淮南市潘集区平圩镇</w:t>
                  </w:r>
                  <w:r>
                    <w:rPr>
                      <w:rFonts w:hint="eastAsia" w:ascii="Times New Roman" w:hAnsi="Times New Roman" w:eastAsia="宋体" w:cs="Times New Roman"/>
                      <w:color w:val="auto"/>
                      <w:sz w:val="21"/>
                      <w:szCs w:val="21"/>
                      <w:lang w:val="en-US" w:eastAsia="zh-CN"/>
                    </w:rPr>
                    <w:t>邵圩</w:t>
                  </w:r>
                  <w:r>
                    <w:rPr>
                      <w:rFonts w:hint="eastAsia" w:hAnsi="Times New Roman" w:cs="Times New Roman"/>
                      <w:color w:val="auto"/>
                      <w:sz w:val="21"/>
                      <w:szCs w:val="21"/>
                      <w:lang w:val="en-US" w:eastAsia="zh-CN"/>
                    </w:rPr>
                    <w:t>村</w:t>
                  </w:r>
                  <w:r>
                    <w:rPr>
                      <w:rFonts w:hint="default" w:ascii="Times New Roman" w:hAnsi="Times New Roman" w:eastAsia="宋体" w:cs="Times New Roman"/>
                      <w:color w:val="auto"/>
                      <w:sz w:val="21"/>
                      <w:szCs w:val="21"/>
                      <w:lang w:val="en-US" w:eastAsia="zh-CN"/>
                    </w:rPr>
                    <w:t>，根据淮南市生态保护红线图，项目不在淮南市生态保护红线范围内，符合生态保护红线管控要求。</w:t>
                  </w:r>
                </w:p>
              </w:tc>
              <w:tc>
                <w:tcPr>
                  <w:tcW w:w="28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7B35CE48">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0ADBD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236" w:type="pct"/>
                  <w:vMerge w:val="restar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537F102F">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环境质量底线</w:t>
                  </w:r>
                </w:p>
              </w:tc>
              <w:tc>
                <w:tcPr>
                  <w:tcW w:w="261"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65683C2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水环境</w:t>
                  </w:r>
                </w:p>
              </w:tc>
              <w:tc>
                <w:tcPr>
                  <w:tcW w:w="290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7A2DD5E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成果，水环境管控分区包括优先保护区、重点管控区和一般管控区。其中重点管控区要求如下：</w:t>
                  </w:r>
                </w:p>
                <w:p w14:paraId="1324DC10">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控区：依据《中华人民共和国水污染防治法》《水污染防治行动计划》《安徽省水污染防治工作方案》及《淮南市水污染防治工作方案》对重点管控区实施管控；依据《安徽省淮河流域水污染防治条例》对淮河流域实施管控；依据开发区规划、规划环评及审查意见相关要求对开发区实施管控；落实《</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生态环境保护规划》《安徽省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环境保护规划》《安徽省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节能减排实施方案》等要求，新建、改建和扩建项目水污染物实施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等量替代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tc>
              <w:tc>
                <w:tcPr>
                  <w:tcW w:w="132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5F6A96E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项目位于水环境</w:t>
                  </w:r>
                  <w:r>
                    <w:rPr>
                      <w:rFonts w:hint="eastAsia" w:ascii="Times New Roman" w:hAnsi="Times New Roman" w:eastAsia="宋体" w:cs="Times New Roman"/>
                      <w:color w:val="auto"/>
                      <w:sz w:val="21"/>
                      <w:szCs w:val="21"/>
                      <w:lang w:val="en-US" w:eastAsia="zh-CN"/>
                    </w:rPr>
                    <w:t>一般</w:t>
                  </w:r>
                  <w:r>
                    <w:rPr>
                      <w:rFonts w:hint="default" w:ascii="Times New Roman" w:hAnsi="Times New Roman" w:eastAsia="宋体" w:cs="Times New Roman"/>
                      <w:color w:val="auto"/>
                      <w:sz w:val="21"/>
                      <w:szCs w:val="21"/>
                    </w:rPr>
                    <w:t>管控区。</w:t>
                  </w:r>
                </w:p>
                <w:p w14:paraId="1DAEDA94">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区域污水受纳水体为</w:t>
                  </w:r>
                  <w:r>
                    <w:rPr>
                      <w:rFonts w:hint="eastAsia" w:hAnsi="Times New Roman" w:cs="Times New Roman"/>
                      <w:color w:val="auto"/>
                      <w:sz w:val="21"/>
                      <w:szCs w:val="21"/>
                      <w:lang w:val="en-US" w:eastAsia="zh-CN"/>
                    </w:rPr>
                    <w:t>泥</w:t>
                  </w:r>
                  <w:r>
                    <w:rPr>
                      <w:rFonts w:hint="eastAsia" w:ascii="Times New Roman" w:hAnsi="Times New Roman" w:eastAsia="宋体" w:cs="Times New Roman"/>
                      <w:color w:val="auto"/>
                      <w:sz w:val="21"/>
                      <w:szCs w:val="21"/>
                      <w:lang w:val="en-US" w:eastAsia="zh-CN"/>
                    </w:rPr>
                    <w:t>河</w:t>
                  </w:r>
                  <w:r>
                    <w:rPr>
                      <w:rFonts w:hint="default" w:ascii="Times New Roman" w:hAnsi="Times New Roman" w:eastAsia="宋体" w:cs="Times New Roman"/>
                      <w:color w:val="auto"/>
                      <w:sz w:val="21"/>
                      <w:szCs w:val="21"/>
                    </w:rPr>
                    <w:t>，</w:t>
                  </w:r>
                  <w:r>
                    <w:rPr>
                      <w:rFonts w:hint="eastAsia" w:hAnsi="Times New Roman" w:cs="Times New Roman"/>
                      <w:color w:val="auto"/>
                      <w:sz w:val="21"/>
                      <w:szCs w:val="21"/>
                      <w:lang w:eastAsia="zh-CN"/>
                    </w:rPr>
                    <w:t>泥</w:t>
                  </w:r>
                  <w:r>
                    <w:rPr>
                      <w:rFonts w:hint="eastAsia" w:ascii="Times New Roman" w:hAnsi="Times New Roman" w:eastAsia="宋体" w:cs="Times New Roman"/>
                      <w:color w:val="auto"/>
                      <w:sz w:val="21"/>
                      <w:szCs w:val="21"/>
                      <w:lang w:val="en-US" w:eastAsia="zh-CN"/>
                    </w:rPr>
                    <w:t>河</w:t>
                  </w:r>
                  <w:r>
                    <w:rPr>
                      <w:rFonts w:hint="default" w:ascii="Times New Roman" w:hAnsi="Times New Roman" w:eastAsia="宋体" w:cs="Times New Roman"/>
                      <w:color w:val="auto"/>
                      <w:sz w:val="21"/>
                      <w:szCs w:val="21"/>
                    </w:rPr>
                    <w:t>满足（GB3838-2002）中Ⅲ类标准。</w:t>
                  </w:r>
                  <w:r>
                    <w:rPr>
                      <w:rFonts w:hint="eastAsia" w:ascii="Times New Roman" w:hAnsi="Times New Roman" w:eastAsia="宋体" w:cs="Times New Roman"/>
                      <w:color w:val="auto"/>
                      <w:sz w:val="21"/>
                      <w:szCs w:val="21"/>
                      <w:lang w:val="en-US" w:eastAsia="zh-CN"/>
                    </w:rPr>
                    <w:t>项目生活污水经厂区化粪池处理后定期清掏农用，不外排，项目的建设对周边水环境影响较小</w:t>
                  </w:r>
                  <w:r>
                    <w:rPr>
                      <w:rFonts w:hint="default" w:ascii="Times New Roman" w:hAnsi="Times New Roman" w:eastAsia="宋体" w:cs="Times New Roman"/>
                      <w:color w:val="auto"/>
                      <w:sz w:val="21"/>
                      <w:szCs w:val="21"/>
                    </w:rPr>
                    <w:t>。</w:t>
                  </w:r>
                </w:p>
              </w:tc>
              <w:tc>
                <w:tcPr>
                  <w:tcW w:w="28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01A799D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7AC10B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236" w:type="pct"/>
                  <w:vMerge w:val="continue"/>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5EE3FA6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261"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611831F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大气环境</w:t>
                  </w:r>
                </w:p>
              </w:tc>
              <w:tc>
                <w:tcPr>
                  <w:tcW w:w="290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1B440E40">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成果，大气环境管控分区包括优先保护区、重点管控区和一般管控区。其中重点管控区要求如下：</w:t>
                  </w:r>
                </w:p>
                <w:p w14:paraId="6582D74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重点管控区：落实《安徽省大气污染防治条例》《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生态环境保护规划》《安徽省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保护规划》《打赢蓝天保卫战三年行动计划》《安徽省打赢蓝天保卫战三年行动计划实施方案》《淮南市大气污染防治条例》《重点行业挥发性有机物综合治理方案》等要求，严格目标实施计划，加强环境监管，促进生态环境质量好转。上年度PM</w:t>
                  </w:r>
                  <w:r>
                    <w:rPr>
                      <w:rFonts w:hint="default" w:ascii="Times New Roman" w:hAnsi="Times New Roman" w:eastAsia="宋体" w:cs="Times New Roman"/>
                      <w:color w:val="auto"/>
                      <w:sz w:val="21"/>
                      <w:szCs w:val="21"/>
                      <w:vertAlign w:val="subscript"/>
                    </w:rPr>
                    <w:t>2.5</w:t>
                  </w:r>
                  <w:r>
                    <w:rPr>
                      <w:rFonts w:hint="default" w:ascii="Times New Roman" w:hAnsi="Times New Roman" w:eastAsia="宋体" w:cs="Times New Roman"/>
                      <w:color w:val="auto"/>
                      <w:sz w:val="21"/>
                      <w:szCs w:val="21"/>
                    </w:rPr>
                    <w:t>不达标城市新建、改建和扩建项目大气污染物实施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倍量替代</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，执行特别排放标准的行业实施提标升级改造。</w:t>
                  </w:r>
                </w:p>
              </w:tc>
              <w:tc>
                <w:tcPr>
                  <w:tcW w:w="132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6886322B">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项目位于大气环境重点管控区。根据《202</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年淮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市环境状况公</w:t>
                  </w:r>
                  <w:r>
                    <w:rPr>
                      <w:rFonts w:hint="default" w:ascii="Times New Roman" w:hAnsi="Times New Roman" w:eastAsia="宋体" w:cs="Times New Roman"/>
                      <w:color w:val="auto"/>
                      <w:sz w:val="21"/>
                      <w:szCs w:val="21"/>
                      <w:lang w:val="en-US" w:eastAsia="zh-CN"/>
                    </w:rPr>
                    <w:t>报</w:t>
                  </w:r>
                  <w:r>
                    <w:rPr>
                      <w:rFonts w:hint="default" w:ascii="Times New Roman" w:hAnsi="Times New Roman" w:eastAsia="宋体" w:cs="Times New Roman"/>
                      <w:color w:val="auto"/>
                      <w:sz w:val="21"/>
                      <w:szCs w:val="21"/>
                    </w:rPr>
                    <w:t>》，淮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市属于大气环境质量不达标区域，超标因子为</w:t>
                  </w:r>
                  <w:r>
                    <w:rPr>
                      <w:rStyle w:val="238"/>
                      <w:rFonts w:hint="default" w:ascii="Times New Roman" w:hAnsi="Times New Roman" w:eastAsia="宋体" w:cs="Times New Roman"/>
                      <w:b w:val="0"/>
                      <w:color w:val="auto"/>
                      <w:sz w:val="21"/>
                      <w:szCs w:val="21"/>
                    </w:rPr>
                    <w:t>PM</w:t>
                  </w:r>
                  <w:r>
                    <w:rPr>
                      <w:rStyle w:val="238"/>
                      <w:rFonts w:hint="eastAsia" w:hAnsi="Times New Roman" w:cs="Times New Roman"/>
                      <w:b w:val="0"/>
                      <w:color w:val="auto"/>
                      <w:sz w:val="21"/>
                      <w:szCs w:val="21"/>
                      <w:vertAlign w:val="subscript"/>
                      <w:lang w:val="en-US" w:eastAsia="zh-CN"/>
                    </w:rPr>
                    <w:t>2.5</w:t>
                  </w:r>
                  <w:r>
                    <w:rPr>
                      <w:rFonts w:hint="default" w:ascii="Times New Roman" w:hAnsi="Times New Roman" w:eastAsia="宋体" w:cs="Times New Roman"/>
                      <w:color w:val="auto"/>
                      <w:sz w:val="21"/>
                      <w:szCs w:val="21"/>
                    </w:rPr>
                    <w:t>。项目采取严格的废气治理措施，确保污染物达标排放，相关大气污染物实施倍量替代</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申请大气污染物总量时进行倍量替代</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w:t>
                  </w:r>
                </w:p>
              </w:tc>
              <w:tc>
                <w:tcPr>
                  <w:tcW w:w="28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0E534684">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267CF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236" w:type="pct"/>
                  <w:vMerge w:val="continue"/>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1629E338">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261"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0BFB3FCD">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土壤环境</w:t>
                  </w:r>
                </w:p>
              </w:tc>
              <w:tc>
                <w:tcPr>
                  <w:tcW w:w="290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7B67B105">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成果，土壤环境风险防控分区包括优先保护区、土壤环境风险重点防控区和一般防控区。其中一般管控区要求如下：</w:t>
                  </w:r>
                </w:p>
                <w:p w14:paraId="1895382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一般防控区：依据《中华人民共和国土壤污染防治法》《土壤污染防治行动计划》《安徽省土壤污染防治工作方案》《安徽省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环境保护规划》等要求及各市土壤污染防治工作方案对一般管控区实施管控。</w:t>
                  </w:r>
                </w:p>
              </w:tc>
              <w:tc>
                <w:tcPr>
                  <w:tcW w:w="132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77673B1C">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项目位于土壤环境风险一般防控区。</w:t>
                  </w:r>
                </w:p>
                <w:p w14:paraId="7FEC4232">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采取</w:t>
                  </w:r>
                  <w:r>
                    <w:rPr>
                      <w:rFonts w:hint="default" w:ascii="Times New Roman" w:hAnsi="Times New Roman" w:eastAsia="宋体" w:cs="Times New Roman"/>
                      <w:color w:val="auto"/>
                      <w:sz w:val="21"/>
                      <w:szCs w:val="21"/>
                    </w:rPr>
                    <w:t>分区防渗措施，对周边土壤环境影响较小</w:t>
                  </w:r>
                </w:p>
              </w:tc>
              <w:tc>
                <w:tcPr>
                  <w:tcW w:w="28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4C3EA8BD">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6B0561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236" w:type="pct"/>
                  <w:vMerge w:val="restar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330FEBB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资源利用上线</w:t>
                  </w:r>
                </w:p>
              </w:tc>
              <w:tc>
                <w:tcPr>
                  <w:tcW w:w="261"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35729C7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煤炭资源利用上线</w:t>
                  </w:r>
                </w:p>
              </w:tc>
              <w:tc>
                <w:tcPr>
                  <w:tcW w:w="290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37DBCB7D">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成果，煤炭资源利用管控分区含重点管控区和一般管控区。其中高污染燃料禁燃区为重点管控区，其余为一般管控区。其中关于一般管控区要求如下</w:t>
                  </w:r>
                  <w:r>
                    <w:rPr>
                      <w:rFonts w:hint="default" w:ascii="Times New Roman" w:hAnsi="Times New Roman" w:eastAsia="宋体" w:cs="Times New Roman"/>
                      <w:color w:val="auto"/>
                      <w:sz w:val="21"/>
                      <w:szCs w:val="21"/>
                      <w:lang w:eastAsia="zh-CN"/>
                    </w:rPr>
                    <w:t>：</w:t>
                  </w:r>
                </w:p>
                <w:p w14:paraId="39EBE089">
                  <w:pPr>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color w:val="auto"/>
                      <w:kern w:val="2"/>
                      <w:sz w:val="21"/>
                      <w:szCs w:val="21"/>
                      <w:lang w:val="en-US" w:eastAsia="zh-CN" w:bidi="ar-SA"/>
                    </w:rPr>
                    <w:t>一般管控区：落实国务院《“十</w:t>
                  </w:r>
                  <w:r>
                    <w:rPr>
                      <w:rFonts w:hint="eastAsia" w:ascii="Times New Roman" w:hAnsi="Times New Roman" w:eastAsia="宋体" w:cs="Times New Roman"/>
                      <w:b w:val="0"/>
                      <w:color w:val="auto"/>
                      <w:kern w:val="2"/>
                      <w:sz w:val="21"/>
                      <w:szCs w:val="21"/>
                      <w:lang w:val="en-US" w:eastAsia="zh-CN" w:bidi="ar-SA"/>
                    </w:rPr>
                    <w:t>四</w:t>
                  </w:r>
                  <w:r>
                    <w:rPr>
                      <w:rFonts w:hint="default" w:ascii="Times New Roman" w:hAnsi="Times New Roman" w:eastAsia="宋体" w:cs="Times New Roman"/>
                      <w:b w:val="0"/>
                      <w:color w:val="auto"/>
                      <w:kern w:val="2"/>
                      <w:sz w:val="21"/>
                      <w:szCs w:val="21"/>
                      <w:lang w:val="en-US" w:eastAsia="zh-CN" w:bidi="ar-SA"/>
                    </w:rPr>
                    <w:t>五”节能减排综合工作方案》《安徽省煤炭消费减量替代工作方案（2018-2020年）》要求。</w:t>
                  </w:r>
                </w:p>
              </w:tc>
              <w:tc>
                <w:tcPr>
                  <w:tcW w:w="132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3338877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项目区位于煤炭资源利用</w:t>
                  </w:r>
                  <w:r>
                    <w:rPr>
                      <w:rFonts w:hint="default" w:ascii="Times New Roman" w:hAnsi="Times New Roman" w:eastAsia="宋体" w:cs="Times New Roman"/>
                      <w:color w:val="auto"/>
                      <w:sz w:val="21"/>
                      <w:szCs w:val="21"/>
                      <w:lang w:val="en-US" w:eastAsia="zh-CN"/>
                    </w:rPr>
                    <w:t>一般</w:t>
                  </w:r>
                  <w:r>
                    <w:rPr>
                      <w:rFonts w:hint="default" w:ascii="Times New Roman" w:hAnsi="Times New Roman" w:eastAsia="宋体" w:cs="Times New Roman"/>
                      <w:color w:val="auto"/>
                      <w:sz w:val="21"/>
                      <w:szCs w:val="21"/>
                    </w:rPr>
                    <w:t>管控区。项目使用电能</w:t>
                  </w:r>
                  <w:r>
                    <w:rPr>
                      <w:rFonts w:hint="default" w:ascii="Times New Roman" w:hAnsi="Times New Roman" w:eastAsia="宋体" w:cs="Times New Roman"/>
                      <w:color w:val="auto"/>
                      <w:sz w:val="21"/>
                      <w:szCs w:val="21"/>
                      <w:lang w:val="en-US" w:eastAsia="zh-CN"/>
                    </w:rPr>
                    <w:t>作</w:t>
                  </w:r>
                  <w:r>
                    <w:rPr>
                      <w:rFonts w:hint="default" w:ascii="Times New Roman" w:hAnsi="Times New Roman" w:eastAsia="宋体" w:cs="Times New Roman"/>
                      <w:color w:val="auto"/>
                      <w:sz w:val="21"/>
                      <w:szCs w:val="21"/>
                    </w:rPr>
                    <w:t>为主要能源，不涉及高污染燃料使用。</w:t>
                  </w:r>
                </w:p>
              </w:tc>
              <w:tc>
                <w:tcPr>
                  <w:tcW w:w="28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4CF46E9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47CAA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236" w:type="pct"/>
                  <w:vMerge w:val="continue"/>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476306E2">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261"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2C4EDFF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水资源利用上线</w:t>
                  </w:r>
                </w:p>
              </w:tc>
              <w:tc>
                <w:tcPr>
                  <w:tcW w:w="290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5AA91B5E">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成果，水资源管控区包括重点管控区和一般管控区。</w:t>
                  </w:r>
                  <w:r>
                    <w:rPr>
                      <w:rFonts w:hint="default" w:ascii="Times New Roman" w:hAnsi="Times New Roman" w:eastAsia="宋体" w:cs="Times New Roman"/>
                      <w:color w:val="auto"/>
                      <w:sz w:val="21"/>
                      <w:szCs w:val="21"/>
                      <w:lang w:val="en-US" w:eastAsia="zh-CN"/>
                    </w:rPr>
                    <w:t>其中管控要求如下：</w:t>
                  </w:r>
                </w:p>
                <w:p w14:paraId="209AE30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落实《国务院办公厅关于印发实行最严格水资源管理制度考核办法的通知》《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水资源消耗总量和强度双控行动方案》《安徽省</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水资源消耗总量和强度双控工作方案》《淮南市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十</w:t>
                  </w:r>
                  <w:r>
                    <w:rPr>
                      <w:rFonts w:hint="eastAsia" w:ascii="Times New Roman" w:hAnsi="Times New Roman" w:eastAsia="宋体" w:cs="Times New Roman"/>
                      <w:color w:val="auto"/>
                      <w:sz w:val="21"/>
                      <w:szCs w:val="21"/>
                      <w:lang w:val="en-US" w:eastAsia="zh-CN"/>
                    </w:rPr>
                    <w:t>四</w:t>
                  </w:r>
                  <w:r>
                    <w:rPr>
                      <w:rFonts w:hint="default" w:ascii="Times New Roman" w:hAnsi="Times New Roman" w:eastAsia="宋体" w:cs="Times New Roman"/>
                      <w:color w:val="auto"/>
                      <w:sz w:val="21"/>
                      <w:szCs w:val="21"/>
                    </w:rPr>
                    <w:t>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水资源消耗总量和强度双控工作方案》等要求。</w:t>
                  </w:r>
                </w:p>
              </w:tc>
              <w:tc>
                <w:tcPr>
                  <w:tcW w:w="132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76255D1E">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项目位于水资源一般管控区。</w:t>
                  </w:r>
                </w:p>
                <w:p w14:paraId="19BAEFEF">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项目用水由</w:t>
                  </w:r>
                  <w:r>
                    <w:rPr>
                      <w:rFonts w:hint="eastAsia" w:ascii="Times New Roman" w:hAnsi="Times New Roman" w:eastAsia="宋体" w:cs="Times New Roman"/>
                      <w:color w:val="auto"/>
                      <w:sz w:val="21"/>
                      <w:szCs w:val="21"/>
                      <w:lang w:val="en-US" w:eastAsia="zh-CN"/>
                    </w:rPr>
                    <w:t>平圩镇</w:t>
                  </w:r>
                  <w:r>
                    <w:rPr>
                      <w:rFonts w:hint="default" w:ascii="Times New Roman" w:hAnsi="Times New Roman" w:eastAsia="宋体" w:cs="Times New Roman"/>
                      <w:color w:val="auto"/>
                      <w:sz w:val="21"/>
                      <w:szCs w:val="21"/>
                    </w:rPr>
                    <w:t>给水管网提供，主要为职工生活用水，使用量较小。供水能力满足项目新鲜水使用需求，不会突破水资源利用上线。</w:t>
                  </w:r>
                </w:p>
              </w:tc>
              <w:tc>
                <w:tcPr>
                  <w:tcW w:w="28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1964604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DF48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236" w:type="pct"/>
                  <w:vMerge w:val="continue"/>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70785D7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p>
              </w:tc>
              <w:tc>
                <w:tcPr>
                  <w:tcW w:w="261"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1B2C1E14">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土地资源利用上线</w:t>
                  </w:r>
                </w:p>
              </w:tc>
              <w:tc>
                <w:tcPr>
                  <w:tcW w:w="290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5E20F0B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土地资源管控区划分为重点管控区和一般管控区。土地资源分区管控要求如下：落实《淮南市土地利用总体规划（2006-2020年）调整方案》《关于落实</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十四五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单位国内生产总值建设用地使用面积下降目标的指导意见的通知》《国土资源</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十四五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规划纲要》《安徽省国土资源</w:t>
                  </w:r>
                  <w:r>
                    <w:rPr>
                      <w:rFonts w:hint="default"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eastAsia="zh-CN"/>
                    </w:rPr>
                    <w:t>十四五</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规划》等要求。</w:t>
                  </w:r>
                </w:p>
              </w:tc>
              <w:tc>
                <w:tcPr>
                  <w:tcW w:w="132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73E36E9C">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项目位于土地资源一般管控区。</w:t>
                  </w:r>
                </w:p>
                <w:p w14:paraId="0868DD10">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w:t>
                  </w:r>
                  <w:r>
                    <w:rPr>
                      <w:rFonts w:hint="eastAsia" w:ascii="Times New Roman" w:hAnsi="Times New Roman" w:eastAsia="宋体" w:cs="Times New Roman"/>
                      <w:color w:val="auto"/>
                      <w:sz w:val="21"/>
                      <w:szCs w:val="21"/>
                      <w:lang w:val="en-US" w:eastAsia="zh-CN"/>
                    </w:rPr>
                    <w:t>新建标准化厂房进行生产作业</w:t>
                  </w:r>
                  <w:r>
                    <w:rPr>
                      <w:rFonts w:hint="default" w:ascii="Times New Roman" w:hAnsi="Times New Roman" w:eastAsia="宋体" w:cs="Times New Roman"/>
                      <w:color w:val="auto"/>
                      <w:sz w:val="21"/>
                      <w:szCs w:val="21"/>
                    </w:rPr>
                    <w:t>，不会突破土地资源利用上线。</w:t>
                  </w:r>
                </w:p>
              </w:tc>
              <w:tc>
                <w:tcPr>
                  <w:tcW w:w="28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7925FAB4">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074121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70" w:hRule="atLeast"/>
              </w:trPr>
              <w:tc>
                <w:tcPr>
                  <w:tcW w:w="498" w:type="pct"/>
                  <w:gridSpan w:val="2"/>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4CAF7F9C">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生态环境准入清单</w:t>
                  </w:r>
                </w:p>
              </w:tc>
              <w:tc>
                <w:tcPr>
                  <w:tcW w:w="290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4B746025">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根据淮</w:t>
                  </w:r>
                  <w:r>
                    <w:rPr>
                      <w:rFonts w:hint="default" w:ascii="Times New Roman" w:hAnsi="Times New Roman" w:eastAsia="宋体" w:cs="Times New Roman"/>
                      <w:color w:val="auto"/>
                      <w:sz w:val="21"/>
                      <w:szCs w:val="21"/>
                      <w:lang w:val="en-US" w:eastAsia="zh-CN"/>
                    </w:rPr>
                    <w:t>南</w:t>
                  </w:r>
                  <w:r>
                    <w:rPr>
                      <w:rFonts w:hint="default" w:ascii="Times New Roman" w:hAnsi="Times New Roman" w:eastAsia="宋体" w:cs="Times New Roman"/>
                      <w:color w:val="auto"/>
                      <w:sz w:val="21"/>
                      <w:szCs w:val="21"/>
                    </w:rPr>
                    <w:t>市</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三线一单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成果，生态环境准入清单由优先保护、重点管控、一般管控三大类环境管控单元生态环境准入清单组成。</w:t>
                  </w:r>
                </w:p>
                <w:p w14:paraId="2F20CBF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重点管控单元生态环境准入清单针对大气、水、土壤、资源能源及岸线等要素的重点管控区编制，主要从空间布局约束、污染物排放管控、环境风险防控和资源利用效率要求等方面提出要求。</w:t>
                  </w:r>
                </w:p>
                <w:p w14:paraId="25155EA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①鼓励入园项目：与规划主导产业及兼顾培育的主要产业（优先进入行业）结构相符合的工业项目；与规划主导产业及兼顾培育的主要产业（优先进入行业）相配套低污染、低能耗、低水耗的企业，主要为基础设施建设项目及规模效益好、能源资源消耗少、排污小的企业</w:t>
                  </w:r>
                </w:p>
                <w:p w14:paraId="79C3ADBE">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②限制发展项目：与主导产业和优先进入行业不符合，低污染、低能耗、低水耗、对周边企业影响、环境质量影响不大的建设项目；与主导产业和优先进入行业相配套，但高污染、高能耗、高水耗、对环境影响较大的建设项目</w:t>
                  </w:r>
                </w:p>
                <w:p w14:paraId="2AB54582">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③禁止发展项目：国家明令禁止建设或投资的、不符合《产业结构调整指导目录》要求的建设项目不得进入开发区；严禁规模效益差、能源资源消耗大、环境影响严重的企业，严格控制高污染、高能耗、高水耗项目的进入</w:t>
                  </w:r>
                </w:p>
              </w:tc>
              <w:tc>
                <w:tcPr>
                  <w:tcW w:w="132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16C316A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本项目位于淮南市潘集区平圩镇</w:t>
                  </w:r>
                  <w:r>
                    <w:rPr>
                      <w:rFonts w:hint="eastAsia" w:hAnsi="Times New Roman" w:cs="Times New Roman"/>
                      <w:color w:val="auto"/>
                      <w:sz w:val="21"/>
                      <w:szCs w:val="21"/>
                      <w:lang w:val="en-US" w:eastAsia="zh-CN"/>
                    </w:rPr>
                    <w:t>邵圩村</w:t>
                  </w:r>
                  <w:r>
                    <w:rPr>
                      <w:rFonts w:hint="default" w:ascii="Times New Roman" w:hAnsi="Times New Roman" w:eastAsia="宋体" w:cs="Times New Roman"/>
                      <w:color w:val="auto"/>
                      <w:sz w:val="21"/>
                      <w:szCs w:val="21"/>
                      <w:lang w:val="en-US" w:eastAsia="zh-CN"/>
                    </w:rPr>
                    <w:t>，目前区域内未制定环境准入负面清单。本项目属于C1311稻谷加工，对照《市场准入负面清单（202</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版）》，不属于市场准入负面清单中禁止准入、制准入类项目，属于产业结构调整指导目录中允许类，项目占地不属于限制和禁止用地。</w:t>
                  </w:r>
                </w:p>
              </w:tc>
              <w:tc>
                <w:tcPr>
                  <w:tcW w:w="280" w:type="pct"/>
                  <w:tcBorders>
                    <w:top w:val="single" w:color="000000" w:sz="2" w:space="0"/>
                    <w:left w:val="single" w:color="000000" w:sz="2" w:space="0"/>
                    <w:bottom w:val="single" w:color="000000" w:sz="2" w:space="0"/>
                    <w:right w:val="single" w:color="000000" w:sz="2" w:space="0"/>
                  </w:tcBorders>
                  <w:noWrap w:val="0"/>
                  <w:tcMar>
                    <w:left w:w="0" w:type="dxa"/>
                    <w:right w:w="0" w:type="dxa"/>
                  </w:tcMar>
                  <w:vAlign w:val="center"/>
                </w:tcPr>
                <w:p w14:paraId="363DCBFF">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bl>
          <w:p w14:paraId="4234080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outlineLvl w:val="9"/>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本项目</w:t>
            </w:r>
            <w:r>
              <w:rPr>
                <w:rFonts w:hint="default" w:ascii="Times New Roman" w:hAnsi="Times New Roman" w:cs="Times New Roman"/>
                <w:color w:val="auto"/>
                <w:kern w:val="0"/>
                <w:sz w:val="24"/>
                <w:szCs w:val="24"/>
                <w:lang w:val="en-US" w:eastAsia="zh-CN"/>
              </w:rPr>
              <w:t>选址</w:t>
            </w:r>
            <w:r>
              <w:rPr>
                <w:rFonts w:hint="default" w:ascii="Times New Roman" w:hAnsi="Times New Roman" w:cs="Times New Roman"/>
                <w:color w:val="auto"/>
                <w:kern w:val="0"/>
                <w:sz w:val="24"/>
                <w:szCs w:val="24"/>
                <w:lang w:eastAsia="zh-CN"/>
              </w:rPr>
              <w:t>于</w:t>
            </w:r>
            <w:r>
              <w:rPr>
                <w:rFonts w:hint="default" w:ascii="Times New Roman" w:hAnsi="Times New Roman" w:cs="Times New Roman"/>
                <w:color w:val="auto"/>
                <w:kern w:val="0"/>
                <w:sz w:val="24"/>
                <w:szCs w:val="24"/>
                <w:lang w:val="en-US" w:eastAsia="zh-CN"/>
              </w:rPr>
              <w:t>淮南市潘集区平圩镇</w:t>
            </w:r>
            <w:r>
              <w:rPr>
                <w:rFonts w:hint="eastAsia" w:ascii="Times New Roman" w:hAnsi="Times New Roman" w:cs="Times New Roman"/>
                <w:color w:val="auto"/>
                <w:kern w:val="0"/>
                <w:sz w:val="24"/>
                <w:szCs w:val="24"/>
                <w:lang w:val="en-US" w:eastAsia="zh-CN"/>
              </w:rPr>
              <w:t>邵圩</w:t>
            </w:r>
            <w:r>
              <w:rPr>
                <w:rFonts w:hint="eastAsia" w:cs="Times New Roman"/>
                <w:color w:val="auto"/>
                <w:kern w:val="0"/>
                <w:sz w:val="24"/>
                <w:szCs w:val="24"/>
                <w:lang w:val="en-US" w:eastAsia="zh-CN"/>
              </w:rPr>
              <w:t>村</w:t>
            </w:r>
            <w:r>
              <w:rPr>
                <w:rFonts w:hint="default" w:ascii="Times New Roman" w:hAnsi="Times New Roman" w:eastAsia="宋体" w:cs="Times New Roman"/>
                <w:b w:val="0"/>
                <w:bCs w:val="0"/>
                <w:color w:val="auto"/>
                <w:sz w:val="24"/>
                <w:szCs w:val="24"/>
                <w:lang w:val="en-US" w:eastAsia="zh-CN"/>
              </w:rPr>
              <w:t>。根据安徽省</w:t>
            </w:r>
            <w:r>
              <w:rPr>
                <w:rFonts w:hint="eastAsia" w:ascii="宋体" w:hAnsi="宋体" w:eastAsia="宋体" w:cs="宋体"/>
                <w:b w:val="0"/>
                <w:bCs w:val="0"/>
                <w:color w:val="auto"/>
                <w:sz w:val="24"/>
                <w:szCs w:val="24"/>
                <w:lang w:val="en-US" w:eastAsia="zh-CN"/>
              </w:rPr>
              <w:t>“三线一单”</w:t>
            </w:r>
            <w:r>
              <w:rPr>
                <w:rFonts w:hint="default" w:ascii="Times New Roman" w:hAnsi="Times New Roman" w:eastAsia="宋体" w:cs="Times New Roman"/>
                <w:b w:val="0"/>
                <w:bCs w:val="0"/>
                <w:color w:val="auto"/>
                <w:sz w:val="24"/>
                <w:szCs w:val="24"/>
                <w:lang w:val="en-US" w:eastAsia="zh-CN"/>
              </w:rPr>
              <w:t>公众服务平台</w:t>
            </w:r>
            <w:r>
              <w:rPr>
                <w:rFonts w:hint="default" w:ascii="Times New Roman" w:hAnsi="Times New Roman" w:eastAsia="宋体" w:cs="Times New Roman"/>
                <w:color w:val="auto"/>
                <w:kern w:val="0"/>
                <w:sz w:val="24"/>
                <w:szCs w:val="24"/>
                <w:lang w:val="en-US" w:eastAsia="zh-CN"/>
              </w:rPr>
              <w:t>，经与</w:t>
            </w:r>
            <w:r>
              <w:rPr>
                <w:rFonts w:hint="eastAsia" w:ascii="宋体" w:hAnsi="宋体" w:eastAsia="宋体" w:cs="宋体"/>
                <w:color w:val="auto"/>
                <w:kern w:val="0"/>
                <w:sz w:val="24"/>
                <w:szCs w:val="24"/>
                <w:lang w:val="en-US" w:eastAsia="zh-CN"/>
              </w:rPr>
              <w:t>“三线一单”成</w:t>
            </w:r>
            <w:r>
              <w:rPr>
                <w:rFonts w:hint="default" w:ascii="Times New Roman" w:hAnsi="Times New Roman" w:eastAsia="宋体" w:cs="Times New Roman"/>
                <w:color w:val="auto"/>
                <w:kern w:val="0"/>
                <w:sz w:val="24"/>
                <w:szCs w:val="24"/>
                <w:lang w:val="en-US" w:eastAsia="zh-CN"/>
              </w:rPr>
              <w:t>果数据分析，项目占地范围与</w:t>
            </w:r>
            <w:r>
              <w:rPr>
                <w:rFonts w:hint="eastAsia" w:ascii="Times New Roman" w:hAnsi="Times New Roman" w:eastAsia="宋体" w:cs="Times New Roman"/>
                <w:color w:val="auto"/>
                <w:kern w:val="0"/>
                <w:sz w:val="24"/>
                <w:szCs w:val="24"/>
                <w:lang w:val="en-US" w:eastAsia="zh-CN"/>
              </w:rPr>
              <w:t>1</w:t>
            </w:r>
            <w:r>
              <w:rPr>
                <w:rFonts w:hint="default" w:ascii="Times New Roman" w:hAnsi="Times New Roman" w:eastAsia="宋体" w:cs="Times New Roman"/>
                <w:color w:val="auto"/>
                <w:kern w:val="0"/>
                <w:sz w:val="24"/>
                <w:szCs w:val="24"/>
                <w:lang w:val="en-US" w:eastAsia="zh-CN"/>
              </w:rPr>
              <w:t>个环境管控单元存在交叠，其中优先保护类0个，重点管控类1个，一般管控类0个。具体管控要求及</w:t>
            </w:r>
            <w:r>
              <w:rPr>
                <w:rFonts w:hint="default" w:ascii="Times New Roman" w:hAnsi="Times New Roman" w:eastAsia="宋体" w:cs="Times New Roman"/>
                <w:b w:val="0"/>
                <w:bCs w:val="0"/>
                <w:color w:val="auto"/>
                <w:sz w:val="24"/>
                <w:szCs w:val="24"/>
                <w:lang w:val="en-US" w:eastAsia="zh-CN"/>
              </w:rPr>
              <w:t>交叠情况详如下表及下图。</w:t>
            </w:r>
          </w:p>
          <w:p w14:paraId="468B12F3">
            <w:pPr>
              <w:pStyle w:val="40"/>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ind w:firstLine="0" w:firstLineChars="0"/>
              <w:jc w:val="center"/>
              <w:textAlignment w:val="auto"/>
              <w:outlineLvl w:val="9"/>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表1-</w:t>
            </w:r>
            <w:r>
              <w:rPr>
                <w:rFonts w:hint="eastAsia" w:cs="Times New Roman"/>
                <w:b/>
                <w:bCs/>
                <w:color w:val="auto"/>
                <w:kern w:val="2"/>
                <w:sz w:val="21"/>
                <w:szCs w:val="21"/>
                <w:lang w:val="en-US" w:eastAsia="zh-CN" w:bidi="ar-SA"/>
              </w:rPr>
              <w:t>3</w:t>
            </w:r>
            <w:r>
              <w:rPr>
                <w:rFonts w:hint="default" w:ascii="Times New Roman" w:hAnsi="Times New Roman" w:eastAsia="宋体" w:cs="Times New Roman"/>
                <w:b/>
                <w:bCs/>
                <w:color w:val="auto"/>
                <w:kern w:val="2"/>
                <w:sz w:val="21"/>
                <w:szCs w:val="21"/>
                <w:lang w:val="en-US" w:eastAsia="zh-CN" w:bidi="ar-SA"/>
              </w:rPr>
              <w:t xml:space="preserve">  项目所在区管控单元识别结果</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1" w:type="dxa"/>
                <w:bottom w:w="0" w:type="dxa"/>
                <w:right w:w="51" w:type="dxa"/>
              </w:tblCellMar>
            </w:tblPr>
            <w:tblGrid>
              <w:gridCol w:w="1127"/>
              <w:gridCol w:w="4667"/>
              <w:gridCol w:w="3528"/>
              <w:gridCol w:w="3645"/>
            </w:tblGrid>
            <w:tr w14:paraId="7ADD0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exact"/>
                <w:jc w:val="center"/>
              </w:trPr>
              <w:tc>
                <w:tcPr>
                  <w:tcW w:w="435" w:type="pct"/>
                  <w:tcBorders>
                    <w:tl2br w:val="nil"/>
                    <w:tr2bl w:val="nil"/>
                  </w:tcBorders>
                  <w:noWrap w:val="0"/>
                  <w:vAlign w:val="center"/>
                </w:tcPr>
                <w:p w14:paraId="23660A3F">
                  <w:pPr>
                    <w:pStyle w:val="22"/>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序号</w:t>
                  </w:r>
                </w:p>
              </w:tc>
              <w:tc>
                <w:tcPr>
                  <w:tcW w:w="1799" w:type="pct"/>
                  <w:tcBorders>
                    <w:tl2br w:val="nil"/>
                    <w:tr2bl w:val="nil"/>
                  </w:tcBorders>
                  <w:noWrap w:val="0"/>
                  <w:vAlign w:val="center"/>
                </w:tcPr>
                <w:p w14:paraId="1B847493">
                  <w:pPr>
                    <w:pStyle w:val="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环境管控单元编码</w:t>
                  </w:r>
                </w:p>
              </w:tc>
              <w:tc>
                <w:tcPr>
                  <w:tcW w:w="1360" w:type="pct"/>
                  <w:tcBorders>
                    <w:tl2br w:val="nil"/>
                    <w:tr2bl w:val="nil"/>
                  </w:tcBorders>
                  <w:noWrap w:val="0"/>
                  <w:vAlign w:val="center"/>
                </w:tcPr>
                <w:p w14:paraId="28B444D0">
                  <w:pPr>
                    <w:pStyle w:val="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环境管控单元名称</w:t>
                  </w:r>
                </w:p>
              </w:tc>
              <w:tc>
                <w:tcPr>
                  <w:tcW w:w="1405" w:type="pct"/>
                  <w:tcBorders>
                    <w:tl2br w:val="nil"/>
                    <w:tr2bl w:val="nil"/>
                  </w:tcBorders>
                  <w:noWrap w:val="0"/>
                  <w:vAlign w:val="center"/>
                </w:tcPr>
                <w:p w14:paraId="37998F39">
                  <w:pPr>
                    <w:pStyle w:val="22"/>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环境管控单元分类</w:t>
                  </w:r>
                </w:p>
              </w:tc>
            </w:tr>
            <w:tr w14:paraId="702A8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69" w:hRule="exact"/>
                <w:jc w:val="center"/>
              </w:trPr>
              <w:tc>
                <w:tcPr>
                  <w:tcW w:w="435" w:type="pct"/>
                  <w:tcBorders>
                    <w:tl2br w:val="nil"/>
                    <w:tr2bl w:val="nil"/>
                  </w:tcBorders>
                  <w:noWrap w:val="0"/>
                  <w:vAlign w:val="center"/>
                </w:tcPr>
                <w:p w14:paraId="0621BEE2">
                  <w:pPr>
                    <w:pStyle w:val="2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1799" w:type="pct"/>
                  <w:tcBorders>
                    <w:tl2br w:val="nil"/>
                    <w:tr2bl w:val="nil"/>
                  </w:tcBorders>
                  <w:noWrap w:val="0"/>
                  <w:vAlign w:val="center"/>
                </w:tcPr>
                <w:p w14:paraId="319750B3">
                  <w:pPr>
                    <w:pStyle w:val="2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ZH34040620018</w:t>
                  </w:r>
                </w:p>
              </w:tc>
              <w:tc>
                <w:tcPr>
                  <w:tcW w:w="1360" w:type="pct"/>
                  <w:tcBorders>
                    <w:tl2br w:val="nil"/>
                    <w:tr2bl w:val="nil"/>
                  </w:tcBorders>
                  <w:noWrap w:val="0"/>
                  <w:vAlign w:val="center"/>
                </w:tcPr>
                <w:p w14:paraId="39D974CF">
                  <w:pPr>
                    <w:pStyle w:val="22"/>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color w:val="auto"/>
                      <w:sz w:val="21"/>
                      <w:szCs w:val="21"/>
                    </w:rPr>
                    <w:t>重点管控单元</w:t>
                  </w:r>
                  <w:r>
                    <w:rPr>
                      <w:rFonts w:hint="eastAsia" w:ascii="Times New Roman" w:hAnsi="Times New Roman" w:eastAsia="宋体" w:cs="Times New Roman"/>
                      <w:b w:val="0"/>
                      <w:bCs w:val="0"/>
                      <w:color w:val="auto"/>
                      <w:sz w:val="21"/>
                      <w:szCs w:val="21"/>
                      <w:lang w:val="en-US" w:eastAsia="zh-CN"/>
                    </w:rPr>
                    <w:t>16</w:t>
                  </w:r>
                </w:p>
              </w:tc>
              <w:tc>
                <w:tcPr>
                  <w:tcW w:w="1405" w:type="pct"/>
                  <w:tcBorders>
                    <w:tl2br w:val="nil"/>
                    <w:tr2bl w:val="nil"/>
                  </w:tcBorders>
                  <w:noWrap w:val="0"/>
                  <w:vAlign w:val="center"/>
                </w:tcPr>
                <w:p w14:paraId="56777DCF">
                  <w:pPr>
                    <w:pStyle w:val="22"/>
                    <w:jc w:val="center"/>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rPr>
                    <w:t>重点管控单元</w:t>
                  </w:r>
                </w:p>
              </w:tc>
            </w:tr>
          </w:tbl>
          <w:p w14:paraId="051273BD">
            <w:pPr>
              <w:rPr>
                <w:rFonts w:hint="eastAsia"/>
                <w:color w:val="auto"/>
                <w:lang w:val="en-US" w:eastAsia="zh-CN"/>
              </w:rPr>
            </w:pPr>
            <w:r>
              <w:rPr>
                <w:color w:val="auto"/>
                <w:sz w:val="21"/>
              </w:rPr>
              <mc:AlternateContent>
                <mc:Choice Requires="wps">
                  <w:drawing>
                    <wp:anchor distT="0" distB="0" distL="114300" distR="114300" simplePos="0" relativeHeight="251664384" behindDoc="0" locked="0" layoutInCell="1" allowOverlap="1">
                      <wp:simplePos x="0" y="0"/>
                      <wp:positionH relativeFrom="column">
                        <wp:posOffset>3462655</wp:posOffset>
                      </wp:positionH>
                      <wp:positionV relativeFrom="paragraph">
                        <wp:posOffset>2150745</wp:posOffset>
                      </wp:positionV>
                      <wp:extent cx="914400" cy="290195"/>
                      <wp:effectExtent l="59055" t="0" r="17145" b="395605"/>
                      <wp:wrapNone/>
                      <wp:docPr id="25" name="矩形标注 25"/>
                      <wp:cNvGraphicFramePr/>
                      <a:graphic xmlns:a="http://schemas.openxmlformats.org/drawingml/2006/main">
                        <a:graphicData uri="http://schemas.microsoft.com/office/word/2010/wordprocessingShape">
                          <wps:wsp>
                            <wps:cNvSpPr/>
                            <wps:spPr>
                              <a:xfrm>
                                <a:off x="0" y="0"/>
                                <a:ext cx="914400" cy="290195"/>
                              </a:xfrm>
                              <a:prstGeom prst="wedgeRectCallout">
                                <a:avLst>
                                  <a:gd name="adj1" fmla="val -56454"/>
                                  <a:gd name="adj2" fmla="val 183042"/>
                                </a:avLst>
                              </a:prstGeom>
                              <a:solidFill>
                                <a:srgbClr val="FFFFFF"/>
                              </a:solidFill>
                              <a:ln>
                                <a:noFill/>
                              </a:ln>
                            </wps:spPr>
                            <wps:txbx>
                              <w:txbxContent>
                                <w:p w14:paraId="5E97B3C3">
                                  <w:pPr>
                                    <w:rPr>
                                      <w:rFonts w:hint="eastAsia" w:eastAsia="宋体"/>
                                      <w:lang w:val="en-US" w:eastAsia="zh-CN"/>
                                    </w:rPr>
                                  </w:pPr>
                                  <w:r>
                                    <w:rPr>
                                      <w:rFonts w:hint="eastAsia"/>
                                      <w:lang w:val="en-US" w:eastAsia="zh-CN"/>
                                    </w:rPr>
                                    <w:t>项目所在地</w:t>
                                  </w:r>
                                </w:p>
                              </w:txbxContent>
                            </wps:txbx>
                            <wps:bodyPr upright="1"/>
                          </wps:wsp>
                        </a:graphicData>
                      </a:graphic>
                    </wp:anchor>
                  </w:drawing>
                </mc:Choice>
                <mc:Fallback>
                  <w:pict>
                    <v:shape id="_x0000_s1026" o:spid="_x0000_s1026" o:spt="61" type="#_x0000_t61" style="position:absolute;left:0pt;margin-left:272.65pt;margin-top:169.35pt;height:22.85pt;width:72pt;z-index:251664384;mso-width-relative:page;mso-height-relative:page;" fillcolor="#FFFFFF" filled="t" stroked="f" coordsize="21600,21600" o:gfxdata="UEsDBAoAAAAAAIdO4kAAAAAAAAAAAAAAAAAEAAAAZHJzL1BLAwQUAAAACACHTuJA4l3xctoAAAAL&#10;AQAADwAAAGRycy9kb3ducmV2LnhtbE2Py07DMBBF90j8gzVI7KjTJk2TNE4XSAg2CDXwAW48jaP6&#10;EcVOW/h6hhVdzp2jO2fq3dUadsYpDN4JWC4SYOg6rwbXC/j6fHkqgIUonZLGOxTwjQF2zf1dLSvl&#10;L26P5zb2jEpcqKQAHeNYcR46jVaGhR/R0e7oJysjjVPP1SQvVG4NXyVJzq0cHF3QcsRnjd2pna2A&#10;Ml3F9zxsfnS7L83H/BZf1bEU4vFhmWyBRbzGfxj+9EkdGnI6+NmpwIyAdbZOCRWQpsUGGBF5UVJy&#10;oKTIMuBNzW9/aH4BUEsDBBQAAAAIAIdO4kD3Wc4l7wEAANADAAAOAAAAZHJzL2Uyb0RvYy54bWyt&#10;U0uS0zAQ3VPFHVTaT/whmZq44sxiUmFDwRQDB1Ak2RalX0lK7JyAY0CxgjVrjsNwDVqyyYRhMwu8&#10;kLtbrdf9Xkur60FJdODOC6NrXMxyjLimhgnd1vj9u+3FFUY+EM2INJrX+Mg9vl4/f7bqbcVL0xnJ&#10;uEMAon3V2xp3IdgqyzztuCJ+ZizXsNkYp0gA17UZc6QHdCWzMs8vs944Zp2h3HuIbsZNPCG6pwCa&#10;phGUbwzdK67DiOq4JAEo+U5Yj9ep26bhNLxpGs8DkjUGpiGtUATsXVyz9YpUrSO2E3RqgTylhUec&#10;FBEaip6gNiQQtHfiHyglqDPeNGFGjcpGIkkRYFHkj7S564jliQtI7e1JdP//YOnrw61DgtW4XGCk&#10;iYKJ//r07eePL/efP95//4ogDBr11leQemdv3eR5MCPhoXEq/oEKGpKux5OufAiIQnBZzOc5KE5h&#10;q1zmxTJhZg+HrfPhJTcKRaPGPWctfwuzuyFSmn1IypLDKx+SxGzqk7APBUaNkjCxA5HoYnE5X8yn&#10;kZ4lledJxdWLfF7GJKg/YYL1p4NYwBsp2FZImRzX7m6kQ1Cgxtv0TYf/SpM6JmsTj43YMZJF3Ual&#10;ohWG3TDJtzPsCMLvrRNtB5SLBBqTYNCpt+lSxpt07ifQh4e4/g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XfFy2gAAAAsBAAAPAAAAAAAAAAEAIAAAACIAAABkcnMvZG93bnJldi54bWxQSwECFAAU&#10;AAAACACHTuJA91nOJe8BAADQAwAADgAAAAAAAAABACAAAAApAQAAZHJzL2Uyb0RvYy54bWxQSwUG&#10;AAAAAAYABgBZAQAAigUAAAAA&#10;" adj="-1394,50337">
                      <v:fill on="t" focussize="0,0"/>
                      <v:stroke on="f"/>
                      <v:imagedata o:title=""/>
                      <o:lock v:ext="edit" aspectratio="f"/>
                      <v:textbox>
                        <w:txbxContent>
                          <w:p w14:paraId="5E97B3C3">
                            <w:pPr>
                              <w:rPr>
                                <w:rFonts w:hint="eastAsia" w:eastAsia="宋体"/>
                                <w:lang w:val="en-US" w:eastAsia="zh-CN"/>
                              </w:rPr>
                            </w:pPr>
                            <w:r>
                              <w:rPr>
                                <w:rFonts w:hint="eastAsia"/>
                                <w:lang w:val="en-US" w:eastAsia="zh-CN"/>
                              </w:rPr>
                              <w:t>项目所在地</w:t>
                            </w:r>
                          </w:p>
                        </w:txbxContent>
                      </v:textbox>
                    </v:shape>
                  </w:pict>
                </mc:Fallback>
              </mc:AlternateContent>
            </w:r>
            <w:r>
              <w:rPr>
                <w:color w:val="auto"/>
                <w:sz w:val="21"/>
              </w:rPr>
              <mc:AlternateContent>
                <mc:Choice Requires="wps">
                  <w:drawing>
                    <wp:anchor distT="0" distB="0" distL="114300" distR="114300" simplePos="0" relativeHeight="251665408" behindDoc="0" locked="0" layoutInCell="1" allowOverlap="1">
                      <wp:simplePos x="0" y="0"/>
                      <wp:positionH relativeFrom="column">
                        <wp:posOffset>3303905</wp:posOffset>
                      </wp:positionH>
                      <wp:positionV relativeFrom="paragraph">
                        <wp:posOffset>2753360</wp:posOffset>
                      </wp:positionV>
                      <wp:extent cx="190500" cy="173990"/>
                      <wp:effectExtent l="0" t="0" r="0" b="16510"/>
                      <wp:wrapNone/>
                      <wp:docPr id="24" name="等腰三角形 24"/>
                      <wp:cNvGraphicFramePr/>
                      <a:graphic xmlns:a="http://schemas.openxmlformats.org/drawingml/2006/main">
                        <a:graphicData uri="http://schemas.microsoft.com/office/word/2010/wordprocessingShape">
                          <wps:wsp>
                            <wps:cNvSpPr/>
                            <wps:spPr>
                              <a:xfrm>
                                <a:off x="0" y="0"/>
                                <a:ext cx="190500" cy="173990"/>
                              </a:xfrm>
                              <a:prstGeom prst="triangle">
                                <a:avLst>
                                  <a:gd name="adj" fmla="val 50000"/>
                                </a:avLst>
                              </a:prstGeom>
                              <a:solidFill>
                                <a:srgbClr val="FFFF00"/>
                              </a:solidFill>
                              <a:ln>
                                <a:noFill/>
                              </a:ln>
                            </wps:spPr>
                            <wps:bodyPr upright="1"/>
                          </wps:wsp>
                        </a:graphicData>
                      </a:graphic>
                    </wp:anchor>
                  </w:drawing>
                </mc:Choice>
                <mc:Fallback>
                  <w:pict>
                    <v:shape id="_x0000_s1026" o:spid="_x0000_s1026" o:spt="5" type="#_x0000_t5" style="position:absolute;left:0pt;margin-left:260.15pt;margin-top:216.8pt;height:13.7pt;width:15pt;z-index:251665408;mso-width-relative:page;mso-height-relative:page;" fillcolor="#FFFF00" filled="t" stroked="f" coordsize="21600,21600" o:gfxdata="UEsDBAoAAAAAAIdO4kAAAAAAAAAAAAAAAAAEAAAAZHJzL1BLAwQUAAAACACHTuJAWenq2tcAAAAL&#10;AQAADwAAAGRycy9kb3ducmV2LnhtbE2PQW6DMBBF95V6B2sqddfYhOBUBJNFpGYXVSU9gMETQMVj&#10;ih1Ib19n1S7nz9OfN8X+Zgc24+R7RwqSlQCG1DjTU6vg8/z28grMB01GD45QwQ962JePD4XOjVvo&#10;A+cqtCyWkM+1gi6EMefcNx1a7VduRIq7i5usDnGcWm4mvcRyO/C1EJJb3VO80OkRDx02X9XVKjht&#10;p81p3n7P3h6P8v1Q1XLxtVLPT4nYAQt4C38w3PWjOpTRqXZXMp4NCrK1SCOqYJOmElgksuye1DGR&#10;iQBeFvz/D+UvUEsDBBQAAAAIAIdO4kBW72LV2wEAAJkDAAAOAAAAZHJzL2Uyb0RvYy54bWytU72O&#10;1DAQ7pF4B8s9m2T5u402ewWrpUFw0sEDeB07MfKfxt7N7gNQXMsj0FAhUdLwNqC7x2DshD04mitI&#10;4cx4Zr5832dneX4wmuwFBOVsQ6tZSYmw3LXKdg1993bz6IySEJltmXZWNPQoAj1fPXywHHwt5q53&#10;uhVAEMSGevAN7WP0dVEE3gvDwsx5YbEoHRgWMYWuaIENiG50MS/LZ8XgoPXguAgBd9djkU6IcB9A&#10;J6XiYu34zggbR1QQmkWUFHrlA11ltlIKHt9IGUQkuqGoNOYVP4LxNq3FasnqDpjvFZ8osPtQuKPJ&#10;MGXxoyeoNYuM7ED9A2UUBxecjDPuTDEKyY6giqq8481lz7zIWtDq4E+mh/8Hy1/vL4CotqHzJ5RY&#10;ZvDEr79c3Xz4+uPb1c3njz+/fyJYQZsGH2rsvvQXMGUBw6T5IMGkN6ohh2zt8WStOETCcbNalE9L&#10;NJ1jqXr+eLHI1he3wx5CfCmcISloaATFbKeTelaz/asQs7vtRJG17ymRRuNZ7ZkmCI3gSAsBp2aM&#10;fkOmyeC0ajdK65xAt32hgeBoQzf4nIb/atM2NVuXxkbstFMkI0bpKdq69ogO7jyorkfiVaaRKnhi&#10;mdB0u9KV+DPPSLd/1Oo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Wenq2tcAAAALAQAADwAAAAAA&#10;AAABACAAAAAiAAAAZHJzL2Rvd25yZXYueG1sUEsBAhQAFAAAAAgAh07iQFbvYtXbAQAAmQMAAA4A&#10;AAAAAAAAAQAgAAAAJgEAAGRycy9lMm9Eb2MueG1sUEsFBgAAAAAGAAYAWQEAAHMFAAAAAA==&#10;" adj="10800">
                      <v:fill on="t" focussize="0,0"/>
                      <v:stroke on="f"/>
                      <v:imagedata o:title=""/>
                      <o:lock v:ext="edit" aspectratio="f"/>
                    </v:shape>
                  </w:pict>
                </mc:Fallback>
              </mc:AlternateContent>
            </w:r>
            <w:r>
              <w:rPr>
                <w:color w:val="auto"/>
              </w:rPr>
              <w:drawing>
                <wp:inline distT="0" distB="0" distL="114300" distR="114300">
                  <wp:extent cx="8299450" cy="4632325"/>
                  <wp:effectExtent l="0" t="0" r="6350" b="15875"/>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8"/>
                          <a:stretch>
                            <a:fillRect/>
                          </a:stretch>
                        </pic:blipFill>
                        <pic:spPr>
                          <a:xfrm>
                            <a:off x="0" y="0"/>
                            <a:ext cx="8299450" cy="4632325"/>
                          </a:xfrm>
                          <a:prstGeom prst="rect">
                            <a:avLst/>
                          </a:prstGeom>
                          <a:noFill/>
                          <a:ln>
                            <a:noFill/>
                          </a:ln>
                        </pic:spPr>
                      </pic:pic>
                    </a:graphicData>
                  </a:graphic>
                </wp:inline>
              </w:drawing>
            </w:r>
          </w:p>
          <w:p w14:paraId="2B71A4B7">
            <w:pPr>
              <w:pStyle w:val="239"/>
              <w:bidi w:val="0"/>
              <w:jc w:val="center"/>
              <w:rPr>
                <w:rFonts w:hint="eastAsia"/>
                <w:b/>
                <w:bCs/>
                <w:color w:val="auto"/>
                <w:sz w:val="24"/>
                <w:szCs w:val="32"/>
                <w:vertAlign w:val="baseline"/>
                <w:lang w:val="en-US" w:eastAsia="zh-CN"/>
              </w:rPr>
            </w:pPr>
            <w:r>
              <w:rPr>
                <w:rFonts w:hint="eastAsia" w:ascii="Times New Roman" w:hAnsi="Times New Roman" w:eastAsia="宋体" w:cs="Times New Roman"/>
                <w:b/>
                <w:bCs/>
                <w:color w:val="auto"/>
                <w:kern w:val="2"/>
                <w:sz w:val="21"/>
                <w:szCs w:val="21"/>
                <w:lang w:val="en-US" w:eastAsia="zh-CN" w:bidi="ar-SA"/>
              </w:rPr>
              <w:t>图1-1   项目所在区管控单元识别结果图</w:t>
            </w:r>
          </w:p>
        </w:tc>
      </w:tr>
    </w:tbl>
    <w:p w14:paraId="7A6EB3CA">
      <w:pPr>
        <w:rPr>
          <w:rFonts w:hint="eastAsia"/>
          <w:b/>
          <w:bCs/>
          <w:color w:val="auto"/>
          <w:sz w:val="24"/>
          <w:szCs w:val="32"/>
          <w:vertAlign w:val="baseline"/>
          <w:lang w:val="en-US"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fmt="decimal"/>
          <w:cols w:space="720" w:num="1"/>
          <w:docGrid w:linePitch="312" w:charSpace="0"/>
        </w:sectPr>
      </w:pP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2"/>
        <w:gridCol w:w="8538"/>
      </w:tblGrid>
      <w:tr w14:paraId="0995E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22" w:type="dxa"/>
            <w:vAlign w:val="center"/>
          </w:tcPr>
          <w:p w14:paraId="45EC423E">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sz w:val="24"/>
                <w:szCs w:val="32"/>
                <w:vertAlign w:val="baseline"/>
                <w:lang w:val="en-US" w:eastAsia="zh-CN"/>
              </w:rPr>
            </w:pPr>
            <w:r>
              <w:rPr>
                <w:rFonts w:hint="eastAsia"/>
                <w:color w:val="auto"/>
                <w:sz w:val="24"/>
                <w:szCs w:val="24"/>
              </w:rPr>
              <w:t>其他符合性分析</w:t>
            </w:r>
          </w:p>
        </w:tc>
        <w:tc>
          <w:tcPr>
            <w:tcW w:w="8538" w:type="dxa"/>
          </w:tcPr>
          <w:p w14:paraId="6649CD02">
            <w:pPr>
              <w:pStyle w:val="239"/>
              <w:bidi w:val="0"/>
              <w:rPr>
                <w:color w:val="auto"/>
                <w:sz w:val="24"/>
                <w:szCs w:val="32"/>
                <w:vertAlign w:val="baseline"/>
              </w:rPr>
            </w:pPr>
            <w:r>
              <w:rPr>
                <w:rFonts w:hint="eastAsia"/>
                <w:b/>
                <w:bCs/>
                <w:color w:val="auto"/>
                <w:sz w:val="24"/>
                <w:szCs w:val="32"/>
                <w:vertAlign w:val="baseline"/>
                <w:lang w:val="en-US" w:eastAsia="zh-CN"/>
              </w:rPr>
              <w:t>4、</w:t>
            </w:r>
            <w:r>
              <w:rPr>
                <w:rFonts w:hint="eastAsia"/>
                <w:b/>
                <w:bCs/>
                <w:color w:val="auto"/>
                <w:sz w:val="24"/>
                <w:szCs w:val="32"/>
                <w:vertAlign w:val="baseline"/>
              </w:rPr>
              <w:t>与其他环保政策符合性分析</w:t>
            </w:r>
          </w:p>
          <w:p w14:paraId="75D90263">
            <w:pPr>
              <w:pStyle w:val="68"/>
              <w:bidi w:val="0"/>
              <w:rPr>
                <w:rFonts w:hint="default" w:ascii="Times New Roman" w:hAnsi="Times New Roman" w:eastAsia="宋体" w:cs="Times New Roman"/>
                <w:b/>
                <w:bCs/>
                <w:color w:val="auto"/>
                <w:sz w:val="21"/>
                <w:szCs w:val="16"/>
              </w:rPr>
            </w:pPr>
            <w:r>
              <w:rPr>
                <w:rFonts w:hint="default" w:ascii="Times New Roman" w:hAnsi="Times New Roman" w:eastAsia="宋体" w:cs="Times New Roman"/>
                <w:b/>
                <w:bCs/>
                <w:color w:val="auto"/>
                <w:sz w:val="21"/>
                <w:szCs w:val="16"/>
                <w:lang w:val="en-US" w:eastAsia="zh-CN"/>
              </w:rPr>
              <w:t>表1-</w:t>
            </w:r>
            <w:r>
              <w:rPr>
                <w:rFonts w:hint="eastAsia" w:ascii="Times New Roman" w:hAnsi="Times New Roman" w:eastAsia="宋体" w:cs="Times New Roman"/>
                <w:b/>
                <w:bCs/>
                <w:color w:val="auto"/>
                <w:sz w:val="21"/>
                <w:szCs w:val="16"/>
                <w:lang w:val="en-US" w:eastAsia="zh-CN"/>
              </w:rPr>
              <w:t xml:space="preserve">4 </w:t>
            </w:r>
            <w:r>
              <w:rPr>
                <w:rFonts w:hint="default" w:ascii="Times New Roman" w:hAnsi="Times New Roman" w:eastAsia="宋体" w:cs="Times New Roman"/>
                <w:b/>
                <w:bCs/>
                <w:color w:val="auto"/>
                <w:sz w:val="21"/>
                <w:szCs w:val="16"/>
              </w:rPr>
              <w:t>与相关环保政策相符性分析一览表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4"/>
              <w:gridCol w:w="1413"/>
              <w:gridCol w:w="4116"/>
              <w:gridCol w:w="1736"/>
              <w:gridCol w:w="530"/>
            </w:tblGrid>
            <w:tr w14:paraId="653A0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noWrap w:val="0"/>
                  <w:vAlign w:val="center"/>
                </w:tcPr>
                <w:p w14:paraId="01D7853F">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850" w:type="pct"/>
                  <w:noWrap w:val="0"/>
                  <w:vAlign w:val="center"/>
                </w:tcPr>
                <w:p w14:paraId="168E2D22">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政策名称</w:t>
                  </w:r>
                </w:p>
              </w:tc>
              <w:tc>
                <w:tcPr>
                  <w:tcW w:w="2476" w:type="pct"/>
                  <w:noWrap w:val="0"/>
                  <w:vAlign w:val="center"/>
                </w:tcPr>
                <w:p w14:paraId="18C7CC2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政策要求</w:t>
                  </w:r>
                </w:p>
              </w:tc>
              <w:tc>
                <w:tcPr>
                  <w:tcW w:w="1044" w:type="pct"/>
                  <w:noWrap w:val="0"/>
                  <w:vAlign w:val="center"/>
                </w:tcPr>
                <w:p w14:paraId="0D1F60B3">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本项目</w:t>
                  </w:r>
                </w:p>
              </w:tc>
              <w:tc>
                <w:tcPr>
                  <w:tcW w:w="319" w:type="pct"/>
                  <w:noWrap w:val="0"/>
                  <w:vAlign w:val="center"/>
                </w:tcPr>
                <w:p w14:paraId="0F5368CF">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相符性</w:t>
                  </w:r>
                </w:p>
              </w:tc>
            </w:tr>
            <w:tr w14:paraId="746C0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restart"/>
                  <w:noWrap w:val="0"/>
                  <w:vAlign w:val="center"/>
                </w:tcPr>
                <w:p w14:paraId="7B07D6D5">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850" w:type="pct"/>
                  <w:vMerge w:val="restart"/>
                  <w:noWrap w:val="0"/>
                  <w:vAlign w:val="center"/>
                </w:tcPr>
                <w:p w14:paraId="6027AB62">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《中共中央国务院关于深入打好污染防治攻坚战的意见》（2021年11月2日）</w:t>
                  </w:r>
                </w:p>
              </w:tc>
              <w:tc>
                <w:tcPr>
                  <w:tcW w:w="2476" w:type="pct"/>
                  <w:noWrap w:val="0"/>
                  <w:vAlign w:val="center"/>
                </w:tcPr>
                <w:p w14:paraId="4BE8C70F">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推动能源清洁低碳转型</w:t>
                  </w:r>
                  <w:r>
                    <w:rPr>
                      <w:rFonts w:hint="default" w:ascii="Times New Roman" w:hAnsi="Times New Roman" w:eastAsia="宋体" w:cs="Times New Roman"/>
                      <w:color w:val="auto"/>
                      <w:sz w:val="21"/>
                      <w:szCs w:val="21"/>
                      <w:highlight w:val="none"/>
                    </w:rPr>
                    <w:t>。在保障能源安全的前提下，加快煤炭减量步伐，实施可再生能源替代行动。</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十四五</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时期，严控煤炭消费增长，非化石能源消费比重提高到20%左右，京津冀及周边地区、长三角地区煤炭消费量分别下降10%、5%左右，汾渭平原煤炭消费量实现负增长。原则上不再新增自备燃煤机组，支持自备燃煤机组实施清洁能源替代，鼓励自备电厂转为公用电厂。坚持</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增气减煤</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同步，新增天然气优先保障居民生活和清洁取暖需求。提高电能占终端能源消费比重。重点区域的平原地区散煤基本清零。有序扩大清洁取暖试点城市范围，稳步提升北方地区清洁取暖水平。</w:t>
                  </w:r>
                </w:p>
              </w:tc>
              <w:tc>
                <w:tcPr>
                  <w:tcW w:w="1044" w:type="pct"/>
                  <w:noWrap w:val="0"/>
                  <w:vAlign w:val="center"/>
                </w:tcPr>
                <w:p w14:paraId="0C060913">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本项目所用能源为电能，不使用煤炭作为能源</w:t>
                  </w:r>
                </w:p>
              </w:tc>
              <w:tc>
                <w:tcPr>
                  <w:tcW w:w="319" w:type="pct"/>
                  <w:noWrap w:val="0"/>
                  <w:vAlign w:val="center"/>
                </w:tcPr>
                <w:p w14:paraId="5C470D1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5C36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noWrap w:val="0"/>
                  <w:vAlign w:val="center"/>
                </w:tcPr>
                <w:p w14:paraId="4208242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850" w:type="pct"/>
                  <w:vMerge w:val="continue"/>
                  <w:noWrap w:val="0"/>
                  <w:vAlign w:val="center"/>
                </w:tcPr>
                <w:p w14:paraId="31D9C3D4">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476" w:type="pct"/>
                  <w:noWrap w:val="0"/>
                  <w:vAlign w:val="center"/>
                </w:tcPr>
                <w:p w14:paraId="76A960B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坚决遏制高耗能高排放项目盲目发展。</w:t>
                  </w:r>
                  <w:r>
                    <w:rPr>
                      <w:rFonts w:hint="default" w:ascii="Times New Roman" w:hAnsi="Times New Roman" w:eastAsia="宋体" w:cs="Times New Roman"/>
                      <w:color w:val="auto"/>
                      <w:sz w:val="21"/>
                      <w:szCs w:val="21"/>
                      <w:highlight w:val="none"/>
                    </w:rPr>
                    <w:t>严把高耗能高排放项目准入关口，严格落实污染物排放区域削减要求，对不符合规定的项目坚决停批停建。依法依规淘汰落后产能和化解过剩产能。推动高炉</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转炉长流程炼钢转型为电炉短流程炼钢。重点区域严禁新增钢铁、焦化、水泥熟料、平板玻璃、电解铝、氧化铝、煤化工产能，合理控制煤制油气产能规模，严控新增炼油产能。</w:t>
                  </w:r>
                </w:p>
              </w:tc>
              <w:tc>
                <w:tcPr>
                  <w:tcW w:w="1044" w:type="pct"/>
                  <w:noWrap w:val="0"/>
                  <w:vAlign w:val="center"/>
                </w:tcPr>
                <w:p w14:paraId="17E9D573">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本项目为C1311稻谷加工，根据安徽省两高项目管理目录，本项目不属于高耗能、高排放项目。</w:t>
                  </w:r>
                </w:p>
              </w:tc>
              <w:tc>
                <w:tcPr>
                  <w:tcW w:w="319" w:type="pct"/>
                  <w:noWrap w:val="0"/>
                  <w:vAlign w:val="center"/>
                </w:tcPr>
                <w:p w14:paraId="2836AF9D">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0F65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noWrap w:val="0"/>
                  <w:vAlign w:val="center"/>
                </w:tcPr>
                <w:p w14:paraId="58F1F08E">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850" w:type="pct"/>
                  <w:vMerge w:val="continue"/>
                  <w:noWrap w:val="0"/>
                  <w:vAlign w:val="center"/>
                </w:tcPr>
                <w:p w14:paraId="69F8E3B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476" w:type="pct"/>
                  <w:noWrap w:val="0"/>
                  <w:vAlign w:val="center"/>
                </w:tcPr>
                <w:p w14:paraId="2C1E722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加强生态环境分区管控。</w:t>
                  </w:r>
                  <w:r>
                    <w:rPr>
                      <w:rFonts w:hint="default" w:ascii="Times New Roman" w:hAnsi="Times New Roman" w:eastAsia="宋体" w:cs="Times New Roman"/>
                      <w:color w:val="auto"/>
                      <w:sz w:val="21"/>
                      <w:szCs w:val="21"/>
                      <w:highlight w:val="none"/>
                    </w:rPr>
                    <w:t>衔接国土空间规划分区和用途管制要求，将生态保护红线、环境质量底线、资源利用上线的硬约束落实到环境管控单元，建立差别化的生态环境准入清单，加强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三线一单</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成果在政策制定、环境准入、园区管理、执法监管等方面的应用。健全以环评制度为主体的源头预防体系，严格规划环评审查和项目环评准入，开展重大经济技术政策的生态环境影响分析和重大生态环境政策的社会经济影响评估。</w:t>
                  </w:r>
                </w:p>
              </w:tc>
              <w:tc>
                <w:tcPr>
                  <w:tcW w:w="1044" w:type="pct"/>
                  <w:noWrap w:val="0"/>
                  <w:vAlign w:val="center"/>
                </w:tcPr>
                <w:p w14:paraId="2BDB8C8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本项目符合“三线一单”要求</w:t>
                  </w:r>
                </w:p>
              </w:tc>
              <w:tc>
                <w:tcPr>
                  <w:tcW w:w="319" w:type="pct"/>
                  <w:noWrap w:val="0"/>
                  <w:vAlign w:val="center"/>
                </w:tcPr>
                <w:p w14:paraId="1C0A36F1">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273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noWrap w:val="0"/>
                  <w:vAlign w:val="center"/>
                </w:tcPr>
                <w:p w14:paraId="083E10F4">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2</w:t>
                  </w:r>
                </w:p>
              </w:tc>
              <w:tc>
                <w:tcPr>
                  <w:tcW w:w="850" w:type="pct"/>
                  <w:noWrap w:val="0"/>
                  <w:vAlign w:val="center"/>
                </w:tcPr>
                <w:p w14:paraId="2B3B474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关于加强高耗能、高排放建设项目生态环境源头防控的指导意见</w:t>
                  </w:r>
                  <w:r>
                    <w:rPr>
                      <w:rFonts w:hint="default" w:ascii="Times New Roman" w:hAnsi="Times New Roman" w:eastAsia="宋体" w:cs="Times New Roman"/>
                      <w:color w:val="auto"/>
                      <w:sz w:val="21"/>
                      <w:szCs w:val="21"/>
                      <w:highlight w:val="none"/>
                      <w:lang w:eastAsia="zh-CN"/>
                    </w:rPr>
                    <w:t>（环环评〔2021〕45号）</w:t>
                  </w:r>
                </w:p>
              </w:tc>
              <w:tc>
                <w:tcPr>
                  <w:tcW w:w="2476" w:type="pct"/>
                  <w:noWrap w:val="0"/>
                  <w:vAlign w:val="center"/>
                </w:tcPr>
                <w:p w14:paraId="6D508B8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严把建设项目环境准入关。新建、改建、扩建</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两高</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w:t>
                  </w:r>
                </w:p>
              </w:tc>
              <w:tc>
                <w:tcPr>
                  <w:tcW w:w="1044" w:type="pct"/>
                  <w:noWrap w:val="0"/>
                  <w:vAlign w:val="center"/>
                </w:tcPr>
                <w:p w14:paraId="280B4E7B">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本项目为C1311稻谷加工，根据安徽省两高项目管理目录，本项目不属于高耗能、高排放项目。</w:t>
                  </w:r>
                </w:p>
              </w:tc>
              <w:tc>
                <w:tcPr>
                  <w:tcW w:w="319" w:type="pct"/>
                  <w:noWrap w:val="0"/>
                  <w:vAlign w:val="center"/>
                </w:tcPr>
                <w:p w14:paraId="6CBBA56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593B3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restart"/>
                  <w:noWrap w:val="0"/>
                  <w:vAlign w:val="center"/>
                </w:tcPr>
                <w:p w14:paraId="13B06D78">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3</w:t>
                  </w:r>
                </w:p>
              </w:tc>
              <w:tc>
                <w:tcPr>
                  <w:tcW w:w="850" w:type="pct"/>
                  <w:vMerge w:val="restart"/>
                  <w:noWrap w:val="0"/>
                  <w:vAlign w:val="center"/>
                </w:tcPr>
                <w:p w14:paraId="1A8A371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《安徽省2021年应对气候变化和大气污染防治重点工作任务》（皖大气办〔2021〕3号）</w:t>
                  </w:r>
                </w:p>
              </w:tc>
              <w:tc>
                <w:tcPr>
                  <w:tcW w:w="2476" w:type="pct"/>
                  <w:noWrap w:val="0"/>
                  <w:vAlign w:val="center"/>
                </w:tcPr>
                <w:p w14:paraId="36E5CE7D">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9.开展锅炉炉窑深度治理。进一步摸排清理现有燃煤小热电和燃煤锅炉，确保区域内35蒸吨/小时以下燃煤锅炉清零。加快推进30万千瓦及以上热电联产机组供热半径30公里范围内燃煤锅炉和低效燃煤小热电关停整合，积极推进陶瓷、玻璃、铸造等行业清洁燃料替代工程；清理整治无法稳定达标排放的工业炉窑锅炉，取缔不达标燃料类煤气发生炉；4月底前，全面摸排生物质锅炉并建立台账，年底前完成建成区生物质锅炉超低排放改造，淘汰不能稳定达标（特排标准）的生物质锅炉和非生物质专用锅炉。</w:t>
                  </w:r>
                </w:p>
              </w:tc>
              <w:tc>
                <w:tcPr>
                  <w:tcW w:w="1044" w:type="pct"/>
                  <w:noWrap w:val="0"/>
                  <w:vAlign w:val="center"/>
                </w:tcPr>
                <w:p w14:paraId="720F50C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w:t>
                  </w:r>
                  <w:r>
                    <w:rPr>
                      <w:rFonts w:hint="default" w:ascii="Times New Roman" w:hAnsi="Times New Roman" w:eastAsia="宋体" w:cs="Times New Roman"/>
                      <w:color w:val="auto"/>
                      <w:sz w:val="21"/>
                      <w:szCs w:val="21"/>
                      <w:highlight w:val="none"/>
                      <w:lang w:val="en-US" w:eastAsia="zh-CN"/>
                    </w:rPr>
                    <w:t>不使用锅炉。</w:t>
                  </w:r>
                </w:p>
              </w:tc>
              <w:tc>
                <w:tcPr>
                  <w:tcW w:w="319" w:type="pct"/>
                  <w:noWrap w:val="0"/>
                  <w:vAlign w:val="center"/>
                </w:tcPr>
                <w:p w14:paraId="29ACE12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E019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noWrap w:val="0"/>
                  <w:vAlign w:val="center"/>
                </w:tcPr>
                <w:p w14:paraId="14C8A36F">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rPr>
                  </w:pPr>
                </w:p>
              </w:tc>
              <w:tc>
                <w:tcPr>
                  <w:tcW w:w="850" w:type="pct"/>
                  <w:vMerge w:val="continue"/>
                  <w:noWrap w:val="0"/>
                  <w:vAlign w:val="center"/>
                </w:tcPr>
                <w:p w14:paraId="574E0010">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476" w:type="pct"/>
                  <w:noWrap w:val="0"/>
                  <w:vAlign w:val="center"/>
                </w:tcPr>
                <w:p w14:paraId="55D424D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进一步加强区域大气污染防治协作，深入推进长三角地区秋冬季大气污染综合治理，不断完善苏皖鲁豫大气污染联防联控机制，积极参与区域重污染天气联合应对工作，充分发挥区域大气污染防治联防联控作用。积极参与长三角生态环境涉气标准一体化建设。配合做好重大活动空气质量保障工作。</w:t>
                  </w:r>
                </w:p>
              </w:tc>
              <w:tc>
                <w:tcPr>
                  <w:tcW w:w="1044" w:type="pct"/>
                  <w:vMerge w:val="restart"/>
                  <w:noWrap w:val="0"/>
                  <w:vAlign w:val="center"/>
                </w:tcPr>
                <w:p w14:paraId="0D52AF9B">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本项目污染物采取了相应的污染治理措施后，均可达标排放。本项目新增大气污染物，按照污染物排放总量控制的要求严格执行。</w:t>
                  </w:r>
                </w:p>
              </w:tc>
              <w:tc>
                <w:tcPr>
                  <w:tcW w:w="319" w:type="pct"/>
                  <w:noWrap w:val="0"/>
                  <w:vAlign w:val="center"/>
                </w:tcPr>
                <w:p w14:paraId="4FA6E7D5">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CD34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noWrap w:val="0"/>
                  <w:vAlign w:val="center"/>
                </w:tcPr>
                <w:p w14:paraId="54EA8353">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rPr>
                  </w:pPr>
                </w:p>
              </w:tc>
              <w:tc>
                <w:tcPr>
                  <w:tcW w:w="850" w:type="pct"/>
                  <w:vMerge w:val="continue"/>
                  <w:noWrap w:val="0"/>
                  <w:vAlign w:val="center"/>
                </w:tcPr>
                <w:p w14:paraId="7768463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476" w:type="pct"/>
                  <w:noWrap w:val="0"/>
                  <w:vAlign w:val="center"/>
                </w:tcPr>
                <w:p w14:paraId="56D01374">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eastAsia="zh-CN"/>
                    </w:rPr>
                    <w:t>加强重污染天气预警。推进省级环境空气质量预测预报体系建设扩容提质。探索将夏季臭氧污染纳入重污染天气监测预警，综合考虑臭氧污染程度，制定应急管控措施。完善预警分级标准体系，区分不同区域不同季节应急响应标准。根据重污染天气预警信息，实施应急联动，协作开展人工增雨改善空气质量作业。</w:t>
                  </w:r>
                </w:p>
              </w:tc>
              <w:tc>
                <w:tcPr>
                  <w:tcW w:w="1044" w:type="pct"/>
                  <w:vMerge w:val="continue"/>
                  <w:noWrap w:val="0"/>
                  <w:vAlign w:val="center"/>
                </w:tcPr>
                <w:p w14:paraId="6DBFEF2D">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319" w:type="pct"/>
                  <w:noWrap w:val="0"/>
                  <w:vAlign w:val="center"/>
                </w:tcPr>
                <w:p w14:paraId="3FED638E">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55A8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09" w:type="pct"/>
                  <w:noWrap w:val="0"/>
                  <w:vAlign w:val="center"/>
                </w:tcPr>
                <w:p w14:paraId="6717A45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850" w:type="pct"/>
                  <w:noWrap w:val="0"/>
                  <w:vAlign w:val="center"/>
                </w:tcPr>
                <w:p w14:paraId="44BFD25C">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《淮南市2021-2022年秋冬季大气污染综合治理攻坚行动实施方案》的通知（淮环委办</w:t>
                  </w:r>
                  <w:r>
                    <w:rPr>
                      <w:rFonts w:hint="eastAsia" w:hAnsi="Times New Roman" w:cs="Times New Roman"/>
                      <w:color w:val="auto"/>
                      <w:sz w:val="21"/>
                      <w:szCs w:val="21"/>
                      <w:highlight w:val="none"/>
                      <w:lang w:eastAsia="zh-CN"/>
                    </w:rPr>
                    <w:t>〔2021〕44号</w:t>
                  </w:r>
                  <w:r>
                    <w:rPr>
                      <w:rFonts w:hint="default" w:ascii="Times New Roman" w:hAnsi="Times New Roman" w:eastAsia="宋体" w:cs="Times New Roman"/>
                      <w:color w:val="auto"/>
                      <w:sz w:val="21"/>
                      <w:szCs w:val="21"/>
                      <w:highlight w:val="none"/>
                    </w:rPr>
                    <w:t>）</w:t>
                  </w:r>
                </w:p>
              </w:tc>
              <w:tc>
                <w:tcPr>
                  <w:tcW w:w="2476" w:type="pct"/>
                  <w:noWrap w:val="0"/>
                  <w:vAlign w:val="center"/>
                </w:tcPr>
                <w:p w14:paraId="3C3BBF9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以减少重污染天气和降低淮南市PM</w:t>
                  </w:r>
                  <w:r>
                    <w:rPr>
                      <w:rFonts w:hint="default" w:ascii="Times New Roman" w:hAnsi="Times New Roman" w:eastAsia="宋体" w:cs="Times New Roman"/>
                      <w:color w:val="auto"/>
                      <w:sz w:val="21"/>
                      <w:szCs w:val="21"/>
                      <w:highlight w:val="none"/>
                      <w:vertAlign w:val="subscript"/>
                      <w:lang w:val="en-US" w:eastAsia="zh-CN"/>
                    </w:rPr>
                    <w:t>2.5</w:t>
                  </w:r>
                  <w:r>
                    <w:rPr>
                      <w:rFonts w:hint="default" w:ascii="Times New Roman" w:hAnsi="Times New Roman" w:eastAsia="宋体" w:cs="Times New Roman"/>
                      <w:color w:val="auto"/>
                      <w:sz w:val="21"/>
                      <w:szCs w:val="21"/>
                      <w:highlight w:val="none"/>
                      <w:lang w:val="en-US" w:eastAsia="zh-CN"/>
                    </w:rPr>
                    <w:t>、PM</w:t>
                  </w:r>
                  <w:r>
                    <w:rPr>
                      <w:rFonts w:hint="default" w:ascii="Times New Roman" w:hAnsi="Times New Roman" w:eastAsia="宋体" w:cs="Times New Roman"/>
                      <w:color w:val="auto"/>
                      <w:sz w:val="21"/>
                      <w:szCs w:val="21"/>
                      <w:highlight w:val="none"/>
                      <w:vertAlign w:val="subscript"/>
                      <w:lang w:val="en-US" w:eastAsia="zh-CN"/>
                    </w:rPr>
                    <w:t>10</w:t>
                  </w:r>
                  <w:r>
                    <w:rPr>
                      <w:rFonts w:hint="default" w:ascii="Times New Roman" w:hAnsi="Times New Roman" w:eastAsia="宋体" w:cs="Times New Roman"/>
                      <w:color w:val="auto"/>
                      <w:sz w:val="21"/>
                      <w:szCs w:val="21"/>
                      <w:highlight w:val="none"/>
                      <w:lang w:val="en-US" w:eastAsia="zh-CN"/>
                    </w:rPr>
                    <w:t>浓度为主要目标。结合我市“五控”方针，深入开展锅炉和炉窑综合整治，扎实推进VOCs治理突出问题排查整治、加快机动车污染治理、加强扬尘综合管控、有效应对重污染天气、全面落实“一区一策”治理方案。重点任务是一、深入开展锅炉和炉窑综合整治工作，加大燃煤锅炉（含茶水炉、经营性炉灶等燃煤设施）、炉窑淘汰整治力度。12月底前，八公山区、大通区、经开区燃煤小锅炉全部淘汰或清洁能源替代，寿县16台、潘集区29台35蒸吨/小时以下燃煤锅炉全部淘汰；燃煤热风炉全部淘汰完毕，以煤炭为燃料的加热炉、热处理炉、干燥窑等改用工业余热或电能。寿县、凤台县、潘集区要全面摸排清理粮油加工企业燃煤设施。开展锅炉、炉窑治理工艺的治理和排查，督促升级确保稳定达标排放。鼓励使用天然气炉窑并结合实际开展低氮燃烧升级改造，对锅炉实行限制排放。二是扎实推进VOCs的治理突出问题排查整治。三是煤炭、电力、化工、水泥、钢铁等重点用车企业在物料运输通道上建成门禁管理系统。四是强化秸秆燃烧管控；五是整治餐饮业油烟问题；六是加强扬尘综合管控；七是有效应对重污染天气，对重点行业实行分级管控；八是落实“一区一策”治理方案。</w:t>
                  </w:r>
                </w:p>
              </w:tc>
              <w:tc>
                <w:tcPr>
                  <w:tcW w:w="1044" w:type="pct"/>
                  <w:noWrap w:val="0"/>
                  <w:vAlign w:val="center"/>
                </w:tcPr>
                <w:p w14:paraId="34916B95">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本项目无燃煤锅炉，且污染物可实现达标稳定排放。</w:t>
                  </w:r>
                </w:p>
              </w:tc>
              <w:tc>
                <w:tcPr>
                  <w:tcW w:w="319" w:type="pct"/>
                  <w:noWrap w:val="0"/>
                  <w:vAlign w:val="center"/>
                </w:tcPr>
                <w:p w14:paraId="6A48C68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CEFF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noWrap w:val="0"/>
                  <w:vAlign w:val="center"/>
                </w:tcPr>
                <w:p w14:paraId="152A47FD">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5</w:t>
                  </w:r>
                </w:p>
              </w:tc>
              <w:tc>
                <w:tcPr>
                  <w:tcW w:w="850" w:type="pct"/>
                  <w:noWrap w:val="0"/>
                  <w:vAlign w:val="center"/>
                </w:tcPr>
                <w:p w14:paraId="5F69B4D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国务院《淮河流域水污染防治暂行条例》、《安徽省淮河流域水污染防治条例》（2019年1月1日实施）</w:t>
                  </w:r>
                </w:p>
              </w:tc>
              <w:tc>
                <w:tcPr>
                  <w:tcW w:w="2476" w:type="pct"/>
                  <w:noWrap w:val="0"/>
                  <w:vAlign w:val="center"/>
                </w:tcPr>
                <w:p w14:paraId="31A29880">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禁止在淮河流域新建化学制浆造纸企业和印染、制革、化工、电镀、酿造等污染严重的小型企业。严格限制在淮河流域新建印染、制革、化工、电镀、酿造等大中型项目或者其他污染严重的项目；建设该类项目的，应当事前征得省人民政府生态环境行政主管部门的同意，并按照规定办理有关手续。</w:t>
                  </w:r>
                  <w:r>
                    <w:rPr>
                      <w:rFonts w:hint="default" w:ascii="Times New Roman" w:hAnsi="Times New Roman" w:eastAsia="宋体" w:cs="Times New Roman"/>
                      <w:color w:val="auto"/>
                      <w:sz w:val="21"/>
                      <w:szCs w:val="21"/>
                      <w:highlight w:val="none"/>
                      <w:lang w:eastAsia="zh-CN"/>
                    </w:rPr>
                    <w:t>”</w:t>
                  </w:r>
                </w:p>
              </w:tc>
              <w:tc>
                <w:tcPr>
                  <w:tcW w:w="1044" w:type="pct"/>
                  <w:noWrap w:val="0"/>
                  <w:vAlign w:val="center"/>
                </w:tcPr>
                <w:p w14:paraId="53E41D1E">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本项目所在区域属于淮河流域，项目</w:t>
                  </w:r>
                  <w:r>
                    <w:rPr>
                      <w:rFonts w:hint="eastAsia" w:ascii="Times New Roman" w:hAnsi="Times New Roman" w:eastAsia="宋体" w:cs="Times New Roman"/>
                      <w:color w:val="auto"/>
                      <w:sz w:val="21"/>
                      <w:szCs w:val="21"/>
                      <w:highlight w:val="none"/>
                      <w:lang w:val="en-US" w:eastAsia="zh-CN"/>
                    </w:rPr>
                    <w:t>属于</w:t>
                  </w:r>
                  <w:r>
                    <w:rPr>
                      <w:rFonts w:hint="default" w:ascii="Times New Roman" w:hAnsi="Times New Roman" w:eastAsia="宋体" w:cs="Times New Roman"/>
                      <w:color w:val="auto"/>
                      <w:sz w:val="21"/>
                      <w:szCs w:val="21"/>
                      <w:highlight w:val="none"/>
                      <w:lang w:val="en-US" w:eastAsia="zh-CN"/>
                    </w:rPr>
                    <w:t>C1311稻谷加工</w:t>
                  </w:r>
                  <w:r>
                    <w:rPr>
                      <w:rFonts w:hint="default" w:ascii="Times New Roman" w:hAnsi="Times New Roman" w:eastAsia="宋体" w:cs="Times New Roman"/>
                      <w:color w:val="auto"/>
                      <w:sz w:val="21"/>
                      <w:szCs w:val="21"/>
                      <w:highlight w:val="none"/>
                    </w:rPr>
                    <w:t>，项目</w:t>
                  </w:r>
                  <w:r>
                    <w:rPr>
                      <w:rFonts w:hint="eastAsia" w:ascii="Times New Roman" w:hAnsi="Times New Roman" w:eastAsia="宋体" w:cs="Times New Roman"/>
                      <w:color w:val="auto"/>
                      <w:sz w:val="21"/>
                      <w:szCs w:val="21"/>
                      <w:highlight w:val="none"/>
                      <w:lang w:val="en-US" w:eastAsia="zh-CN"/>
                    </w:rPr>
                    <w:t>无生产废水产生，生活污水经化粪池处理后回用于周边农田施肥，项目废水</w:t>
                  </w:r>
                  <w:r>
                    <w:rPr>
                      <w:rFonts w:hint="default" w:ascii="Times New Roman" w:hAnsi="Times New Roman" w:eastAsia="宋体" w:cs="Times New Roman"/>
                      <w:color w:val="auto"/>
                      <w:sz w:val="21"/>
                      <w:szCs w:val="21"/>
                      <w:highlight w:val="none"/>
                    </w:rPr>
                    <w:t>对外环境造成影响较小</w:t>
                  </w:r>
                  <w:r>
                    <w:rPr>
                      <w:rFonts w:hint="default" w:ascii="Times New Roman" w:hAnsi="Times New Roman" w:eastAsia="宋体" w:cs="Times New Roman"/>
                      <w:color w:val="auto"/>
                      <w:sz w:val="21"/>
                      <w:szCs w:val="21"/>
                      <w:highlight w:val="none"/>
                      <w:lang w:eastAsia="zh-CN"/>
                    </w:rPr>
                    <w:t>。</w:t>
                  </w:r>
                </w:p>
              </w:tc>
              <w:tc>
                <w:tcPr>
                  <w:tcW w:w="319" w:type="pct"/>
                  <w:noWrap w:val="0"/>
                  <w:vAlign w:val="center"/>
                </w:tcPr>
                <w:p w14:paraId="12C2F3A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符合</w:t>
                  </w:r>
                </w:p>
              </w:tc>
            </w:tr>
            <w:tr w14:paraId="15B28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309" w:type="pct"/>
                  <w:vMerge w:val="restart"/>
                  <w:noWrap w:val="0"/>
                  <w:vAlign w:val="center"/>
                </w:tcPr>
                <w:p w14:paraId="51DC2BB2">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w:t>
                  </w:r>
                </w:p>
              </w:tc>
              <w:tc>
                <w:tcPr>
                  <w:tcW w:w="850" w:type="pct"/>
                  <w:vMerge w:val="restart"/>
                  <w:noWrap w:val="0"/>
                  <w:vAlign w:val="center"/>
                </w:tcPr>
                <w:p w14:paraId="3A60EFC0">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《安徽省挥发性有机物污染整治工作方案》</w:t>
                  </w:r>
                </w:p>
              </w:tc>
              <w:tc>
                <w:tcPr>
                  <w:tcW w:w="2476" w:type="pct"/>
                  <w:noWrap w:val="0"/>
                  <w:vAlign w:val="center"/>
                </w:tcPr>
                <w:p w14:paraId="16F5BCF0">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rPr>
                    <w:t>（一）优化产业布局。结合城市总体规划、主体功能区规划要求，优化调整VOCs产业布局。在城市建成区、自然保护区、水源保护区、风景名胜区、森林公园、重要湿地、生态敏感区和其他重要生态功能区实行强制性保护，禁止新建VOCs高污染企业。在水源涵养区、水土保持区等生态功能区实施限制开</w:t>
                  </w:r>
                  <w:r>
                    <w:rPr>
                      <w:rFonts w:hint="default" w:ascii="Times New Roman" w:hAnsi="Times New Roman" w:eastAsia="宋体" w:cs="Times New Roman"/>
                      <w:color w:val="auto"/>
                      <w:sz w:val="21"/>
                      <w:szCs w:val="21"/>
                      <w:lang w:val="en-US" w:eastAsia="zh-CN"/>
                    </w:rPr>
                    <w:t>发</w:t>
                  </w:r>
                </w:p>
              </w:tc>
              <w:tc>
                <w:tcPr>
                  <w:tcW w:w="1044" w:type="pct"/>
                  <w:noWrap w:val="0"/>
                  <w:vAlign w:val="center"/>
                </w:tcPr>
                <w:p w14:paraId="3C4F523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本项目位于</w:t>
                  </w:r>
                  <w:r>
                    <w:rPr>
                      <w:rFonts w:hint="default" w:ascii="Times New Roman" w:hAnsi="Times New Roman" w:eastAsia="宋体" w:cs="Times New Roman"/>
                      <w:color w:val="auto"/>
                      <w:sz w:val="21"/>
                      <w:szCs w:val="21"/>
                      <w:lang w:val="en-US" w:eastAsia="zh-CN"/>
                    </w:rPr>
                    <w:t>淮南市潘集区平圩镇</w:t>
                  </w:r>
                  <w:r>
                    <w:rPr>
                      <w:rFonts w:hint="eastAsia" w:ascii="Times New Roman" w:hAnsi="Times New Roman" w:eastAsia="宋体" w:cs="Times New Roman"/>
                      <w:color w:val="auto"/>
                      <w:sz w:val="21"/>
                      <w:szCs w:val="21"/>
                      <w:lang w:val="en-US" w:eastAsia="zh-CN"/>
                    </w:rPr>
                    <w:t>邵圩</w:t>
                  </w:r>
                  <w:r>
                    <w:rPr>
                      <w:rFonts w:hint="eastAsia" w:hAnsi="Times New Roman" w:cs="Times New Roman"/>
                      <w:color w:val="auto"/>
                      <w:sz w:val="21"/>
                      <w:szCs w:val="21"/>
                      <w:lang w:val="en-US" w:eastAsia="zh-CN"/>
                    </w:rPr>
                    <w:t>村</w:t>
                  </w:r>
                  <w:r>
                    <w:rPr>
                      <w:rFonts w:hint="default" w:ascii="Times New Roman" w:hAnsi="Times New Roman" w:eastAsia="宋体" w:cs="Times New Roman"/>
                      <w:color w:val="auto"/>
                      <w:sz w:val="21"/>
                      <w:szCs w:val="21"/>
                    </w:rPr>
                    <w:t>，项目用地为工业用地，不在自然保护区以及水土保持区等生态功能区。</w:t>
                  </w:r>
                </w:p>
              </w:tc>
              <w:tc>
                <w:tcPr>
                  <w:tcW w:w="319" w:type="pct"/>
                  <w:noWrap w:val="0"/>
                  <w:vAlign w:val="center"/>
                </w:tcPr>
                <w:p w14:paraId="0CC06128">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5EBD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vMerge w:val="continue"/>
                  <w:noWrap w:val="0"/>
                  <w:vAlign w:val="center"/>
                </w:tcPr>
                <w:p w14:paraId="6771841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p>
              </w:tc>
              <w:tc>
                <w:tcPr>
                  <w:tcW w:w="850" w:type="pct"/>
                  <w:vMerge w:val="continue"/>
                  <w:noWrap w:val="0"/>
                  <w:vAlign w:val="center"/>
                </w:tcPr>
                <w:p w14:paraId="05B4EDE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p>
              </w:tc>
              <w:tc>
                <w:tcPr>
                  <w:tcW w:w="2476" w:type="pct"/>
                  <w:noWrap w:val="0"/>
                  <w:vAlign w:val="center"/>
                </w:tcPr>
                <w:p w14:paraId="5966D3C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加快产业升级。1.加快淘汰落后产能。严格执行VOCs重点行业相关产业政策，加快淘汰落后产品、技术和工艺装备，提前淘汰污染物排放强度大、产品附加值低、环境信访多的落后产能，关闭能耗超标、污染物排放超标且治理无望的企业</w:t>
                  </w:r>
                </w:p>
                <w:p w14:paraId="41FE00A5">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b w:val="0"/>
                      <w:color w:val="auto"/>
                      <w:kern w:val="2"/>
                      <w:sz w:val="21"/>
                      <w:szCs w:val="21"/>
                      <w:highlight w:val="none"/>
                      <w:lang w:val="en-US" w:eastAsia="zh-CN" w:bidi="ar-SA"/>
                    </w:rPr>
                  </w:pPr>
                  <w:r>
                    <w:rPr>
                      <w:rFonts w:hint="default" w:ascii="Times New Roman" w:hAnsi="Times New Roman" w:eastAsia="宋体" w:cs="Times New Roman"/>
                      <w:color w:val="auto"/>
                      <w:sz w:val="21"/>
                      <w:szCs w:val="21"/>
                    </w:rPr>
                    <w:t>和生产线。</w:t>
                  </w:r>
                </w:p>
              </w:tc>
              <w:tc>
                <w:tcPr>
                  <w:tcW w:w="1044" w:type="pct"/>
                  <w:noWrap w:val="0"/>
                  <w:vAlign w:val="center"/>
                </w:tcPr>
                <w:p w14:paraId="6808E59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本项目为</w:t>
                  </w:r>
                  <w:r>
                    <w:rPr>
                      <w:rFonts w:hint="default" w:ascii="Times New Roman" w:hAnsi="Times New Roman" w:eastAsia="宋体" w:cs="Times New Roman"/>
                      <w:color w:val="auto"/>
                      <w:sz w:val="21"/>
                      <w:szCs w:val="21"/>
                      <w:lang w:val="en-US" w:eastAsia="zh-CN"/>
                    </w:rPr>
                    <w:t>C1311稻谷加工</w:t>
                  </w:r>
                  <w:r>
                    <w:rPr>
                      <w:rFonts w:hint="default" w:ascii="Times New Roman" w:hAnsi="Times New Roman" w:eastAsia="宋体" w:cs="Times New Roman"/>
                      <w:color w:val="auto"/>
                      <w:sz w:val="21"/>
                      <w:szCs w:val="21"/>
                    </w:rPr>
                    <w:t>，不属于《产业结构调整指导目录》（20</w:t>
                  </w:r>
                  <w:r>
                    <w:rPr>
                      <w:rFonts w:hint="eastAsia" w:ascii="Times New Roman" w:hAnsi="Times New Roman" w:eastAsia="宋体" w:cs="Times New Roman"/>
                      <w:color w:val="auto"/>
                      <w:sz w:val="21"/>
                      <w:szCs w:val="21"/>
                      <w:lang w:val="en-US" w:eastAsia="zh-CN"/>
                    </w:rPr>
                    <w:t>24</w:t>
                  </w:r>
                  <w:r>
                    <w:rPr>
                      <w:rFonts w:hint="default" w:ascii="Times New Roman" w:hAnsi="Times New Roman" w:eastAsia="宋体" w:cs="Times New Roman"/>
                      <w:color w:val="auto"/>
                      <w:sz w:val="21"/>
                      <w:szCs w:val="21"/>
                    </w:rPr>
                    <w:t>年本）中限制或淘汰类项目，可视为允许类。</w:t>
                  </w:r>
                </w:p>
              </w:tc>
              <w:tc>
                <w:tcPr>
                  <w:tcW w:w="319" w:type="pct"/>
                  <w:noWrap w:val="0"/>
                  <w:vAlign w:val="center"/>
                </w:tcPr>
                <w:p w14:paraId="6B2F043A">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2360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309" w:type="pct"/>
                  <w:noWrap w:val="0"/>
                  <w:vAlign w:val="center"/>
                </w:tcPr>
                <w:p w14:paraId="637EE125">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7</w:t>
                  </w:r>
                </w:p>
              </w:tc>
              <w:tc>
                <w:tcPr>
                  <w:tcW w:w="850" w:type="pct"/>
                  <w:noWrap w:val="0"/>
                  <w:vAlign w:val="center"/>
                </w:tcPr>
                <w:p w14:paraId="78769AE7">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关于印发《淮南市“十四五”生态环境保护规划》的通知</w:t>
                  </w:r>
                </w:p>
                <w:p w14:paraId="46C2AC63">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淮环通〔2022〕46号</w:t>
                  </w:r>
                </w:p>
              </w:tc>
              <w:tc>
                <w:tcPr>
                  <w:tcW w:w="2476" w:type="pct"/>
                  <w:noWrap w:val="0"/>
                  <w:vAlign w:val="center"/>
                </w:tcPr>
                <w:p w14:paraId="0E0095D9">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控制煤炭消费总量，加快实施重点用能单位节能低碳行动和重点产业能效提升计划，严格执行高耗能行业产品能耗限额标准体系</w:t>
                  </w:r>
                </w:p>
              </w:tc>
              <w:tc>
                <w:tcPr>
                  <w:tcW w:w="1044" w:type="pct"/>
                  <w:noWrap w:val="0"/>
                  <w:vAlign w:val="center"/>
                </w:tcPr>
                <w:p w14:paraId="30994A06">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本项目为C1311稻谷加工，不属于</w:t>
                  </w:r>
                  <w:r>
                    <w:rPr>
                      <w:rFonts w:hint="default" w:ascii="Times New Roman" w:hAnsi="Times New Roman" w:eastAsia="宋体" w:cs="Times New Roman"/>
                      <w:color w:val="auto"/>
                      <w:sz w:val="21"/>
                      <w:szCs w:val="21"/>
                    </w:rPr>
                    <w:t>煤炭、电力、化工、水泥等重点行业</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项目无燃煤锅炉，热源为电能。</w:t>
                  </w:r>
                </w:p>
              </w:tc>
              <w:tc>
                <w:tcPr>
                  <w:tcW w:w="319" w:type="pct"/>
                  <w:noWrap w:val="0"/>
                  <w:vAlign w:val="center"/>
                </w:tcPr>
                <w:p w14:paraId="3E5DDFEB">
                  <w:pPr>
                    <w:pStyle w:val="67"/>
                    <w:keepNext w:val="0"/>
                    <w:keepLines w:val="0"/>
                    <w:pageBreakBefore w:val="0"/>
                    <w:widowControl w:val="0"/>
                    <w:kinsoku/>
                    <w:wordWrap/>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bl>
          <w:p w14:paraId="109093C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2" w:firstLineChars="200"/>
              <w:textAlignment w:val="auto"/>
              <w:rPr>
                <w:rFonts w:hint="eastAsia"/>
                <w:b/>
                <w:bCs/>
                <w:color w:val="auto"/>
                <w:kern w:val="0"/>
                <w:sz w:val="24"/>
                <w:szCs w:val="24"/>
              </w:rPr>
            </w:pPr>
            <w:r>
              <w:rPr>
                <w:rFonts w:hint="eastAsia" w:cs="Times New Roman"/>
                <w:b/>
                <w:bCs/>
                <w:color w:val="auto"/>
                <w:kern w:val="0"/>
                <w:sz w:val="24"/>
                <w:szCs w:val="24"/>
                <w:lang w:val="en-US" w:eastAsia="zh-CN" w:bidi="ar-SA"/>
              </w:rPr>
              <w:t>5</w:t>
            </w:r>
            <w:r>
              <w:rPr>
                <w:rFonts w:hint="eastAsia" w:ascii="Times New Roman" w:hAnsi="Times New Roman" w:eastAsia="宋体" w:cs="Times New Roman"/>
                <w:b/>
                <w:bCs/>
                <w:color w:val="auto"/>
                <w:kern w:val="0"/>
                <w:sz w:val="24"/>
                <w:szCs w:val="24"/>
                <w:lang w:val="en-US" w:eastAsia="zh-CN" w:bidi="ar-SA"/>
              </w:rPr>
              <w:t>、</w:t>
            </w:r>
            <w:r>
              <w:rPr>
                <w:rFonts w:hint="eastAsia"/>
                <w:b/>
                <w:bCs/>
                <w:color w:val="auto"/>
                <w:kern w:val="0"/>
                <w:sz w:val="24"/>
                <w:szCs w:val="24"/>
              </w:rPr>
              <w:t>本项目与“</w:t>
            </w:r>
            <w:r>
              <w:rPr>
                <w:rFonts w:hint="eastAsia"/>
                <w:b/>
                <w:bCs/>
                <w:color w:val="auto"/>
                <w:kern w:val="0"/>
                <w:sz w:val="24"/>
                <w:szCs w:val="24"/>
                <w:lang w:val="en-US" w:eastAsia="zh-CN"/>
              </w:rPr>
              <w:t>《食品企业通用卫生规范》（GB14881-2013）</w:t>
            </w:r>
            <w:r>
              <w:rPr>
                <w:rFonts w:hint="eastAsia"/>
                <w:b/>
                <w:bCs/>
                <w:color w:val="auto"/>
                <w:kern w:val="0"/>
                <w:sz w:val="24"/>
                <w:szCs w:val="24"/>
              </w:rPr>
              <w:t>”</w:t>
            </w:r>
            <w:r>
              <w:rPr>
                <w:rFonts w:hint="eastAsia"/>
                <w:b/>
                <w:bCs/>
                <w:color w:val="auto"/>
                <w:kern w:val="0"/>
                <w:sz w:val="24"/>
                <w:szCs w:val="24"/>
                <w:lang w:val="en-US" w:eastAsia="zh-CN"/>
              </w:rPr>
              <w:t>符合性</w:t>
            </w:r>
            <w:r>
              <w:rPr>
                <w:rFonts w:hint="eastAsia"/>
                <w:b/>
                <w:bCs/>
                <w:color w:val="auto"/>
                <w:kern w:val="0"/>
                <w:sz w:val="24"/>
                <w:szCs w:val="24"/>
              </w:rPr>
              <w:t>分析</w:t>
            </w:r>
          </w:p>
          <w:p w14:paraId="26CAF478">
            <w:pPr>
              <w:pStyle w:val="68"/>
              <w:bidi w:val="0"/>
              <w:rPr>
                <w:rFonts w:hint="default" w:ascii="Times New Roman" w:hAnsi="Times New Roman" w:eastAsia="宋体" w:cs="Times New Roman"/>
                <w:b/>
                <w:bCs/>
                <w:color w:val="auto"/>
                <w:sz w:val="21"/>
                <w:szCs w:val="16"/>
              </w:rPr>
            </w:pPr>
            <w:r>
              <w:rPr>
                <w:rFonts w:hint="default" w:ascii="Times New Roman" w:hAnsi="Times New Roman" w:eastAsia="宋体" w:cs="Times New Roman"/>
                <w:b/>
                <w:bCs/>
                <w:color w:val="auto"/>
                <w:sz w:val="21"/>
                <w:szCs w:val="16"/>
                <w:lang w:val="en-US" w:eastAsia="zh-CN"/>
              </w:rPr>
              <w:t>表1-</w:t>
            </w:r>
            <w:r>
              <w:rPr>
                <w:rFonts w:hint="eastAsia" w:ascii="Times New Roman" w:hAnsi="Times New Roman" w:eastAsia="宋体" w:cs="Times New Roman"/>
                <w:b/>
                <w:bCs/>
                <w:color w:val="auto"/>
                <w:sz w:val="21"/>
                <w:szCs w:val="16"/>
                <w:lang w:val="en-US" w:eastAsia="zh-CN"/>
              </w:rPr>
              <w:t xml:space="preserve">5  </w:t>
            </w:r>
            <w:r>
              <w:rPr>
                <w:rFonts w:hint="default" w:ascii="Times New Roman" w:hAnsi="Times New Roman" w:eastAsia="宋体" w:cs="Times New Roman"/>
                <w:b/>
                <w:bCs/>
                <w:color w:val="auto"/>
                <w:sz w:val="21"/>
                <w:szCs w:val="16"/>
              </w:rPr>
              <w:t>与“</w:t>
            </w:r>
            <w:r>
              <w:rPr>
                <w:rFonts w:hint="default" w:ascii="Times New Roman" w:hAnsi="Times New Roman" w:eastAsia="宋体" w:cs="Times New Roman"/>
                <w:b/>
                <w:bCs/>
                <w:color w:val="auto"/>
                <w:sz w:val="21"/>
                <w:szCs w:val="16"/>
                <w:lang w:val="en-US" w:eastAsia="zh-CN"/>
              </w:rPr>
              <w:t>《食品企业通用卫生规范》（GB14881-2013）</w:t>
            </w:r>
            <w:r>
              <w:rPr>
                <w:rFonts w:hint="default" w:ascii="Times New Roman" w:hAnsi="Times New Roman" w:eastAsia="宋体" w:cs="Times New Roman"/>
                <w:b/>
                <w:bCs/>
                <w:color w:val="auto"/>
                <w:sz w:val="21"/>
                <w:szCs w:val="16"/>
              </w:rPr>
              <w:t>”</w:t>
            </w:r>
            <w:r>
              <w:rPr>
                <w:rFonts w:hint="default" w:ascii="Times New Roman" w:hAnsi="Times New Roman" w:eastAsia="宋体" w:cs="Times New Roman"/>
                <w:b/>
                <w:bCs/>
                <w:color w:val="auto"/>
                <w:sz w:val="21"/>
                <w:szCs w:val="16"/>
                <w:lang w:val="en-US" w:eastAsia="zh-CN"/>
              </w:rPr>
              <w:t>符合性</w:t>
            </w:r>
            <w:r>
              <w:rPr>
                <w:rFonts w:hint="default" w:ascii="Times New Roman" w:hAnsi="Times New Roman" w:eastAsia="宋体" w:cs="Times New Roman"/>
                <w:b/>
                <w:bCs/>
                <w:color w:val="auto"/>
                <w:sz w:val="21"/>
                <w:szCs w:val="16"/>
              </w:rPr>
              <w:t>分析一览表</w:t>
            </w:r>
          </w:p>
          <w:tbl>
            <w:tblPr>
              <w:tblStyle w:val="4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3063"/>
              <w:gridCol w:w="3192"/>
              <w:gridCol w:w="906"/>
            </w:tblGrid>
            <w:tr w14:paraId="2B88F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691" w:type="pct"/>
                  <w:noWrap w:val="0"/>
                  <w:vAlign w:val="center"/>
                </w:tcPr>
                <w:p w14:paraId="1EC91E6F">
                  <w:pPr>
                    <w:pStyle w:val="18"/>
                    <w:spacing w:after="0" w:line="240" w:lineRule="auto"/>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相关标准</w:t>
                  </w:r>
                </w:p>
              </w:tc>
              <w:tc>
                <w:tcPr>
                  <w:tcW w:w="1842" w:type="pct"/>
                  <w:noWrap w:val="0"/>
                  <w:vAlign w:val="center"/>
                </w:tcPr>
                <w:p w14:paraId="613364F5">
                  <w:pPr>
                    <w:pStyle w:val="18"/>
                    <w:spacing w:after="0" w:line="240" w:lineRule="auto"/>
                    <w:ind w:left="0" w:leftChars="0"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标准要求</w:t>
                  </w:r>
                </w:p>
              </w:tc>
              <w:tc>
                <w:tcPr>
                  <w:tcW w:w="1920" w:type="pct"/>
                  <w:noWrap w:val="0"/>
                  <w:vAlign w:val="center"/>
                </w:tcPr>
                <w:p w14:paraId="64BD34C1">
                  <w:pPr>
                    <w:pStyle w:val="18"/>
                    <w:spacing w:after="0" w:line="240" w:lineRule="auto"/>
                    <w:ind w:left="0" w:leftChars="0" w:firstLine="0" w:firstLineChars="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本项目概况</w:t>
                  </w:r>
                </w:p>
              </w:tc>
              <w:tc>
                <w:tcPr>
                  <w:tcW w:w="545" w:type="pct"/>
                  <w:noWrap w:val="0"/>
                  <w:vAlign w:val="center"/>
                </w:tcPr>
                <w:p w14:paraId="324D6152">
                  <w:pPr>
                    <w:pStyle w:val="18"/>
                    <w:spacing w:after="0" w:line="240" w:lineRule="auto"/>
                    <w:ind w:left="0" w:leftChars="0" w:firstLine="0" w:firstLineChars="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符合性</w:t>
                  </w:r>
                </w:p>
              </w:tc>
            </w:tr>
            <w:tr w14:paraId="44835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vMerge w:val="restart"/>
                  <w:noWrap w:val="0"/>
                  <w:vAlign w:val="center"/>
                </w:tcPr>
                <w:p w14:paraId="7C7670A4">
                  <w:pPr>
                    <w:pStyle w:val="18"/>
                    <w:spacing w:after="0"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《食品</w:t>
                  </w:r>
                </w:p>
                <w:p w14:paraId="00E2E4C1">
                  <w:pPr>
                    <w:pStyle w:val="18"/>
                    <w:spacing w:after="0"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企业</w:t>
                  </w:r>
                </w:p>
                <w:p w14:paraId="1EE51056">
                  <w:pPr>
                    <w:pStyle w:val="18"/>
                    <w:spacing w:after="0"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通用</w:t>
                  </w:r>
                </w:p>
                <w:p w14:paraId="7385D034">
                  <w:pPr>
                    <w:pStyle w:val="18"/>
                    <w:spacing w:after="0" w:line="360" w:lineRule="exact"/>
                    <w:ind w:left="0" w:leftChars="0"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卫生</w:t>
                  </w:r>
                </w:p>
                <w:p w14:paraId="24AD17CE">
                  <w:pPr>
                    <w:pStyle w:val="18"/>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规范》</w:t>
                  </w:r>
                </w:p>
              </w:tc>
              <w:tc>
                <w:tcPr>
                  <w:tcW w:w="1842" w:type="pct"/>
                  <w:noWrap w:val="0"/>
                  <w:vAlign w:val="center"/>
                </w:tcPr>
                <w:p w14:paraId="013F5C18">
                  <w:pPr>
                    <w:pStyle w:val="18"/>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厂区不应选择对食品有显著污染的区域。如某地对食品安全和食品宜食用性存在明显的不利影响，且无法通过采取措施加以改善，应避免在该地址建厂。</w:t>
                  </w:r>
                </w:p>
              </w:tc>
              <w:tc>
                <w:tcPr>
                  <w:tcW w:w="1920" w:type="pct"/>
                  <w:noWrap w:val="0"/>
                  <w:vAlign w:val="center"/>
                </w:tcPr>
                <w:p w14:paraId="0CF5F3B4">
                  <w:pPr>
                    <w:pStyle w:val="18"/>
                    <w:spacing w:after="0" w:line="360" w:lineRule="exact"/>
                    <w:ind w:left="0" w:leftChars="0" w:firstLine="0" w:firstLineChars="0"/>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本项目位于淮南市潘集区平圩镇邵圩村；新建厂房进行生产作业，周边无污染型工业企业，项目厂址不属于对食品有显著污染的区域，满足厂区建设要求。</w:t>
                  </w:r>
                </w:p>
              </w:tc>
              <w:tc>
                <w:tcPr>
                  <w:tcW w:w="545" w:type="pct"/>
                  <w:noWrap w:val="0"/>
                  <w:vAlign w:val="center"/>
                </w:tcPr>
                <w:p w14:paraId="5374A627">
                  <w:pPr>
                    <w:pStyle w:val="18"/>
                    <w:spacing w:after="0" w:line="360" w:lineRule="exact"/>
                    <w:ind w:left="0" w:leftChars="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符合</w:t>
                  </w:r>
                </w:p>
              </w:tc>
            </w:tr>
            <w:tr w14:paraId="2E359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1" w:type="pct"/>
                  <w:vMerge w:val="continue"/>
                  <w:noWrap w:val="0"/>
                  <w:vAlign w:val="center"/>
                </w:tcPr>
                <w:p w14:paraId="783AF6B4">
                  <w:pPr>
                    <w:pStyle w:val="18"/>
                    <w:spacing w:after="0" w:line="360" w:lineRule="exact"/>
                    <w:ind w:left="0" w:leftChars="0" w:firstLine="0" w:firstLineChars="0"/>
                    <w:jc w:val="center"/>
                    <w:rPr>
                      <w:rFonts w:hint="default" w:ascii="Times New Roman" w:hAnsi="Times New Roman" w:cs="Times New Roman"/>
                      <w:color w:val="auto"/>
                      <w:sz w:val="21"/>
                      <w:szCs w:val="21"/>
                    </w:rPr>
                  </w:pPr>
                </w:p>
              </w:tc>
              <w:tc>
                <w:tcPr>
                  <w:tcW w:w="1842" w:type="pct"/>
                  <w:noWrap w:val="0"/>
                  <w:vAlign w:val="center"/>
                </w:tcPr>
                <w:p w14:paraId="5EABE533">
                  <w:pPr>
                    <w:pStyle w:val="18"/>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厂区不应选择有害废弃物以及粉尘、有害气体、放射性物质和其他扩散性污染源不能有效清除的地址。</w:t>
                  </w:r>
                </w:p>
              </w:tc>
              <w:tc>
                <w:tcPr>
                  <w:tcW w:w="1920" w:type="pct"/>
                  <w:noWrap w:val="0"/>
                  <w:vAlign w:val="center"/>
                </w:tcPr>
                <w:p w14:paraId="17DA9D81">
                  <w:pPr>
                    <w:pStyle w:val="18"/>
                    <w:spacing w:after="0" w:line="360" w:lineRule="exact"/>
                    <w:ind w:left="0" w:lef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highlight w:val="none"/>
                      <w:lang w:val="en-US" w:eastAsia="zh-CN"/>
                    </w:rPr>
                    <w:t>项目用地为工业用地，厂区周边无</w:t>
                  </w:r>
                  <w:r>
                    <w:rPr>
                      <w:rFonts w:hint="default" w:ascii="Times New Roman" w:hAnsi="Times New Roman" w:cs="Times New Roman"/>
                      <w:color w:val="auto"/>
                      <w:sz w:val="21"/>
                      <w:szCs w:val="21"/>
                      <w:highlight w:val="none"/>
                    </w:rPr>
                    <w:t>有害废弃物以及粉尘、有害气体、放射性物质和其他扩散性污染源不能有效清除的地址</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项目所在地无原有环境污染问题。</w:t>
                  </w:r>
                </w:p>
              </w:tc>
              <w:tc>
                <w:tcPr>
                  <w:tcW w:w="545" w:type="pct"/>
                  <w:noWrap w:val="0"/>
                  <w:vAlign w:val="center"/>
                </w:tcPr>
                <w:p w14:paraId="0DA73D6E">
                  <w:pPr>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14:paraId="2F99C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vMerge w:val="continue"/>
                  <w:noWrap w:val="0"/>
                  <w:vAlign w:val="center"/>
                </w:tcPr>
                <w:p w14:paraId="337598E4">
                  <w:pPr>
                    <w:pStyle w:val="18"/>
                    <w:spacing w:after="0" w:line="360" w:lineRule="exact"/>
                    <w:ind w:left="0" w:leftChars="0" w:firstLine="0" w:firstLineChars="0"/>
                    <w:jc w:val="center"/>
                    <w:rPr>
                      <w:rFonts w:hint="default" w:ascii="Times New Roman" w:hAnsi="Times New Roman" w:cs="Times New Roman"/>
                      <w:color w:val="auto"/>
                      <w:sz w:val="21"/>
                      <w:szCs w:val="21"/>
                    </w:rPr>
                  </w:pPr>
                </w:p>
              </w:tc>
              <w:tc>
                <w:tcPr>
                  <w:tcW w:w="1842" w:type="pct"/>
                  <w:noWrap w:val="0"/>
                  <w:vAlign w:val="center"/>
                </w:tcPr>
                <w:p w14:paraId="2E571B08">
                  <w:pPr>
                    <w:pStyle w:val="18"/>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厂区不宜选择发生洪涝灾害的地区，难以避开时应设计必要的防范措施。</w:t>
                  </w:r>
                </w:p>
              </w:tc>
              <w:tc>
                <w:tcPr>
                  <w:tcW w:w="1920" w:type="pct"/>
                  <w:noWrap w:val="0"/>
                  <w:vAlign w:val="center"/>
                </w:tcPr>
                <w:p w14:paraId="71044843">
                  <w:pPr>
                    <w:pStyle w:val="18"/>
                    <w:spacing w:after="0" w:line="360" w:lineRule="exact"/>
                    <w:ind w:left="0" w:leftChars="0" w:firstLine="0" w:firstLineChars="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淮南市</w:t>
                  </w:r>
                  <w:r>
                    <w:rPr>
                      <w:rFonts w:hint="default" w:ascii="Times New Roman" w:hAnsi="Times New Roman" w:cs="Times New Roman"/>
                      <w:color w:val="auto"/>
                      <w:sz w:val="21"/>
                      <w:szCs w:val="21"/>
                    </w:rPr>
                    <w:t>属北亚热带季风气候区，夏季降雨天数多，雨量大，</w:t>
                  </w:r>
                  <w:r>
                    <w:rPr>
                      <w:rFonts w:hint="eastAsia" w:ascii="Times New Roman" w:hAnsi="Times New Roman" w:cs="Times New Roman"/>
                      <w:color w:val="auto"/>
                      <w:sz w:val="21"/>
                      <w:szCs w:val="21"/>
                      <w:lang w:val="en-US" w:eastAsia="zh-CN"/>
                    </w:rPr>
                    <w:t>常</w:t>
                  </w:r>
                  <w:r>
                    <w:rPr>
                      <w:rFonts w:hint="default" w:ascii="Times New Roman" w:hAnsi="Times New Roman" w:cs="Times New Roman"/>
                      <w:color w:val="auto"/>
                      <w:sz w:val="21"/>
                      <w:szCs w:val="21"/>
                    </w:rPr>
                    <w:t>出现暴雨形成洪涝灾害。本项目选址位于</w:t>
                  </w:r>
                  <w:r>
                    <w:rPr>
                      <w:rFonts w:hint="default" w:ascii="Times New Roman" w:hAnsi="Times New Roman" w:cs="Times New Roman"/>
                      <w:color w:val="auto"/>
                      <w:sz w:val="21"/>
                      <w:szCs w:val="21"/>
                      <w:lang w:val="en-US" w:eastAsia="zh-CN"/>
                    </w:rPr>
                    <w:t>淮南市潘集区平圩镇</w:t>
                  </w:r>
                  <w:r>
                    <w:rPr>
                      <w:rFonts w:hint="eastAsia" w:ascii="Times New Roman" w:hAnsi="Times New Roman" w:cs="Times New Roman"/>
                      <w:color w:val="auto"/>
                      <w:sz w:val="21"/>
                      <w:szCs w:val="21"/>
                      <w:lang w:val="en-US" w:eastAsia="zh-CN"/>
                    </w:rPr>
                    <w:t>邵圩村</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项目所在地为平原地形，地形开阔，</w:t>
                  </w:r>
                  <w:r>
                    <w:rPr>
                      <w:rFonts w:hint="default" w:ascii="Times New Roman" w:hAnsi="Times New Roman" w:cs="Times New Roman"/>
                      <w:color w:val="auto"/>
                      <w:sz w:val="21"/>
                      <w:szCs w:val="21"/>
                    </w:rPr>
                    <w:t>排水流畅，雨季不会产生洪涝灾害。</w:t>
                  </w:r>
                </w:p>
              </w:tc>
              <w:tc>
                <w:tcPr>
                  <w:tcW w:w="545" w:type="pct"/>
                  <w:noWrap w:val="0"/>
                  <w:vAlign w:val="center"/>
                </w:tcPr>
                <w:p w14:paraId="7ED141A0">
                  <w:pPr>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r w14:paraId="41178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pct"/>
                  <w:vMerge w:val="continue"/>
                  <w:noWrap w:val="0"/>
                  <w:vAlign w:val="center"/>
                </w:tcPr>
                <w:p w14:paraId="2142D624">
                  <w:pPr>
                    <w:pStyle w:val="18"/>
                    <w:spacing w:after="0" w:line="360" w:lineRule="exact"/>
                    <w:ind w:left="0" w:leftChars="0" w:firstLine="0" w:firstLineChars="0"/>
                    <w:jc w:val="center"/>
                    <w:rPr>
                      <w:rFonts w:hint="default" w:ascii="Times New Roman" w:hAnsi="Times New Roman" w:cs="Times New Roman"/>
                      <w:color w:val="auto"/>
                      <w:sz w:val="21"/>
                      <w:szCs w:val="21"/>
                    </w:rPr>
                  </w:pPr>
                </w:p>
              </w:tc>
              <w:tc>
                <w:tcPr>
                  <w:tcW w:w="1842" w:type="pct"/>
                  <w:noWrap w:val="0"/>
                  <w:vAlign w:val="center"/>
                </w:tcPr>
                <w:p w14:paraId="49C473EE">
                  <w:pPr>
                    <w:pStyle w:val="18"/>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厂区周围不宜有虫害大量孽生的潜在场所，难以避开时应设计必要的防范措施。</w:t>
                  </w:r>
                </w:p>
              </w:tc>
              <w:tc>
                <w:tcPr>
                  <w:tcW w:w="1920" w:type="pct"/>
                  <w:noWrap w:val="0"/>
                  <w:vAlign w:val="center"/>
                </w:tcPr>
                <w:p w14:paraId="3DF74689">
                  <w:pPr>
                    <w:pStyle w:val="18"/>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w:t>
                  </w:r>
                  <w:r>
                    <w:rPr>
                      <w:rFonts w:hint="eastAsia" w:ascii="Times New Roman" w:hAnsi="Times New Roman" w:cs="Times New Roman"/>
                      <w:color w:val="auto"/>
                      <w:sz w:val="21"/>
                      <w:szCs w:val="21"/>
                      <w:lang w:val="en-US" w:eastAsia="zh-CN"/>
                    </w:rPr>
                    <w:t>厂区</w:t>
                  </w:r>
                  <w:r>
                    <w:rPr>
                      <w:rFonts w:hint="default" w:ascii="Times New Roman" w:hAnsi="Times New Roman" w:cs="Times New Roman"/>
                      <w:color w:val="auto"/>
                      <w:sz w:val="21"/>
                      <w:szCs w:val="21"/>
                    </w:rPr>
                    <w:t>周边无昆虫大量孽生的潜在场所。</w:t>
                  </w:r>
                </w:p>
              </w:tc>
              <w:tc>
                <w:tcPr>
                  <w:tcW w:w="545" w:type="pct"/>
                  <w:noWrap w:val="0"/>
                  <w:vAlign w:val="center"/>
                </w:tcPr>
                <w:p w14:paraId="4DC018B7">
                  <w:pPr>
                    <w:spacing w:after="0" w:line="360" w:lineRule="exact"/>
                    <w:ind w:left="0" w:leftChars="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符合</w:t>
                  </w:r>
                </w:p>
              </w:tc>
            </w:tr>
          </w:tbl>
          <w:p w14:paraId="1FCAD871">
            <w:pPr>
              <w:rPr>
                <w:rFonts w:hint="eastAsia"/>
                <w:b/>
                <w:bCs/>
                <w:color w:val="auto"/>
                <w:sz w:val="24"/>
                <w:szCs w:val="32"/>
                <w:vertAlign w:val="baseline"/>
                <w:lang w:val="en-US" w:eastAsia="zh-CN"/>
              </w:rPr>
            </w:pPr>
          </w:p>
          <w:p w14:paraId="652E552C">
            <w:pPr>
              <w:rPr>
                <w:rFonts w:hint="eastAsia"/>
                <w:b/>
                <w:bCs/>
                <w:color w:val="auto"/>
                <w:sz w:val="24"/>
                <w:szCs w:val="32"/>
                <w:vertAlign w:val="baseline"/>
                <w:lang w:val="en-US" w:eastAsia="zh-CN"/>
              </w:rPr>
            </w:pPr>
          </w:p>
          <w:p w14:paraId="718597A6">
            <w:pPr>
              <w:rPr>
                <w:rFonts w:hint="eastAsia"/>
                <w:b/>
                <w:bCs/>
                <w:color w:val="auto"/>
                <w:sz w:val="24"/>
                <w:szCs w:val="32"/>
                <w:vertAlign w:val="baseline"/>
                <w:lang w:val="en-US" w:eastAsia="zh-CN"/>
              </w:rPr>
            </w:pPr>
          </w:p>
          <w:p w14:paraId="001E0E0B">
            <w:pPr>
              <w:rPr>
                <w:rFonts w:hint="eastAsia"/>
                <w:b/>
                <w:bCs/>
                <w:color w:val="auto"/>
                <w:sz w:val="24"/>
                <w:szCs w:val="32"/>
                <w:vertAlign w:val="baseline"/>
                <w:lang w:val="en-US" w:eastAsia="zh-CN"/>
              </w:rPr>
            </w:pPr>
          </w:p>
          <w:p w14:paraId="2506B0F4">
            <w:pPr>
              <w:rPr>
                <w:rFonts w:hint="eastAsia"/>
                <w:b/>
                <w:bCs/>
                <w:color w:val="auto"/>
                <w:sz w:val="24"/>
                <w:szCs w:val="32"/>
                <w:vertAlign w:val="baseline"/>
                <w:lang w:val="en-US" w:eastAsia="zh-CN"/>
              </w:rPr>
            </w:pPr>
          </w:p>
          <w:p w14:paraId="041A576F">
            <w:pPr>
              <w:rPr>
                <w:rFonts w:hint="eastAsia"/>
                <w:b/>
                <w:bCs/>
                <w:color w:val="auto"/>
                <w:sz w:val="24"/>
                <w:szCs w:val="32"/>
                <w:vertAlign w:val="baseline"/>
                <w:lang w:val="en-US" w:eastAsia="zh-CN"/>
              </w:rPr>
            </w:pPr>
          </w:p>
          <w:p w14:paraId="594F3927">
            <w:pPr>
              <w:rPr>
                <w:rFonts w:hint="eastAsia"/>
                <w:b/>
                <w:bCs/>
                <w:color w:val="auto"/>
                <w:sz w:val="24"/>
                <w:szCs w:val="32"/>
                <w:vertAlign w:val="baseline"/>
                <w:lang w:val="en-US" w:eastAsia="zh-CN"/>
              </w:rPr>
            </w:pPr>
          </w:p>
          <w:p w14:paraId="5414E060">
            <w:pPr>
              <w:rPr>
                <w:rFonts w:hint="eastAsia"/>
                <w:b/>
                <w:bCs/>
                <w:color w:val="auto"/>
                <w:sz w:val="24"/>
                <w:szCs w:val="32"/>
                <w:vertAlign w:val="baseline"/>
                <w:lang w:val="en-US" w:eastAsia="zh-CN"/>
              </w:rPr>
            </w:pPr>
          </w:p>
          <w:p w14:paraId="5E41810B">
            <w:pPr>
              <w:rPr>
                <w:rFonts w:hint="eastAsia"/>
                <w:b/>
                <w:bCs/>
                <w:color w:val="auto"/>
                <w:sz w:val="24"/>
                <w:szCs w:val="32"/>
                <w:vertAlign w:val="baseline"/>
                <w:lang w:val="en-US" w:eastAsia="zh-CN"/>
              </w:rPr>
            </w:pPr>
          </w:p>
          <w:p w14:paraId="0E6E6573">
            <w:pPr>
              <w:rPr>
                <w:rFonts w:hint="eastAsia"/>
                <w:b/>
                <w:bCs/>
                <w:color w:val="auto"/>
                <w:sz w:val="24"/>
                <w:szCs w:val="32"/>
                <w:vertAlign w:val="baseline"/>
                <w:lang w:val="en-US" w:eastAsia="zh-CN"/>
              </w:rPr>
            </w:pPr>
          </w:p>
          <w:p w14:paraId="5B25F361">
            <w:pPr>
              <w:rPr>
                <w:rFonts w:hint="eastAsia"/>
                <w:b/>
                <w:bCs/>
                <w:color w:val="auto"/>
                <w:sz w:val="24"/>
                <w:szCs w:val="32"/>
                <w:vertAlign w:val="baseline"/>
                <w:lang w:val="en-US" w:eastAsia="zh-CN"/>
              </w:rPr>
            </w:pPr>
          </w:p>
          <w:p w14:paraId="47BDDD67">
            <w:pPr>
              <w:rPr>
                <w:rFonts w:hint="eastAsia"/>
                <w:b/>
                <w:bCs/>
                <w:color w:val="auto"/>
                <w:sz w:val="24"/>
                <w:szCs w:val="32"/>
                <w:vertAlign w:val="baseline"/>
                <w:lang w:val="en-US" w:eastAsia="zh-CN"/>
              </w:rPr>
            </w:pPr>
          </w:p>
          <w:p w14:paraId="7F9E5550">
            <w:pPr>
              <w:rPr>
                <w:rFonts w:hint="eastAsia"/>
                <w:b/>
                <w:bCs/>
                <w:color w:val="auto"/>
                <w:sz w:val="24"/>
                <w:szCs w:val="32"/>
                <w:vertAlign w:val="baseline"/>
                <w:lang w:val="en-US" w:eastAsia="zh-CN"/>
              </w:rPr>
            </w:pPr>
          </w:p>
          <w:p w14:paraId="79E6BAA3">
            <w:pPr>
              <w:rPr>
                <w:rFonts w:hint="eastAsia"/>
                <w:b/>
                <w:bCs/>
                <w:color w:val="auto"/>
                <w:sz w:val="24"/>
                <w:szCs w:val="32"/>
                <w:vertAlign w:val="baseline"/>
                <w:lang w:val="en-US" w:eastAsia="zh-CN"/>
              </w:rPr>
            </w:pPr>
          </w:p>
          <w:p w14:paraId="03DE5A32">
            <w:pPr>
              <w:rPr>
                <w:rFonts w:hint="eastAsia"/>
                <w:b/>
                <w:bCs/>
                <w:color w:val="auto"/>
                <w:sz w:val="24"/>
                <w:szCs w:val="32"/>
                <w:vertAlign w:val="baseline"/>
                <w:lang w:val="en-US" w:eastAsia="zh-CN"/>
              </w:rPr>
            </w:pPr>
          </w:p>
          <w:p w14:paraId="38992278">
            <w:pPr>
              <w:rPr>
                <w:rFonts w:hint="eastAsia"/>
                <w:b/>
                <w:bCs/>
                <w:color w:val="auto"/>
                <w:sz w:val="24"/>
                <w:szCs w:val="32"/>
                <w:vertAlign w:val="baseline"/>
                <w:lang w:val="en-US" w:eastAsia="zh-CN"/>
              </w:rPr>
            </w:pPr>
          </w:p>
          <w:p w14:paraId="19C4E9FC">
            <w:pPr>
              <w:rPr>
                <w:rFonts w:hint="eastAsia"/>
                <w:b/>
                <w:bCs/>
                <w:color w:val="auto"/>
                <w:sz w:val="24"/>
                <w:szCs w:val="32"/>
                <w:vertAlign w:val="baseline"/>
                <w:lang w:val="en-US" w:eastAsia="zh-CN"/>
              </w:rPr>
            </w:pPr>
          </w:p>
          <w:p w14:paraId="5604281E">
            <w:pPr>
              <w:rPr>
                <w:rFonts w:hint="eastAsia"/>
                <w:b/>
                <w:bCs/>
                <w:color w:val="auto"/>
                <w:sz w:val="24"/>
                <w:szCs w:val="32"/>
                <w:vertAlign w:val="baseline"/>
                <w:lang w:val="en-US" w:eastAsia="zh-CN"/>
              </w:rPr>
            </w:pPr>
          </w:p>
        </w:tc>
      </w:tr>
    </w:tbl>
    <w:p w14:paraId="3963E544">
      <w:pPr>
        <w:bidi w:val="0"/>
        <w:rPr>
          <w:rFonts w:hint="eastAsia" w:ascii="Times New Roman" w:hAnsi="Times New Roman" w:eastAsia="宋体"/>
          <w:b w:val="0"/>
          <w:bCs w:val="0"/>
          <w:color w:val="auto"/>
          <w:sz w:val="24"/>
          <w:szCs w:val="24"/>
          <w:lang w:val="en-US" w:eastAsia="zh-CN"/>
        </w:rPr>
      </w:pPr>
    </w:p>
    <w:p w14:paraId="6EE4EB19">
      <w:pPr>
        <w:bidi w:val="0"/>
        <w:rPr>
          <w:rFonts w:hint="default"/>
          <w:color w:val="auto"/>
          <w:lang w:val="en-US"/>
        </w:rPr>
        <w:sectPr>
          <w:pgSz w:w="11906" w:h="16838"/>
          <w:pgMar w:top="1701" w:right="1531" w:bottom="1701" w:left="1531" w:header="851" w:footer="1077" w:gutter="0"/>
          <w:pgBorders>
            <w:top w:val="none" w:sz="0" w:space="0"/>
            <w:left w:val="none" w:sz="0" w:space="0"/>
            <w:bottom w:val="none" w:sz="0" w:space="0"/>
            <w:right w:val="none" w:sz="0" w:space="0"/>
          </w:pgBorders>
          <w:pgNumType w:fmt="decimal"/>
          <w:cols w:space="720" w:num="1"/>
          <w:docGrid w:linePitch="312" w:charSpace="0"/>
        </w:sectPr>
      </w:pPr>
    </w:p>
    <w:p w14:paraId="0C752ED4">
      <w:pPr>
        <w:spacing w:line="360" w:lineRule="auto"/>
        <w:jc w:val="center"/>
        <w:outlineLvl w:val="0"/>
        <w:rPr>
          <w:rFonts w:eastAsia="黑体"/>
          <w:b/>
          <w:bCs/>
          <w:color w:val="auto"/>
          <w:sz w:val="30"/>
          <w:szCs w:val="24"/>
        </w:rPr>
      </w:pPr>
      <w:bookmarkStart w:id="6" w:name="_Toc9463"/>
      <w:r>
        <w:rPr>
          <w:rFonts w:hint="eastAsia" w:eastAsia="黑体"/>
          <w:b/>
          <w:bCs/>
          <w:color w:val="auto"/>
          <w:sz w:val="30"/>
          <w:szCs w:val="24"/>
        </w:rPr>
        <w:t>二、</w:t>
      </w:r>
      <w:r>
        <w:rPr>
          <w:rFonts w:eastAsia="黑体"/>
          <w:b/>
          <w:bCs/>
          <w:color w:val="auto"/>
          <w:sz w:val="30"/>
          <w:szCs w:val="24"/>
        </w:rPr>
        <w:t>建设项目</w:t>
      </w:r>
      <w:r>
        <w:rPr>
          <w:rFonts w:hint="eastAsia" w:eastAsia="黑体"/>
          <w:b/>
          <w:bCs/>
          <w:color w:val="auto"/>
          <w:sz w:val="30"/>
          <w:szCs w:val="24"/>
        </w:rPr>
        <w:t>工程分析</w:t>
      </w:r>
      <w:bookmarkEnd w:id="6"/>
    </w:p>
    <w:tbl>
      <w:tblPr>
        <w:tblStyle w:val="45"/>
        <w:tblW w:w="92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9"/>
        <w:gridCol w:w="8676"/>
      </w:tblGrid>
      <w:tr w14:paraId="02BE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7D4C3338">
            <w:pPr>
              <w:widowControl/>
              <w:spacing w:line="360" w:lineRule="auto"/>
              <w:jc w:val="center"/>
              <w:rPr>
                <w:bCs/>
                <w:color w:val="auto"/>
                <w:szCs w:val="21"/>
              </w:rPr>
            </w:pPr>
            <w:r>
              <w:rPr>
                <w:rFonts w:hint="eastAsia"/>
                <w:bCs/>
                <w:color w:val="auto"/>
                <w:szCs w:val="21"/>
              </w:rPr>
              <w:t>建设内容</w:t>
            </w:r>
          </w:p>
        </w:tc>
        <w:tc>
          <w:tcPr>
            <w:tcW w:w="8567" w:type="dxa"/>
            <w:vAlign w:val="center"/>
          </w:tcPr>
          <w:p w14:paraId="292944F0">
            <w:pPr>
              <w:widowControl/>
              <w:spacing w:line="360" w:lineRule="auto"/>
              <w:ind w:left="40" w:firstLine="480" w:firstLineChars="200"/>
              <w:jc w:val="left"/>
              <w:rPr>
                <w:color w:val="auto"/>
                <w:sz w:val="24"/>
              </w:rPr>
            </w:pPr>
            <w:r>
              <w:rPr>
                <w:rFonts w:hint="eastAsia"/>
                <w:color w:val="auto"/>
                <w:sz w:val="24"/>
              </w:rPr>
              <w:t>由于本项目在建设及运营过程中可能会产生废水、废气、噪声、固废等环境影响，根据《中华人民共和国环境保护法》、《中华人民共和国环境影响评价法》、《建设项目环境保护管理条例》（国务院682号令）及《建设项目环境影响评价分类管理名录》（生态环境部令第16号，2021年01月01日施行）等文件的有关规定，本项目属于</w:t>
            </w:r>
            <w:r>
              <w:rPr>
                <w:rFonts w:hint="eastAsia"/>
                <w:color w:val="auto"/>
                <w:sz w:val="24"/>
                <w:lang w:eastAsia="zh-CN"/>
              </w:rPr>
              <w:t>稻谷加工</w:t>
            </w:r>
            <w:r>
              <w:rPr>
                <w:rFonts w:hint="eastAsia"/>
                <w:color w:val="auto"/>
                <w:sz w:val="24"/>
              </w:rPr>
              <w:t>（C</w:t>
            </w:r>
            <w:r>
              <w:rPr>
                <w:rFonts w:hint="eastAsia"/>
                <w:color w:val="auto"/>
                <w:sz w:val="24"/>
                <w:lang w:val="en-US" w:eastAsia="zh-CN"/>
              </w:rPr>
              <w:t>1311</w:t>
            </w:r>
            <w:r>
              <w:rPr>
                <w:rFonts w:hint="eastAsia"/>
                <w:color w:val="auto"/>
                <w:sz w:val="24"/>
              </w:rPr>
              <w:t>）行业，属于《建设项目环境影响评价分类管理名录》中的“</w:t>
            </w:r>
            <w:r>
              <w:rPr>
                <w:rFonts w:hint="eastAsia"/>
                <w:color w:val="auto"/>
                <w:sz w:val="24"/>
                <w:lang w:eastAsia="zh-CN"/>
              </w:rPr>
              <w:t>十</w:t>
            </w:r>
            <w:r>
              <w:rPr>
                <w:rFonts w:hint="eastAsia"/>
                <w:color w:val="auto"/>
                <w:sz w:val="24"/>
              </w:rPr>
              <w:t>、</w:t>
            </w:r>
            <w:r>
              <w:rPr>
                <w:rFonts w:hint="eastAsia"/>
                <w:color w:val="auto"/>
                <w:sz w:val="24"/>
                <w:lang w:eastAsia="zh-CN"/>
              </w:rPr>
              <w:t>农副食品加工业</w:t>
            </w:r>
            <w:r>
              <w:rPr>
                <w:rFonts w:hint="eastAsia"/>
                <w:color w:val="auto"/>
                <w:sz w:val="24"/>
                <w:lang w:val="en-US" w:eastAsia="zh-CN"/>
              </w:rPr>
              <w:t xml:space="preserve"> 15 谷物磨制131</w:t>
            </w:r>
            <w:r>
              <w:rPr>
                <w:rFonts w:hint="eastAsia"/>
                <w:color w:val="auto"/>
                <w:sz w:val="24"/>
              </w:rPr>
              <w:t>”—“</w:t>
            </w:r>
            <w:r>
              <w:rPr>
                <w:rFonts w:hint="eastAsia"/>
                <w:color w:val="auto"/>
                <w:sz w:val="24"/>
                <w:lang w:eastAsia="zh-CN"/>
              </w:rPr>
              <w:t>含发酵工艺的；年加工</w:t>
            </w:r>
            <w:r>
              <w:rPr>
                <w:rFonts w:hint="eastAsia"/>
                <w:color w:val="auto"/>
                <w:sz w:val="24"/>
                <w:lang w:val="en-US" w:eastAsia="zh-CN"/>
              </w:rPr>
              <w:t>1万吨及以上的</w:t>
            </w:r>
            <w:r>
              <w:rPr>
                <w:rFonts w:hint="eastAsia"/>
                <w:color w:val="auto"/>
                <w:sz w:val="24"/>
              </w:rPr>
              <w:t>”，需要编制环境影响报告表。</w:t>
            </w:r>
          </w:p>
          <w:p w14:paraId="64B03396">
            <w:pPr>
              <w:spacing w:line="360" w:lineRule="auto"/>
              <w:jc w:val="center"/>
              <w:rPr>
                <w:b/>
                <w:bCs/>
                <w:color w:val="auto"/>
                <w:lang w:val="zh-CN"/>
              </w:rPr>
            </w:pPr>
            <w:r>
              <w:rPr>
                <w:b/>
                <w:bCs/>
                <w:color w:val="auto"/>
                <w:lang w:val="zh-CN"/>
              </w:rPr>
              <w:t>表</w:t>
            </w:r>
            <w:r>
              <w:rPr>
                <w:b/>
                <w:bCs/>
                <w:color w:val="auto"/>
              </w:rPr>
              <w:t>2</w:t>
            </w:r>
            <w:r>
              <w:rPr>
                <w:b/>
                <w:bCs/>
                <w:color w:val="auto"/>
                <w:lang w:val="zh-CN"/>
              </w:rPr>
              <w:t>-1建设项目环境影响评价分类管理名录（摘录）</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0"/>
              <w:gridCol w:w="1640"/>
              <w:gridCol w:w="976"/>
              <w:gridCol w:w="4360"/>
              <w:gridCol w:w="981"/>
            </w:tblGrid>
            <w:tr w14:paraId="36134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261" w:type="pct"/>
                  <w:gridSpan w:val="2"/>
                  <w:tcBorders>
                    <w:tl2br w:val="single" w:color="auto" w:sz="4" w:space="0"/>
                  </w:tcBorders>
                  <w:vAlign w:val="center"/>
                </w:tcPr>
                <w:p w14:paraId="568B1C60">
                  <w:pPr>
                    <w:spacing w:line="276" w:lineRule="auto"/>
                    <w:jc w:val="right"/>
                    <w:rPr>
                      <w:b/>
                      <w:snapToGrid w:val="0"/>
                      <w:color w:val="auto"/>
                      <w:kern w:val="0"/>
                      <w:szCs w:val="21"/>
                    </w:rPr>
                  </w:pPr>
                  <w:r>
                    <w:rPr>
                      <w:b/>
                      <w:snapToGrid w:val="0"/>
                      <w:color w:val="auto"/>
                      <w:kern w:val="0"/>
                      <w:szCs w:val="21"/>
                    </w:rPr>
                    <w:t>环评类别</w:t>
                  </w:r>
                </w:p>
                <w:p w14:paraId="1D00E7F9">
                  <w:pPr>
                    <w:spacing w:line="276" w:lineRule="auto"/>
                    <w:jc w:val="left"/>
                    <w:rPr>
                      <w:b/>
                      <w:snapToGrid w:val="0"/>
                      <w:color w:val="auto"/>
                      <w:kern w:val="0"/>
                      <w:szCs w:val="21"/>
                    </w:rPr>
                  </w:pPr>
                  <w:r>
                    <w:rPr>
                      <w:b/>
                      <w:snapToGrid w:val="0"/>
                      <w:color w:val="auto"/>
                      <w:kern w:val="0"/>
                      <w:szCs w:val="21"/>
                    </w:rPr>
                    <w:t>项目类别</w:t>
                  </w:r>
                </w:p>
              </w:tc>
              <w:tc>
                <w:tcPr>
                  <w:tcW w:w="578" w:type="pct"/>
                  <w:vAlign w:val="center"/>
                </w:tcPr>
                <w:p w14:paraId="04016FAD">
                  <w:pPr>
                    <w:spacing w:line="276" w:lineRule="auto"/>
                    <w:jc w:val="center"/>
                    <w:rPr>
                      <w:b/>
                      <w:snapToGrid w:val="0"/>
                      <w:color w:val="auto"/>
                      <w:kern w:val="0"/>
                      <w:szCs w:val="21"/>
                    </w:rPr>
                  </w:pPr>
                  <w:r>
                    <w:rPr>
                      <w:b/>
                      <w:snapToGrid w:val="0"/>
                      <w:color w:val="auto"/>
                      <w:kern w:val="0"/>
                      <w:szCs w:val="21"/>
                    </w:rPr>
                    <w:t>报告书</w:t>
                  </w:r>
                </w:p>
              </w:tc>
              <w:tc>
                <w:tcPr>
                  <w:tcW w:w="2581" w:type="pct"/>
                  <w:vAlign w:val="center"/>
                </w:tcPr>
                <w:p w14:paraId="0CFD7587">
                  <w:pPr>
                    <w:spacing w:line="276" w:lineRule="auto"/>
                    <w:jc w:val="center"/>
                    <w:rPr>
                      <w:b/>
                      <w:snapToGrid w:val="0"/>
                      <w:color w:val="auto"/>
                      <w:kern w:val="0"/>
                      <w:szCs w:val="21"/>
                    </w:rPr>
                  </w:pPr>
                  <w:r>
                    <w:rPr>
                      <w:b/>
                      <w:snapToGrid w:val="0"/>
                      <w:color w:val="auto"/>
                      <w:kern w:val="0"/>
                      <w:szCs w:val="21"/>
                    </w:rPr>
                    <w:t>报告表</w:t>
                  </w:r>
                </w:p>
              </w:tc>
              <w:tc>
                <w:tcPr>
                  <w:tcW w:w="578" w:type="pct"/>
                  <w:vAlign w:val="center"/>
                </w:tcPr>
                <w:p w14:paraId="15E03DB3">
                  <w:pPr>
                    <w:spacing w:line="276" w:lineRule="auto"/>
                    <w:jc w:val="center"/>
                    <w:rPr>
                      <w:b/>
                      <w:snapToGrid w:val="0"/>
                      <w:color w:val="auto"/>
                      <w:kern w:val="0"/>
                      <w:szCs w:val="21"/>
                    </w:rPr>
                  </w:pPr>
                  <w:r>
                    <w:rPr>
                      <w:b/>
                      <w:snapToGrid w:val="0"/>
                      <w:color w:val="auto"/>
                      <w:kern w:val="0"/>
                      <w:szCs w:val="21"/>
                    </w:rPr>
                    <w:t>登记表</w:t>
                  </w:r>
                </w:p>
              </w:tc>
            </w:tr>
            <w:tr w14:paraId="4CE41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vAlign w:val="center"/>
                </w:tcPr>
                <w:p w14:paraId="078AD64F">
                  <w:pPr>
                    <w:spacing w:line="276" w:lineRule="auto"/>
                    <w:jc w:val="left"/>
                    <w:rPr>
                      <w:rFonts w:hint="default" w:eastAsia="宋体"/>
                      <w:b/>
                      <w:snapToGrid w:val="0"/>
                      <w:color w:val="auto"/>
                      <w:kern w:val="0"/>
                      <w:szCs w:val="21"/>
                      <w:lang w:val="en-US" w:eastAsia="zh-CN"/>
                    </w:rPr>
                  </w:pPr>
                  <w:r>
                    <w:rPr>
                      <w:rFonts w:hint="eastAsia"/>
                      <w:b/>
                      <w:snapToGrid w:val="0"/>
                      <w:color w:val="auto"/>
                      <w:kern w:val="0"/>
                      <w:szCs w:val="21"/>
                      <w:lang w:val="en-US" w:eastAsia="zh-CN"/>
                    </w:rPr>
                    <w:t>十、农副食品加工业 13</w:t>
                  </w:r>
                </w:p>
              </w:tc>
            </w:tr>
            <w:tr w14:paraId="26388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90" w:type="pct"/>
                  <w:vAlign w:val="center"/>
                </w:tcPr>
                <w:p w14:paraId="6D2886CE">
                  <w:pPr>
                    <w:spacing w:line="276" w:lineRule="auto"/>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15</w:t>
                  </w:r>
                </w:p>
              </w:tc>
              <w:tc>
                <w:tcPr>
                  <w:tcW w:w="971" w:type="pct"/>
                  <w:vAlign w:val="center"/>
                </w:tcPr>
                <w:p w14:paraId="01BA8BCE">
                  <w:pPr>
                    <w:spacing w:line="276" w:lineRule="auto"/>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谷物磨制131</w:t>
                  </w:r>
                </w:p>
              </w:tc>
              <w:tc>
                <w:tcPr>
                  <w:tcW w:w="578" w:type="pct"/>
                  <w:vAlign w:val="center"/>
                </w:tcPr>
                <w:p w14:paraId="5833670F">
                  <w:pPr>
                    <w:spacing w:line="276" w:lineRule="auto"/>
                    <w:jc w:val="center"/>
                    <w:rPr>
                      <w:rFonts w:hint="eastAsia" w:eastAsia="宋体"/>
                      <w:snapToGrid w:val="0"/>
                      <w:color w:val="auto"/>
                      <w:kern w:val="0"/>
                      <w:szCs w:val="21"/>
                      <w:lang w:eastAsia="zh-CN"/>
                    </w:rPr>
                  </w:pPr>
                  <w:r>
                    <w:rPr>
                      <w:rFonts w:hint="eastAsia"/>
                      <w:snapToGrid w:val="0"/>
                      <w:color w:val="auto"/>
                      <w:kern w:val="0"/>
                      <w:szCs w:val="21"/>
                      <w:lang w:val="en-US" w:eastAsia="zh-CN"/>
                    </w:rPr>
                    <w:t>/</w:t>
                  </w:r>
                </w:p>
              </w:tc>
              <w:tc>
                <w:tcPr>
                  <w:tcW w:w="2581" w:type="pct"/>
                  <w:shd w:val="pct25" w:color="auto" w:fill="auto"/>
                  <w:vAlign w:val="center"/>
                </w:tcPr>
                <w:p w14:paraId="622C1915">
                  <w:pPr>
                    <w:spacing w:line="276" w:lineRule="auto"/>
                    <w:jc w:val="center"/>
                    <w:rPr>
                      <w:rFonts w:hint="default" w:eastAsia="宋体"/>
                      <w:snapToGrid w:val="0"/>
                      <w:color w:val="auto"/>
                      <w:kern w:val="0"/>
                      <w:szCs w:val="21"/>
                      <w:lang w:val="en-US" w:eastAsia="zh-CN"/>
                    </w:rPr>
                  </w:pPr>
                  <w:r>
                    <w:rPr>
                      <w:rFonts w:hint="eastAsia"/>
                      <w:snapToGrid w:val="0"/>
                      <w:color w:val="auto"/>
                      <w:kern w:val="0"/>
                      <w:szCs w:val="21"/>
                      <w:lang w:eastAsia="zh-CN"/>
                    </w:rPr>
                    <w:t>含发酵工艺的；年加工</w:t>
                  </w:r>
                  <w:r>
                    <w:rPr>
                      <w:rFonts w:hint="eastAsia"/>
                      <w:snapToGrid w:val="0"/>
                      <w:color w:val="auto"/>
                      <w:kern w:val="0"/>
                      <w:szCs w:val="21"/>
                      <w:lang w:val="en-US" w:eastAsia="zh-CN"/>
                    </w:rPr>
                    <w:t>1万吨及以上的</w:t>
                  </w:r>
                </w:p>
              </w:tc>
              <w:tc>
                <w:tcPr>
                  <w:tcW w:w="578" w:type="pct"/>
                  <w:vAlign w:val="center"/>
                </w:tcPr>
                <w:p w14:paraId="6DF840BD">
                  <w:pPr>
                    <w:spacing w:line="276" w:lineRule="auto"/>
                    <w:jc w:val="center"/>
                    <w:rPr>
                      <w:rFonts w:hint="default" w:eastAsia="宋体"/>
                      <w:snapToGrid w:val="0"/>
                      <w:color w:val="auto"/>
                      <w:kern w:val="0"/>
                      <w:szCs w:val="21"/>
                      <w:lang w:val="en-US" w:eastAsia="zh-CN"/>
                    </w:rPr>
                  </w:pPr>
                  <w:r>
                    <w:rPr>
                      <w:rFonts w:hint="eastAsia"/>
                      <w:snapToGrid w:val="0"/>
                      <w:color w:val="auto"/>
                      <w:kern w:val="0"/>
                      <w:szCs w:val="21"/>
                      <w:lang w:val="en-US" w:eastAsia="zh-CN"/>
                    </w:rPr>
                    <w:t>/</w:t>
                  </w:r>
                </w:p>
              </w:tc>
            </w:tr>
          </w:tbl>
          <w:p w14:paraId="370BC8A8">
            <w:pPr>
              <w:spacing w:line="360" w:lineRule="auto"/>
              <w:ind w:firstLine="480" w:firstLineChars="200"/>
              <w:rPr>
                <w:color w:val="auto"/>
                <w:sz w:val="24"/>
                <w:szCs w:val="24"/>
              </w:rPr>
            </w:pPr>
            <w:r>
              <w:rPr>
                <w:rFonts w:hint="eastAsia"/>
                <w:color w:val="auto"/>
                <w:sz w:val="24"/>
              </w:rPr>
              <w:t>经对照《固定污染源排污许可分类管理名录》（2019年版），</w:t>
            </w:r>
            <w:r>
              <w:rPr>
                <w:color w:val="auto"/>
                <w:sz w:val="24"/>
                <w:szCs w:val="24"/>
              </w:rPr>
              <w:t>本项目属于</w:t>
            </w:r>
            <w:r>
              <w:rPr>
                <w:rFonts w:hint="eastAsia"/>
                <w:color w:val="auto"/>
                <w:sz w:val="24"/>
                <w:szCs w:val="24"/>
              </w:rPr>
              <w:t>“</w:t>
            </w:r>
            <w:r>
              <w:rPr>
                <w:rFonts w:hint="eastAsia"/>
                <w:color w:val="auto"/>
                <w:sz w:val="24"/>
                <w:szCs w:val="24"/>
                <w:lang w:val="en-US" w:eastAsia="zh-CN"/>
              </w:rPr>
              <w:t>八</w:t>
            </w:r>
            <w:r>
              <w:rPr>
                <w:rFonts w:hint="eastAsia"/>
                <w:color w:val="auto"/>
                <w:sz w:val="24"/>
                <w:szCs w:val="24"/>
              </w:rPr>
              <w:t>、</w:t>
            </w:r>
            <w:r>
              <w:rPr>
                <w:rFonts w:hint="eastAsia"/>
                <w:color w:val="auto"/>
                <w:sz w:val="24"/>
                <w:szCs w:val="24"/>
                <w:lang w:eastAsia="zh-CN"/>
              </w:rPr>
              <w:t>农副食品加工业</w:t>
            </w:r>
            <w:r>
              <w:rPr>
                <w:rFonts w:hint="eastAsia"/>
                <w:color w:val="auto"/>
                <w:sz w:val="24"/>
                <w:szCs w:val="24"/>
                <w:lang w:val="en-US" w:eastAsia="zh-CN"/>
              </w:rPr>
              <w:t xml:space="preserve"> 13</w:t>
            </w:r>
            <w:r>
              <w:rPr>
                <w:rFonts w:hint="eastAsia"/>
                <w:color w:val="auto"/>
                <w:sz w:val="24"/>
                <w:szCs w:val="24"/>
              </w:rPr>
              <w:t>”</w:t>
            </w:r>
            <w:r>
              <w:rPr>
                <w:color w:val="auto"/>
                <w:sz w:val="24"/>
                <w:szCs w:val="24"/>
              </w:rPr>
              <w:t>中的</w:t>
            </w:r>
            <w:r>
              <w:rPr>
                <w:rFonts w:hint="eastAsia"/>
                <w:color w:val="auto"/>
                <w:sz w:val="24"/>
                <w:szCs w:val="24"/>
              </w:rPr>
              <w:t>“</w:t>
            </w:r>
            <w:r>
              <w:rPr>
                <w:rFonts w:hint="eastAsia"/>
                <w:color w:val="auto"/>
                <w:sz w:val="24"/>
                <w:szCs w:val="24"/>
                <w:lang w:eastAsia="zh-CN"/>
              </w:rPr>
              <w:t>谷物磨制</w:t>
            </w:r>
            <w:r>
              <w:rPr>
                <w:rFonts w:hint="eastAsia"/>
                <w:color w:val="auto"/>
                <w:sz w:val="24"/>
                <w:szCs w:val="24"/>
                <w:lang w:val="en-US" w:eastAsia="zh-CN"/>
              </w:rPr>
              <w:t>131</w:t>
            </w:r>
            <w:r>
              <w:rPr>
                <w:rFonts w:hint="eastAsia"/>
                <w:color w:val="auto"/>
                <w:sz w:val="24"/>
                <w:szCs w:val="24"/>
              </w:rPr>
              <w:t>”</w:t>
            </w:r>
            <w:r>
              <w:rPr>
                <w:rFonts w:hint="eastAsia"/>
                <w:color w:val="auto"/>
                <w:sz w:val="24"/>
                <w:szCs w:val="24"/>
                <w:lang w:eastAsia="zh-CN"/>
              </w:rPr>
              <w:t>，项目排污类别为</w:t>
            </w:r>
            <w:r>
              <w:rPr>
                <w:rFonts w:hint="eastAsia"/>
                <w:color w:val="auto"/>
                <w:sz w:val="24"/>
                <w:szCs w:val="24"/>
              </w:rPr>
              <w:t>“</w:t>
            </w:r>
            <w:r>
              <w:rPr>
                <w:rFonts w:hint="eastAsia"/>
                <w:color w:val="auto"/>
                <w:sz w:val="24"/>
                <w:szCs w:val="24"/>
                <w:lang w:eastAsia="zh-CN"/>
              </w:rPr>
              <w:t>登记管理</w:t>
            </w:r>
            <w:r>
              <w:rPr>
                <w:rFonts w:hint="eastAsia"/>
                <w:color w:val="auto"/>
                <w:sz w:val="24"/>
                <w:szCs w:val="24"/>
              </w:rPr>
              <w:t>”</w:t>
            </w:r>
            <w:r>
              <w:rPr>
                <w:color w:val="auto"/>
                <w:sz w:val="24"/>
                <w:szCs w:val="24"/>
              </w:rPr>
              <w:t>。</w:t>
            </w:r>
          </w:p>
          <w:p w14:paraId="4F88B80F">
            <w:pPr>
              <w:spacing w:line="360" w:lineRule="auto"/>
              <w:ind w:firstLine="480" w:firstLineChars="200"/>
              <w:rPr>
                <w:color w:val="auto"/>
                <w:sz w:val="24"/>
                <w:szCs w:val="24"/>
              </w:rPr>
            </w:pPr>
            <w:r>
              <w:rPr>
                <w:rFonts w:hint="eastAsia"/>
                <w:color w:val="auto"/>
                <w:sz w:val="24"/>
                <w:szCs w:val="24"/>
              </w:rPr>
              <w:t>本</w:t>
            </w:r>
            <w:r>
              <w:rPr>
                <w:color w:val="auto"/>
                <w:sz w:val="24"/>
                <w:szCs w:val="24"/>
              </w:rPr>
              <w:t>项目建成投产前</w:t>
            </w:r>
            <w:r>
              <w:rPr>
                <w:rFonts w:hint="eastAsia"/>
                <w:color w:val="auto"/>
                <w:sz w:val="24"/>
                <w:szCs w:val="24"/>
                <w:lang w:val="en-US" w:eastAsia="zh-CN"/>
              </w:rPr>
              <w:t>需完成</w:t>
            </w:r>
            <w:r>
              <w:rPr>
                <w:color w:val="auto"/>
                <w:sz w:val="24"/>
                <w:szCs w:val="24"/>
              </w:rPr>
              <w:t>排污许</w:t>
            </w:r>
            <w:r>
              <w:rPr>
                <w:rStyle w:val="59"/>
                <w:rFonts w:hint="eastAsia"/>
                <w:color w:val="auto"/>
                <w:sz w:val="24"/>
                <w:szCs w:val="24"/>
              </w:rPr>
              <w:t>可</w:t>
            </w:r>
            <w:r>
              <w:rPr>
                <w:rStyle w:val="59"/>
                <w:rFonts w:hint="eastAsia"/>
                <w:color w:val="auto"/>
                <w:sz w:val="24"/>
                <w:szCs w:val="24"/>
                <w:lang w:eastAsia="zh-CN"/>
              </w:rPr>
              <w:t>登记管理申报工作</w:t>
            </w:r>
            <w:r>
              <w:rPr>
                <w:color w:val="auto"/>
                <w:sz w:val="24"/>
                <w:szCs w:val="24"/>
              </w:rPr>
              <w:t>。</w:t>
            </w:r>
          </w:p>
          <w:p w14:paraId="1B9E19C1">
            <w:pPr>
              <w:adjustRightInd w:val="0"/>
              <w:spacing w:line="360" w:lineRule="auto"/>
              <w:jc w:val="center"/>
              <w:rPr>
                <w:rFonts w:ascii="宋体" w:hAnsi="Arial" w:eastAsia="Arial"/>
                <w:color w:val="auto"/>
                <w:kern w:val="0"/>
                <w:sz w:val="24"/>
                <w:szCs w:val="24"/>
              </w:rPr>
            </w:pPr>
            <w:r>
              <w:rPr>
                <w:b/>
                <w:color w:val="auto"/>
                <w:spacing w:val="-4"/>
                <w:szCs w:val="21"/>
              </w:rPr>
              <w:t>表2-</w:t>
            </w:r>
            <w:r>
              <w:rPr>
                <w:rFonts w:hint="eastAsia"/>
                <w:b/>
                <w:color w:val="auto"/>
                <w:spacing w:val="-4"/>
                <w:szCs w:val="21"/>
              </w:rPr>
              <w:t>2</w:t>
            </w:r>
            <w:r>
              <w:rPr>
                <w:b/>
                <w:color w:val="auto"/>
                <w:spacing w:val="-4"/>
                <w:szCs w:val="21"/>
              </w:rPr>
              <w:t xml:space="preserve"> 建设项目</w:t>
            </w:r>
            <w:r>
              <w:rPr>
                <w:rFonts w:hint="eastAsia"/>
                <w:b/>
                <w:color w:val="auto"/>
                <w:spacing w:val="-4"/>
                <w:szCs w:val="21"/>
              </w:rPr>
              <w:t>固定污染源排污许可分类</w:t>
            </w:r>
            <w:r>
              <w:rPr>
                <w:b/>
                <w:color w:val="auto"/>
                <w:spacing w:val="-4"/>
                <w:szCs w:val="21"/>
              </w:rPr>
              <w:t>管理名录（摘录）</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9"/>
              <w:gridCol w:w="2573"/>
              <w:gridCol w:w="1583"/>
              <w:gridCol w:w="1583"/>
              <w:gridCol w:w="2129"/>
            </w:tblGrid>
            <w:tr w14:paraId="6CC9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66" w:type="pct"/>
                  <w:gridSpan w:val="2"/>
                  <w:tcBorders>
                    <w:top w:val="single" w:color="auto" w:sz="4" w:space="0"/>
                    <w:left w:val="single" w:color="auto" w:sz="4" w:space="0"/>
                    <w:bottom w:val="single" w:color="auto" w:sz="4" w:space="0"/>
                    <w:right w:val="single" w:color="auto" w:sz="4" w:space="0"/>
                    <w:tl2br w:val="single" w:color="auto" w:sz="4" w:space="0"/>
                  </w:tcBorders>
                  <w:vAlign w:val="center"/>
                </w:tcPr>
                <w:p w14:paraId="5AD8E957">
                  <w:pPr>
                    <w:autoSpaceDE w:val="0"/>
                    <w:spacing w:line="276" w:lineRule="auto"/>
                    <w:ind w:firstLine="1054" w:firstLineChars="500"/>
                    <w:jc w:val="right"/>
                    <w:rPr>
                      <w:b/>
                      <w:bCs/>
                      <w:color w:val="auto"/>
                    </w:rPr>
                  </w:pPr>
                  <w:r>
                    <w:rPr>
                      <w:rFonts w:hint="eastAsia"/>
                      <w:b/>
                      <w:bCs/>
                      <w:color w:val="auto"/>
                    </w:rPr>
                    <w:t>排污</w:t>
                  </w:r>
                  <w:r>
                    <w:rPr>
                      <w:b/>
                      <w:bCs/>
                      <w:color w:val="auto"/>
                    </w:rPr>
                    <w:t>类别</w:t>
                  </w:r>
                </w:p>
                <w:p w14:paraId="06846CA4">
                  <w:pPr>
                    <w:autoSpaceDE w:val="0"/>
                    <w:spacing w:line="276" w:lineRule="auto"/>
                    <w:jc w:val="left"/>
                    <w:rPr>
                      <w:b/>
                      <w:bCs/>
                      <w:color w:val="auto"/>
                    </w:rPr>
                  </w:pPr>
                  <w:r>
                    <w:rPr>
                      <w:rFonts w:hint="eastAsia"/>
                      <w:b/>
                      <w:bCs/>
                      <w:color w:val="auto"/>
                    </w:rPr>
                    <w:t>行业</w:t>
                  </w:r>
                  <w:r>
                    <w:rPr>
                      <w:b/>
                      <w:bCs/>
                      <w:color w:val="auto"/>
                    </w:rPr>
                    <w:t>类别</w:t>
                  </w:r>
                </w:p>
              </w:tc>
              <w:tc>
                <w:tcPr>
                  <w:tcW w:w="937" w:type="pct"/>
                  <w:tcBorders>
                    <w:top w:val="single" w:color="auto" w:sz="4" w:space="0"/>
                    <w:left w:val="single" w:color="auto" w:sz="4" w:space="0"/>
                    <w:bottom w:val="single" w:color="auto" w:sz="4" w:space="0"/>
                    <w:right w:val="single" w:color="auto" w:sz="4" w:space="0"/>
                  </w:tcBorders>
                  <w:vAlign w:val="center"/>
                </w:tcPr>
                <w:p w14:paraId="3CBAFA15">
                  <w:pPr>
                    <w:autoSpaceDE w:val="0"/>
                    <w:spacing w:line="276" w:lineRule="auto"/>
                    <w:jc w:val="center"/>
                    <w:rPr>
                      <w:b/>
                      <w:bCs/>
                      <w:color w:val="auto"/>
                    </w:rPr>
                  </w:pPr>
                  <w:r>
                    <w:rPr>
                      <w:rFonts w:hint="eastAsia"/>
                      <w:b/>
                      <w:bCs/>
                      <w:color w:val="auto"/>
                    </w:rPr>
                    <w:t>重点管理</w:t>
                  </w:r>
                </w:p>
              </w:tc>
              <w:tc>
                <w:tcPr>
                  <w:tcW w:w="937" w:type="pct"/>
                  <w:tcBorders>
                    <w:top w:val="single" w:color="auto" w:sz="4" w:space="0"/>
                    <w:left w:val="single" w:color="auto" w:sz="4" w:space="0"/>
                    <w:bottom w:val="single" w:color="auto" w:sz="4" w:space="0"/>
                    <w:right w:val="single" w:color="auto" w:sz="4" w:space="0"/>
                  </w:tcBorders>
                  <w:vAlign w:val="center"/>
                </w:tcPr>
                <w:p w14:paraId="31124BE6">
                  <w:pPr>
                    <w:autoSpaceDE w:val="0"/>
                    <w:spacing w:line="276" w:lineRule="auto"/>
                    <w:jc w:val="center"/>
                    <w:rPr>
                      <w:b/>
                      <w:bCs/>
                      <w:color w:val="auto"/>
                    </w:rPr>
                  </w:pPr>
                  <w:r>
                    <w:rPr>
                      <w:rFonts w:hint="eastAsia"/>
                      <w:b/>
                      <w:bCs/>
                      <w:color w:val="auto"/>
                    </w:rPr>
                    <w:t>简化管理</w:t>
                  </w:r>
                </w:p>
              </w:tc>
              <w:tc>
                <w:tcPr>
                  <w:tcW w:w="1259" w:type="pct"/>
                  <w:tcBorders>
                    <w:top w:val="single" w:color="auto" w:sz="4" w:space="0"/>
                    <w:left w:val="single" w:color="auto" w:sz="4" w:space="0"/>
                    <w:bottom w:val="single" w:color="auto" w:sz="4" w:space="0"/>
                    <w:right w:val="single" w:color="auto" w:sz="4" w:space="0"/>
                  </w:tcBorders>
                  <w:vAlign w:val="center"/>
                </w:tcPr>
                <w:p w14:paraId="71706731">
                  <w:pPr>
                    <w:autoSpaceDE w:val="0"/>
                    <w:spacing w:line="276" w:lineRule="auto"/>
                    <w:jc w:val="center"/>
                    <w:rPr>
                      <w:b/>
                      <w:bCs/>
                      <w:color w:val="auto"/>
                    </w:rPr>
                  </w:pPr>
                  <w:r>
                    <w:rPr>
                      <w:b/>
                      <w:bCs/>
                      <w:color w:val="auto"/>
                    </w:rPr>
                    <w:t>登记</w:t>
                  </w:r>
                  <w:r>
                    <w:rPr>
                      <w:rFonts w:hint="eastAsia"/>
                      <w:b/>
                      <w:bCs/>
                      <w:color w:val="auto"/>
                    </w:rPr>
                    <w:t>管理</w:t>
                  </w:r>
                </w:p>
              </w:tc>
            </w:tr>
            <w:tr w14:paraId="5143A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5"/>
                  <w:tcBorders>
                    <w:top w:val="single" w:color="auto" w:sz="4" w:space="0"/>
                    <w:left w:val="single" w:color="auto" w:sz="4" w:space="0"/>
                    <w:bottom w:val="single" w:color="auto" w:sz="4" w:space="0"/>
                    <w:right w:val="single" w:color="auto" w:sz="4" w:space="0"/>
                  </w:tcBorders>
                  <w:vAlign w:val="center"/>
                </w:tcPr>
                <w:p w14:paraId="7C2D4D6A">
                  <w:pPr>
                    <w:widowControl/>
                    <w:autoSpaceDE w:val="0"/>
                    <w:spacing w:line="276" w:lineRule="auto"/>
                    <w:rPr>
                      <w:rFonts w:hint="default" w:eastAsia="宋体"/>
                      <w:color w:val="auto"/>
                      <w:lang w:val="en-US" w:eastAsia="zh-CN"/>
                    </w:rPr>
                  </w:pPr>
                  <w:r>
                    <w:rPr>
                      <w:rFonts w:hint="eastAsia"/>
                      <w:b/>
                      <w:snapToGrid w:val="0"/>
                      <w:color w:val="auto"/>
                      <w:kern w:val="0"/>
                      <w:szCs w:val="21"/>
                      <w:lang w:eastAsia="zh-CN"/>
                    </w:rPr>
                    <w:t>八、农副食品加工业</w:t>
                  </w:r>
                  <w:r>
                    <w:rPr>
                      <w:rFonts w:hint="eastAsia"/>
                      <w:b/>
                      <w:snapToGrid w:val="0"/>
                      <w:color w:val="auto"/>
                      <w:kern w:val="0"/>
                      <w:szCs w:val="21"/>
                      <w:lang w:val="en-US" w:eastAsia="zh-CN"/>
                    </w:rPr>
                    <w:t xml:space="preserve"> 13</w:t>
                  </w:r>
                </w:p>
              </w:tc>
            </w:tr>
            <w:tr w14:paraId="5372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3" w:type="pct"/>
                  <w:tcBorders>
                    <w:top w:val="single" w:color="auto" w:sz="4" w:space="0"/>
                    <w:left w:val="single" w:color="auto" w:sz="4" w:space="0"/>
                    <w:bottom w:val="single" w:color="auto" w:sz="4" w:space="0"/>
                    <w:right w:val="single" w:color="auto" w:sz="4" w:space="0"/>
                  </w:tcBorders>
                  <w:shd w:val="clear" w:color="auto" w:fill="auto"/>
                  <w:vAlign w:val="center"/>
                </w:tcPr>
                <w:p w14:paraId="2117A98F">
                  <w:pPr>
                    <w:spacing w:line="276" w:lineRule="auto"/>
                    <w:jc w:val="center"/>
                    <w:rPr>
                      <w:rFonts w:hint="default" w:eastAsia="宋体"/>
                      <w:color w:val="auto"/>
                      <w:szCs w:val="21"/>
                      <w:lang w:val="en-US" w:eastAsia="zh-CN"/>
                    </w:rPr>
                  </w:pPr>
                  <w:r>
                    <w:rPr>
                      <w:rFonts w:hint="eastAsia"/>
                      <w:snapToGrid w:val="0"/>
                      <w:color w:val="auto"/>
                      <w:kern w:val="0"/>
                      <w:szCs w:val="21"/>
                      <w:lang w:val="en-US" w:eastAsia="zh-CN"/>
                    </w:rPr>
                    <w:t>9</w:t>
                  </w:r>
                </w:p>
              </w:tc>
              <w:tc>
                <w:tcPr>
                  <w:tcW w:w="1523" w:type="pct"/>
                  <w:tcBorders>
                    <w:top w:val="single" w:color="auto" w:sz="4" w:space="0"/>
                    <w:left w:val="single" w:color="auto" w:sz="4" w:space="0"/>
                    <w:bottom w:val="single" w:color="auto" w:sz="4" w:space="0"/>
                    <w:right w:val="single" w:color="auto" w:sz="4" w:space="0"/>
                  </w:tcBorders>
                  <w:shd w:val="clear" w:color="auto" w:fill="auto"/>
                  <w:vAlign w:val="center"/>
                </w:tcPr>
                <w:p w14:paraId="466F3FC8">
                  <w:pPr>
                    <w:spacing w:line="276" w:lineRule="auto"/>
                    <w:jc w:val="center"/>
                    <w:rPr>
                      <w:rFonts w:hint="default" w:eastAsia="宋体"/>
                      <w:color w:val="auto"/>
                      <w:szCs w:val="21"/>
                      <w:lang w:val="en-US" w:eastAsia="zh-CN"/>
                    </w:rPr>
                  </w:pPr>
                  <w:r>
                    <w:rPr>
                      <w:rFonts w:hint="eastAsia"/>
                      <w:snapToGrid w:val="0"/>
                      <w:color w:val="auto"/>
                      <w:kern w:val="0"/>
                      <w:szCs w:val="21"/>
                      <w:lang w:eastAsia="zh-CN"/>
                    </w:rPr>
                    <w:t>谷物磨制</w:t>
                  </w:r>
                  <w:r>
                    <w:rPr>
                      <w:rFonts w:hint="eastAsia"/>
                      <w:snapToGrid w:val="0"/>
                      <w:color w:val="auto"/>
                      <w:kern w:val="0"/>
                      <w:szCs w:val="21"/>
                      <w:lang w:val="en-US" w:eastAsia="zh-CN"/>
                    </w:rPr>
                    <w:t>131</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33C00F18">
                  <w:pPr>
                    <w:spacing w:line="276" w:lineRule="auto"/>
                    <w:jc w:val="center"/>
                    <w:rPr>
                      <w:rFonts w:hint="eastAsia" w:eastAsia="宋体"/>
                      <w:color w:val="auto"/>
                      <w:szCs w:val="21"/>
                      <w:lang w:eastAsia="zh-CN"/>
                    </w:rPr>
                  </w:pPr>
                  <w:r>
                    <w:rPr>
                      <w:rFonts w:hint="eastAsia"/>
                      <w:snapToGrid w:val="0"/>
                      <w:color w:val="auto"/>
                      <w:kern w:val="0"/>
                      <w:szCs w:val="21"/>
                      <w:lang w:val="en-US" w:eastAsia="zh-CN"/>
                    </w:rPr>
                    <w:t>/</w:t>
                  </w:r>
                </w:p>
              </w:tc>
              <w:tc>
                <w:tcPr>
                  <w:tcW w:w="937" w:type="pct"/>
                  <w:tcBorders>
                    <w:top w:val="single" w:color="auto" w:sz="4" w:space="0"/>
                    <w:left w:val="single" w:color="auto" w:sz="4" w:space="0"/>
                    <w:bottom w:val="single" w:color="auto" w:sz="4" w:space="0"/>
                    <w:right w:val="single" w:color="auto" w:sz="4" w:space="0"/>
                  </w:tcBorders>
                  <w:shd w:val="clear" w:color="auto" w:fill="auto"/>
                  <w:vAlign w:val="center"/>
                </w:tcPr>
                <w:p w14:paraId="4D877ED7">
                  <w:pPr>
                    <w:spacing w:line="276" w:lineRule="auto"/>
                    <w:jc w:val="center"/>
                    <w:rPr>
                      <w:rFonts w:hint="eastAsia" w:eastAsia="宋体"/>
                      <w:color w:val="auto"/>
                      <w:szCs w:val="21"/>
                      <w:lang w:eastAsia="zh-CN"/>
                    </w:rPr>
                  </w:pPr>
                  <w:r>
                    <w:rPr>
                      <w:rFonts w:hint="eastAsia"/>
                      <w:snapToGrid w:val="0"/>
                      <w:color w:val="auto"/>
                      <w:kern w:val="0"/>
                      <w:szCs w:val="21"/>
                      <w:lang w:val="en-US" w:eastAsia="zh-CN"/>
                    </w:rPr>
                    <w:t>/</w:t>
                  </w:r>
                </w:p>
              </w:tc>
              <w:tc>
                <w:tcPr>
                  <w:tcW w:w="1259" w:type="pct"/>
                  <w:tcBorders>
                    <w:top w:val="single" w:color="auto" w:sz="4" w:space="0"/>
                    <w:left w:val="single" w:color="auto" w:sz="4" w:space="0"/>
                    <w:bottom w:val="single" w:color="auto" w:sz="4" w:space="0"/>
                    <w:right w:val="single" w:color="auto" w:sz="4" w:space="0"/>
                  </w:tcBorders>
                  <w:shd w:val="pct25" w:color="auto" w:fill="auto"/>
                  <w:vAlign w:val="center"/>
                </w:tcPr>
                <w:p w14:paraId="132108CC">
                  <w:pPr>
                    <w:spacing w:line="276" w:lineRule="auto"/>
                    <w:jc w:val="center"/>
                    <w:rPr>
                      <w:rFonts w:hint="default"/>
                      <w:color w:val="auto"/>
                      <w:szCs w:val="21"/>
                      <w:lang w:val="en-US"/>
                    </w:rPr>
                  </w:pPr>
                  <w:r>
                    <w:rPr>
                      <w:rFonts w:hint="eastAsia"/>
                      <w:snapToGrid w:val="0"/>
                      <w:color w:val="auto"/>
                      <w:kern w:val="0"/>
                      <w:szCs w:val="21"/>
                      <w:lang w:eastAsia="zh-CN"/>
                    </w:rPr>
                    <w:t>谷物磨制</w:t>
                  </w:r>
                  <w:r>
                    <w:rPr>
                      <w:rFonts w:hint="eastAsia"/>
                      <w:snapToGrid w:val="0"/>
                      <w:color w:val="auto"/>
                      <w:kern w:val="0"/>
                      <w:szCs w:val="21"/>
                      <w:lang w:val="en-US" w:eastAsia="zh-CN"/>
                    </w:rPr>
                    <w:t>131</w:t>
                  </w:r>
                </w:p>
              </w:tc>
            </w:tr>
          </w:tbl>
          <w:p w14:paraId="51D3BE89">
            <w:pPr>
              <w:spacing w:line="360" w:lineRule="auto"/>
              <w:rPr>
                <w:b/>
                <w:color w:val="auto"/>
                <w:sz w:val="24"/>
                <w:szCs w:val="24"/>
              </w:rPr>
            </w:pPr>
            <w:r>
              <w:rPr>
                <w:rFonts w:hint="eastAsia"/>
                <w:b/>
                <w:color w:val="auto"/>
                <w:sz w:val="24"/>
                <w:szCs w:val="24"/>
              </w:rPr>
              <w:t>1、建设内容及规模</w:t>
            </w:r>
          </w:p>
          <w:p w14:paraId="31157D3F">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default" w:ascii="Times New Roman" w:hAnsi="Times New Roman" w:cs="Times New Roman"/>
                <w:b/>
                <w:color w:val="auto"/>
                <w:sz w:val="24"/>
                <w:szCs w:val="20"/>
              </w:rPr>
            </w:pPr>
            <w:r>
              <w:rPr>
                <w:rFonts w:hint="default" w:ascii="Times New Roman" w:hAnsi="Times New Roman" w:cs="Times New Roman"/>
                <w:b/>
                <w:color w:val="auto"/>
                <w:sz w:val="24"/>
                <w:szCs w:val="20"/>
              </w:rPr>
              <w:t>（1）工程基本情况</w:t>
            </w:r>
          </w:p>
          <w:p w14:paraId="4887CDA1">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cs="Times New Roman"/>
                <w:color w:val="auto"/>
                <w:sz w:val="24"/>
              </w:rPr>
              <w:t>①项目名称：</w:t>
            </w:r>
            <w:r>
              <w:rPr>
                <w:rFonts w:hint="eastAsia" w:ascii="Times New Roman" w:hAnsi="Times New Roman" w:cs="Times New Roman"/>
                <w:color w:val="auto"/>
                <w:sz w:val="24"/>
                <w:lang w:val="en-US" w:eastAsia="zh-CN"/>
              </w:rPr>
              <w:t>年产6万吨优质大米</w:t>
            </w:r>
            <w:r>
              <w:rPr>
                <w:rFonts w:hint="default" w:ascii="Times New Roman" w:hAnsi="Times New Roman" w:cs="Times New Roman"/>
                <w:color w:val="auto"/>
                <w:sz w:val="24"/>
                <w:szCs w:val="24"/>
                <w:lang w:val="en-US" w:eastAsia="zh-CN"/>
              </w:rPr>
              <w:t>项目</w:t>
            </w:r>
          </w:p>
          <w:p w14:paraId="49C8C386">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②建设单位：</w:t>
            </w:r>
            <w:r>
              <w:rPr>
                <w:rFonts w:hint="eastAsia" w:cs="Times New Roman"/>
                <w:color w:val="auto"/>
                <w:sz w:val="24"/>
                <w:lang w:val="en-US" w:eastAsia="zh-CN"/>
              </w:rPr>
              <w:t>淮南市三好米业</w:t>
            </w:r>
            <w:r>
              <w:rPr>
                <w:rFonts w:hint="default" w:ascii="Times New Roman" w:hAnsi="Times New Roman" w:cs="Times New Roman"/>
                <w:color w:val="auto"/>
                <w:sz w:val="24"/>
                <w:lang w:val="en-US" w:eastAsia="zh-CN"/>
              </w:rPr>
              <w:t>有限公司</w:t>
            </w:r>
          </w:p>
          <w:p w14:paraId="09DA684D">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③建设性质：新建</w:t>
            </w:r>
          </w:p>
          <w:p w14:paraId="7A2D72E2">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④行业类别及代码：C</w:t>
            </w:r>
            <w:r>
              <w:rPr>
                <w:rFonts w:hint="eastAsia" w:ascii="Times New Roman" w:hAnsi="Times New Roman" w:cs="Times New Roman"/>
                <w:color w:val="auto"/>
                <w:sz w:val="24"/>
                <w:lang w:val="en-US" w:eastAsia="zh-CN"/>
              </w:rPr>
              <w:t>1311稻谷加工</w:t>
            </w:r>
          </w:p>
          <w:p w14:paraId="4355090F">
            <w:pPr>
              <w:keepNext w:val="0"/>
              <w:keepLines w:val="0"/>
              <w:pageBreakBefore w:val="0"/>
              <w:widowControl w:val="0"/>
              <w:kinsoku/>
              <w:wordWrap/>
              <w:overflowPunct/>
              <w:topLinePunct w:val="0"/>
              <w:autoSpaceDE/>
              <w:autoSpaceDN/>
              <w:bidi w:val="0"/>
              <w:snapToGrid/>
              <w:spacing w:line="360" w:lineRule="auto"/>
              <w:ind w:firstLine="480" w:firstLineChars="200"/>
              <w:textAlignment w:val="auto"/>
              <w:rPr>
                <w:rFonts w:hint="default" w:ascii="Times New Roman" w:hAnsi="Times New Roman" w:cs="Times New Roman"/>
                <w:color w:val="auto"/>
                <w:sz w:val="24"/>
              </w:rPr>
            </w:pPr>
            <w:r>
              <w:rPr>
                <w:rFonts w:hint="default" w:ascii="Times New Roman" w:hAnsi="Times New Roman" w:cs="Times New Roman"/>
                <w:color w:val="auto"/>
                <w:sz w:val="24"/>
              </w:rPr>
              <w:t>⑤总投资：本项目总投资</w:t>
            </w:r>
            <w:r>
              <w:rPr>
                <w:rFonts w:hint="eastAsia" w:cs="Times New Roman"/>
                <w:color w:val="auto"/>
                <w:sz w:val="24"/>
                <w:lang w:val="en-US" w:eastAsia="zh-CN"/>
              </w:rPr>
              <w:t>5</w:t>
            </w:r>
            <w:r>
              <w:rPr>
                <w:rFonts w:hint="eastAsia" w:ascii="Times New Roman" w:hAnsi="Times New Roman" w:cs="Times New Roman"/>
                <w:color w:val="auto"/>
                <w:sz w:val="24"/>
                <w:szCs w:val="24"/>
                <w:lang w:val="en-US" w:eastAsia="zh-CN"/>
              </w:rPr>
              <w:t>60</w:t>
            </w:r>
            <w:r>
              <w:rPr>
                <w:rFonts w:hint="eastAsia" w:ascii="Times New Roman" w:hAnsi="Times New Roman" w:cs="Times New Roman"/>
                <w:color w:val="auto"/>
                <w:sz w:val="24"/>
                <w:lang w:val="en-US" w:eastAsia="zh-CN"/>
              </w:rPr>
              <w:t>0</w:t>
            </w:r>
            <w:r>
              <w:rPr>
                <w:rFonts w:hint="default" w:ascii="Times New Roman" w:hAnsi="Times New Roman" w:cs="Times New Roman"/>
                <w:color w:val="auto"/>
                <w:sz w:val="24"/>
              </w:rPr>
              <w:t>万元</w:t>
            </w:r>
          </w:p>
          <w:p w14:paraId="56C38802">
            <w:pPr>
              <w:keepNext w:val="0"/>
              <w:keepLines w:val="0"/>
              <w:pageBreakBefore w:val="0"/>
              <w:widowControl w:val="0"/>
              <w:kinsoku/>
              <w:wordWrap/>
              <w:overflowPunct/>
              <w:topLinePunct w:val="0"/>
              <w:autoSpaceDE/>
              <w:autoSpaceDN/>
              <w:bidi w:val="0"/>
              <w:snapToGrid/>
              <w:spacing w:line="360" w:lineRule="auto"/>
              <w:ind w:firstLine="482" w:firstLineChars="200"/>
              <w:textAlignment w:val="auto"/>
              <w:rPr>
                <w:rFonts w:hint="default" w:ascii="Times New Roman" w:hAnsi="Times New Roman" w:cs="Times New Roman"/>
                <w:b/>
                <w:color w:val="auto"/>
                <w:sz w:val="24"/>
                <w:szCs w:val="20"/>
              </w:rPr>
            </w:pPr>
            <w:r>
              <w:rPr>
                <w:rFonts w:hint="default" w:ascii="Times New Roman" w:hAnsi="Times New Roman" w:cs="Times New Roman"/>
                <w:b/>
                <w:color w:val="auto"/>
                <w:sz w:val="24"/>
              </w:rPr>
              <w:t>（2）工程建设内容</w:t>
            </w:r>
          </w:p>
          <w:p w14:paraId="4F9B6EE9">
            <w:pPr>
              <w:widowControl/>
              <w:spacing w:line="360" w:lineRule="auto"/>
              <w:ind w:left="40" w:firstLine="480" w:firstLineChars="200"/>
              <w:jc w:val="left"/>
              <w:rPr>
                <w:bCs/>
                <w:color w:val="auto"/>
                <w:sz w:val="24"/>
                <w:szCs w:val="24"/>
              </w:rPr>
            </w:pPr>
            <w:r>
              <w:rPr>
                <w:bCs/>
                <w:color w:val="auto"/>
                <w:sz w:val="24"/>
                <w:szCs w:val="24"/>
              </w:rPr>
              <w:t>本项目主要建设内容如下表</w:t>
            </w:r>
            <w:r>
              <w:rPr>
                <w:rFonts w:hint="eastAsia"/>
                <w:bCs/>
                <w:color w:val="auto"/>
                <w:sz w:val="24"/>
                <w:szCs w:val="24"/>
              </w:rPr>
              <w:t>2-3</w:t>
            </w:r>
            <w:r>
              <w:rPr>
                <w:bCs/>
                <w:color w:val="auto"/>
                <w:sz w:val="24"/>
                <w:szCs w:val="24"/>
              </w:rPr>
              <w:t>。</w:t>
            </w:r>
          </w:p>
          <w:p w14:paraId="71028609">
            <w:pPr>
              <w:spacing w:line="360" w:lineRule="auto"/>
              <w:jc w:val="center"/>
              <w:rPr>
                <w:b/>
                <w:color w:val="auto"/>
                <w:szCs w:val="21"/>
              </w:rPr>
            </w:pPr>
          </w:p>
          <w:p w14:paraId="2976EA9A">
            <w:pPr>
              <w:spacing w:line="360" w:lineRule="auto"/>
              <w:jc w:val="center"/>
              <w:rPr>
                <w:b/>
                <w:color w:val="auto"/>
                <w:szCs w:val="21"/>
              </w:rPr>
            </w:pPr>
          </w:p>
          <w:p w14:paraId="6EDC3498">
            <w:pPr>
              <w:spacing w:line="360" w:lineRule="auto"/>
              <w:jc w:val="center"/>
              <w:rPr>
                <w:b/>
                <w:color w:val="auto"/>
                <w:szCs w:val="21"/>
              </w:rPr>
            </w:pPr>
            <w:r>
              <w:rPr>
                <w:b/>
                <w:color w:val="auto"/>
                <w:szCs w:val="21"/>
              </w:rPr>
              <w:t>表</w:t>
            </w:r>
            <w:r>
              <w:rPr>
                <w:rFonts w:hint="eastAsia"/>
                <w:b/>
                <w:color w:val="auto"/>
                <w:szCs w:val="21"/>
              </w:rPr>
              <w:t>2-3</w:t>
            </w:r>
            <w:r>
              <w:rPr>
                <w:b/>
                <w:color w:val="auto"/>
                <w:szCs w:val="21"/>
              </w:rPr>
              <w:t xml:space="preserve">  </w:t>
            </w:r>
            <w:r>
              <w:rPr>
                <w:rFonts w:hint="eastAsia"/>
                <w:b/>
                <w:color w:val="auto"/>
                <w:szCs w:val="21"/>
              </w:rPr>
              <w:t>建设项目工程内容</w:t>
            </w:r>
            <w:r>
              <w:rPr>
                <w:b/>
                <w:color w:val="auto"/>
                <w:szCs w:val="21"/>
              </w:rPr>
              <w:t>一览表</w:t>
            </w:r>
          </w:p>
          <w:tbl>
            <w:tblPr>
              <w:tblStyle w:val="45"/>
              <w:tblW w:w="495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638"/>
              <w:gridCol w:w="1776"/>
              <w:gridCol w:w="4729"/>
              <w:gridCol w:w="1229"/>
            </w:tblGrid>
            <w:tr w14:paraId="64661B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52" w:hRule="atLeast"/>
                <w:jc w:val="center"/>
              </w:trPr>
              <w:tc>
                <w:tcPr>
                  <w:tcW w:w="381" w:type="pct"/>
                  <w:noWrap w:val="0"/>
                  <w:vAlign w:val="center"/>
                </w:tcPr>
                <w:p w14:paraId="6FD6B75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工程名称</w:t>
                  </w:r>
                </w:p>
              </w:tc>
              <w:tc>
                <w:tcPr>
                  <w:tcW w:w="1060" w:type="pct"/>
                  <w:tcBorders>
                    <w:right w:val="single" w:color="auto" w:sz="4" w:space="0"/>
                  </w:tcBorders>
                  <w:noWrap w:val="0"/>
                  <w:vAlign w:val="center"/>
                </w:tcPr>
                <w:p w14:paraId="59F4652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单项工程名称</w:t>
                  </w:r>
                </w:p>
              </w:tc>
              <w:tc>
                <w:tcPr>
                  <w:tcW w:w="2823" w:type="pct"/>
                  <w:tcBorders>
                    <w:right w:val="single" w:color="auto" w:sz="4" w:space="0"/>
                  </w:tcBorders>
                  <w:noWrap w:val="0"/>
                  <w:vAlign w:val="center"/>
                </w:tcPr>
                <w:p w14:paraId="008674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工程内容及规模</w:t>
                  </w:r>
                </w:p>
              </w:tc>
              <w:tc>
                <w:tcPr>
                  <w:tcW w:w="734" w:type="pct"/>
                  <w:tcBorders>
                    <w:left w:val="single" w:color="auto" w:sz="4" w:space="0"/>
                    <w:right w:val="single" w:color="auto" w:sz="4" w:space="0"/>
                  </w:tcBorders>
                  <w:noWrap w:val="0"/>
                  <w:vAlign w:val="center"/>
                </w:tcPr>
                <w:p w14:paraId="7D5FE9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2F4F744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restart"/>
                  <w:noWrap w:val="0"/>
                  <w:vAlign w:val="center"/>
                </w:tcPr>
                <w:p w14:paraId="519A901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主体工程</w:t>
                  </w:r>
                </w:p>
              </w:tc>
              <w:tc>
                <w:tcPr>
                  <w:tcW w:w="1060" w:type="pct"/>
                  <w:tcBorders>
                    <w:right w:val="single" w:color="auto" w:sz="4" w:space="0"/>
                  </w:tcBorders>
                  <w:noWrap w:val="0"/>
                  <w:vAlign w:val="center"/>
                </w:tcPr>
                <w:p w14:paraId="09E05CC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1#</w:t>
                  </w:r>
                  <w:r>
                    <w:rPr>
                      <w:rFonts w:hint="default" w:ascii="Times New Roman" w:hAnsi="Times New Roman" w:cs="Times New Roman"/>
                      <w:color w:val="auto"/>
                      <w:sz w:val="21"/>
                      <w:szCs w:val="21"/>
                    </w:rPr>
                    <w:t>车间</w:t>
                  </w:r>
                </w:p>
              </w:tc>
              <w:tc>
                <w:tcPr>
                  <w:tcW w:w="2823" w:type="pct"/>
                  <w:tcBorders>
                    <w:bottom w:val="single" w:color="auto" w:sz="4" w:space="0"/>
                    <w:right w:val="single" w:color="auto" w:sz="4" w:space="0"/>
                  </w:tcBorders>
                  <w:noWrap w:val="0"/>
                  <w:vAlign w:val="center"/>
                </w:tcPr>
                <w:p w14:paraId="08E25A8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位于厂区南侧，建筑面积2655m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；车间内布设砻谷机、谷糙分离筛、色选机、抛光机等设备用于大米加工</w:t>
                  </w:r>
                </w:p>
              </w:tc>
              <w:tc>
                <w:tcPr>
                  <w:tcW w:w="734" w:type="pct"/>
                  <w:vMerge w:val="restart"/>
                  <w:tcBorders>
                    <w:left w:val="single" w:color="auto" w:sz="4" w:space="0"/>
                    <w:right w:val="single" w:color="auto" w:sz="4" w:space="0"/>
                  </w:tcBorders>
                  <w:noWrap w:val="0"/>
                  <w:vAlign w:val="center"/>
                </w:tcPr>
                <w:p w14:paraId="43553D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新建</w:t>
                  </w:r>
                  <w:r>
                    <w:rPr>
                      <w:rFonts w:hint="eastAsia" w:cs="Times New Roman"/>
                      <w:color w:val="auto"/>
                      <w:sz w:val="21"/>
                      <w:szCs w:val="21"/>
                      <w:lang w:val="en-US" w:eastAsia="zh-CN"/>
                    </w:rPr>
                    <w:t>，年产6万吨优质大米</w:t>
                  </w:r>
                </w:p>
              </w:tc>
            </w:tr>
            <w:tr w14:paraId="05BAB1B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14:paraId="41A2D8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Cs/>
                      <w:color w:val="auto"/>
                      <w:sz w:val="21"/>
                      <w:szCs w:val="21"/>
                    </w:rPr>
                  </w:pPr>
                </w:p>
              </w:tc>
              <w:tc>
                <w:tcPr>
                  <w:tcW w:w="1060" w:type="pct"/>
                  <w:tcBorders>
                    <w:right w:val="single" w:color="auto" w:sz="4" w:space="0"/>
                  </w:tcBorders>
                  <w:noWrap w:val="0"/>
                  <w:vAlign w:val="center"/>
                </w:tcPr>
                <w:p w14:paraId="24D7AD0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2#车间</w:t>
                  </w:r>
                </w:p>
              </w:tc>
              <w:tc>
                <w:tcPr>
                  <w:tcW w:w="2823" w:type="pct"/>
                  <w:tcBorders>
                    <w:bottom w:val="single" w:color="auto" w:sz="4" w:space="0"/>
                    <w:right w:val="single" w:color="auto" w:sz="4" w:space="0"/>
                  </w:tcBorders>
                  <w:noWrap w:val="0"/>
                  <w:vAlign w:val="center"/>
                </w:tcPr>
                <w:p w14:paraId="431E3C6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位于厂区北侧，建筑面积562.5m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；主要用于卸料和碎石清理</w:t>
                  </w:r>
                </w:p>
              </w:tc>
              <w:tc>
                <w:tcPr>
                  <w:tcW w:w="734" w:type="pct"/>
                  <w:vMerge w:val="continue"/>
                  <w:tcBorders>
                    <w:left w:val="single" w:color="auto" w:sz="4" w:space="0"/>
                    <w:right w:val="single" w:color="auto" w:sz="4" w:space="0"/>
                  </w:tcBorders>
                  <w:noWrap w:val="0"/>
                  <w:vAlign w:val="center"/>
                </w:tcPr>
                <w:p w14:paraId="7ED427A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p>
              </w:tc>
            </w:tr>
            <w:tr w14:paraId="4564918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381" w:type="pct"/>
                  <w:vMerge w:val="restart"/>
                  <w:noWrap w:val="0"/>
                  <w:vAlign w:val="center"/>
                </w:tcPr>
                <w:p w14:paraId="459DCE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default" w:ascii="Times New Roman" w:hAnsi="Times New Roman" w:cs="Times New Roman"/>
                      <w:color w:val="auto"/>
                      <w:lang w:val="en-US" w:eastAsia="zh-CN"/>
                    </w:rPr>
                  </w:pPr>
                  <w:r>
                    <w:rPr>
                      <w:rFonts w:hint="eastAsia" w:cs="Times New Roman"/>
                      <w:color w:val="auto"/>
                      <w:lang w:val="en-US" w:eastAsia="zh-CN"/>
                    </w:rPr>
                    <w:t>辅助工程</w:t>
                  </w:r>
                </w:p>
              </w:tc>
              <w:tc>
                <w:tcPr>
                  <w:tcW w:w="1060" w:type="pct"/>
                  <w:tcBorders>
                    <w:right w:val="single" w:color="auto" w:sz="4" w:space="0"/>
                  </w:tcBorders>
                  <w:noWrap w:val="0"/>
                  <w:vAlign w:val="center"/>
                </w:tcPr>
                <w:p w14:paraId="66BC517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研发楼及办公室</w:t>
                  </w:r>
                </w:p>
              </w:tc>
              <w:tc>
                <w:tcPr>
                  <w:tcW w:w="2823" w:type="pct"/>
                  <w:tcBorders>
                    <w:right w:val="single" w:color="auto" w:sz="4" w:space="0"/>
                  </w:tcBorders>
                  <w:noWrap w:val="0"/>
                  <w:vAlign w:val="center"/>
                </w:tcPr>
                <w:p w14:paraId="753B99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位于厂区中部，建筑面积约150m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，主要用于办公以及大米物理项目（外观、光泽度、完整性、粒径等）的检测，不涉及化学用品的使用，不涉及化学物质的使用</w:t>
                  </w:r>
                </w:p>
              </w:tc>
              <w:tc>
                <w:tcPr>
                  <w:tcW w:w="734" w:type="pct"/>
                  <w:tcBorders>
                    <w:left w:val="single" w:color="auto" w:sz="4" w:space="0"/>
                    <w:right w:val="single" w:color="auto" w:sz="4" w:space="0"/>
                  </w:tcBorders>
                  <w:noWrap w:val="0"/>
                  <w:vAlign w:val="center"/>
                </w:tcPr>
                <w:p w14:paraId="2B22E4C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val="en-US" w:eastAsia="zh-CN"/>
                    </w:rPr>
                    <w:t>新建</w:t>
                  </w:r>
                </w:p>
              </w:tc>
            </w:tr>
            <w:tr w14:paraId="2759FC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381" w:type="pct"/>
                  <w:vMerge w:val="continue"/>
                  <w:noWrap w:val="0"/>
                  <w:vAlign w:val="center"/>
                </w:tcPr>
                <w:p w14:paraId="722D6BA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cs="Times New Roman"/>
                      <w:color w:val="auto"/>
                      <w:lang w:val="en-US" w:eastAsia="zh-CN"/>
                    </w:rPr>
                  </w:pPr>
                </w:p>
              </w:tc>
              <w:tc>
                <w:tcPr>
                  <w:tcW w:w="1060" w:type="pct"/>
                  <w:tcBorders>
                    <w:right w:val="single" w:color="auto" w:sz="4" w:space="0"/>
                  </w:tcBorders>
                  <w:noWrap w:val="0"/>
                  <w:vAlign w:val="center"/>
                </w:tcPr>
                <w:p w14:paraId="4BD8661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稻谷晒场</w:t>
                  </w:r>
                </w:p>
              </w:tc>
              <w:tc>
                <w:tcPr>
                  <w:tcW w:w="2823" w:type="pct"/>
                  <w:tcBorders>
                    <w:right w:val="single" w:color="auto" w:sz="4" w:space="0"/>
                  </w:tcBorders>
                  <w:noWrap w:val="0"/>
                  <w:vAlign w:val="center"/>
                </w:tcPr>
                <w:p w14:paraId="00EC8C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位于厂区北部，建筑面积约为1500m</w:t>
                  </w:r>
                  <w:r>
                    <w:rPr>
                      <w:rFonts w:hint="eastAsia" w:cs="Times New Roman"/>
                      <w:color w:val="auto"/>
                      <w:sz w:val="21"/>
                      <w:szCs w:val="21"/>
                      <w:vertAlign w:val="superscript"/>
                      <w:lang w:val="en-US" w:eastAsia="zh-CN"/>
                    </w:rPr>
                    <w:t>2</w:t>
                  </w:r>
                </w:p>
              </w:tc>
              <w:tc>
                <w:tcPr>
                  <w:tcW w:w="734" w:type="pct"/>
                  <w:tcBorders>
                    <w:left w:val="single" w:color="auto" w:sz="4" w:space="0"/>
                    <w:right w:val="single" w:color="auto" w:sz="4" w:space="0"/>
                  </w:tcBorders>
                  <w:noWrap w:val="0"/>
                  <w:vAlign w:val="center"/>
                </w:tcPr>
                <w:p w14:paraId="6C8B3D8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新建</w:t>
                  </w:r>
                </w:p>
              </w:tc>
            </w:tr>
            <w:tr w14:paraId="2926A2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5" w:hRule="atLeast"/>
                <w:jc w:val="center"/>
              </w:trPr>
              <w:tc>
                <w:tcPr>
                  <w:tcW w:w="381" w:type="pct"/>
                  <w:vMerge w:val="continue"/>
                  <w:noWrap w:val="0"/>
                  <w:vAlign w:val="center"/>
                </w:tcPr>
                <w:p w14:paraId="35F26D5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left"/>
                    <w:textAlignment w:val="auto"/>
                    <w:rPr>
                      <w:rFonts w:hint="eastAsia" w:cs="Times New Roman"/>
                      <w:color w:val="auto"/>
                      <w:lang w:val="en-US" w:eastAsia="zh-CN"/>
                    </w:rPr>
                  </w:pPr>
                </w:p>
              </w:tc>
              <w:tc>
                <w:tcPr>
                  <w:tcW w:w="1060" w:type="pct"/>
                  <w:tcBorders>
                    <w:right w:val="single" w:color="auto" w:sz="4" w:space="0"/>
                  </w:tcBorders>
                  <w:noWrap w:val="0"/>
                  <w:vAlign w:val="center"/>
                </w:tcPr>
                <w:p w14:paraId="53EEE6E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门卫室</w:t>
                  </w:r>
                </w:p>
              </w:tc>
              <w:tc>
                <w:tcPr>
                  <w:tcW w:w="2823" w:type="pct"/>
                  <w:tcBorders>
                    <w:right w:val="single" w:color="auto" w:sz="4" w:space="0"/>
                  </w:tcBorders>
                  <w:noWrap w:val="0"/>
                  <w:vAlign w:val="center"/>
                </w:tcPr>
                <w:p w14:paraId="24BAC5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位于厂区北侧，建筑面积约为30m</w:t>
                  </w:r>
                  <w:r>
                    <w:rPr>
                      <w:rFonts w:hint="eastAsia" w:cs="Times New Roman"/>
                      <w:color w:val="auto"/>
                      <w:sz w:val="21"/>
                      <w:szCs w:val="21"/>
                      <w:vertAlign w:val="superscript"/>
                      <w:lang w:val="en-US" w:eastAsia="zh-CN"/>
                    </w:rPr>
                    <w:t>2</w:t>
                  </w:r>
                </w:p>
              </w:tc>
              <w:tc>
                <w:tcPr>
                  <w:tcW w:w="734" w:type="pct"/>
                  <w:tcBorders>
                    <w:left w:val="single" w:color="auto" w:sz="4" w:space="0"/>
                    <w:right w:val="single" w:color="auto" w:sz="4" w:space="0"/>
                  </w:tcBorders>
                  <w:noWrap w:val="0"/>
                  <w:vAlign w:val="center"/>
                </w:tcPr>
                <w:p w14:paraId="45F929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新建</w:t>
                  </w:r>
                </w:p>
              </w:tc>
            </w:tr>
            <w:tr w14:paraId="720ADD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81" w:type="pct"/>
                  <w:vMerge w:val="restart"/>
                  <w:noWrap w:val="0"/>
                  <w:vAlign w:val="center"/>
                </w:tcPr>
                <w:p w14:paraId="41EBA4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eastAsia" w:cs="Times New Roman"/>
                      <w:color w:val="auto"/>
                      <w:sz w:val="21"/>
                      <w:szCs w:val="21"/>
                      <w:lang w:eastAsia="zh-CN"/>
                    </w:rPr>
                    <w:t>贮运</w:t>
                  </w:r>
                  <w:r>
                    <w:rPr>
                      <w:rFonts w:hint="default" w:ascii="Times New Roman" w:hAnsi="Times New Roman" w:cs="Times New Roman"/>
                      <w:color w:val="auto"/>
                      <w:sz w:val="21"/>
                      <w:szCs w:val="21"/>
                    </w:rPr>
                    <w:t>工程</w:t>
                  </w:r>
                </w:p>
              </w:tc>
              <w:tc>
                <w:tcPr>
                  <w:tcW w:w="1060" w:type="pct"/>
                  <w:tcBorders>
                    <w:right w:val="single" w:color="auto" w:sz="4" w:space="0"/>
                  </w:tcBorders>
                  <w:noWrap w:val="0"/>
                  <w:vAlign w:val="center"/>
                </w:tcPr>
                <w:p w14:paraId="6B17638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原料</w:t>
                  </w:r>
                  <w:r>
                    <w:rPr>
                      <w:rFonts w:hint="eastAsia" w:cs="Times New Roman"/>
                      <w:color w:val="auto"/>
                      <w:sz w:val="21"/>
                      <w:szCs w:val="21"/>
                      <w:lang w:val="en-US" w:eastAsia="zh-CN"/>
                    </w:rPr>
                    <w:t>仓库</w:t>
                  </w:r>
                </w:p>
              </w:tc>
              <w:tc>
                <w:tcPr>
                  <w:tcW w:w="2823" w:type="pct"/>
                  <w:tcBorders>
                    <w:top w:val="single" w:color="auto" w:sz="4" w:space="0"/>
                    <w:bottom w:val="single" w:color="auto" w:sz="4" w:space="0"/>
                    <w:right w:val="single" w:color="auto" w:sz="4" w:space="0"/>
                  </w:tcBorders>
                  <w:noWrap w:val="0"/>
                  <w:vAlign w:val="center"/>
                </w:tcPr>
                <w:p w14:paraId="4809C5D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项目稻谷仓位于2#车间东北侧，面积约300m</w:t>
                  </w:r>
                  <w:r>
                    <w:rPr>
                      <w:rFonts w:hint="eastAsia" w:cs="Times New Roman"/>
                      <w:color w:val="auto"/>
                      <w:sz w:val="21"/>
                      <w:szCs w:val="21"/>
                      <w:vertAlign w:val="superscript"/>
                      <w:lang w:val="en-US" w:eastAsia="zh-CN"/>
                    </w:rPr>
                    <w:t>2</w:t>
                  </w:r>
                  <w:r>
                    <w:rPr>
                      <w:rFonts w:hint="eastAsia" w:cs="Times New Roman"/>
                      <w:color w:val="auto"/>
                      <w:sz w:val="21"/>
                      <w:szCs w:val="21"/>
                      <w:lang w:val="en-US" w:eastAsia="zh-CN"/>
                    </w:rPr>
                    <w:t>，共设置9座稻谷仓；单个稻谷仓为250t，主要用于原料稻谷的储存。</w:t>
                  </w:r>
                </w:p>
              </w:tc>
              <w:tc>
                <w:tcPr>
                  <w:tcW w:w="734" w:type="pct"/>
                  <w:tcBorders>
                    <w:top w:val="single" w:color="auto" w:sz="4" w:space="0"/>
                    <w:left w:val="single" w:color="auto" w:sz="4" w:space="0"/>
                    <w:bottom w:val="single" w:color="auto" w:sz="4" w:space="0"/>
                    <w:right w:val="single" w:color="auto" w:sz="4" w:space="0"/>
                  </w:tcBorders>
                  <w:noWrap w:val="0"/>
                  <w:vAlign w:val="center"/>
                </w:tcPr>
                <w:p w14:paraId="73AFBB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依托</w:t>
                  </w:r>
                  <w:r>
                    <w:rPr>
                      <w:rFonts w:hint="eastAsia" w:cs="Times New Roman"/>
                      <w:color w:val="auto"/>
                      <w:sz w:val="21"/>
                      <w:szCs w:val="21"/>
                      <w:lang w:val="en-US" w:eastAsia="zh-CN"/>
                    </w:rPr>
                    <w:t>生产车间</w:t>
                  </w:r>
                </w:p>
              </w:tc>
            </w:tr>
            <w:tr w14:paraId="6B6EF5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14:paraId="3A3309F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060" w:type="pct"/>
                  <w:tcBorders>
                    <w:right w:val="single" w:color="auto" w:sz="4" w:space="0"/>
                  </w:tcBorders>
                  <w:noWrap w:val="0"/>
                  <w:vAlign w:val="center"/>
                </w:tcPr>
                <w:p w14:paraId="5FB716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成品</w:t>
                  </w:r>
                  <w:r>
                    <w:rPr>
                      <w:rFonts w:hint="eastAsia" w:cs="Times New Roman"/>
                      <w:color w:val="auto"/>
                      <w:sz w:val="21"/>
                      <w:szCs w:val="21"/>
                      <w:lang w:val="en-US" w:eastAsia="zh-CN"/>
                    </w:rPr>
                    <w:t>仓库</w:t>
                  </w:r>
                </w:p>
              </w:tc>
              <w:tc>
                <w:tcPr>
                  <w:tcW w:w="2823" w:type="pct"/>
                  <w:tcBorders>
                    <w:top w:val="single" w:color="auto" w:sz="4" w:space="0"/>
                    <w:right w:val="single" w:color="auto" w:sz="4" w:space="0"/>
                  </w:tcBorders>
                  <w:noWrap w:val="0"/>
                  <w:vAlign w:val="center"/>
                </w:tcPr>
                <w:p w14:paraId="4978A76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rPr>
                  </w:pPr>
                  <w:r>
                    <w:rPr>
                      <w:rFonts w:hint="eastAsia" w:cs="Times New Roman"/>
                      <w:color w:val="auto"/>
                      <w:sz w:val="21"/>
                      <w:szCs w:val="21"/>
                      <w:lang w:val="en-US" w:eastAsia="zh-CN"/>
                    </w:rPr>
                    <w:t>项目成品仓位于1#车间南侧及西侧，共设置18座成品仓；单个成品仓为80t，主要用于成品大米的储存。</w:t>
                  </w:r>
                </w:p>
              </w:tc>
              <w:tc>
                <w:tcPr>
                  <w:tcW w:w="734" w:type="pct"/>
                  <w:tcBorders>
                    <w:top w:val="single" w:color="auto" w:sz="4" w:space="0"/>
                    <w:left w:val="single" w:color="auto" w:sz="4" w:space="0"/>
                    <w:right w:val="single" w:color="auto" w:sz="4" w:space="0"/>
                  </w:tcBorders>
                  <w:noWrap w:val="0"/>
                  <w:vAlign w:val="center"/>
                </w:tcPr>
                <w:p w14:paraId="663F892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依托</w:t>
                  </w:r>
                  <w:r>
                    <w:rPr>
                      <w:rFonts w:hint="eastAsia" w:cs="Times New Roman"/>
                      <w:color w:val="auto"/>
                      <w:sz w:val="21"/>
                      <w:szCs w:val="21"/>
                      <w:lang w:val="en-US" w:eastAsia="zh-CN"/>
                    </w:rPr>
                    <w:t>生产车间</w:t>
                  </w:r>
                </w:p>
              </w:tc>
            </w:tr>
            <w:tr w14:paraId="0190A2B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14:paraId="02771452">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060" w:type="pct"/>
                  <w:tcBorders>
                    <w:right w:val="single" w:color="auto" w:sz="4" w:space="0"/>
                  </w:tcBorders>
                  <w:noWrap w:val="0"/>
                  <w:vAlign w:val="center"/>
                </w:tcPr>
                <w:p w14:paraId="3D8880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副产品仓</w:t>
                  </w:r>
                </w:p>
              </w:tc>
              <w:tc>
                <w:tcPr>
                  <w:tcW w:w="2823" w:type="pct"/>
                  <w:tcBorders>
                    <w:top w:val="single" w:color="auto" w:sz="4" w:space="0"/>
                    <w:right w:val="single" w:color="auto" w:sz="4" w:space="0"/>
                  </w:tcBorders>
                  <w:noWrap w:val="0"/>
                  <w:vAlign w:val="center"/>
                </w:tcPr>
                <w:p w14:paraId="24EE3C5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项目副产品仓位于1#车间西北侧，共设置11座副产品仓；单个副产品仓为80t，主要用于副产品碎米的储存。</w:t>
                  </w:r>
                </w:p>
              </w:tc>
              <w:tc>
                <w:tcPr>
                  <w:tcW w:w="734" w:type="pct"/>
                  <w:tcBorders>
                    <w:top w:val="single" w:color="auto" w:sz="4" w:space="0"/>
                    <w:left w:val="single" w:color="auto" w:sz="4" w:space="0"/>
                    <w:right w:val="single" w:color="auto" w:sz="4" w:space="0"/>
                  </w:tcBorders>
                  <w:noWrap w:val="0"/>
                  <w:vAlign w:val="center"/>
                </w:tcPr>
                <w:p w14:paraId="09B57A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依托</w:t>
                  </w:r>
                  <w:r>
                    <w:rPr>
                      <w:rFonts w:hint="eastAsia" w:cs="Times New Roman"/>
                      <w:color w:val="auto"/>
                      <w:sz w:val="21"/>
                      <w:szCs w:val="21"/>
                      <w:lang w:val="en-US" w:eastAsia="zh-CN"/>
                    </w:rPr>
                    <w:t>生产车间</w:t>
                  </w:r>
                </w:p>
              </w:tc>
            </w:tr>
            <w:tr w14:paraId="444C96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5" w:hRule="atLeast"/>
                <w:jc w:val="center"/>
              </w:trPr>
              <w:tc>
                <w:tcPr>
                  <w:tcW w:w="381" w:type="pct"/>
                  <w:vMerge w:val="continue"/>
                  <w:noWrap w:val="0"/>
                  <w:vAlign w:val="center"/>
                </w:tcPr>
                <w:p w14:paraId="2AD6B5B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060" w:type="pct"/>
                  <w:tcBorders>
                    <w:right w:val="single" w:color="auto" w:sz="4" w:space="0"/>
                  </w:tcBorders>
                  <w:noWrap w:val="0"/>
                  <w:vAlign w:val="center"/>
                </w:tcPr>
                <w:p w14:paraId="58B7D6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运输</w:t>
                  </w:r>
                </w:p>
              </w:tc>
              <w:tc>
                <w:tcPr>
                  <w:tcW w:w="2823" w:type="pct"/>
                  <w:tcBorders>
                    <w:right w:val="single" w:color="auto" w:sz="4" w:space="0"/>
                  </w:tcBorders>
                  <w:noWrap w:val="0"/>
                  <w:vAlign w:val="center"/>
                </w:tcPr>
                <w:p w14:paraId="4325E5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厂外采用汽车运输，厂房内采用叉车</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提升机</w:t>
                  </w:r>
                  <w:r>
                    <w:rPr>
                      <w:rFonts w:hint="default" w:ascii="Times New Roman" w:hAnsi="Times New Roman" w:cs="Times New Roman"/>
                      <w:color w:val="auto"/>
                      <w:sz w:val="21"/>
                      <w:szCs w:val="21"/>
                    </w:rPr>
                    <w:t>运输；</w:t>
                  </w:r>
                </w:p>
              </w:tc>
              <w:tc>
                <w:tcPr>
                  <w:tcW w:w="734" w:type="pct"/>
                  <w:tcBorders>
                    <w:left w:val="single" w:color="auto" w:sz="4" w:space="0"/>
                    <w:right w:val="single" w:color="auto" w:sz="4" w:space="0"/>
                  </w:tcBorders>
                  <w:noWrap w:val="0"/>
                  <w:vAlign w:val="center"/>
                </w:tcPr>
                <w:p w14:paraId="7FB86A6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14:paraId="442E802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81" w:type="pct"/>
                  <w:vMerge w:val="restart"/>
                  <w:noWrap w:val="0"/>
                  <w:vAlign w:val="center"/>
                </w:tcPr>
                <w:p w14:paraId="07E95E1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公用工程</w:t>
                  </w:r>
                </w:p>
              </w:tc>
              <w:tc>
                <w:tcPr>
                  <w:tcW w:w="1060" w:type="pct"/>
                  <w:tcBorders>
                    <w:right w:val="single" w:color="auto" w:sz="4" w:space="0"/>
                  </w:tcBorders>
                  <w:noWrap w:val="0"/>
                  <w:vAlign w:val="center"/>
                </w:tcPr>
                <w:p w14:paraId="7878915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供电</w:t>
                  </w:r>
                </w:p>
              </w:tc>
              <w:tc>
                <w:tcPr>
                  <w:tcW w:w="2823" w:type="pct"/>
                  <w:tcBorders>
                    <w:right w:val="single" w:color="auto" w:sz="4" w:space="0"/>
                  </w:tcBorders>
                  <w:noWrap w:val="0"/>
                  <w:vAlign w:val="center"/>
                </w:tcPr>
                <w:p w14:paraId="40E3732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kern w:val="0"/>
                      <w:sz w:val="21"/>
                      <w:szCs w:val="21"/>
                      <w:lang w:eastAsia="zh-CN"/>
                    </w:rPr>
                  </w:pPr>
                  <w:r>
                    <w:rPr>
                      <w:rFonts w:hint="eastAsia" w:cs="Times New Roman"/>
                      <w:bCs/>
                      <w:color w:val="auto"/>
                      <w:sz w:val="21"/>
                      <w:szCs w:val="21"/>
                      <w:lang w:val="en-US" w:eastAsia="zh-CN"/>
                    </w:rPr>
                    <w:t>项目用</w:t>
                  </w:r>
                  <w:r>
                    <w:rPr>
                      <w:rFonts w:hint="default" w:ascii="Times New Roman" w:hAnsi="Times New Roman" w:cs="Times New Roman"/>
                      <w:bCs/>
                      <w:color w:val="auto"/>
                      <w:sz w:val="21"/>
                      <w:szCs w:val="21"/>
                    </w:rPr>
                    <w:t>电</w:t>
                  </w:r>
                  <w:r>
                    <w:rPr>
                      <w:rFonts w:hint="eastAsia" w:cs="Times New Roman"/>
                      <w:bCs/>
                      <w:color w:val="auto"/>
                      <w:sz w:val="21"/>
                      <w:szCs w:val="21"/>
                      <w:lang w:val="en-US" w:eastAsia="zh-CN"/>
                    </w:rPr>
                    <w:t>电源</w:t>
                  </w:r>
                  <w:r>
                    <w:rPr>
                      <w:rFonts w:hint="default" w:ascii="Times New Roman" w:hAnsi="Times New Roman" w:cs="Times New Roman"/>
                      <w:bCs/>
                      <w:color w:val="auto"/>
                      <w:sz w:val="21"/>
                      <w:szCs w:val="21"/>
                    </w:rPr>
                    <w:t>源引自</w:t>
                  </w:r>
                  <w:r>
                    <w:rPr>
                      <w:rFonts w:hint="eastAsia" w:cs="Times New Roman"/>
                      <w:bCs/>
                      <w:color w:val="auto"/>
                      <w:sz w:val="21"/>
                      <w:szCs w:val="21"/>
                      <w:lang w:val="en-US" w:eastAsia="zh-CN"/>
                    </w:rPr>
                    <w:t>潘集区平圩镇</w:t>
                  </w:r>
                  <w:r>
                    <w:rPr>
                      <w:rFonts w:hint="default" w:ascii="Times New Roman" w:hAnsi="Times New Roman" w:cs="Times New Roman"/>
                      <w:bCs/>
                      <w:color w:val="auto"/>
                      <w:sz w:val="21"/>
                      <w:szCs w:val="21"/>
                    </w:rPr>
                    <w:t>供电网</w:t>
                  </w:r>
                  <w:r>
                    <w:rPr>
                      <w:rFonts w:hint="eastAsia" w:cs="Times New Roman"/>
                      <w:bCs/>
                      <w:color w:val="auto"/>
                      <w:sz w:val="21"/>
                      <w:szCs w:val="21"/>
                      <w:lang w:eastAsia="zh-CN"/>
                    </w:rPr>
                    <w:t>。</w:t>
                  </w:r>
                </w:p>
              </w:tc>
              <w:tc>
                <w:tcPr>
                  <w:tcW w:w="734" w:type="pct"/>
                  <w:tcBorders>
                    <w:left w:val="single" w:color="auto" w:sz="4" w:space="0"/>
                    <w:right w:val="single" w:color="auto" w:sz="4" w:space="0"/>
                  </w:tcBorders>
                  <w:noWrap w:val="0"/>
                  <w:vAlign w:val="center"/>
                </w:tcPr>
                <w:p w14:paraId="32BCE6E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bCs/>
                      <w:color w:val="auto"/>
                      <w:sz w:val="21"/>
                      <w:szCs w:val="21"/>
                    </w:rPr>
                    <w:t>年用电量</w:t>
                  </w:r>
                  <w:r>
                    <w:rPr>
                      <w:rFonts w:hint="eastAsia" w:cs="Times New Roman"/>
                      <w:bCs/>
                      <w:color w:val="auto"/>
                      <w:sz w:val="21"/>
                      <w:szCs w:val="21"/>
                      <w:lang w:val="en-US" w:eastAsia="zh-CN"/>
                    </w:rPr>
                    <w:t>100</w:t>
                  </w:r>
                  <w:r>
                    <w:rPr>
                      <w:rFonts w:hint="default" w:ascii="Times New Roman" w:hAnsi="Times New Roman" w:cs="Times New Roman"/>
                      <w:bCs/>
                      <w:color w:val="auto"/>
                      <w:sz w:val="21"/>
                      <w:szCs w:val="21"/>
                    </w:rPr>
                    <w:t>万Kwh</w:t>
                  </w:r>
                </w:p>
              </w:tc>
            </w:tr>
            <w:tr w14:paraId="53D34F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14:paraId="16994F6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color w:val="auto"/>
                      <w:sz w:val="21"/>
                      <w:szCs w:val="21"/>
                    </w:rPr>
                  </w:pPr>
                </w:p>
              </w:tc>
              <w:tc>
                <w:tcPr>
                  <w:tcW w:w="1060" w:type="pct"/>
                  <w:tcBorders>
                    <w:right w:val="single" w:color="auto" w:sz="4" w:space="0"/>
                  </w:tcBorders>
                  <w:noWrap w:val="0"/>
                  <w:vAlign w:val="center"/>
                </w:tcPr>
                <w:p w14:paraId="4BBA9CB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供水</w:t>
                  </w:r>
                </w:p>
              </w:tc>
              <w:tc>
                <w:tcPr>
                  <w:tcW w:w="2823" w:type="pct"/>
                  <w:tcBorders>
                    <w:right w:val="single" w:color="auto" w:sz="4" w:space="0"/>
                  </w:tcBorders>
                  <w:noWrap w:val="0"/>
                  <w:vAlign w:val="center"/>
                </w:tcPr>
                <w:p w14:paraId="18A063F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val="0"/>
                      <w:bCs/>
                      <w:color w:val="auto"/>
                      <w:sz w:val="21"/>
                      <w:szCs w:val="21"/>
                    </w:rPr>
                  </w:pPr>
                  <w:r>
                    <w:rPr>
                      <w:rFonts w:hint="default" w:ascii="Times New Roman" w:hAnsi="Times New Roman" w:cs="Times New Roman"/>
                      <w:b w:val="0"/>
                      <w:bCs/>
                      <w:color w:val="auto"/>
                      <w:sz w:val="21"/>
                      <w:szCs w:val="21"/>
                    </w:rPr>
                    <w:t>水源来自</w:t>
                  </w:r>
                  <w:r>
                    <w:rPr>
                      <w:rFonts w:hint="default" w:ascii="Times New Roman" w:hAnsi="Times New Roman" w:cs="Times New Roman"/>
                      <w:b w:val="0"/>
                      <w:bCs/>
                      <w:color w:val="auto"/>
                      <w:sz w:val="21"/>
                      <w:szCs w:val="21"/>
                      <w:lang w:val="en-US" w:eastAsia="zh-CN"/>
                    </w:rPr>
                    <w:t>潘集区平圩镇</w:t>
                  </w:r>
                  <w:r>
                    <w:rPr>
                      <w:rFonts w:hint="default" w:ascii="Times New Roman" w:hAnsi="Times New Roman" w:cs="Times New Roman"/>
                      <w:b w:val="0"/>
                      <w:bCs/>
                      <w:color w:val="auto"/>
                      <w:sz w:val="21"/>
                      <w:szCs w:val="21"/>
                    </w:rPr>
                    <w:t>供</w:t>
                  </w:r>
                  <w:r>
                    <w:rPr>
                      <w:rFonts w:hint="eastAsia" w:cs="Times New Roman"/>
                      <w:b w:val="0"/>
                      <w:bCs/>
                      <w:color w:val="auto"/>
                      <w:sz w:val="21"/>
                      <w:szCs w:val="21"/>
                      <w:lang w:val="en-US" w:eastAsia="zh-CN"/>
                    </w:rPr>
                    <w:t>水管网</w:t>
                  </w:r>
                  <w:r>
                    <w:rPr>
                      <w:rFonts w:hint="default" w:ascii="Times New Roman" w:hAnsi="Times New Roman" w:cs="Times New Roman"/>
                      <w:b w:val="0"/>
                      <w:bCs/>
                      <w:color w:val="auto"/>
                      <w:sz w:val="21"/>
                      <w:szCs w:val="21"/>
                    </w:rPr>
                    <w:t>，用水</w:t>
                  </w:r>
                  <w:r>
                    <w:rPr>
                      <w:rFonts w:hint="eastAsia" w:cs="Times New Roman"/>
                      <w:b w:val="0"/>
                      <w:bCs/>
                      <w:color w:val="auto"/>
                      <w:sz w:val="21"/>
                      <w:szCs w:val="21"/>
                      <w:lang w:val="en-US" w:eastAsia="zh-CN"/>
                    </w:rPr>
                    <w:t>主要为</w:t>
                  </w:r>
                  <w:r>
                    <w:rPr>
                      <w:rFonts w:hint="default" w:ascii="Times New Roman" w:hAnsi="Times New Roman" w:cs="Times New Roman"/>
                      <w:b w:val="0"/>
                      <w:bCs/>
                      <w:color w:val="auto"/>
                      <w:sz w:val="21"/>
                      <w:szCs w:val="21"/>
                    </w:rPr>
                    <w:t>生活用水</w:t>
                  </w:r>
                  <w:r>
                    <w:rPr>
                      <w:rFonts w:hint="eastAsia" w:ascii="Times New Roman" w:hAnsi="Times New Roman" w:cs="Times New Roman"/>
                      <w:b w:val="0"/>
                      <w:bCs/>
                      <w:color w:val="auto"/>
                      <w:sz w:val="21"/>
                      <w:szCs w:val="21"/>
                      <w:lang w:val="en-US" w:eastAsia="zh-CN"/>
                    </w:rPr>
                    <w:t>以及抛光用水</w:t>
                  </w:r>
                  <w:r>
                    <w:rPr>
                      <w:rFonts w:hint="eastAsia" w:cs="Times New Roman"/>
                      <w:b w:val="0"/>
                      <w:bCs/>
                      <w:color w:val="auto"/>
                      <w:sz w:val="21"/>
                      <w:szCs w:val="21"/>
                      <w:lang w:val="en-US" w:eastAsia="zh-CN"/>
                    </w:rPr>
                    <w:t>。</w:t>
                  </w:r>
                </w:p>
              </w:tc>
              <w:tc>
                <w:tcPr>
                  <w:tcW w:w="734" w:type="pct"/>
                  <w:tcBorders>
                    <w:left w:val="single" w:color="auto" w:sz="4" w:space="0"/>
                    <w:right w:val="single" w:color="auto" w:sz="4" w:space="0"/>
                  </w:tcBorders>
                  <w:noWrap w:val="0"/>
                  <w:vAlign w:val="center"/>
                </w:tcPr>
                <w:p w14:paraId="2802981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b w:val="0"/>
                      <w:bCs/>
                      <w:color w:val="auto"/>
                      <w:sz w:val="21"/>
                      <w:szCs w:val="21"/>
                    </w:rPr>
                    <w:t>用水量</w:t>
                  </w:r>
                  <w:r>
                    <w:rPr>
                      <w:rFonts w:hint="eastAsia" w:cs="Times New Roman"/>
                      <w:b w:val="0"/>
                      <w:bCs/>
                      <w:color w:val="auto"/>
                      <w:sz w:val="21"/>
                      <w:szCs w:val="21"/>
                      <w:lang w:val="en-US" w:eastAsia="zh-CN"/>
                    </w:rPr>
                    <w:t>825</w:t>
                  </w:r>
                  <w:r>
                    <w:rPr>
                      <w:rFonts w:hint="default" w:ascii="Times New Roman" w:hAnsi="Times New Roman" w:cs="Times New Roman"/>
                      <w:b w:val="0"/>
                      <w:bCs/>
                      <w:color w:val="auto"/>
                      <w:sz w:val="21"/>
                      <w:szCs w:val="21"/>
                    </w:rPr>
                    <w:t>t/a</w:t>
                  </w:r>
                </w:p>
              </w:tc>
            </w:tr>
            <w:tr w14:paraId="02DC80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7" w:hRule="atLeast"/>
                <w:jc w:val="center"/>
              </w:trPr>
              <w:tc>
                <w:tcPr>
                  <w:tcW w:w="381" w:type="pct"/>
                  <w:vMerge w:val="continue"/>
                  <w:noWrap w:val="0"/>
                  <w:vAlign w:val="center"/>
                </w:tcPr>
                <w:p w14:paraId="4E1CFDD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b/>
                      <w:color w:val="auto"/>
                      <w:sz w:val="21"/>
                      <w:szCs w:val="21"/>
                    </w:rPr>
                  </w:pPr>
                </w:p>
              </w:tc>
              <w:tc>
                <w:tcPr>
                  <w:tcW w:w="1060" w:type="pct"/>
                  <w:tcBorders>
                    <w:right w:val="single" w:color="auto" w:sz="4" w:space="0"/>
                  </w:tcBorders>
                  <w:noWrap w:val="0"/>
                  <w:vAlign w:val="center"/>
                </w:tcPr>
                <w:p w14:paraId="6C65217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排水</w:t>
                  </w:r>
                </w:p>
              </w:tc>
              <w:tc>
                <w:tcPr>
                  <w:tcW w:w="2823" w:type="pct"/>
                  <w:tcBorders>
                    <w:right w:val="single" w:color="auto" w:sz="4" w:space="0"/>
                  </w:tcBorders>
                  <w:noWrap w:val="0"/>
                  <w:vAlign w:val="center"/>
                </w:tcPr>
                <w:p w14:paraId="61A4B16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b w:val="0"/>
                      <w:bCs/>
                      <w:color w:val="auto"/>
                      <w:sz w:val="21"/>
                      <w:szCs w:val="21"/>
                      <w:lang w:val="en-US" w:eastAsia="zh-CN"/>
                    </w:rPr>
                  </w:pPr>
                  <w:r>
                    <w:rPr>
                      <w:rFonts w:hint="eastAsia" w:cs="Times New Roman"/>
                      <w:b w:val="0"/>
                      <w:bCs/>
                      <w:color w:val="auto"/>
                      <w:sz w:val="21"/>
                      <w:szCs w:val="21"/>
                      <w:lang w:val="en-US" w:eastAsia="zh-CN"/>
                    </w:rPr>
                    <w:t>项目排水采取</w:t>
                  </w:r>
                  <w:r>
                    <w:rPr>
                      <w:rFonts w:hint="default" w:ascii="Times New Roman" w:hAnsi="Times New Roman" w:cs="Times New Roman"/>
                      <w:b w:val="0"/>
                      <w:bCs/>
                      <w:color w:val="auto"/>
                      <w:sz w:val="21"/>
                      <w:szCs w:val="21"/>
                    </w:rPr>
                    <w:t>雨、污分流制，废水为生活污水</w:t>
                  </w:r>
                  <w:r>
                    <w:rPr>
                      <w:rFonts w:hint="eastAsia" w:cs="Times New Roman"/>
                      <w:b w:val="0"/>
                      <w:bCs/>
                      <w:color w:val="auto"/>
                      <w:sz w:val="21"/>
                      <w:szCs w:val="21"/>
                      <w:lang w:eastAsia="zh-CN"/>
                    </w:rPr>
                    <w:t>，</w:t>
                  </w:r>
                  <w:r>
                    <w:rPr>
                      <w:rFonts w:hint="eastAsia" w:cs="Times New Roman"/>
                      <w:b w:val="0"/>
                      <w:bCs/>
                      <w:color w:val="auto"/>
                      <w:sz w:val="21"/>
                      <w:szCs w:val="21"/>
                      <w:lang w:val="en-US" w:eastAsia="zh-CN"/>
                    </w:rPr>
                    <w:t>生活污水经厂区内化粪池处理后定期清掏农用</w:t>
                  </w:r>
                  <w:r>
                    <w:rPr>
                      <w:rFonts w:hint="default" w:ascii="Times New Roman" w:hAnsi="Times New Roman" w:cs="Times New Roman"/>
                      <w:b w:val="0"/>
                      <w:bCs/>
                      <w:color w:val="auto"/>
                      <w:sz w:val="21"/>
                      <w:szCs w:val="21"/>
                    </w:rPr>
                    <w:t>。</w:t>
                  </w:r>
                  <w:r>
                    <w:rPr>
                      <w:rFonts w:hint="eastAsia" w:ascii="Times New Roman" w:hAnsi="Times New Roman" w:cs="Times New Roman"/>
                      <w:b w:val="0"/>
                      <w:bCs/>
                      <w:color w:val="auto"/>
                      <w:sz w:val="21"/>
                      <w:szCs w:val="21"/>
                      <w:lang w:val="en-US" w:eastAsia="zh-CN"/>
                    </w:rPr>
                    <w:t>不外排。</w:t>
                  </w:r>
                </w:p>
              </w:tc>
              <w:tc>
                <w:tcPr>
                  <w:tcW w:w="734" w:type="pct"/>
                  <w:tcBorders>
                    <w:left w:val="single" w:color="auto" w:sz="4" w:space="0"/>
                    <w:right w:val="single" w:color="auto" w:sz="4" w:space="0"/>
                  </w:tcBorders>
                  <w:noWrap w:val="0"/>
                  <w:vAlign w:val="center"/>
                </w:tcPr>
                <w:p w14:paraId="6535A57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61137BA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restart"/>
                  <w:noWrap w:val="0"/>
                  <w:vAlign w:val="center"/>
                </w:tcPr>
                <w:p w14:paraId="12D31D3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环保工程</w:t>
                  </w:r>
                </w:p>
              </w:tc>
              <w:tc>
                <w:tcPr>
                  <w:tcW w:w="1060" w:type="pct"/>
                  <w:vMerge w:val="restart"/>
                  <w:tcBorders>
                    <w:right w:val="single" w:color="auto" w:sz="4" w:space="0"/>
                  </w:tcBorders>
                  <w:noWrap w:val="0"/>
                  <w:vAlign w:val="center"/>
                </w:tcPr>
                <w:p w14:paraId="29B3DE4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r>
                    <w:rPr>
                      <w:rFonts w:hint="default" w:ascii="Times New Roman" w:hAnsi="Times New Roman" w:cs="Times New Roman"/>
                      <w:color w:val="auto"/>
                      <w:kern w:val="0"/>
                      <w:sz w:val="21"/>
                      <w:szCs w:val="21"/>
                    </w:rPr>
                    <w:t>废气</w:t>
                  </w:r>
                  <w:r>
                    <w:rPr>
                      <w:rFonts w:hint="eastAsia" w:cs="Times New Roman"/>
                      <w:color w:val="auto"/>
                      <w:kern w:val="0"/>
                      <w:sz w:val="21"/>
                      <w:szCs w:val="21"/>
                      <w:lang w:val="en-US" w:eastAsia="zh-CN"/>
                    </w:rPr>
                    <w:t>治理措施</w:t>
                  </w:r>
                </w:p>
              </w:tc>
              <w:tc>
                <w:tcPr>
                  <w:tcW w:w="2823" w:type="pct"/>
                  <w:tcBorders>
                    <w:right w:val="single" w:color="auto" w:sz="4" w:space="0"/>
                  </w:tcBorders>
                  <w:noWrap w:val="0"/>
                  <w:vAlign w:val="center"/>
                </w:tcPr>
                <w:p w14:paraId="438FC176">
                  <w:pPr>
                    <w:adjustRightInd w:val="0"/>
                    <w:snapToGrid w:val="0"/>
                    <w:jc w:val="center"/>
                    <w:rPr>
                      <w:rFonts w:hint="eastAsia" w:ascii="Times New Roman" w:hAnsi="Times New Roman" w:eastAsia="宋体" w:cs="Times New Roman"/>
                      <w:color w:val="auto"/>
                      <w:sz w:val="21"/>
                      <w:szCs w:val="21"/>
                      <w:lang w:val="en-US" w:eastAsia="zh-CN"/>
                    </w:rPr>
                  </w:pPr>
                  <w:r>
                    <w:rPr>
                      <w:rFonts w:hint="eastAsia"/>
                      <w:b/>
                      <w:bCs/>
                      <w:snapToGrid w:val="0"/>
                      <w:color w:val="auto"/>
                      <w:kern w:val="0"/>
                      <w:szCs w:val="21"/>
                      <w:lang w:val="en-US" w:eastAsia="zh-CN"/>
                    </w:rPr>
                    <w:t>2套旋风除尘器+袋式除尘器（处理卸料废气和清理废气）：</w:t>
                  </w:r>
                  <w:r>
                    <w:rPr>
                      <w:rFonts w:hint="eastAsia"/>
                      <w:b w:val="0"/>
                      <w:bCs w:val="0"/>
                      <w:snapToGrid w:val="0"/>
                      <w:color w:val="auto"/>
                      <w:kern w:val="0"/>
                      <w:szCs w:val="21"/>
                      <w:lang w:val="en-US" w:eastAsia="zh-CN"/>
                    </w:rPr>
                    <w:t>卸料废气和清理废气</w:t>
                  </w:r>
                  <w:r>
                    <w:rPr>
                      <w:rFonts w:hint="eastAsia"/>
                      <w:snapToGrid w:val="0"/>
                      <w:color w:val="auto"/>
                      <w:kern w:val="0"/>
                      <w:szCs w:val="21"/>
                      <w:lang w:val="en-US" w:eastAsia="zh-CN"/>
                    </w:rPr>
                    <w:t>经上方设置的集气罩收集至旋风除尘器+袋式除尘器装置处理后通过1根15m高排气筒（DA001）排放</w:t>
                  </w:r>
                </w:p>
              </w:tc>
              <w:tc>
                <w:tcPr>
                  <w:tcW w:w="734" w:type="pct"/>
                  <w:tcBorders>
                    <w:left w:val="single" w:color="auto" w:sz="4" w:space="0"/>
                    <w:right w:val="single" w:color="auto" w:sz="4" w:space="0"/>
                  </w:tcBorders>
                  <w:noWrap w:val="0"/>
                  <w:vAlign w:val="center"/>
                </w:tcPr>
                <w:p w14:paraId="05A018E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新建</w:t>
                  </w:r>
                </w:p>
              </w:tc>
            </w:tr>
            <w:tr w14:paraId="0A5D4E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14:paraId="40691F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060" w:type="pct"/>
                  <w:vMerge w:val="continue"/>
                  <w:tcBorders>
                    <w:right w:val="single" w:color="auto" w:sz="4" w:space="0"/>
                  </w:tcBorders>
                  <w:noWrap w:val="0"/>
                  <w:vAlign w:val="center"/>
                </w:tcPr>
                <w:p w14:paraId="45C919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kern w:val="0"/>
                      <w:sz w:val="21"/>
                      <w:szCs w:val="21"/>
                      <w:lang w:val="en-US" w:eastAsia="zh-CN"/>
                    </w:rPr>
                  </w:pPr>
                </w:p>
              </w:tc>
              <w:tc>
                <w:tcPr>
                  <w:tcW w:w="2823" w:type="pct"/>
                  <w:tcBorders>
                    <w:right w:val="single" w:color="auto" w:sz="4" w:space="0"/>
                  </w:tcBorders>
                  <w:noWrap w:val="0"/>
                  <w:vAlign w:val="center"/>
                </w:tcPr>
                <w:p w14:paraId="4824FFF9">
                  <w:pPr>
                    <w:jc w:val="center"/>
                    <w:rPr>
                      <w:rFonts w:hint="eastAsia" w:cs="Times New Roman"/>
                      <w:color w:val="auto"/>
                      <w:sz w:val="21"/>
                      <w:szCs w:val="21"/>
                      <w:lang w:val="en-US" w:eastAsia="zh-CN"/>
                    </w:rPr>
                  </w:pPr>
                  <w:r>
                    <w:rPr>
                      <w:rFonts w:hint="eastAsia"/>
                      <w:b/>
                      <w:bCs/>
                      <w:snapToGrid w:val="0"/>
                      <w:color w:val="auto"/>
                      <w:kern w:val="0"/>
                      <w:szCs w:val="21"/>
                      <w:lang w:val="en-US" w:eastAsia="zh-CN"/>
                    </w:rPr>
                    <w:t>6套旋风除尘器+袋式除尘器（处理大米加工废气）：</w:t>
                  </w:r>
                  <w:r>
                    <w:rPr>
                      <w:rFonts w:hint="eastAsia"/>
                      <w:snapToGrid w:val="0"/>
                      <w:color w:val="auto"/>
                      <w:kern w:val="0"/>
                      <w:szCs w:val="21"/>
                      <w:lang w:val="en-US" w:eastAsia="zh-CN"/>
                    </w:rPr>
                    <w:t>大米加工废气经设备密闭收集收集至旋风除尘器+袋式除尘器装置处理后通过1根15m高排气筒（DA002）排放</w:t>
                  </w:r>
                </w:p>
              </w:tc>
              <w:tc>
                <w:tcPr>
                  <w:tcW w:w="734" w:type="pct"/>
                  <w:tcBorders>
                    <w:left w:val="single" w:color="auto" w:sz="4" w:space="0"/>
                    <w:right w:val="single" w:color="auto" w:sz="4" w:space="0"/>
                  </w:tcBorders>
                  <w:noWrap w:val="0"/>
                  <w:vAlign w:val="center"/>
                </w:tcPr>
                <w:p w14:paraId="311BE2B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新建</w:t>
                  </w:r>
                </w:p>
              </w:tc>
            </w:tr>
            <w:tr w14:paraId="3B3D83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14:paraId="26B589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060" w:type="pct"/>
                  <w:vMerge w:val="continue"/>
                  <w:tcBorders>
                    <w:right w:val="single" w:color="auto" w:sz="4" w:space="0"/>
                  </w:tcBorders>
                  <w:noWrap w:val="0"/>
                  <w:vAlign w:val="center"/>
                </w:tcPr>
                <w:p w14:paraId="26BA7B0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p>
              </w:tc>
              <w:tc>
                <w:tcPr>
                  <w:tcW w:w="2823" w:type="pct"/>
                  <w:tcBorders>
                    <w:right w:val="single" w:color="auto" w:sz="4" w:space="0"/>
                  </w:tcBorders>
                  <w:noWrap w:val="0"/>
                  <w:vAlign w:val="center"/>
                </w:tcPr>
                <w:p w14:paraId="6C7C60C3">
                  <w:pPr>
                    <w:jc w:val="center"/>
                    <w:rPr>
                      <w:rFonts w:hint="default" w:ascii="Times New Roman" w:hAnsi="Times New Roman"/>
                      <w:color w:val="auto"/>
                      <w:lang w:val="en-US" w:eastAsia="zh-CN"/>
                    </w:rPr>
                  </w:pPr>
                  <w:r>
                    <w:rPr>
                      <w:rFonts w:hint="eastAsia" w:ascii="Times New Roman" w:hAnsi="Times New Roman"/>
                      <w:color w:val="auto"/>
                      <w:lang w:val="en-US" w:eastAsia="zh-CN"/>
                    </w:rPr>
                    <w:t>项目原料仓、中转仓及副产品仓仓顶上方均自带脉冲除尘装置；原料仓、中转仓及副产品仓物料贮存转运工序产生的废气经脉冲除尘装置处理达标后仓顶排放。</w:t>
                  </w:r>
                </w:p>
              </w:tc>
              <w:tc>
                <w:tcPr>
                  <w:tcW w:w="734" w:type="pct"/>
                  <w:tcBorders>
                    <w:left w:val="single" w:color="auto" w:sz="4" w:space="0"/>
                    <w:right w:val="single" w:color="auto" w:sz="4" w:space="0"/>
                  </w:tcBorders>
                  <w:noWrap w:val="0"/>
                  <w:vAlign w:val="center"/>
                </w:tcPr>
                <w:p w14:paraId="7742A25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7885B3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9" w:hRule="atLeast"/>
                <w:jc w:val="center"/>
              </w:trPr>
              <w:tc>
                <w:tcPr>
                  <w:tcW w:w="381" w:type="pct"/>
                  <w:vMerge w:val="continue"/>
                  <w:noWrap w:val="0"/>
                  <w:vAlign w:val="center"/>
                </w:tcPr>
                <w:p w14:paraId="0CA6428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060" w:type="pct"/>
                  <w:tcBorders>
                    <w:right w:val="single" w:color="auto" w:sz="4" w:space="0"/>
                  </w:tcBorders>
                  <w:noWrap w:val="0"/>
                  <w:vAlign w:val="center"/>
                </w:tcPr>
                <w:p w14:paraId="45C91F82">
                  <w:pPr>
                    <w:pStyle w:val="11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噪声治理</w:t>
                  </w:r>
                  <w:r>
                    <w:rPr>
                      <w:rFonts w:hint="eastAsia" w:ascii="Times New Roman" w:hAnsi="Times New Roman" w:eastAsia="宋体" w:cs="Times New Roman"/>
                      <w:color w:val="auto"/>
                      <w:kern w:val="2"/>
                      <w:sz w:val="21"/>
                      <w:szCs w:val="21"/>
                      <w:lang w:val="en-US" w:eastAsia="zh-CN"/>
                    </w:rPr>
                    <w:t>措施</w:t>
                  </w:r>
                </w:p>
              </w:tc>
              <w:tc>
                <w:tcPr>
                  <w:tcW w:w="2823" w:type="pct"/>
                  <w:tcBorders>
                    <w:right w:val="single" w:color="auto" w:sz="4" w:space="0"/>
                  </w:tcBorders>
                  <w:noWrap w:val="0"/>
                  <w:vAlign w:val="center"/>
                </w:tcPr>
                <w:p w14:paraId="05DAE10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设备基础减振、厂房隔声等。</w:t>
                  </w:r>
                </w:p>
              </w:tc>
              <w:tc>
                <w:tcPr>
                  <w:tcW w:w="734" w:type="pct"/>
                  <w:tcBorders>
                    <w:left w:val="single" w:color="auto" w:sz="4" w:space="0"/>
                    <w:right w:val="single" w:color="auto" w:sz="4" w:space="0"/>
                  </w:tcBorders>
                  <w:noWrap w:val="0"/>
                  <w:vAlign w:val="center"/>
                </w:tcPr>
                <w:p w14:paraId="33F322E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新建</w:t>
                  </w:r>
                </w:p>
              </w:tc>
            </w:tr>
            <w:tr w14:paraId="3764D6E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381" w:type="pct"/>
                  <w:vMerge w:val="continue"/>
                  <w:noWrap w:val="0"/>
                  <w:vAlign w:val="center"/>
                </w:tcPr>
                <w:p w14:paraId="59486D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060" w:type="pct"/>
                  <w:tcBorders>
                    <w:right w:val="single" w:color="auto" w:sz="4" w:space="0"/>
                  </w:tcBorders>
                  <w:noWrap w:val="0"/>
                  <w:vAlign w:val="center"/>
                </w:tcPr>
                <w:p w14:paraId="54001EE5">
                  <w:pPr>
                    <w:pStyle w:val="11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textAlignment w:val="auto"/>
                    <w:rPr>
                      <w:rFonts w:hint="eastAsia"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废水</w:t>
                  </w:r>
                  <w:r>
                    <w:rPr>
                      <w:rFonts w:hint="eastAsia" w:ascii="Times New Roman" w:hAnsi="Times New Roman" w:eastAsia="宋体" w:cs="Times New Roman"/>
                      <w:color w:val="auto"/>
                      <w:kern w:val="2"/>
                      <w:sz w:val="21"/>
                      <w:szCs w:val="21"/>
                      <w:lang w:val="en-US" w:eastAsia="zh-CN"/>
                    </w:rPr>
                    <w:t>治理措施</w:t>
                  </w:r>
                </w:p>
              </w:tc>
              <w:tc>
                <w:tcPr>
                  <w:tcW w:w="2823" w:type="pct"/>
                  <w:tcBorders>
                    <w:right w:val="single" w:color="auto" w:sz="4" w:space="0"/>
                  </w:tcBorders>
                  <w:noWrap w:val="0"/>
                  <w:vAlign w:val="center"/>
                </w:tcPr>
                <w:p w14:paraId="0A83B863">
                  <w:pPr>
                    <w:pStyle w:val="114"/>
                    <w:keepNext w:val="0"/>
                    <w:keepLines w:val="0"/>
                    <w:pageBreakBefore w:val="0"/>
                    <w:widowControl w:val="0"/>
                    <w:kinsoku/>
                    <w:wordWrap/>
                    <w:overflowPunct/>
                    <w:topLinePunct w:val="0"/>
                    <w:autoSpaceDE/>
                    <w:autoSpaceDN/>
                    <w:bidi w:val="0"/>
                    <w:adjustRightInd/>
                    <w:snapToGrid/>
                    <w:spacing w:before="0" w:after="0" w:line="240" w:lineRule="auto"/>
                    <w:ind w:left="0" w:leftChars="0" w:right="0" w:rightChars="0"/>
                    <w:jc w:val="center"/>
                    <w:textAlignment w:val="auto"/>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项目排水采取雨、污分流制，废水为生活污水，生活污水经厂区内化粪池处理后定期清掏农用。不外排。</w:t>
                  </w:r>
                </w:p>
              </w:tc>
              <w:tc>
                <w:tcPr>
                  <w:tcW w:w="734" w:type="pct"/>
                  <w:tcBorders>
                    <w:left w:val="single" w:color="auto" w:sz="4" w:space="0"/>
                    <w:right w:val="single" w:color="auto" w:sz="4" w:space="0"/>
                  </w:tcBorders>
                  <w:noWrap w:val="0"/>
                  <w:vAlign w:val="center"/>
                </w:tcPr>
                <w:p w14:paraId="0C5CF47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新建</w:t>
                  </w:r>
                </w:p>
              </w:tc>
            </w:tr>
            <w:tr w14:paraId="65AAE24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92" w:hRule="atLeast"/>
                <w:jc w:val="center"/>
              </w:trPr>
              <w:tc>
                <w:tcPr>
                  <w:tcW w:w="381" w:type="pct"/>
                  <w:vMerge w:val="continue"/>
                  <w:noWrap w:val="0"/>
                  <w:vAlign w:val="center"/>
                </w:tcPr>
                <w:p w14:paraId="37F8703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p>
              </w:tc>
              <w:tc>
                <w:tcPr>
                  <w:tcW w:w="1060" w:type="pct"/>
                  <w:tcBorders>
                    <w:right w:val="single" w:color="auto" w:sz="4" w:space="0"/>
                  </w:tcBorders>
                  <w:noWrap w:val="0"/>
                  <w:vAlign w:val="center"/>
                </w:tcPr>
                <w:p w14:paraId="3B3DFC43">
                  <w:pPr>
                    <w:spacing w:line="360" w:lineRule="auto"/>
                    <w:jc w:val="center"/>
                    <w:rPr>
                      <w:rFonts w:hint="eastAsia" w:ascii="Times New Roman" w:hAnsi="Times New Roman" w:eastAsia="宋体" w:cs="Times New Roman"/>
                      <w:color w:val="auto"/>
                      <w:kern w:val="2"/>
                      <w:sz w:val="21"/>
                      <w:szCs w:val="21"/>
                      <w:lang w:val="en-US" w:eastAsia="zh-CN"/>
                    </w:rPr>
                  </w:pPr>
                  <w:r>
                    <w:rPr>
                      <w:rFonts w:hint="eastAsia" w:hAnsi="宋体"/>
                      <w:snapToGrid w:val="0"/>
                      <w:color w:val="auto"/>
                      <w:kern w:val="0"/>
                      <w:szCs w:val="21"/>
                    </w:rPr>
                    <w:t>固废</w:t>
                  </w:r>
                  <w:r>
                    <w:rPr>
                      <w:rFonts w:hint="eastAsia" w:hAnsi="宋体"/>
                      <w:snapToGrid w:val="0"/>
                      <w:color w:val="auto"/>
                      <w:kern w:val="0"/>
                      <w:szCs w:val="21"/>
                      <w:lang w:eastAsia="zh-CN"/>
                    </w:rPr>
                    <w:t>治理措施</w:t>
                  </w:r>
                </w:p>
              </w:tc>
              <w:tc>
                <w:tcPr>
                  <w:tcW w:w="2823" w:type="pct"/>
                  <w:tcBorders>
                    <w:right w:val="single" w:color="auto" w:sz="4" w:space="0"/>
                  </w:tcBorders>
                  <w:noWrap w:val="0"/>
                  <w:vAlign w:val="center"/>
                </w:tcPr>
                <w:p w14:paraId="5440610B">
                  <w:pPr>
                    <w:spacing w:line="360" w:lineRule="auto"/>
                    <w:jc w:val="center"/>
                    <w:rPr>
                      <w:snapToGrid w:val="0"/>
                      <w:color w:val="auto"/>
                      <w:kern w:val="0"/>
                      <w:szCs w:val="21"/>
                    </w:rPr>
                  </w:pPr>
                  <w:r>
                    <w:rPr>
                      <w:rFonts w:hint="eastAsia" w:hAnsi="宋体"/>
                      <w:snapToGrid w:val="0"/>
                      <w:color w:val="auto"/>
                      <w:kern w:val="0"/>
                      <w:szCs w:val="21"/>
                    </w:rPr>
                    <w:t>一般固废暂存间：</w:t>
                  </w:r>
                  <w:r>
                    <w:rPr>
                      <w:rFonts w:hint="eastAsia"/>
                      <w:snapToGrid w:val="0"/>
                      <w:color w:val="auto"/>
                      <w:kern w:val="0"/>
                      <w:szCs w:val="21"/>
                    </w:rPr>
                    <w:t>设置在</w:t>
                  </w:r>
                  <w:r>
                    <w:rPr>
                      <w:rFonts w:hint="eastAsia"/>
                      <w:snapToGrid w:val="0"/>
                      <w:color w:val="auto"/>
                      <w:kern w:val="0"/>
                      <w:szCs w:val="21"/>
                      <w:lang w:eastAsia="zh-CN"/>
                    </w:rPr>
                    <w:t>大米加工</w:t>
                  </w:r>
                  <w:r>
                    <w:rPr>
                      <w:rFonts w:hint="eastAsia"/>
                      <w:snapToGrid w:val="0"/>
                      <w:color w:val="auto"/>
                      <w:kern w:val="0"/>
                      <w:szCs w:val="21"/>
                    </w:rPr>
                    <w:t>车间西南侧，建筑面积50m</w:t>
                  </w:r>
                  <w:r>
                    <w:rPr>
                      <w:rFonts w:hint="eastAsia"/>
                      <w:snapToGrid w:val="0"/>
                      <w:color w:val="auto"/>
                      <w:kern w:val="0"/>
                      <w:szCs w:val="21"/>
                      <w:vertAlign w:val="superscript"/>
                    </w:rPr>
                    <w:t>2</w:t>
                  </w:r>
                  <w:r>
                    <w:rPr>
                      <w:rFonts w:hint="eastAsia"/>
                      <w:snapToGrid w:val="0"/>
                      <w:color w:val="auto"/>
                      <w:kern w:val="0"/>
                      <w:szCs w:val="21"/>
                    </w:rPr>
                    <w:t>，主要用于厂内一般固废的暂存</w:t>
                  </w:r>
                </w:p>
                <w:p w14:paraId="1FC9F314">
                  <w:pPr>
                    <w:spacing w:line="360" w:lineRule="auto"/>
                    <w:jc w:val="center"/>
                    <w:rPr>
                      <w:rFonts w:hint="default" w:ascii="Times New Roman" w:hAnsi="Times New Roman" w:cs="Times New Roman"/>
                      <w:color w:val="auto"/>
                      <w:kern w:val="0"/>
                      <w:sz w:val="21"/>
                      <w:szCs w:val="21"/>
                    </w:rPr>
                  </w:pPr>
                  <w:r>
                    <w:rPr>
                      <w:rFonts w:hint="eastAsia"/>
                      <w:snapToGrid w:val="0"/>
                      <w:color w:val="auto"/>
                      <w:kern w:val="0"/>
                      <w:szCs w:val="21"/>
                    </w:rPr>
                    <w:t>危废暂存间：设置在</w:t>
                  </w:r>
                  <w:r>
                    <w:rPr>
                      <w:rFonts w:hint="eastAsia"/>
                      <w:snapToGrid w:val="0"/>
                      <w:color w:val="auto"/>
                      <w:kern w:val="0"/>
                      <w:szCs w:val="21"/>
                      <w:lang w:eastAsia="zh-CN"/>
                    </w:rPr>
                    <w:t>大米加工</w:t>
                  </w:r>
                  <w:r>
                    <w:rPr>
                      <w:rFonts w:hint="eastAsia"/>
                      <w:snapToGrid w:val="0"/>
                      <w:color w:val="auto"/>
                      <w:kern w:val="0"/>
                      <w:szCs w:val="21"/>
                    </w:rPr>
                    <w:t>车间东南侧，建筑面积3m</w:t>
                  </w:r>
                  <w:r>
                    <w:rPr>
                      <w:rFonts w:hint="eastAsia"/>
                      <w:snapToGrid w:val="0"/>
                      <w:color w:val="auto"/>
                      <w:kern w:val="0"/>
                      <w:szCs w:val="21"/>
                      <w:vertAlign w:val="superscript"/>
                    </w:rPr>
                    <w:t>2</w:t>
                  </w:r>
                  <w:r>
                    <w:rPr>
                      <w:rFonts w:hint="eastAsia"/>
                      <w:snapToGrid w:val="0"/>
                      <w:color w:val="auto"/>
                      <w:kern w:val="0"/>
                      <w:szCs w:val="21"/>
                    </w:rPr>
                    <w:t>，用于厂内废润滑油、废油桶、含油抹布</w:t>
                  </w:r>
                  <w:r>
                    <w:rPr>
                      <w:rFonts w:hint="eastAsia"/>
                      <w:snapToGrid w:val="0"/>
                      <w:color w:val="auto"/>
                      <w:kern w:val="0"/>
                      <w:szCs w:val="21"/>
                      <w:lang w:eastAsia="zh-CN"/>
                    </w:rPr>
                    <w:t>、废手套</w:t>
                  </w:r>
                  <w:r>
                    <w:rPr>
                      <w:rFonts w:hint="eastAsia"/>
                      <w:snapToGrid w:val="0"/>
                      <w:color w:val="auto"/>
                      <w:kern w:val="0"/>
                      <w:szCs w:val="21"/>
                    </w:rPr>
                    <w:t>等暂存</w:t>
                  </w:r>
                </w:p>
              </w:tc>
              <w:tc>
                <w:tcPr>
                  <w:tcW w:w="734" w:type="pct"/>
                  <w:tcBorders>
                    <w:left w:val="single" w:color="auto" w:sz="4" w:space="0"/>
                    <w:right w:val="single" w:color="auto" w:sz="4" w:space="0"/>
                  </w:tcBorders>
                  <w:noWrap w:val="0"/>
                  <w:vAlign w:val="center"/>
                </w:tcPr>
                <w:p w14:paraId="774EC21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新建</w:t>
                  </w:r>
                </w:p>
              </w:tc>
            </w:tr>
          </w:tbl>
          <w:p w14:paraId="2F55758B">
            <w:pPr>
              <w:spacing w:line="360" w:lineRule="auto"/>
              <w:rPr>
                <w:color w:val="auto"/>
                <w:sz w:val="24"/>
                <w:szCs w:val="24"/>
              </w:rPr>
            </w:pPr>
            <w:r>
              <w:rPr>
                <w:rFonts w:hint="eastAsia"/>
                <w:b/>
                <w:color w:val="auto"/>
                <w:sz w:val="24"/>
                <w:szCs w:val="24"/>
                <w:lang w:val="en-US" w:eastAsia="zh-CN"/>
              </w:rPr>
              <w:t>2</w:t>
            </w:r>
            <w:r>
              <w:rPr>
                <w:rFonts w:hint="eastAsia"/>
                <w:b/>
                <w:color w:val="auto"/>
                <w:sz w:val="24"/>
                <w:szCs w:val="24"/>
              </w:rPr>
              <w:t>、产品方案</w:t>
            </w:r>
          </w:p>
          <w:p w14:paraId="2E4B9936">
            <w:pPr>
              <w:spacing w:line="460" w:lineRule="exact"/>
              <w:ind w:firstLine="480" w:firstLineChars="200"/>
              <w:rPr>
                <w:rFonts w:hint="default" w:ascii="Times New Roman" w:hAnsi="Times New Roman" w:cs="Times New Roman"/>
                <w:color w:val="auto"/>
                <w:sz w:val="24"/>
              </w:rPr>
            </w:pPr>
            <w:r>
              <w:rPr>
                <w:rFonts w:hint="eastAsia" w:ascii="Times New Roman" w:hAnsi="Times New Roman" w:cs="Times New Roman"/>
                <w:color w:val="auto"/>
                <w:sz w:val="24"/>
                <w:lang w:val="en-US" w:eastAsia="zh-CN"/>
              </w:rPr>
              <w:t>项目生产的产品为大米；副产品为碎米、稻糠、稻壳，</w:t>
            </w:r>
            <w:r>
              <w:rPr>
                <w:rFonts w:hint="default" w:ascii="Times New Roman" w:hAnsi="Times New Roman" w:cs="Times New Roman"/>
                <w:color w:val="auto"/>
                <w:sz w:val="24"/>
                <w:lang w:val="en-US" w:eastAsia="zh-CN"/>
              </w:rPr>
              <w:t>产品方案见下表：</w:t>
            </w:r>
          </w:p>
          <w:p w14:paraId="1F3BFC8A">
            <w:pPr>
              <w:spacing w:line="440" w:lineRule="exact"/>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2</w:t>
            </w:r>
            <w:r>
              <w:rPr>
                <w:rFonts w:hint="default" w:ascii="Times New Roman" w:hAnsi="Times New Roman" w:cs="Times New Roman"/>
                <w:b/>
                <w:color w:val="auto"/>
                <w:sz w:val="21"/>
                <w:szCs w:val="21"/>
              </w:rPr>
              <w:t>-</w:t>
            </w:r>
            <w:r>
              <w:rPr>
                <w:rFonts w:hint="eastAsia" w:cs="Times New Roman"/>
                <w:b/>
                <w:color w:val="auto"/>
                <w:sz w:val="21"/>
                <w:szCs w:val="21"/>
                <w:lang w:val="en-US" w:eastAsia="zh-CN"/>
              </w:rPr>
              <w:t>4</w:t>
            </w:r>
            <w:r>
              <w:rPr>
                <w:rFonts w:hint="default" w:ascii="Times New Roman" w:hAnsi="Times New Roman" w:cs="Times New Roman"/>
                <w:b/>
                <w:color w:val="auto"/>
                <w:sz w:val="21"/>
                <w:szCs w:val="21"/>
              </w:rPr>
              <w:t xml:space="preserve">  产品方案及规模一览表</w:t>
            </w:r>
          </w:p>
          <w:tbl>
            <w:tblPr>
              <w:tblStyle w:val="45"/>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
              <w:gridCol w:w="1232"/>
              <w:gridCol w:w="1499"/>
              <w:gridCol w:w="786"/>
              <w:gridCol w:w="1097"/>
              <w:gridCol w:w="1124"/>
              <w:gridCol w:w="1058"/>
              <w:gridCol w:w="1168"/>
            </w:tblGrid>
            <w:tr w14:paraId="7BCCB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283" w:type="pct"/>
                  <w:noWrap w:val="0"/>
                  <w:vAlign w:val="center"/>
                </w:tcPr>
                <w:p w14:paraId="2FD16CA1">
                  <w:pPr>
                    <w:jc w:val="center"/>
                    <w:rPr>
                      <w:rFonts w:ascii="Times New Roman" w:hAnsi="Times New Roman"/>
                      <w:b/>
                      <w:bCs/>
                      <w:color w:val="auto"/>
                    </w:rPr>
                  </w:pPr>
                  <w:r>
                    <w:rPr>
                      <w:rFonts w:ascii="Times New Roman" w:hAnsi="宋体"/>
                      <w:b/>
                      <w:bCs/>
                      <w:color w:val="auto"/>
                    </w:rPr>
                    <w:t>序号</w:t>
                  </w:r>
                </w:p>
              </w:tc>
              <w:tc>
                <w:tcPr>
                  <w:tcW w:w="729" w:type="pct"/>
                  <w:noWrap w:val="0"/>
                  <w:vAlign w:val="center"/>
                </w:tcPr>
                <w:p w14:paraId="4D639329">
                  <w:pPr>
                    <w:jc w:val="center"/>
                    <w:rPr>
                      <w:rFonts w:ascii="Times New Roman" w:hAnsi="Times New Roman"/>
                      <w:b/>
                      <w:bCs/>
                      <w:color w:val="auto"/>
                    </w:rPr>
                  </w:pPr>
                  <w:r>
                    <w:rPr>
                      <w:rFonts w:ascii="Times New Roman" w:hAnsi="宋体"/>
                      <w:b/>
                      <w:bCs/>
                      <w:color w:val="auto"/>
                    </w:rPr>
                    <w:t>产品名称</w:t>
                  </w:r>
                </w:p>
              </w:tc>
              <w:tc>
                <w:tcPr>
                  <w:tcW w:w="887" w:type="pct"/>
                  <w:noWrap w:val="0"/>
                  <w:vAlign w:val="center"/>
                </w:tcPr>
                <w:p w14:paraId="7E3EE481">
                  <w:pPr>
                    <w:jc w:val="center"/>
                    <w:rPr>
                      <w:rFonts w:ascii="Times New Roman" w:hAnsi="Times New Roman"/>
                      <w:b/>
                      <w:bCs/>
                      <w:color w:val="auto"/>
                    </w:rPr>
                  </w:pPr>
                  <w:r>
                    <w:rPr>
                      <w:rFonts w:ascii="Times New Roman" w:hAnsi="宋体"/>
                      <w:b/>
                      <w:bCs/>
                      <w:color w:val="auto"/>
                    </w:rPr>
                    <w:t>规格</w:t>
                  </w:r>
                </w:p>
              </w:tc>
              <w:tc>
                <w:tcPr>
                  <w:tcW w:w="465" w:type="pct"/>
                  <w:noWrap w:val="0"/>
                  <w:vAlign w:val="center"/>
                </w:tcPr>
                <w:p w14:paraId="695161A8">
                  <w:pPr>
                    <w:jc w:val="center"/>
                    <w:rPr>
                      <w:rFonts w:ascii="Times New Roman" w:hAnsi="Times New Roman"/>
                      <w:b/>
                      <w:bCs/>
                      <w:color w:val="auto"/>
                    </w:rPr>
                  </w:pPr>
                  <w:r>
                    <w:rPr>
                      <w:rFonts w:ascii="Times New Roman" w:hAnsi="宋体"/>
                      <w:b/>
                      <w:bCs/>
                      <w:color w:val="auto"/>
                    </w:rPr>
                    <w:t>单位</w:t>
                  </w:r>
                </w:p>
              </w:tc>
              <w:tc>
                <w:tcPr>
                  <w:tcW w:w="649" w:type="pct"/>
                  <w:noWrap w:val="0"/>
                  <w:vAlign w:val="center"/>
                </w:tcPr>
                <w:p w14:paraId="581DB829">
                  <w:pPr>
                    <w:jc w:val="center"/>
                    <w:rPr>
                      <w:rFonts w:ascii="Times New Roman" w:hAnsi="Times New Roman"/>
                      <w:b/>
                      <w:bCs/>
                      <w:color w:val="auto"/>
                    </w:rPr>
                  </w:pPr>
                  <w:r>
                    <w:rPr>
                      <w:rFonts w:ascii="Times New Roman" w:hAnsi="宋体"/>
                      <w:b/>
                      <w:bCs/>
                      <w:color w:val="auto"/>
                    </w:rPr>
                    <w:t>数量</w:t>
                  </w:r>
                </w:p>
              </w:tc>
              <w:tc>
                <w:tcPr>
                  <w:tcW w:w="665" w:type="pct"/>
                  <w:noWrap w:val="0"/>
                  <w:vAlign w:val="center"/>
                </w:tcPr>
                <w:p w14:paraId="4566F9A3">
                  <w:pPr>
                    <w:jc w:val="center"/>
                    <w:rPr>
                      <w:rFonts w:hint="default" w:ascii="Times New Roman" w:hAnsi="宋体" w:eastAsia="宋体"/>
                      <w:b/>
                      <w:bCs/>
                      <w:color w:val="auto"/>
                      <w:lang w:val="en-US" w:eastAsia="zh-CN"/>
                    </w:rPr>
                  </w:pPr>
                  <w:r>
                    <w:rPr>
                      <w:rFonts w:hint="eastAsia" w:ascii="Times New Roman" w:hAnsi="宋体"/>
                      <w:b/>
                      <w:bCs/>
                      <w:color w:val="auto"/>
                      <w:lang w:val="en-US" w:eastAsia="zh-CN"/>
                    </w:rPr>
                    <w:t>储存位置</w:t>
                  </w:r>
                </w:p>
              </w:tc>
              <w:tc>
                <w:tcPr>
                  <w:tcW w:w="626" w:type="pct"/>
                  <w:noWrap w:val="0"/>
                  <w:vAlign w:val="center"/>
                </w:tcPr>
                <w:p w14:paraId="47758B1B">
                  <w:pPr>
                    <w:jc w:val="center"/>
                    <w:rPr>
                      <w:rFonts w:hint="default" w:ascii="Times New Roman" w:hAnsi="宋体" w:eastAsia="宋体"/>
                      <w:b/>
                      <w:bCs/>
                      <w:color w:val="auto"/>
                      <w:lang w:val="en-US" w:eastAsia="zh-CN"/>
                    </w:rPr>
                  </w:pPr>
                  <w:r>
                    <w:rPr>
                      <w:rFonts w:hint="eastAsia" w:ascii="Times New Roman" w:hAnsi="宋体"/>
                      <w:b/>
                      <w:bCs/>
                      <w:color w:val="auto"/>
                      <w:lang w:val="en-US" w:eastAsia="zh-CN"/>
                    </w:rPr>
                    <w:t>最大储存量（t）</w:t>
                  </w:r>
                </w:p>
              </w:tc>
              <w:tc>
                <w:tcPr>
                  <w:tcW w:w="691" w:type="pct"/>
                  <w:noWrap w:val="0"/>
                  <w:vAlign w:val="center"/>
                </w:tcPr>
                <w:p w14:paraId="62704879">
                  <w:pPr>
                    <w:jc w:val="center"/>
                    <w:rPr>
                      <w:rFonts w:hint="eastAsia" w:ascii="Times New Roman" w:hAnsi="宋体" w:eastAsia="宋体"/>
                      <w:b/>
                      <w:bCs/>
                      <w:color w:val="auto"/>
                      <w:lang w:val="en-US" w:eastAsia="zh-CN"/>
                    </w:rPr>
                  </w:pPr>
                  <w:r>
                    <w:rPr>
                      <w:rFonts w:hint="eastAsia" w:ascii="Times New Roman" w:hAnsi="宋体"/>
                      <w:b/>
                      <w:bCs/>
                      <w:color w:val="auto"/>
                      <w:lang w:val="en-US" w:eastAsia="zh-CN"/>
                    </w:rPr>
                    <w:t>储存周期（d）</w:t>
                  </w:r>
                </w:p>
              </w:tc>
            </w:tr>
            <w:tr w14:paraId="0754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83" w:type="pct"/>
                  <w:noWrap w:val="0"/>
                  <w:vAlign w:val="center"/>
                </w:tcPr>
                <w:p w14:paraId="1C9F7005">
                  <w:pPr>
                    <w:jc w:val="center"/>
                    <w:rPr>
                      <w:rFonts w:ascii="Times New Roman" w:hAnsi="Times New Roman"/>
                      <w:color w:val="auto"/>
                    </w:rPr>
                  </w:pPr>
                  <w:r>
                    <w:rPr>
                      <w:rFonts w:ascii="Times New Roman" w:hAnsi="Times New Roman"/>
                      <w:color w:val="auto"/>
                    </w:rPr>
                    <w:t>1</w:t>
                  </w:r>
                </w:p>
              </w:tc>
              <w:tc>
                <w:tcPr>
                  <w:tcW w:w="729" w:type="pct"/>
                  <w:noWrap w:val="0"/>
                  <w:vAlign w:val="center"/>
                </w:tcPr>
                <w:p w14:paraId="13C9452D">
                  <w:pPr>
                    <w:jc w:val="center"/>
                    <w:rPr>
                      <w:rFonts w:ascii="Times New Roman" w:hAnsi="Times New Roman"/>
                      <w:color w:val="auto"/>
                    </w:rPr>
                  </w:pPr>
                  <w:r>
                    <w:rPr>
                      <w:rFonts w:ascii="Times New Roman" w:hAnsi="宋体"/>
                      <w:color w:val="auto"/>
                    </w:rPr>
                    <w:t>优质大米</w:t>
                  </w:r>
                </w:p>
              </w:tc>
              <w:tc>
                <w:tcPr>
                  <w:tcW w:w="887" w:type="pct"/>
                  <w:noWrap w:val="0"/>
                  <w:vAlign w:val="center"/>
                </w:tcPr>
                <w:p w14:paraId="3144131E">
                  <w:pPr>
                    <w:jc w:val="center"/>
                    <w:rPr>
                      <w:rFonts w:ascii="Times New Roman" w:hAnsi="Times New Roman"/>
                      <w:color w:val="auto"/>
                    </w:rPr>
                  </w:pPr>
                  <w:r>
                    <w:rPr>
                      <w:rFonts w:ascii="Times New Roman" w:hAnsi="Times New Roman"/>
                      <w:color w:val="auto"/>
                      <w:szCs w:val="21"/>
                    </w:rPr>
                    <w:t>5kg~25kg/</w:t>
                  </w:r>
                  <w:r>
                    <w:rPr>
                      <w:rFonts w:ascii="Times New Roman" w:hAnsi="宋体"/>
                      <w:color w:val="auto"/>
                      <w:szCs w:val="21"/>
                    </w:rPr>
                    <w:t>包</w:t>
                  </w:r>
                </w:p>
              </w:tc>
              <w:tc>
                <w:tcPr>
                  <w:tcW w:w="465" w:type="pct"/>
                  <w:noWrap w:val="0"/>
                  <w:vAlign w:val="center"/>
                </w:tcPr>
                <w:p w14:paraId="51D69391">
                  <w:pPr>
                    <w:jc w:val="center"/>
                    <w:rPr>
                      <w:rFonts w:ascii="Times New Roman" w:hAnsi="Times New Roman"/>
                      <w:color w:val="auto"/>
                    </w:rPr>
                  </w:pPr>
                  <w:r>
                    <w:rPr>
                      <w:rFonts w:ascii="Times New Roman" w:hAnsi="Times New Roman"/>
                      <w:color w:val="auto"/>
                    </w:rPr>
                    <w:t>t/a</w:t>
                  </w:r>
                </w:p>
              </w:tc>
              <w:tc>
                <w:tcPr>
                  <w:tcW w:w="649" w:type="pct"/>
                  <w:noWrap w:val="0"/>
                  <w:vAlign w:val="center"/>
                </w:tcPr>
                <w:p w14:paraId="7E2FB96E">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60000</w:t>
                  </w:r>
                </w:p>
              </w:tc>
              <w:tc>
                <w:tcPr>
                  <w:tcW w:w="665" w:type="pct"/>
                  <w:noWrap w:val="0"/>
                  <w:vAlign w:val="center"/>
                </w:tcPr>
                <w:p w14:paraId="1A135392">
                  <w:pPr>
                    <w:jc w:val="center"/>
                    <w:rPr>
                      <w:rFonts w:hint="default" w:ascii="Times New Roman" w:hAnsi="Times New Roman"/>
                      <w:color w:val="auto"/>
                      <w:lang w:val="en-US" w:eastAsia="zh-CN"/>
                    </w:rPr>
                  </w:pPr>
                  <w:r>
                    <w:rPr>
                      <w:rFonts w:hint="eastAsia" w:ascii="Times New Roman" w:hAnsi="Times New Roman"/>
                      <w:color w:val="auto"/>
                      <w:lang w:val="en-US" w:eastAsia="zh-CN"/>
                    </w:rPr>
                    <w:t>成品仓</w:t>
                  </w:r>
                </w:p>
              </w:tc>
              <w:tc>
                <w:tcPr>
                  <w:tcW w:w="626" w:type="pct"/>
                  <w:noWrap w:val="0"/>
                  <w:vAlign w:val="center"/>
                </w:tcPr>
                <w:p w14:paraId="7B1A19A4">
                  <w:pPr>
                    <w:jc w:val="center"/>
                    <w:rPr>
                      <w:rFonts w:hint="default" w:ascii="Times New Roman" w:hAnsi="Times New Roman"/>
                      <w:color w:val="auto"/>
                      <w:lang w:val="en-US" w:eastAsia="zh-CN"/>
                    </w:rPr>
                  </w:pPr>
                  <w:r>
                    <w:rPr>
                      <w:rFonts w:hint="eastAsia" w:ascii="Times New Roman" w:hAnsi="Times New Roman"/>
                      <w:color w:val="auto"/>
                      <w:lang w:val="en-US" w:eastAsia="zh-CN"/>
                    </w:rPr>
                    <w:t>1500</w:t>
                  </w:r>
                </w:p>
              </w:tc>
              <w:tc>
                <w:tcPr>
                  <w:tcW w:w="691" w:type="pct"/>
                  <w:noWrap w:val="0"/>
                  <w:vAlign w:val="center"/>
                </w:tcPr>
                <w:p w14:paraId="4F0D9412">
                  <w:pPr>
                    <w:jc w:val="center"/>
                    <w:rPr>
                      <w:rFonts w:hint="default" w:ascii="Times New Roman" w:hAnsi="Times New Roman"/>
                      <w:color w:val="auto"/>
                      <w:lang w:val="en-US" w:eastAsia="zh-CN"/>
                    </w:rPr>
                  </w:pPr>
                  <w:r>
                    <w:rPr>
                      <w:rFonts w:hint="eastAsia" w:ascii="Times New Roman" w:hAnsi="Times New Roman"/>
                      <w:color w:val="auto"/>
                      <w:lang w:val="en-US" w:eastAsia="zh-CN"/>
                    </w:rPr>
                    <w:t>7</w:t>
                  </w:r>
                </w:p>
              </w:tc>
            </w:tr>
            <w:tr w14:paraId="1484E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noWrap w:val="0"/>
                  <w:vAlign w:val="center"/>
                </w:tcPr>
                <w:p w14:paraId="2789B171">
                  <w:pPr>
                    <w:jc w:val="center"/>
                    <w:rPr>
                      <w:rFonts w:ascii="Times New Roman" w:hAnsi="Times New Roman"/>
                      <w:color w:val="auto"/>
                    </w:rPr>
                  </w:pPr>
                  <w:r>
                    <w:rPr>
                      <w:rFonts w:ascii="Times New Roman" w:hAnsi="Times New Roman"/>
                      <w:color w:val="auto"/>
                    </w:rPr>
                    <w:t>2</w:t>
                  </w:r>
                </w:p>
              </w:tc>
              <w:tc>
                <w:tcPr>
                  <w:tcW w:w="729" w:type="pct"/>
                  <w:noWrap w:val="0"/>
                  <w:vAlign w:val="center"/>
                </w:tcPr>
                <w:p w14:paraId="5BFD0169">
                  <w:pPr>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碎米</w:t>
                  </w:r>
                </w:p>
              </w:tc>
              <w:tc>
                <w:tcPr>
                  <w:tcW w:w="887" w:type="pct"/>
                  <w:noWrap w:val="0"/>
                  <w:vAlign w:val="center"/>
                </w:tcPr>
                <w:p w14:paraId="1A52B89F">
                  <w:pPr>
                    <w:jc w:val="center"/>
                    <w:rPr>
                      <w:rFonts w:ascii="Times New Roman" w:hAnsi="Times New Roman"/>
                      <w:color w:val="auto"/>
                      <w:szCs w:val="21"/>
                    </w:rPr>
                  </w:pPr>
                  <w:r>
                    <w:rPr>
                      <w:rFonts w:ascii="Times New Roman" w:hAnsi="Times New Roman"/>
                      <w:color w:val="auto"/>
                      <w:szCs w:val="21"/>
                    </w:rPr>
                    <w:t>5kg~25kg/</w:t>
                  </w:r>
                  <w:r>
                    <w:rPr>
                      <w:rFonts w:ascii="Times New Roman" w:hAnsi="宋体"/>
                      <w:color w:val="auto"/>
                      <w:szCs w:val="21"/>
                    </w:rPr>
                    <w:t>包</w:t>
                  </w:r>
                </w:p>
              </w:tc>
              <w:tc>
                <w:tcPr>
                  <w:tcW w:w="465" w:type="pct"/>
                  <w:noWrap w:val="0"/>
                  <w:vAlign w:val="center"/>
                </w:tcPr>
                <w:p w14:paraId="0F6F9E48">
                  <w:pPr>
                    <w:jc w:val="center"/>
                    <w:rPr>
                      <w:rFonts w:ascii="Times New Roman" w:hAnsi="Times New Roman"/>
                      <w:color w:val="auto"/>
                    </w:rPr>
                  </w:pPr>
                  <w:r>
                    <w:rPr>
                      <w:rFonts w:ascii="Times New Roman" w:hAnsi="Times New Roman"/>
                      <w:color w:val="auto"/>
                    </w:rPr>
                    <w:t>t/a</w:t>
                  </w:r>
                </w:p>
              </w:tc>
              <w:tc>
                <w:tcPr>
                  <w:tcW w:w="649" w:type="pct"/>
                  <w:noWrap w:val="0"/>
                  <w:vAlign w:val="center"/>
                </w:tcPr>
                <w:p w14:paraId="5A1E4E00">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10000</w:t>
                  </w:r>
                </w:p>
              </w:tc>
              <w:tc>
                <w:tcPr>
                  <w:tcW w:w="665" w:type="pct"/>
                  <w:vMerge w:val="restart"/>
                  <w:noWrap w:val="0"/>
                  <w:vAlign w:val="center"/>
                </w:tcPr>
                <w:p w14:paraId="51E6FCD9">
                  <w:pPr>
                    <w:jc w:val="center"/>
                    <w:rPr>
                      <w:rFonts w:hint="eastAsia" w:ascii="Times New Roman" w:hAnsi="Times New Roman"/>
                      <w:color w:val="auto"/>
                      <w:lang w:val="en-US" w:eastAsia="zh-CN"/>
                    </w:rPr>
                  </w:pPr>
                  <w:r>
                    <w:rPr>
                      <w:rFonts w:hint="eastAsia" w:ascii="Times New Roman" w:hAnsi="Times New Roman"/>
                      <w:color w:val="auto"/>
                      <w:lang w:val="en-US" w:eastAsia="zh-CN"/>
                    </w:rPr>
                    <w:t>副产品仓</w:t>
                  </w:r>
                </w:p>
              </w:tc>
              <w:tc>
                <w:tcPr>
                  <w:tcW w:w="626" w:type="pct"/>
                  <w:noWrap w:val="0"/>
                  <w:vAlign w:val="center"/>
                </w:tcPr>
                <w:p w14:paraId="04D07862">
                  <w:pPr>
                    <w:jc w:val="center"/>
                    <w:rPr>
                      <w:rFonts w:hint="default" w:ascii="Times New Roman" w:hAnsi="Times New Roman"/>
                      <w:color w:val="auto"/>
                      <w:lang w:val="en-US" w:eastAsia="zh-CN"/>
                    </w:rPr>
                  </w:pPr>
                  <w:r>
                    <w:rPr>
                      <w:rFonts w:hint="eastAsia" w:ascii="Times New Roman" w:hAnsi="Times New Roman"/>
                      <w:color w:val="auto"/>
                      <w:lang w:val="en-US" w:eastAsia="zh-CN"/>
                    </w:rPr>
                    <w:t>250</w:t>
                  </w:r>
                </w:p>
              </w:tc>
              <w:tc>
                <w:tcPr>
                  <w:tcW w:w="691" w:type="pct"/>
                  <w:noWrap w:val="0"/>
                  <w:vAlign w:val="center"/>
                </w:tcPr>
                <w:p w14:paraId="10504CD4">
                  <w:pPr>
                    <w:jc w:val="center"/>
                    <w:rPr>
                      <w:rFonts w:hint="eastAsia" w:ascii="Times New Roman" w:hAnsi="Times New Roman"/>
                      <w:color w:val="auto"/>
                      <w:lang w:val="en-US" w:eastAsia="zh-CN"/>
                    </w:rPr>
                  </w:pPr>
                  <w:r>
                    <w:rPr>
                      <w:rFonts w:hint="eastAsia" w:ascii="Times New Roman" w:hAnsi="Times New Roman"/>
                      <w:color w:val="auto"/>
                      <w:lang w:val="en-US" w:eastAsia="zh-CN"/>
                    </w:rPr>
                    <w:t>7</w:t>
                  </w:r>
                </w:p>
              </w:tc>
            </w:tr>
            <w:tr w14:paraId="546BC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3" w:type="pct"/>
                  <w:noWrap w:val="0"/>
                  <w:vAlign w:val="center"/>
                </w:tcPr>
                <w:p w14:paraId="5C77AC0A">
                  <w:pPr>
                    <w:jc w:val="center"/>
                    <w:rPr>
                      <w:rFonts w:ascii="Times New Roman" w:hAnsi="Times New Roman"/>
                      <w:color w:val="auto"/>
                    </w:rPr>
                  </w:pPr>
                  <w:r>
                    <w:rPr>
                      <w:rFonts w:ascii="Times New Roman" w:hAnsi="Times New Roman"/>
                      <w:color w:val="auto"/>
                    </w:rPr>
                    <w:t>3</w:t>
                  </w:r>
                </w:p>
              </w:tc>
              <w:tc>
                <w:tcPr>
                  <w:tcW w:w="729" w:type="pct"/>
                  <w:noWrap w:val="0"/>
                  <w:vAlign w:val="center"/>
                </w:tcPr>
                <w:p w14:paraId="4CBEF26C">
                  <w:pPr>
                    <w:jc w:val="center"/>
                    <w:rPr>
                      <w:rFonts w:ascii="Times New Roman" w:hAnsi="宋体"/>
                      <w:color w:val="auto"/>
                    </w:rPr>
                  </w:pPr>
                  <w:r>
                    <w:rPr>
                      <w:rFonts w:ascii="Times New Roman" w:hAnsi="宋体"/>
                      <w:color w:val="auto"/>
                    </w:rPr>
                    <w:t>粮油米糠</w:t>
                  </w:r>
                </w:p>
              </w:tc>
              <w:tc>
                <w:tcPr>
                  <w:tcW w:w="887" w:type="pct"/>
                  <w:noWrap w:val="0"/>
                  <w:vAlign w:val="center"/>
                </w:tcPr>
                <w:p w14:paraId="4FF1D150">
                  <w:pPr>
                    <w:jc w:val="center"/>
                    <w:rPr>
                      <w:rFonts w:ascii="Times New Roman" w:hAnsi="Times New Roman"/>
                      <w:color w:val="auto"/>
                      <w:szCs w:val="21"/>
                    </w:rPr>
                  </w:pPr>
                  <w:r>
                    <w:rPr>
                      <w:rFonts w:ascii="Times New Roman" w:hAnsi="Times New Roman"/>
                      <w:color w:val="auto"/>
                      <w:szCs w:val="21"/>
                    </w:rPr>
                    <w:t>/</w:t>
                  </w:r>
                </w:p>
              </w:tc>
              <w:tc>
                <w:tcPr>
                  <w:tcW w:w="465" w:type="pct"/>
                  <w:noWrap w:val="0"/>
                  <w:vAlign w:val="center"/>
                </w:tcPr>
                <w:p w14:paraId="45849825">
                  <w:pPr>
                    <w:jc w:val="center"/>
                    <w:rPr>
                      <w:rFonts w:ascii="Times New Roman" w:hAnsi="Times New Roman"/>
                      <w:color w:val="auto"/>
                    </w:rPr>
                  </w:pPr>
                  <w:r>
                    <w:rPr>
                      <w:rFonts w:ascii="Times New Roman" w:hAnsi="Times New Roman"/>
                      <w:color w:val="auto"/>
                    </w:rPr>
                    <w:t>t/a</w:t>
                  </w:r>
                </w:p>
              </w:tc>
              <w:tc>
                <w:tcPr>
                  <w:tcW w:w="649" w:type="pct"/>
                  <w:noWrap w:val="0"/>
                  <w:vAlign w:val="center"/>
                </w:tcPr>
                <w:p w14:paraId="0EC16E0A">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15000</w:t>
                  </w:r>
                </w:p>
              </w:tc>
              <w:tc>
                <w:tcPr>
                  <w:tcW w:w="665" w:type="pct"/>
                  <w:vMerge w:val="continue"/>
                  <w:noWrap w:val="0"/>
                  <w:vAlign w:val="center"/>
                </w:tcPr>
                <w:p w14:paraId="716CFDAD">
                  <w:pPr>
                    <w:jc w:val="center"/>
                    <w:rPr>
                      <w:rFonts w:hint="eastAsia" w:ascii="Times New Roman" w:hAnsi="Times New Roman"/>
                      <w:color w:val="auto"/>
                      <w:lang w:val="en-US" w:eastAsia="zh-CN"/>
                    </w:rPr>
                  </w:pPr>
                </w:p>
              </w:tc>
              <w:tc>
                <w:tcPr>
                  <w:tcW w:w="626" w:type="pct"/>
                  <w:noWrap w:val="0"/>
                  <w:vAlign w:val="center"/>
                </w:tcPr>
                <w:p w14:paraId="626FA6A5">
                  <w:pPr>
                    <w:jc w:val="center"/>
                    <w:rPr>
                      <w:rFonts w:hint="eastAsia" w:ascii="Times New Roman" w:hAnsi="Times New Roman"/>
                      <w:color w:val="auto"/>
                      <w:lang w:val="en-US" w:eastAsia="zh-CN"/>
                    </w:rPr>
                  </w:pPr>
                  <w:r>
                    <w:rPr>
                      <w:rFonts w:hint="eastAsia" w:ascii="Times New Roman" w:hAnsi="Times New Roman"/>
                      <w:color w:val="auto"/>
                      <w:lang w:val="en-US" w:eastAsia="zh-CN"/>
                    </w:rPr>
                    <w:t>250</w:t>
                  </w:r>
                </w:p>
              </w:tc>
              <w:tc>
                <w:tcPr>
                  <w:tcW w:w="691" w:type="pct"/>
                  <w:noWrap w:val="0"/>
                  <w:vAlign w:val="center"/>
                </w:tcPr>
                <w:p w14:paraId="0C0ABAC1">
                  <w:pPr>
                    <w:jc w:val="center"/>
                    <w:rPr>
                      <w:rFonts w:hint="eastAsia" w:ascii="Times New Roman" w:hAnsi="Times New Roman"/>
                      <w:color w:val="auto"/>
                      <w:lang w:val="en-US" w:eastAsia="zh-CN"/>
                    </w:rPr>
                  </w:pPr>
                  <w:r>
                    <w:rPr>
                      <w:rFonts w:hint="eastAsia" w:ascii="Times New Roman" w:hAnsi="Times New Roman"/>
                      <w:color w:val="auto"/>
                      <w:lang w:val="en-US" w:eastAsia="zh-CN"/>
                    </w:rPr>
                    <w:t>7</w:t>
                  </w:r>
                </w:p>
              </w:tc>
            </w:tr>
            <w:tr w14:paraId="5BFE8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 w:hRule="atLeast"/>
                <w:jc w:val="center"/>
              </w:trPr>
              <w:tc>
                <w:tcPr>
                  <w:tcW w:w="283" w:type="pct"/>
                  <w:noWrap w:val="0"/>
                  <w:vAlign w:val="center"/>
                </w:tcPr>
                <w:p w14:paraId="11DA317B">
                  <w:pPr>
                    <w:jc w:val="center"/>
                    <w:rPr>
                      <w:rFonts w:hint="eastAsia" w:ascii="Times New Roman" w:hAnsi="Times New Roman" w:eastAsia="宋体"/>
                      <w:color w:val="auto"/>
                      <w:lang w:val="en-US" w:eastAsia="zh-CN"/>
                    </w:rPr>
                  </w:pPr>
                  <w:r>
                    <w:rPr>
                      <w:rFonts w:hint="eastAsia" w:ascii="Times New Roman" w:hAnsi="Times New Roman"/>
                      <w:color w:val="auto"/>
                      <w:lang w:val="en-US" w:eastAsia="zh-CN"/>
                    </w:rPr>
                    <w:t>4</w:t>
                  </w:r>
                </w:p>
              </w:tc>
              <w:tc>
                <w:tcPr>
                  <w:tcW w:w="729" w:type="pct"/>
                  <w:noWrap w:val="0"/>
                  <w:vAlign w:val="center"/>
                </w:tcPr>
                <w:p w14:paraId="5C5AA8EC">
                  <w:pPr>
                    <w:jc w:val="center"/>
                    <w:rPr>
                      <w:rFonts w:ascii="Times New Roman" w:hAnsi="Times New Roman"/>
                      <w:color w:val="auto"/>
                    </w:rPr>
                  </w:pPr>
                  <w:r>
                    <w:rPr>
                      <w:rFonts w:ascii="Times New Roman" w:hAnsi="宋体"/>
                      <w:color w:val="auto"/>
                    </w:rPr>
                    <w:t>稻壳</w:t>
                  </w:r>
                </w:p>
              </w:tc>
              <w:tc>
                <w:tcPr>
                  <w:tcW w:w="887" w:type="pct"/>
                  <w:noWrap w:val="0"/>
                  <w:vAlign w:val="center"/>
                </w:tcPr>
                <w:p w14:paraId="7893E902">
                  <w:pPr>
                    <w:jc w:val="center"/>
                    <w:rPr>
                      <w:rFonts w:ascii="Times New Roman" w:hAnsi="Times New Roman"/>
                      <w:color w:val="auto"/>
                      <w:szCs w:val="21"/>
                    </w:rPr>
                  </w:pPr>
                  <w:r>
                    <w:rPr>
                      <w:rFonts w:ascii="Times New Roman" w:hAnsi="Times New Roman"/>
                      <w:color w:val="auto"/>
                      <w:szCs w:val="21"/>
                    </w:rPr>
                    <w:t>/</w:t>
                  </w:r>
                </w:p>
              </w:tc>
              <w:tc>
                <w:tcPr>
                  <w:tcW w:w="465" w:type="pct"/>
                  <w:noWrap w:val="0"/>
                  <w:vAlign w:val="center"/>
                </w:tcPr>
                <w:p w14:paraId="23A46C80">
                  <w:pPr>
                    <w:jc w:val="center"/>
                    <w:rPr>
                      <w:rFonts w:ascii="Times New Roman" w:hAnsi="Times New Roman"/>
                      <w:color w:val="auto"/>
                    </w:rPr>
                  </w:pPr>
                  <w:r>
                    <w:rPr>
                      <w:rFonts w:ascii="Times New Roman" w:hAnsi="Times New Roman"/>
                      <w:color w:val="auto"/>
                    </w:rPr>
                    <w:t>t/a</w:t>
                  </w:r>
                </w:p>
              </w:tc>
              <w:tc>
                <w:tcPr>
                  <w:tcW w:w="649" w:type="pct"/>
                  <w:noWrap w:val="0"/>
                  <w:vAlign w:val="center"/>
                </w:tcPr>
                <w:p w14:paraId="4C00354E">
                  <w:pPr>
                    <w:jc w:val="center"/>
                    <w:rPr>
                      <w:rFonts w:hint="default" w:ascii="Times New Roman" w:hAnsi="Times New Roman" w:eastAsia="宋体"/>
                      <w:color w:val="auto"/>
                      <w:lang w:val="en-US" w:eastAsia="zh-CN"/>
                    </w:rPr>
                  </w:pPr>
                  <w:r>
                    <w:rPr>
                      <w:rFonts w:hint="eastAsia" w:ascii="Times New Roman" w:hAnsi="Times New Roman"/>
                      <w:color w:val="auto"/>
                      <w:lang w:val="en-US" w:eastAsia="zh-CN"/>
                    </w:rPr>
                    <w:t>15000</w:t>
                  </w:r>
                </w:p>
              </w:tc>
              <w:tc>
                <w:tcPr>
                  <w:tcW w:w="665" w:type="pct"/>
                  <w:vMerge w:val="continue"/>
                  <w:noWrap w:val="0"/>
                  <w:vAlign w:val="center"/>
                </w:tcPr>
                <w:p w14:paraId="3E5AEC48">
                  <w:pPr>
                    <w:jc w:val="center"/>
                    <w:rPr>
                      <w:rFonts w:hint="eastAsia" w:ascii="Times New Roman" w:hAnsi="Times New Roman"/>
                      <w:color w:val="auto"/>
                      <w:lang w:val="en-US" w:eastAsia="zh-CN"/>
                    </w:rPr>
                  </w:pPr>
                </w:p>
              </w:tc>
              <w:tc>
                <w:tcPr>
                  <w:tcW w:w="626" w:type="pct"/>
                  <w:noWrap w:val="0"/>
                  <w:vAlign w:val="center"/>
                </w:tcPr>
                <w:p w14:paraId="6E978530">
                  <w:pPr>
                    <w:jc w:val="center"/>
                    <w:rPr>
                      <w:rFonts w:hint="eastAsia" w:ascii="Times New Roman" w:hAnsi="Times New Roman"/>
                      <w:color w:val="auto"/>
                      <w:lang w:val="en-US" w:eastAsia="zh-CN"/>
                    </w:rPr>
                  </w:pPr>
                  <w:r>
                    <w:rPr>
                      <w:rFonts w:hint="eastAsia" w:ascii="Times New Roman" w:hAnsi="Times New Roman"/>
                      <w:color w:val="auto"/>
                      <w:lang w:val="en-US" w:eastAsia="zh-CN"/>
                    </w:rPr>
                    <w:t>250</w:t>
                  </w:r>
                </w:p>
              </w:tc>
              <w:tc>
                <w:tcPr>
                  <w:tcW w:w="691" w:type="pct"/>
                  <w:noWrap w:val="0"/>
                  <w:vAlign w:val="center"/>
                </w:tcPr>
                <w:p w14:paraId="58A9AC53">
                  <w:pPr>
                    <w:jc w:val="center"/>
                    <w:rPr>
                      <w:rFonts w:hint="eastAsia" w:ascii="Times New Roman" w:hAnsi="Times New Roman"/>
                      <w:color w:val="auto"/>
                      <w:lang w:val="en-US" w:eastAsia="zh-CN"/>
                    </w:rPr>
                  </w:pPr>
                  <w:r>
                    <w:rPr>
                      <w:rFonts w:hint="eastAsia" w:ascii="Times New Roman" w:hAnsi="Times New Roman"/>
                      <w:color w:val="auto"/>
                      <w:lang w:val="en-US" w:eastAsia="zh-CN"/>
                    </w:rPr>
                    <w:t>7</w:t>
                  </w:r>
                </w:p>
              </w:tc>
            </w:tr>
          </w:tbl>
          <w:p w14:paraId="2E50B055">
            <w:pPr>
              <w:spacing w:line="360" w:lineRule="auto"/>
              <w:rPr>
                <w:color w:val="auto"/>
                <w:sz w:val="24"/>
                <w:szCs w:val="24"/>
              </w:rPr>
            </w:pPr>
            <w:r>
              <w:rPr>
                <w:rFonts w:hint="eastAsia"/>
                <w:b/>
                <w:color w:val="auto"/>
                <w:sz w:val="24"/>
                <w:szCs w:val="24"/>
              </w:rPr>
              <w:t>4、主要生产设备</w:t>
            </w:r>
          </w:p>
          <w:p w14:paraId="5DE7A250">
            <w:pPr>
              <w:spacing w:line="360" w:lineRule="auto"/>
              <w:ind w:firstLine="480" w:firstLineChars="200"/>
              <w:rPr>
                <w:color w:val="auto"/>
                <w:sz w:val="24"/>
                <w:szCs w:val="24"/>
              </w:rPr>
            </w:pPr>
            <w:r>
              <w:rPr>
                <w:rFonts w:hint="eastAsia"/>
                <w:color w:val="auto"/>
                <w:sz w:val="24"/>
                <w:szCs w:val="24"/>
              </w:rPr>
              <w:t>建设项目主要生产设备见下表。</w:t>
            </w:r>
          </w:p>
          <w:p w14:paraId="3CD43868">
            <w:pPr>
              <w:spacing w:line="360" w:lineRule="auto"/>
              <w:jc w:val="center"/>
              <w:rPr>
                <w:b/>
                <w:color w:val="auto"/>
                <w:szCs w:val="21"/>
              </w:rPr>
            </w:pPr>
            <w:r>
              <w:rPr>
                <w:b/>
                <w:color w:val="auto"/>
                <w:szCs w:val="21"/>
              </w:rPr>
              <w:t>表</w:t>
            </w:r>
            <w:r>
              <w:rPr>
                <w:rFonts w:hint="eastAsia"/>
                <w:b/>
                <w:color w:val="auto"/>
                <w:szCs w:val="21"/>
              </w:rPr>
              <w:t>2-5</w:t>
            </w:r>
            <w:r>
              <w:rPr>
                <w:b/>
                <w:color w:val="auto"/>
                <w:szCs w:val="21"/>
              </w:rPr>
              <w:t xml:space="preserve">  </w:t>
            </w:r>
            <w:r>
              <w:rPr>
                <w:rFonts w:hint="eastAsia"/>
                <w:b/>
                <w:color w:val="auto"/>
                <w:szCs w:val="21"/>
              </w:rPr>
              <w:t>建设项目</w:t>
            </w:r>
            <w:r>
              <w:rPr>
                <w:b/>
                <w:color w:val="auto"/>
                <w:szCs w:val="21"/>
              </w:rPr>
              <w:t>主要生产设备一览表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899"/>
              <w:gridCol w:w="2205"/>
              <w:gridCol w:w="2270"/>
              <w:gridCol w:w="1536"/>
              <w:gridCol w:w="1537"/>
            </w:tblGrid>
            <w:tr w14:paraId="625E6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6" w:hRule="atLeast"/>
                <w:jc w:val="center"/>
              </w:trPr>
              <w:tc>
                <w:tcPr>
                  <w:tcW w:w="532" w:type="pct"/>
                  <w:noWrap w:val="0"/>
                  <w:vAlign w:val="center"/>
                </w:tcPr>
                <w:p w14:paraId="11C28699">
                  <w:pPr>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序号</w:t>
                  </w:r>
                </w:p>
              </w:tc>
              <w:tc>
                <w:tcPr>
                  <w:tcW w:w="1305" w:type="pct"/>
                  <w:noWrap w:val="0"/>
                  <w:vAlign w:val="center"/>
                </w:tcPr>
                <w:p w14:paraId="29EAC960">
                  <w:pPr>
                    <w:ind w:firstLine="422"/>
                    <w:jc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名称</w:t>
                  </w:r>
                </w:p>
              </w:tc>
              <w:tc>
                <w:tcPr>
                  <w:tcW w:w="1343" w:type="pct"/>
                  <w:noWrap w:val="0"/>
                  <w:vAlign w:val="center"/>
                </w:tcPr>
                <w:p w14:paraId="11F4ABFE">
                  <w:pPr>
                    <w:widowControl/>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型号规格</w:t>
                  </w:r>
                </w:p>
              </w:tc>
              <w:tc>
                <w:tcPr>
                  <w:tcW w:w="909" w:type="pct"/>
                  <w:noWrap w:val="0"/>
                  <w:vAlign w:val="center"/>
                </w:tcPr>
                <w:p w14:paraId="35C0A2C9">
                  <w:pPr>
                    <w:widowControl/>
                    <w:jc w:val="center"/>
                    <w:textAlignment w:val="center"/>
                    <w:rPr>
                      <w:rFonts w:hint="eastAsia" w:ascii="Times New Roman" w:hAnsi="Times New Roman" w:eastAsia="宋体" w:cs="Times New Roman"/>
                      <w:b/>
                      <w:bCs/>
                      <w:color w:val="auto"/>
                      <w:lang w:eastAsia="zh-CN"/>
                    </w:rPr>
                  </w:pPr>
                  <w:r>
                    <w:rPr>
                      <w:rFonts w:hint="eastAsia" w:cs="Times New Roman"/>
                      <w:b/>
                      <w:bCs/>
                      <w:color w:val="auto"/>
                      <w:lang w:eastAsia="zh-CN"/>
                    </w:rPr>
                    <w:t>单位</w:t>
                  </w:r>
                </w:p>
              </w:tc>
              <w:tc>
                <w:tcPr>
                  <w:tcW w:w="909" w:type="pct"/>
                  <w:noWrap w:val="0"/>
                  <w:vAlign w:val="center"/>
                </w:tcPr>
                <w:p w14:paraId="72A9B0C8">
                  <w:pPr>
                    <w:widowControl/>
                    <w:jc w:val="center"/>
                    <w:textAlignment w:val="center"/>
                    <w:rPr>
                      <w:rFonts w:hint="default" w:ascii="Times New Roman" w:hAnsi="Times New Roman" w:eastAsia="宋体" w:cs="Times New Roman"/>
                      <w:b/>
                      <w:bCs/>
                      <w:color w:val="auto"/>
                    </w:rPr>
                  </w:pPr>
                  <w:r>
                    <w:rPr>
                      <w:rFonts w:hint="default" w:ascii="Times New Roman" w:hAnsi="Times New Roman" w:eastAsia="宋体" w:cs="Times New Roman"/>
                      <w:b/>
                      <w:bCs/>
                      <w:color w:val="auto"/>
                    </w:rPr>
                    <w:t>数量</w:t>
                  </w:r>
                </w:p>
              </w:tc>
            </w:tr>
            <w:tr w14:paraId="5956B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jc w:val="center"/>
              </w:trPr>
              <w:tc>
                <w:tcPr>
                  <w:tcW w:w="532" w:type="pct"/>
                  <w:noWrap w:val="0"/>
                  <w:vAlign w:val="center"/>
                </w:tcPr>
                <w:p w14:paraId="34084E5D">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w:t>
                  </w:r>
                </w:p>
              </w:tc>
              <w:tc>
                <w:tcPr>
                  <w:tcW w:w="1305" w:type="pct"/>
                  <w:noWrap w:val="0"/>
                  <w:vAlign w:val="center"/>
                </w:tcPr>
                <w:p w14:paraId="167345D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振动清理筛</w:t>
                  </w:r>
                </w:p>
              </w:tc>
              <w:tc>
                <w:tcPr>
                  <w:tcW w:w="1343" w:type="pct"/>
                  <w:noWrap w:val="0"/>
                  <w:vAlign w:val="center"/>
                </w:tcPr>
                <w:p w14:paraId="3AA33EA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shd w:val="clear" w:color="auto" w:fill="auto"/>
                      <w:lang w:val="en-US" w:eastAsia="zh-CN"/>
                    </w:rPr>
                    <w:t>HZXZ200*250-2L</w:t>
                  </w:r>
                </w:p>
              </w:tc>
              <w:tc>
                <w:tcPr>
                  <w:tcW w:w="909" w:type="pct"/>
                  <w:noWrap w:val="0"/>
                  <w:vAlign w:val="center"/>
                </w:tcPr>
                <w:p w14:paraId="7D9E3882">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套</w:t>
                  </w:r>
                </w:p>
              </w:tc>
              <w:tc>
                <w:tcPr>
                  <w:tcW w:w="909" w:type="pct"/>
                  <w:noWrap w:val="0"/>
                  <w:vAlign w:val="center"/>
                </w:tcPr>
                <w:p w14:paraId="25997E36">
                  <w:pPr>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shd w:val="clear" w:color="auto" w:fill="auto"/>
                      <w:lang w:val="en-US" w:eastAsia="zh-CN"/>
                    </w:rPr>
                    <w:t>1</w:t>
                  </w:r>
                </w:p>
              </w:tc>
            </w:tr>
            <w:tr w14:paraId="52EF6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15" w:hRule="atLeast"/>
                <w:jc w:val="center"/>
              </w:trPr>
              <w:tc>
                <w:tcPr>
                  <w:tcW w:w="532" w:type="pct"/>
                  <w:noWrap w:val="0"/>
                  <w:vAlign w:val="center"/>
                </w:tcPr>
                <w:p w14:paraId="4995794C">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2</w:t>
                  </w:r>
                </w:p>
              </w:tc>
              <w:tc>
                <w:tcPr>
                  <w:tcW w:w="1305" w:type="pct"/>
                  <w:noWrap w:val="0"/>
                  <w:vAlign w:val="center"/>
                </w:tcPr>
                <w:p w14:paraId="50E95988">
                  <w:pPr>
                    <w:jc w:val="center"/>
                    <w:rPr>
                      <w:rFonts w:hint="default" w:ascii="Times New Roman" w:hAnsi="Times New Roman" w:eastAsia="宋体" w:cs="Times New Roman"/>
                      <w:color w:val="auto"/>
                      <w:lang w:eastAsia="zh-CN"/>
                    </w:rPr>
                  </w:pPr>
                  <w:r>
                    <w:rPr>
                      <w:rFonts w:hint="eastAsia" w:cs="Times New Roman"/>
                      <w:color w:val="auto"/>
                      <w:lang w:eastAsia="zh-CN"/>
                    </w:rPr>
                    <w:t>除尘机</w:t>
                  </w:r>
                </w:p>
              </w:tc>
              <w:tc>
                <w:tcPr>
                  <w:tcW w:w="1343" w:type="pct"/>
                  <w:noWrap w:val="0"/>
                  <w:vAlign w:val="center"/>
                </w:tcPr>
                <w:p w14:paraId="1E08D499">
                  <w:pPr>
                    <w:ind w:left="420" w:leftChars="0" w:hanging="42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shd w:val="clear" w:color="auto" w:fill="auto"/>
                      <w:lang w:val="en-US" w:eastAsia="zh-CN"/>
                    </w:rPr>
                    <w:t>TQSX125A</w:t>
                  </w:r>
                </w:p>
              </w:tc>
              <w:tc>
                <w:tcPr>
                  <w:tcW w:w="909" w:type="pct"/>
                  <w:noWrap w:val="0"/>
                  <w:vAlign w:val="center"/>
                </w:tcPr>
                <w:p w14:paraId="5C010AF7">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579DE7FF">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8</w:t>
                  </w:r>
                </w:p>
              </w:tc>
            </w:tr>
            <w:tr w14:paraId="54DE8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532" w:type="pct"/>
                  <w:noWrap w:val="0"/>
                  <w:vAlign w:val="center"/>
                </w:tcPr>
                <w:p w14:paraId="13667975">
                  <w:pPr>
                    <w:jc w:val="center"/>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3</w:t>
                  </w:r>
                </w:p>
              </w:tc>
              <w:tc>
                <w:tcPr>
                  <w:tcW w:w="1305" w:type="pct"/>
                  <w:noWrap w:val="0"/>
                  <w:vAlign w:val="center"/>
                </w:tcPr>
                <w:p w14:paraId="4F08EB42">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shd w:val="clear" w:color="auto" w:fill="auto"/>
                      <w:lang w:val="en-US" w:eastAsia="zh-CN"/>
                    </w:rPr>
                    <w:t>砻谷机</w:t>
                  </w:r>
                </w:p>
              </w:tc>
              <w:tc>
                <w:tcPr>
                  <w:tcW w:w="1343" w:type="pct"/>
                  <w:noWrap w:val="0"/>
                  <w:vAlign w:val="center"/>
                </w:tcPr>
                <w:p w14:paraId="617544A2">
                  <w:pPr>
                    <w:ind w:left="420" w:leftChars="0" w:hanging="420" w:firstLineChars="0"/>
                    <w:jc w:val="center"/>
                    <w:rPr>
                      <w:rFonts w:hint="default" w:ascii="Times New Roman" w:hAnsi="Times New Roman" w:eastAsia="宋体" w:cs="Times New Roman"/>
                      <w:color w:val="auto"/>
                    </w:rPr>
                  </w:pPr>
                  <w:r>
                    <w:rPr>
                      <w:rFonts w:hint="default" w:ascii="Times New Roman" w:hAnsi="Times New Roman" w:eastAsia="宋体" w:cs="Times New Roman"/>
                      <w:color w:val="auto"/>
                      <w:sz w:val="21"/>
                      <w:szCs w:val="21"/>
                      <w:shd w:val="clear" w:color="auto" w:fill="auto"/>
                      <w:lang w:val="en-US" w:eastAsia="zh-CN"/>
                    </w:rPr>
                    <w:t>QLB14A</w:t>
                  </w:r>
                </w:p>
              </w:tc>
              <w:tc>
                <w:tcPr>
                  <w:tcW w:w="909" w:type="pct"/>
                  <w:noWrap w:val="0"/>
                  <w:vAlign w:val="center"/>
                </w:tcPr>
                <w:p w14:paraId="04B22FF8">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组</w:t>
                  </w:r>
                </w:p>
              </w:tc>
              <w:tc>
                <w:tcPr>
                  <w:tcW w:w="909" w:type="pct"/>
                  <w:noWrap w:val="0"/>
                  <w:vAlign w:val="center"/>
                </w:tcPr>
                <w:p w14:paraId="0683180A">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2</w:t>
                  </w:r>
                </w:p>
              </w:tc>
            </w:tr>
            <w:tr w14:paraId="57E70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532" w:type="pct"/>
                  <w:noWrap w:val="0"/>
                  <w:vAlign w:val="center"/>
                </w:tcPr>
                <w:p w14:paraId="31E64B61">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w:t>
                  </w:r>
                </w:p>
              </w:tc>
              <w:tc>
                <w:tcPr>
                  <w:tcW w:w="1305" w:type="pct"/>
                  <w:noWrap w:val="0"/>
                  <w:vAlign w:val="center"/>
                </w:tcPr>
                <w:p w14:paraId="4418DAF6">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谷糙分离筛</w:t>
                  </w:r>
                </w:p>
              </w:tc>
              <w:tc>
                <w:tcPr>
                  <w:tcW w:w="1343" w:type="pct"/>
                  <w:noWrap w:val="0"/>
                  <w:vAlign w:val="center"/>
                </w:tcPr>
                <w:p w14:paraId="577A5AA8">
                  <w:pPr>
                    <w:ind w:left="420" w:leftChars="0" w:hanging="42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shd w:val="clear" w:color="auto" w:fill="auto"/>
                      <w:lang w:val="en-US" w:eastAsia="zh-CN"/>
                    </w:rPr>
                    <w:t>TQLM150</w:t>
                  </w:r>
                </w:p>
              </w:tc>
              <w:tc>
                <w:tcPr>
                  <w:tcW w:w="909" w:type="pct"/>
                  <w:noWrap w:val="0"/>
                  <w:vAlign w:val="center"/>
                </w:tcPr>
                <w:p w14:paraId="27931612">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组</w:t>
                  </w:r>
                </w:p>
              </w:tc>
              <w:tc>
                <w:tcPr>
                  <w:tcW w:w="909" w:type="pct"/>
                  <w:noWrap w:val="0"/>
                  <w:vAlign w:val="center"/>
                </w:tcPr>
                <w:p w14:paraId="468923B4">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shd w:val="clear" w:color="auto" w:fill="auto"/>
                      <w:lang w:val="en-US" w:eastAsia="zh-CN"/>
                    </w:rPr>
                    <w:t>1</w:t>
                  </w:r>
                </w:p>
              </w:tc>
            </w:tr>
            <w:tr w14:paraId="6B25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90" w:hRule="atLeast"/>
                <w:jc w:val="center"/>
              </w:trPr>
              <w:tc>
                <w:tcPr>
                  <w:tcW w:w="532" w:type="pct"/>
                  <w:noWrap w:val="0"/>
                  <w:vAlign w:val="center"/>
                </w:tcPr>
                <w:p w14:paraId="02E34595">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5</w:t>
                  </w:r>
                </w:p>
              </w:tc>
              <w:tc>
                <w:tcPr>
                  <w:tcW w:w="1305" w:type="pct"/>
                  <w:noWrap w:val="0"/>
                  <w:vAlign w:val="center"/>
                </w:tcPr>
                <w:p w14:paraId="7B716E5B">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白米分级筛</w:t>
                  </w:r>
                </w:p>
              </w:tc>
              <w:tc>
                <w:tcPr>
                  <w:tcW w:w="1343" w:type="pct"/>
                  <w:noWrap w:val="0"/>
                  <w:vAlign w:val="center"/>
                </w:tcPr>
                <w:p w14:paraId="7AF0879C">
                  <w:pPr>
                    <w:ind w:left="420" w:leftChars="0" w:hanging="42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shd w:val="clear" w:color="auto" w:fill="auto"/>
                      <w:lang w:val="en-US" w:eastAsia="zh-CN"/>
                    </w:rPr>
                    <w:t>MGCZ70*22*2</w:t>
                  </w:r>
                </w:p>
              </w:tc>
              <w:tc>
                <w:tcPr>
                  <w:tcW w:w="909" w:type="pct"/>
                  <w:noWrap w:val="0"/>
                  <w:vAlign w:val="center"/>
                </w:tcPr>
                <w:p w14:paraId="5F9B127C">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套</w:t>
                  </w:r>
                </w:p>
              </w:tc>
              <w:tc>
                <w:tcPr>
                  <w:tcW w:w="909" w:type="pct"/>
                  <w:noWrap w:val="0"/>
                  <w:vAlign w:val="center"/>
                </w:tcPr>
                <w:p w14:paraId="144988F8">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w:t>
                  </w:r>
                </w:p>
              </w:tc>
            </w:tr>
            <w:tr w14:paraId="718CD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41F28E56">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6</w:t>
                  </w:r>
                </w:p>
              </w:tc>
              <w:tc>
                <w:tcPr>
                  <w:tcW w:w="1305" w:type="pct"/>
                  <w:noWrap w:val="0"/>
                  <w:vAlign w:val="center"/>
                </w:tcPr>
                <w:p w14:paraId="13691CCB">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色选机</w:t>
                  </w:r>
                </w:p>
              </w:tc>
              <w:tc>
                <w:tcPr>
                  <w:tcW w:w="1343" w:type="pct"/>
                  <w:noWrap w:val="0"/>
                  <w:vAlign w:val="center"/>
                </w:tcPr>
                <w:p w14:paraId="67CFD8F3">
                  <w:pPr>
                    <w:ind w:left="420" w:leftChars="0" w:hanging="42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shd w:val="clear" w:color="auto" w:fill="auto"/>
                      <w:lang w:val="en-US" w:eastAsia="zh-CN"/>
                    </w:rPr>
                    <w:t>MGCZ60*20*1</w:t>
                  </w:r>
                </w:p>
              </w:tc>
              <w:tc>
                <w:tcPr>
                  <w:tcW w:w="909" w:type="pct"/>
                  <w:noWrap w:val="0"/>
                  <w:vAlign w:val="center"/>
                </w:tcPr>
                <w:p w14:paraId="233F59E7">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59511038">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w:t>
                  </w:r>
                </w:p>
              </w:tc>
            </w:tr>
            <w:tr w14:paraId="3977F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68230CF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7</w:t>
                  </w:r>
                </w:p>
              </w:tc>
              <w:tc>
                <w:tcPr>
                  <w:tcW w:w="1305" w:type="pct"/>
                  <w:noWrap w:val="0"/>
                  <w:vAlign w:val="center"/>
                </w:tcPr>
                <w:p w14:paraId="5DA2BE6B">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抛光机</w:t>
                  </w:r>
                </w:p>
              </w:tc>
              <w:tc>
                <w:tcPr>
                  <w:tcW w:w="1343" w:type="pct"/>
                  <w:noWrap w:val="0"/>
                  <w:vAlign w:val="center"/>
                </w:tcPr>
                <w:p w14:paraId="549F19A5">
                  <w:pPr>
                    <w:ind w:left="420" w:leftChars="0" w:hanging="42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shd w:val="clear" w:color="auto" w:fill="auto"/>
                      <w:lang w:val="en-US" w:eastAsia="zh-CN"/>
                    </w:rPr>
                    <w:t>MSXC780RS2</w:t>
                  </w:r>
                </w:p>
              </w:tc>
              <w:tc>
                <w:tcPr>
                  <w:tcW w:w="909" w:type="pct"/>
                  <w:noWrap w:val="0"/>
                  <w:vAlign w:val="center"/>
                </w:tcPr>
                <w:p w14:paraId="4185CE20">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575DDDDC">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4</w:t>
                  </w:r>
                </w:p>
              </w:tc>
            </w:tr>
            <w:tr w14:paraId="6A7E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00598B6C">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8</w:t>
                  </w:r>
                </w:p>
              </w:tc>
              <w:tc>
                <w:tcPr>
                  <w:tcW w:w="1305" w:type="pct"/>
                  <w:noWrap w:val="0"/>
                  <w:vAlign w:val="center"/>
                </w:tcPr>
                <w:p w14:paraId="6F4F8D88">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碾米机</w:t>
                  </w:r>
                </w:p>
              </w:tc>
              <w:tc>
                <w:tcPr>
                  <w:tcW w:w="1343" w:type="pct"/>
                  <w:noWrap w:val="0"/>
                  <w:vAlign w:val="center"/>
                </w:tcPr>
                <w:p w14:paraId="01C305E2">
                  <w:pPr>
                    <w:ind w:left="420" w:leftChars="0" w:hanging="42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sz w:val="21"/>
                      <w:szCs w:val="21"/>
                      <w:shd w:val="clear" w:color="auto" w:fill="auto"/>
                      <w:lang w:val="en-US" w:eastAsia="zh-CN"/>
                    </w:rPr>
                    <w:t>CFN25FK</w:t>
                  </w:r>
                </w:p>
              </w:tc>
              <w:tc>
                <w:tcPr>
                  <w:tcW w:w="909" w:type="pct"/>
                  <w:noWrap w:val="0"/>
                  <w:vAlign w:val="center"/>
                </w:tcPr>
                <w:p w14:paraId="498DFDA6">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60C66E5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8</w:t>
                  </w:r>
                </w:p>
              </w:tc>
            </w:tr>
            <w:tr w14:paraId="1B00A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4C825C3D">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9</w:t>
                  </w:r>
                </w:p>
              </w:tc>
              <w:tc>
                <w:tcPr>
                  <w:tcW w:w="1305" w:type="pct"/>
                  <w:noWrap w:val="0"/>
                  <w:vAlign w:val="center"/>
                </w:tcPr>
                <w:p w14:paraId="579D997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电子包装机</w:t>
                  </w:r>
                </w:p>
              </w:tc>
              <w:tc>
                <w:tcPr>
                  <w:tcW w:w="1343" w:type="pct"/>
                  <w:noWrap w:val="0"/>
                  <w:vAlign w:val="center"/>
                </w:tcPr>
                <w:p w14:paraId="0C85DA88">
                  <w:pPr>
                    <w:ind w:left="420" w:leftChars="0" w:hanging="42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shd w:val="clear" w:color="auto" w:fill="auto"/>
                      <w:lang w:val="en-US" w:eastAsia="zh-CN"/>
                    </w:rPr>
                    <w:t>/</w:t>
                  </w:r>
                </w:p>
              </w:tc>
              <w:tc>
                <w:tcPr>
                  <w:tcW w:w="909" w:type="pct"/>
                  <w:noWrap w:val="0"/>
                  <w:vAlign w:val="center"/>
                </w:tcPr>
                <w:p w14:paraId="19E953A0">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577B8C4C">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w:t>
                  </w:r>
                </w:p>
              </w:tc>
            </w:tr>
            <w:tr w14:paraId="271D1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0765F48B">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10</w:t>
                  </w:r>
                </w:p>
              </w:tc>
              <w:tc>
                <w:tcPr>
                  <w:tcW w:w="1305" w:type="pct"/>
                  <w:noWrap w:val="0"/>
                  <w:vAlign w:val="center"/>
                </w:tcPr>
                <w:p w14:paraId="478123B4">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风机</w:t>
                  </w:r>
                </w:p>
              </w:tc>
              <w:tc>
                <w:tcPr>
                  <w:tcW w:w="1343" w:type="pct"/>
                  <w:noWrap w:val="0"/>
                  <w:vAlign w:val="center"/>
                </w:tcPr>
                <w:p w14:paraId="5E709066">
                  <w:pPr>
                    <w:ind w:left="420" w:leftChars="0" w:hanging="42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shd w:val="clear" w:color="auto" w:fill="auto"/>
                      <w:lang w:val="en-US" w:eastAsia="zh-CN"/>
                    </w:rPr>
                    <w:t>/</w:t>
                  </w:r>
                </w:p>
              </w:tc>
              <w:tc>
                <w:tcPr>
                  <w:tcW w:w="909" w:type="pct"/>
                  <w:noWrap w:val="0"/>
                  <w:vAlign w:val="center"/>
                </w:tcPr>
                <w:p w14:paraId="74DF7DD1">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42A9A26D">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r>
            <w:tr w14:paraId="58578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0D04BC43">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11</w:t>
                  </w:r>
                </w:p>
              </w:tc>
              <w:tc>
                <w:tcPr>
                  <w:tcW w:w="1305" w:type="pct"/>
                  <w:noWrap w:val="0"/>
                  <w:vAlign w:val="center"/>
                </w:tcPr>
                <w:p w14:paraId="571493A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输送机</w:t>
                  </w:r>
                </w:p>
              </w:tc>
              <w:tc>
                <w:tcPr>
                  <w:tcW w:w="1343" w:type="pct"/>
                  <w:noWrap w:val="0"/>
                  <w:vAlign w:val="center"/>
                </w:tcPr>
                <w:p w14:paraId="29A630E9">
                  <w:pPr>
                    <w:ind w:left="420" w:leftChars="0" w:hanging="42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shd w:val="clear" w:color="auto" w:fill="auto"/>
                      <w:lang w:val="en-US" w:eastAsia="zh-CN"/>
                    </w:rPr>
                    <w:t>/</w:t>
                  </w:r>
                </w:p>
              </w:tc>
              <w:tc>
                <w:tcPr>
                  <w:tcW w:w="909" w:type="pct"/>
                  <w:noWrap w:val="0"/>
                  <w:vAlign w:val="center"/>
                </w:tcPr>
                <w:p w14:paraId="1113A427">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005F9E86">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6</w:t>
                  </w:r>
                </w:p>
              </w:tc>
            </w:tr>
            <w:tr w14:paraId="33E09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1" w:hRule="atLeast"/>
                <w:jc w:val="center"/>
              </w:trPr>
              <w:tc>
                <w:tcPr>
                  <w:tcW w:w="532" w:type="pct"/>
                  <w:noWrap w:val="0"/>
                  <w:vAlign w:val="center"/>
                </w:tcPr>
                <w:p w14:paraId="75690318">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12</w:t>
                  </w:r>
                </w:p>
              </w:tc>
              <w:tc>
                <w:tcPr>
                  <w:tcW w:w="1305" w:type="pct"/>
                  <w:noWrap w:val="0"/>
                  <w:vAlign w:val="center"/>
                </w:tcPr>
                <w:p w14:paraId="40509C37">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地磅</w:t>
                  </w:r>
                </w:p>
              </w:tc>
              <w:tc>
                <w:tcPr>
                  <w:tcW w:w="1343" w:type="pct"/>
                  <w:noWrap w:val="0"/>
                  <w:vAlign w:val="center"/>
                </w:tcPr>
                <w:p w14:paraId="73D35BDC">
                  <w:pPr>
                    <w:ind w:left="420" w:leftChars="0" w:hanging="420" w:firstLineChars="0"/>
                    <w:jc w:val="center"/>
                    <w:rPr>
                      <w:rFonts w:hint="default" w:ascii="Times New Roman" w:hAnsi="Times New Roman" w:eastAsia="宋体" w:cs="Times New Roman"/>
                      <w:color w:val="auto"/>
                      <w:lang w:val="en-US" w:eastAsia="zh-CN"/>
                    </w:rPr>
                  </w:pPr>
                  <w:r>
                    <w:rPr>
                      <w:rFonts w:hint="eastAsia" w:cs="Times New Roman"/>
                      <w:color w:val="auto"/>
                      <w:sz w:val="21"/>
                      <w:szCs w:val="21"/>
                      <w:shd w:val="clear" w:color="auto" w:fill="auto"/>
                      <w:lang w:val="en-US" w:eastAsia="zh-CN"/>
                    </w:rPr>
                    <w:t>/</w:t>
                  </w:r>
                </w:p>
              </w:tc>
              <w:tc>
                <w:tcPr>
                  <w:tcW w:w="909" w:type="pct"/>
                  <w:noWrap w:val="0"/>
                  <w:vAlign w:val="center"/>
                </w:tcPr>
                <w:p w14:paraId="477A623C">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11FF19BE">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w:t>
                  </w:r>
                </w:p>
              </w:tc>
            </w:tr>
            <w:tr w14:paraId="5B882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21" w:hRule="atLeast"/>
                <w:jc w:val="center"/>
              </w:trPr>
              <w:tc>
                <w:tcPr>
                  <w:tcW w:w="532" w:type="pct"/>
                  <w:noWrap w:val="0"/>
                  <w:vAlign w:val="center"/>
                </w:tcPr>
                <w:p w14:paraId="7A4EC739">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w:t>
                  </w:r>
                </w:p>
              </w:tc>
              <w:tc>
                <w:tcPr>
                  <w:tcW w:w="1305" w:type="pct"/>
                  <w:noWrap w:val="0"/>
                  <w:vAlign w:val="center"/>
                </w:tcPr>
                <w:p w14:paraId="7314BE19">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装卸机</w:t>
                  </w:r>
                </w:p>
              </w:tc>
              <w:tc>
                <w:tcPr>
                  <w:tcW w:w="1343" w:type="pct"/>
                  <w:noWrap w:val="0"/>
                  <w:vAlign w:val="center"/>
                </w:tcPr>
                <w:p w14:paraId="3FB769D8">
                  <w:pPr>
                    <w:ind w:left="420" w:leftChars="0" w:hanging="420" w:firstLineChars="0"/>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w:t>
                  </w:r>
                </w:p>
              </w:tc>
              <w:tc>
                <w:tcPr>
                  <w:tcW w:w="909" w:type="pct"/>
                  <w:noWrap w:val="0"/>
                  <w:vAlign w:val="center"/>
                </w:tcPr>
                <w:p w14:paraId="7E3758A3">
                  <w:pPr>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32FC91AF">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2</w:t>
                  </w:r>
                </w:p>
              </w:tc>
            </w:tr>
            <w:tr w14:paraId="5692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676D990E">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w:t>
                  </w:r>
                </w:p>
              </w:tc>
              <w:tc>
                <w:tcPr>
                  <w:tcW w:w="1305" w:type="pct"/>
                  <w:noWrap w:val="0"/>
                  <w:vAlign w:val="center"/>
                </w:tcPr>
                <w:p w14:paraId="5422CE04">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提升机</w:t>
                  </w:r>
                </w:p>
              </w:tc>
              <w:tc>
                <w:tcPr>
                  <w:tcW w:w="1343" w:type="pct"/>
                  <w:noWrap w:val="0"/>
                  <w:vAlign w:val="center"/>
                </w:tcPr>
                <w:p w14:paraId="4119C7EA">
                  <w:pPr>
                    <w:ind w:left="420" w:leftChars="0" w:hanging="420" w:firstLineChars="0"/>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w:t>
                  </w:r>
                </w:p>
              </w:tc>
              <w:tc>
                <w:tcPr>
                  <w:tcW w:w="909" w:type="pct"/>
                  <w:noWrap w:val="0"/>
                  <w:vAlign w:val="center"/>
                </w:tcPr>
                <w:p w14:paraId="4B1A57B3">
                  <w:pPr>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套</w:t>
                  </w:r>
                </w:p>
              </w:tc>
              <w:tc>
                <w:tcPr>
                  <w:tcW w:w="909" w:type="pct"/>
                  <w:noWrap w:val="0"/>
                  <w:vAlign w:val="center"/>
                </w:tcPr>
                <w:p w14:paraId="1B9CF29A">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20</w:t>
                  </w:r>
                </w:p>
              </w:tc>
            </w:tr>
            <w:tr w14:paraId="5548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6B1892AC">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1305" w:type="pct"/>
                  <w:noWrap w:val="0"/>
                  <w:vAlign w:val="center"/>
                </w:tcPr>
                <w:p w14:paraId="24DAD64D">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稻谷仓</w:t>
                  </w:r>
                </w:p>
              </w:tc>
              <w:tc>
                <w:tcPr>
                  <w:tcW w:w="1343" w:type="pct"/>
                  <w:noWrap w:val="0"/>
                  <w:vAlign w:val="center"/>
                </w:tcPr>
                <w:p w14:paraId="5B8C4991">
                  <w:pPr>
                    <w:ind w:left="420" w:leftChars="0" w:hanging="420" w:firstLineChars="0"/>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单座稻谷仓250t</w:t>
                  </w:r>
                </w:p>
              </w:tc>
              <w:tc>
                <w:tcPr>
                  <w:tcW w:w="909" w:type="pct"/>
                  <w:noWrap w:val="0"/>
                  <w:vAlign w:val="center"/>
                </w:tcPr>
                <w:p w14:paraId="6C06F203">
                  <w:pPr>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个</w:t>
                  </w:r>
                </w:p>
              </w:tc>
              <w:tc>
                <w:tcPr>
                  <w:tcW w:w="909" w:type="pct"/>
                  <w:noWrap w:val="0"/>
                  <w:vAlign w:val="center"/>
                </w:tcPr>
                <w:p w14:paraId="4C151F00">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9</w:t>
                  </w:r>
                </w:p>
              </w:tc>
            </w:tr>
            <w:tr w14:paraId="0FA1E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shd w:val="clear" w:color="auto" w:fill="auto"/>
                  <w:noWrap w:val="0"/>
                  <w:vAlign w:val="center"/>
                </w:tcPr>
                <w:p w14:paraId="515F0668">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16</w:t>
                  </w:r>
                </w:p>
              </w:tc>
              <w:tc>
                <w:tcPr>
                  <w:tcW w:w="1305" w:type="pct"/>
                  <w:noWrap w:val="0"/>
                  <w:vAlign w:val="center"/>
                </w:tcPr>
                <w:p w14:paraId="709C54E9">
                  <w:pPr>
                    <w:jc w:val="center"/>
                    <w:rPr>
                      <w:rFonts w:hint="eastAsia"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成品仓</w:t>
                  </w:r>
                </w:p>
              </w:tc>
              <w:tc>
                <w:tcPr>
                  <w:tcW w:w="1343" w:type="pct"/>
                  <w:noWrap w:val="0"/>
                  <w:vAlign w:val="center"/>
                </w:tcPr>
                <w:p w14:paraId="543FF514">
                  <w:pPr>
                    <w:ind w:left="420" w:leftChars="0" w:hanging="420" w:firstLineChars="0"/>
                    <w:jc w:val="center"/>
                    <w:rPr>
                      <w:rFonts w:hint="default"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单座成品仓80t</w:t>
                  </w:r>
                </w:p>
              </w:tc>
              <w:tc>
                <w:tcPr>
                  <w:tcW w:w="909" w:type="pct"/>
                  <w:noWrap w:val="0"/>
                  <w:vAlign w:val="center"/>
                </w:tcPr>
                <w:p w14:paraId="39D42C04">
                  <w:pPr>
                    <w:jc w:val="center"/>
                    <w:rPr>
                      <w:rFonts w:hint="eastAsia"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个</w:t>
                  </w:r>
                </w:p>
              </w:tc>
              <w:tc>
                <w:tcPr>
                  <w:tcW w:w="909" w:type="pct"/>
                  <w:noWrap w:val="0"/>
                  <w:vAlign w:val="center"/>
                </w:tcPr>
                <w:p w14:paraId="25D4B568">
                  <w:pPr>
                    <w:jc w:val="center"/>
                    <w:rPr>
                      <w:rFonts w:hint="default"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18</w:t>
                  </w:r>
                </w:p>
              </w:tc>
            </w:tr>
            <w:tr w14:paraId="07D16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shd w:val="clear" w:color="auto" w:fill="auto"/>
                  <w:noWrap w:val="0"/>
                  <w:vAlign w:val="center"/>
                </w:tcPr>
                <w:p w14:paraId="36FB298B">
                  <w:pPr>
                    <w:jc w:val="center"/>
                    <w:rPr>
                      <w:rFonts w:hint="eastAsia" w:ascii="Times New Roman" w:hAnsi="Times New Roman" w:eastAsia="宋体" w:cs="Times New Roman"/>
                      <w:color w:val="auto"/>
                      <w:kern w:val="2"/>
                      <w:sz w:val="21"/>
                      <w:lang w:val="en-US" w:eastAsia="zh-CN" w:bidi="ar-SA"/>
                    </w:rPr>
                  </w:pPr>
                  <w:r>
                    <w:rPr>
                      <w:rFonts w:hint="eastAsia" w:cs="Times New Roman"/>
                      <w:color w:val="auto"/>
                      <w:lang w:val="en-US" w:eastAsia="zh-CN"/>
                    </w:rPr>
                    <w:t>17</w:t>
                  </w:r>
                </w:p>
              </w:tc>
              <w:tc>
                <w:tcPr>
                  <w:tcW w:w="1305" w:type="pct"/>
                  <w:noWrap w:val="0"/>
                  <w:vAlign w:val="center"/>
                </w:tcPr>
                <w:p w14:paraId="043BC22B">
                  <w:pPr>
                    <w:jc w:val="center"/>
                    <w:rPr>
                      <w:rFonts w:hint="eastAsia"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副产品仓</w:t>
                  </w:r>
                </w:p>
              </w:tc>
              <w:tc>
                <w:tcPr>
                  <w:tcW w:w="1343" w:type="pct"/>
                  <w:noWrap w:val="0"/>
                  <w:vAlign w:val="center"/>
                </w:tcPr>
                <w:p w14:paraId="592DD6AA">
                  <w:pPr>
                    <w:ind w:left="420" w:leftChars="0" w:hanging="420" w:firstLineChars="0"/>
                    <w:jc w:val="center"/>
                    <w:rPr>
                      <w:rFonts w:hint="eastAsia" w:cs="Times New Roman"/>
                      <w:color w:val="auto"/>
                      <w:sz w:val="21"/>
                      <w:szCs w:val="21"/>
                      <w:shd w:val="clear" w:color="auto" w:fill="auto"/>
                      <w:lang w:val="en-US" w:eastAsia="zh-CN"/>
                    </w:rPr>
                  </w:pPr>
                  <w:r>
                    <w:rPr>
                      <w:rFonts w:hint="eastAsia" w:ascii="Times New Roman" w:hAnsi="Times New Roman" w:eastAsia="宋体" w:cs="Times New Roman"/>
                      <w:color w:val="auto"/>
                      <w:sz w:val="21"/>
                      <w:szCs w:val="21"/>
                      <w:shd w:val="clear" w:color="auto" w:fill="auto"/>
                      <w:lang w:val="en-US" w:eastAsia="zh-CN"/>
                    </w:rPr>
                    <w:t>单座副产品仓80t</w:t>
                  </w:r>
                </w:p>
              </w:tc>
              <w:tc>
                <w:tcPr>
                  <w:tcW w:w="909" w:type="pct"/>
                  <w:noWrap w:val="0"/>
                  <w:vAlign w:val="center"/>
                </w:tcPr>
                <w:p w14:paraId="33D3E33F">
                  <w:pPr>
                    <w:jc w:val="center"/>
                    <w:rPr>
                      <w:rFonts w:hint="eastAsia" w:cs="Times New Roman"/>
                      <w:color w:val="auto"/>
                      <w:sz w:val="21"/>
                      <w:szCs w:val="21"/>
                      <w:shd w:val="clear" w:color="auto" w:fill="auto"/>
                      <w:lang w:val="en-US" w:eastAsia="zh-CN"/>
                    </w:rPr>
                  </w:pPr>
                  <w:r>
                    <w:rPr>
                      <w:rFonts w:hint="eastAsia" w:eastAsia="宋体" w:cs="Times New Roman"/>
                      <w:color w:val="auto"/>
                      <w:sz w:val="21"/>
                      <w:szCs w:val="21"/>
                      <w:shd w:val="clear" w:color="auto" w:fill="auto"/>
                      <w:lang w:val="en-US" w:eastAsia="zh-CN"/>
                    </w:rPr>
                    <w:t>个</w:t>
                  </w:r>
                </w:p>
              </w:tc>
              <w:tc>
                <w:tcPr>
                  <w:tcW w:w="909" w:type="pct"/>
                  <w:noWrap w:val="0"/>
                  <w:vAlign w:val="center"/>
                </w:tcPr>
                <w:p w14:paraId="6FE67201">
                  <w:pPr>
                    <w:jc w:val="center"/>
                    <w:rPr>
                      <w:rFonts w:hint="default"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11</w:t>
                  </w:r>
                </w:p>
              </w:tc>
            </w:tr>
            <w:tr w14:paraId="3C743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shd w:val="clear" w:color="auto" w:fill="auto"/>
                  <w:noWrap w:val="0"/>
                  <w:vAlign w:val="center"/>
                </w:tcPr>
                <w:p w14:paraId="32E4D86A">
                  <w:pPr>
                    <w:jc w:val="center"/>
                    <w:rPr>
                      <w:rFonts w:hint="default" w:ascii="Times New Roman" w:hAnsi="Times New Roman" w:eastAsia="宋体" w:cs="Times New Roman"/>
                      <w:color w:val="auto"/>
                      <w:kern w:val="2"/>
                      <w:sz w:val="21"/>
                      <w:lang w:val="en-US" w:eastAsia="zh-CN" w:bidi="ar-SA"/>
                    </w:rPr>
                  </w:pPr>
                  <w:r>
                    <w:rPr>
                      <w:rFonts w:hint="eastAsia" w:cs="Times New Roman"/>
                      <w:color w:val="auto"/>
                      <w:lang w:val="en-US" w:eastAsia="zh-CN"/>
                    </w:rPr>
                    <w:t>18</w:t>
                  </w:r>
                </w:p>
              </w:tc>
              <w:tc>
                <w:tcPr>
                  <w:tcW w:w="1305" w:type="pct"/>
                  <w:noWrap w:val="0"/>
                  <w:vAlign w:val="center"/>
                </w:tcPr>
                <w:p w14:paraId="30D7E01E">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电动机</w:t>
                  </w:r>
                </w:p>
              </w:tc>
              <w:tc>
                <w:tcPr>
                  <w:tcW w:w="1343" w:type="pct"/>
                  <w:noWrap w:val="0"/>
                  <w:vAlign w:val="center"/>
                </w:tcPr>
                <w:p w14:paraId="748E45DF">
                  <w:pPr>
                    <w:ind w:left="420" w:leftChars="0" w:hanging="420" w:firstLineChars="0"/>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w:t>
                  </w:r>
                </w:p>
              </w:tc>
              <w:tc>
                <w:tcPr>
                  <w:tcW w:w="909" w:type="pct"/>
                  <w:noWrap w:val="0"/>
                  <w:vAlign w:val="center"/>
                </w:tcPr>
                <w:p w14:paraId="55E5BFCB">
                  <w:pPr>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442AC4AD">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40</w:t>
                  </w:r>
                </w:p>
              </w:tc>
            </w:tr>
            <w:tr w14:paraId="0D59A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468E2CF7">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19</w:t>
                  </w:r>
                </w:p>
              </w:tc>
              <w:tc>
                <w:tcPr>
                  <w:tcW w:w="1305" w:type="pct"/>
                  <w:noWrap w:val="0"/>
                  <w:vAlign w:val="center"/>
                </w:tcPr>
                <w:p w14:paraId="1682616A">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重力分级机</w:t>
                  </w:r>
                </w:p>
              </w:tc>
              <w:tc>
                <w:tcPr>
                  <w:tcW w:w="1343" w:type="pct"/>
                  <w:noWrap w:val="0"/>
                  <w:vAlign w:val="center"/>
                </w:tcPr>
                <w:p w14:paraId="73CDE872">
                  <w:pPr>
                    <w:ind w:left="420" w:leftChars="0" w:hanging="420" w:firstLineChars="0"/>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w:t>
                  </w:r>
                </w:p>
              </w:tc>
              <w:tc>
                <w:tcPr>
                  <w:tcW w:w="909" w:type="pct"/>
                  <w:noWrap w:val="0"/>
                  <w:vAlign w:val="center"/>
                </w:tcPr>
                <w:p w14:paraId="0066B7A8">
                  <w:pPr>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台</w:t>
                  </w:r>
                </w:p>
              </w:tc>
              <w:tc>
                <w:tcPr>
                  <w:tcW w:w="909" w:type="pct"/>
                  <w:noWrap w:val="0"/>
                  <w:vAlign w:val="center"/>
                </w:tcPr>
                <w:p w14:paraId="59AD2177">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8</w:t>
                  </w:r>
                </w:p>
              </w:tc>
            </w:tr>
            <w:tr w14:paraId="21818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85" w:hRule="atLeast"/>
                <w:jc w:val="center"/>
              </w:trPr>
              <w:tc>
                <w:tcPr>
                  <w:tcW w:w="532" w:type="pct"/>
                  <w:noWrap w:val="0"/>
                  <w:vAlign w:val="center"/>
                </w:tcPr>
                <w:p w14:paraId="285B2C50">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20</w:t>
                  </w:r>
                </w:p>
              </w:tc>
              <w:tc>
                <w:tcPr>
                  <w:tcW w:w="1305" w:type="pct"/>
                  <w:noWrap w:val="0"/>
                  <w:vAlign w:val="center"/>
                </w:tcPr>
                <w:p w14:paraId="4B625580">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低温碾机</w:t>
                  </w:r>
                </w:p>
              </w:tc>
              <w:tc>
                <w:tcPr>
                  <w:tcW w:w="1343" w:type="pct"/>
                  <w:noWrap w:val="0"/>
                  <w:vAlign w:val="center"/>
                </w:tcPr>
                <w:p w14:paraId="450576C8">
                  <w:pPr>
                    <w:ind w:left="420" w:leftChars="0" w:hanging="420" w:firstLineChars="0"/>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w:t>
                  </w:r>
                </w:p>
              </w:tc>
              <w:tc>
                <w:tcPr>
                  <w:tcW w:w="909" w:type="pct"/>
                  <w:noWrap w:val="0"/>
                  <w:vAlign w:val="center"/>
                </w:tcPr>
                <w:p w14:paraId="40B7DC39">
                  <w:pPr>
                    <w:jc w:val="center"/>
                    <w:rPr>
                      <w:rFonts w:hint="eastAsia"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组</w:t>
                  </w:r>
                </w:p>
              </w:tc>
              <w:tc>
                <w:tcPr>
                  <w:tcW w:w="909" w:type="pct"/>
                  <w:noWrap w:val="0"/>
                  <w:vAlign w:val="center"/>
                </w:tcPr>
                <w:p w14:paraId="14E4AB8B">
                  <w:pPr>
                    <w:jc w:val="center"/>
                    <w:rPr>
                      <w:rFonts w:hint="default" w:ascii="Times New Roman" w:hAnsi="Times New Roman" w:eastAsia="宋体" w:cs="Times New Roman"/>
                      <w:color w:val="auto"/>
                      <w:sz w:val="21"/>
                      <w:szCs w:val="21"/>
                      <w:shd w:val="clear" w:color="auto" w:fill="auto"/>
                      <w:lang w:val="en-US" w:eastAsia="zh-CN"/>
                    </w:rPr>
                  </w:pPr>
                  <w:r>
                    <w:rPr>
                      <w:rFonts w:hint="eastAsia" w:cs="Times New Roman"/>
                      <w:color w:val="auto"/>
                      <w:sz w:val="21"/>
                      <w:szCs w:val="21"/>
                      <w:shd w:val="clear" w:color="auto" w:fill="auto"/>
                      <w:lang w:val="en-US" w:eastAsia="zh-CN"/>
                    </w:rPr>
                    <w:t>8</w:t>
                  </w:r>
                </w:p>
              </w:tc>
            </w:tr>
          </w:tbl>
          <w:p w14:paraId="4CDF677A">
            <w:pPr>
              <w:adjustRightInd w:val="0"/>
              <w:spacing w:line="440" w:lineRule="exact"/>
              <w:ind w:firstLine="472" w:firstLineChars="196"/>
              <w:rPr>
                <w:rFonts w:hint="default" w:ascii="Times New Roman" w:hAnsi="Times New Roman" w:cs="Times New Roman"/>
                <w:b/>
                <w:color w:val="auto"/>
                <w:sz w:val="24"/>
              </w:rPr>
            </w:pPr>
            <w:r>
              <w:rPr>
                <w:rFonts w:hint="default" w:ascii="Times New Roman" w:hAnsi="Times New Roman" w:cs="Times New Roman"/>
                <w:b/>
                <w:color w:val="auto"/>
                <w:sz w:val="24"/>
                <w:lang w:val="en-US" w:eastAsia="zh-CN"/>
              </w:rPr>
              <w:t>主要生产设备与产能匹配性分析：</w:t>
            </w:r>
          </w:p>
          <w:p w14:paraId="3E3DF1FF">
            <w:pPr>
              <w:spacing w:line="360" w:lineRule="auto"/>
              <w:ind w:firstLine="482" w:firstLineChars="200"/>
              <w:rPr>
                <w:rFonts w:hint="default"/>
                <w:color w:val="auto"/>
                <w:sz w:val="24"/>
                <w:szCs w:val="24"/>
              </w:rPr>
            </w:pPr>
            <w:r>
              <w:rPr>
                <w:rFonts w:hint="default"/>
                <w:b/>
                <w:bCs/>
                <w:color w:val="auto"/>
                <w:sz w:val="24"/>
                <w:szCs w:val="24"/>
                <w:lang w:val="en-US" w:eastAsia="zh-CN"/>
              </w:rPr>
              <w:t>大米生产线：</w:t>
            </w:r>
            <w:r>
              <w:rPr>
                <w:rFonts w:hint="default"/>
                <w:color w:val="auto"/>
                <w:sz w:val="24"/>
                <w:szCs w:val="24"/>
                <w:lang w:val="en-US" w:eastAsia="zh-CN"/>
              </w:rPr>
              <w:t>本次大米加工设备属自动化流水行式生产线，日产负荷为</w:t>
            </w:r>
            <w:r>
              <w:rPr>
                <w:rFonts w:hint="eastAsia"/>
                <w:color w:val="auto"/>
                <w:sz w:val="24"/>
                <w:szCs w:val="24"/>
                <w:lang w:val="en-US" w:eastAsia="zh-CN"/>
              </w:rPr>
              <w:t>300</w:t>
            </w:r>
            <w:r>
              <w:rPr>
                <w:rFonts w:hint="default"/>
                <w:color w:val="auto"/>
                <w:sz w:val="24"/>
                <w:szCs w:val="24"/>
                <w:lang w:val="en-US" w:eastAsia="zh-CN"/>
              </w:rPr>
              <w:t>t/d，按照平均每月生产</w:t>
            </w:r>
            <w:r>
              <w:rPr>
                <w:rFonts w:hint="eastAsia"/>
                <w:color w:val="auto"/>
                <w:sz w:val="24"/>
                <w:szCs w:val="24"/>
                <w:lang w:val="en-US" w:eastAsia="zh-CN"/>
              </w:rPr>
              <w:t>20</w:t>
            </w:r>
            <w:r>
              <w:rPr>
                <w:rFonts w:hint="default"/>
                <w:color w:val="auto"/>
                <w:sz w:val="24"/>
                <w:szCs w:val="24"/>
                <w:lang w:val="en-US" w:eastAsia="zh-CN"/>
              </w:rPr>
              <w:t>天（夜间不生产），85%设备运转率的情况下计算，该条生产线设计年产能为</w:t>
            </w:r>
            <w:r>
              <w:rPr>
                <w:rFonts w:hint="eastAsia"/>
                <w:color w:val="auto"/>
                <w:sz w:val="24"/>
                <w:szCs w:val="24"/>
                <w:lang w:val="en-US" w:eastAsia="zh-CN"/>
              </w:rPr>
              <w:t>6.12</w:t>
            </w:r>
            <w:r>
              <w:rPr>
                <w:rFonts w:hint="default"/>
                <w:color w:val="auto"/>
                <w:sz w:val="24"/>
                <w:szCs w:val="24"/>
                <w:lang w:val="en-US" w:eastAsia="zh-CN"/>
              </w:rPr>
              <w:t>万吨/年的精米</w:t>
            </w:r>
            <w:r>
              <w:rPr>
                <w:rFonts w:hint="eastAsia"/>
                <w:color w:val="auto"/>
                <w:sz w:val="24"/>
                <w:szCs w:val="24"/>
                <w:lang w:val="en-US" w:eastAsia="zh-CN"/>
              </w:rPr>
              <w:t>；</w:t>
            </w:r>
            <w:r>
              <w:rPr>
                <w:rFonts w:hint="default"/>
                <w:color w:val="auto"/>
                <w:sz w:val="24"/>
                <w:szCs w:val="24"/>
                <w:lang w:val="en-US" w:eastAsia="zh-CN"/>
              </w:rPr>
              <w:t>满足年产6万吨优质大米需求。</w:t>
            </w:r>
          </w:p>
          <w:p w14:paraId="7A51791B">
            <w:pPr>
              <w:spacing w:line="360" w:lineRule="auto"/>
              <w:rPr>
                <w:color w:val="auto"/>
                <w:sz w:val="24"/>
                <w:szCs w:val="24"/>
              </w:rPr>
            </w:pPr>
            <w:r>
              <w:rPr>
                <w:rFonts w:hint="eastAsia"/>
                <w:b/>
                <w:color w:val="auto"/>
                <w:sz w:val="24"/>
                <w:szCs w:val="24"/>
              </w:rPr>
              <w:t>5、主要原辅材料及燃料</w:t>
            </w:r>
          </w:p>
          <w:p w14:paraId="71FFDBBC">
            <w:pPr>
              <w:spacing w:line="360" w:lineRule="auto"/>
              <w:ind w:firstLine="480" w:firstLineChars="200"/>
              <w:rPr>
                <w:color w:val="auto"/>
                <w:sz w:val="24"/>
                <w:szCs w:val="24"/>
              </w:rPr>
            </w:pPr>
            <w:r>
              <w:rPr>
                <w:rFonts w:hint="eastAsia"/>
                <w:color w:val="auto"/>
                <w:sz w:val="24"/>
                <w:szCs w:val="24"/>
              </w:rPr>
              <w:t>建设项目主要</w:t>
            </w:r>
            <w:r>
              <w:rPr>
                <w:color w:val="auto"/>
                <w:sz w:val="24"/>
                <w:szCs w:val="24"/>
              </w:rPr>
              <w:t>原辅材料</w:t>
            </w:r>
            <w:r>
              <w:rPr>
                <w:rFonts w:hint="eastAsia"/>
                <w:color w:val="auto"/>
                <w:sz w:val="24"/>
                <w:szCs w:val="24"/>
              </w:rPr>
              <w:t>及燃料</w:t>
            </w:r>
            <w:r>
              <w:rPr>
                <w:color w:val="auto"/>
                <w:sz w:val="24"/>
                <w:szCs w:val="24"/>
              </w:rPr>
              <w:t>消耗详见</w:t>
            </w:r>
            <w:r>
              <w:rPr>
                <w:rFonts w:hint="eastAsia"/>
                <w:color w:val="auto"/>
                <w:sz w:val="24"/>
                <w:szCs w:val="24"/>
              </w:rPr>
              <w:t>下表</w:t>
            </w:r>
            <w:r>
              <w:rPr>
                <w:color w:val="auto"/>
                <w:sz w:val="24"/>
                <w:szCs w:val="24"/>
              </w:rPr>
              <w:t>。</w:t>
            </w:r>
          </w:p>
          <w:p w14:paraId="10AAB4E8">
            <w:pPr>
              <w:spacing w:line="360" w:lineRule="auto"/>
              <w:jc w:val="center"/>
              <w:rPr>
                <w:b/>
                <w:color w:val="auto"/>
                <w:szCs w:val="21"/>
              </w:rPr>
            </w:pPr>
            <w:r>
              <w:rPr>
                <w:b/>
                <w:color w:val="auto"/>
                <w:szCs w:val="21"/>
              </w:rPr>
              <w:t>表</w:t>
            </w:r>
            <w:r>
              <w:rPr>
                <w:rFonts w:hint="eastAsia"/>
                <w:b/>
                <w:color w:val="auto"/>
                <w:szCs w:val="21"/>
              </w:rPr>
              <w:t>2-6</w:t>
            </w:r>
            <w:r>
              <w:rPr>
                <w:b/>
                <w:color w:val="auto"/>
                <w:szCs w:val="21"/>
              </w:rPr>
              <w:t xml:space="preserve">  </w:t>
            </w:r>
            <w:r>
              <w:rPr>
                <w:rFonts w:hint="eastAsia"/>
                <w:b/>
                <w:color w:val="auto"/>
                <w:szCs w:val="21"/>
              </w:rPr>
              <w:t>建设项目</w:t>
            </w:r>
            <w:r>
              <w:rPr>
                <w:b/>
                <w:color w:val="auto"/>
                <w:szCs w:val="21"/>
              </w:rPr>
              <w:t>原辅材料及</w:t>
            </w:r>
            <w:r>
              <w:rPr>
                <w:rFonts w:hint="eastAsia"/>
                <w:b/>
                <w:color w:val="auto"/>
                <w:szCs w:val="21"/>
              </w:rPr>
              <w:t>燃料</w:t>
            </w:r>
            <w:r>
              <w:rPr>
                <w:b/>
                <w:color w:val="auto"/>
                <w:szCs w:val="21"/>
              </w:rPr>
              <w:t>用量一览表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
              <w:gridCol w:w="1099"/>
              <w:gridCol w:w="1490"/>
              <w:gridCol w:w="1157"/>
              <w:gridCol w:w="1035"/>
              <w:gridCol w:w="1738"/>
              <w:gridCol w:w="805"/>
              <w:gridCol w:w="659"/>
            </w:tblGrid>
            <w:tr w14:paraId="63F1D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noWrap w:val="0"/>
                  <w:vAlign w:val="center"/>
                </w:tcPr>
                <w:p w14:paraId="7B361705">
                  <w:pPr>
                    <w:jc w:val="center"/>
                    <w:rPr>
                      <w:b/>
                      <w:color w:val="auto"/>
                      <w:spacing w:val="-2"/>
                      <w:kern w:val="0"/>
                      <w:szCs w:val="21"/>
                    </w:rPr>
                  </w:pPr>
                  <w:r>
                    <w:rPr>
                      <w:b/>
                      <w:color w:val="auto"/>
                      <w:spacing w:val="-2"/>
                      <w:kern w:val="0"/>
                      <w:szCs w:val="21"/>
                    </w:rPr>
                    <w:t>序号</w:t>
                  </w:r>
                </w:p>
              </w:tc>
              <w:tc>
                <w:tcPr>
                  <w:tcW w:w="650" w:type="pct"/>
                  <w:noWrap w:val="0"/>
                  <w:vAlign w:val="center"/>
                </w:tcPr>
                <w:p w14:paraId="75ED0636">
                  <w:pPr>
                    <w:jc w:val="center"/>
                    <w:rPr>
                      <w:b/>
                      <w:color w:val="auto"/>
                      <w:spacing w:val="-2"/>
                      <w:kern w:val="0"/>
                      <w:szCs w:val="21"/>
                    </w:rPr>
                  </w:pPr>
                  <w:r>
                    <w:rPr>
                      <w:b/>
                      <w:color w:val="auto"/>
                      <w:spacing w:val="-2"/>
                      <w:kern w:val="0"/>
                      <w:szCs w:val="21"/>
                    </w:rPr>
                    <w:t>物料名称</w:t>
                  </w:r>
                </w:p>
              </w:tc>
              <w:tc>
                <w:tcPr>
                  <w:tcW w:w="881" w:type="pct"/>
                  <w:noWrap w:val="0"/>
                  <w:vAlign w:val="center"/>
                </w:tcPr>
                <w:p w14:paraId="43B8B9BA">
                  <w:pPr>
                    <w:jc w:val="center"/>
                    <w:rPr>
                      <w:b/>
                      <w:color w:val="auto"/>
                      <w:spacing w:val="-2"/>
                      <w:kern w:val="0"/>
                      <w:szCs w:val="21"/>
                    </w:rPr>
                  </w:pPr>
                  <w:r>
                    <w:rPr>
                      <w:b/>
                      <w:color w:val="auto"/>
                      <w:spacing w:val="-2"/>
                      <w:kern w:val="0"/>
                      <w:szCs w:val="21"/>
                    </w:rPr>
                    <w:t>使用量</w:t>
                  </w:r>
                </w:p>
              </w:tc>
              <w:tc>
                <w:tcPr>
                  <w:tcW w:w="684" w:type="pct"/>
                  <w:noWrap w:val="0"/>
                  <w:vAlign w:val="center"/>
                </w:tcPr>
                <w:p w14:paraId="279C82E5">
                  <w:pPr>
                    <w:jc w:val="center"/>
                    <w:rPr>
                      <w:rFonts w:hint="default" w:eastAsia="宋体"/>
                      <w:b/>
                      <w:color w:val="auto"/>
                      <w:spacing w:val="-2"/>
                      <w:kern w:val="0"/>
                      <w:szCs w:val="21"/>
                      <w:lang w:val="en-US" w:eastAsia="zh-CN"/>
                    </w:rPr>
                  </w:pPr>
                  <w:r>
                    <w:rPr>
                      <w:rFonts w:hint="eastAsia"/>
                      <w:b/>
                      <w:color w:val="auto"/>
                      <w:spacing w:val="-2"/>
                      <w:kern w:val="0"/>
                      <w:szCs w:val="21"/>
                      <w:lang w:val="en-US" w:eastAsia="zh-CN"/>
                    </w:rPr>
                    <w:t>粒径/性状</w:t>
                  </w:r>
                </w:p>
              </w:tc>
              <w:tc>
                <w:tcPr>
                  <w:tcW w:w="612" w:type="pct"/>
                  <w:noWrap w:val="0"/>
                  <w:vAlign w:val="center"/>
                </w:tcPr>
                <w:p w14:paraId="6D55A269">
                  <w:pPr>
                    <w:jc w:val="center"/>
                    <w:rPr>
                      <w:b/>
                      <w:color w:val="auto"/>
                      <w:spacing w:val="-2"/>
                      <w:kern w:val="0"/>
                      <w:szCs w:val="21"/>
                    </w:rPr>
                  </w:pPr>
                  <w:r>
                    <w:rPr>
                      <w:b/>
                      <w:color w:val="auto"/>
                      <w:spacing w:val="-2"/>
                      <w:kern w:val="0"/>
                      <w:szCs w:val="21"/>
                    </w:rPr>
                    <w:t>最大储存量</w:t>
                  </w:r>
                </w:p>
              </w:tc>
              <w:tc>
                <w:tcPr>
                  <w:tcW w:w="1028" w:type="pct"/>
                  <w:noWrap w:val="0"/>
                  <w:vAlign w:val="center"/>
                </w:tcPr>
                <w:p w14:paraId="49C25A4A">
                  <w:pPr>
                    <w:jc w:val="center"/>
                    <w:rPr>
                      <w:rFonts w:hint="default" w:eastAsia="宋体"/>
                      <w:b/>
                      <w:color w:val="auto"/>
                      <w:spacing w:val="-2"/>
                      <w:kern w:val="0"/>
                      <w:szCs w:val="21"/>
                      <w:lang w:val="en-US" w:eastAsia="zh-CN"/>
                    </w:rPr>
                  </w:pPr>
                  <w:r>
                    <w:rPr>
                      <w:rFonts w:hint="eastAsia"/>
                      <w:b/>
                      <w:color w:val="auto"/>
                      <w:spacing w:val="-2"/>
                      <w:kern w:val="0"/>
                      <w:szCs w:val="21"/>
                      <w:lang w:val="en-US" w:eastAsia="zh-CN"/>
                    </w:rPr>
                    <w:t>储存方式/规格</w:t>
                  </w:r>
                </w:p>
              </w:tc>
              <w:tc>
                <w:tcPr>
                  <w:tcW w:w="476" w:type="pct"/>
                  <w:noWrap w:val="0"/>
                  <w:vAlign w:val="center"/>
                </w:tcPr>
                <w:p w14:paraId="22C2ECC5">
                  <w:pPr>
                    <w:jc w:val="center"/>
                    <w:rPr>
                      <w:rFonts w:hint="eastAsia" w:eastAsia="宋体"/>
                      <w:b/>
                      <w:color w:val="auto"/>
                      <w:spacing w:val="-2"/>
                      <w:kern w:val="0"/>
                      <w:szCs w:val="21"/>
                      <w:lang w:val="en-US" w:eastAsia="zh-CN"/>
                    </w:rPr>
                  </w:pPr>
                  <w:r>
                    <w:rPr>
                      <w:rFonts w:hint="eastAsia"/>
                      <w:b/>
                      <w:color w:val="auto"/>
                      <w:spacing w:val="-2"/>
                      <w:kern w:val="0"/>
                      <w:szCs w:val="21"/>
                      <w:lang w:val="en-US" w:eastAsia="zh-CN"/>
                    </w:rPr>
                    <w:t>储存地点</w:t>
                  </w:r>
                </w:p>
              </w:tc>
              <w:tc>
                <w:tcPr>
                  <w:tcW w:w="390" w:type="pct"/>
                  <w:noWrap w:val="0"/>
                  <w:vAlign w:val="center"/>
                </w:tcPr>
                <w:p w14:paraId="23BE8151">
                  <w:pPr>
                    <w:jc w:val="center"/>
                    <w:rPr>
                      <w:rFonts w:hint="default" w:eastAsia="宋体"/>
                      <w:b/>
                      <w:color w:val="auto"/>
                      <w:spacing w:val="-2"/>
                      <w:kern w:val="0"/>
                      <w:szCs w:val="21"/>
                      <w:lang w:val="en-US" w:eastAsia="zh-CN"/>
                    </w:rPr>
                  </w:pPr>
                  <w:r>
                    <w:rPr>
                      <w:rFonts w:hint="eastAsia"/>
                      <w:b/>
                      <w:color w:val="auto"/>
                      <w:spacing w:val="-2"/>
                      <w:kern w:val="0"/>
                      <w:szCs w:val="21"/>
                      <w:lang w:val="en-US" w:eastAsia="zh-CN"/>
                    </w:rPr>
                    <w:t>周转周期</w:t>
                  </w:r>
                </w:p>
              </w:tc>
            </w:tr>
            <w:tr w14:paraId="4D7C8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noWrap w:val="0"/>
                  <w:vAlign w:val="center"/>
                </w:tcPr>
                <w:p w14:paraId="13D58D31">
                  <w:pPr>
                    <w:jc w:val="center"/>
                    <w:rPr>
                      <w:color w:val="auto"/>
                      <w:spacing w:val="-2"/>
                      <w:kern w:val="0"/>
                      <w:szCs w:val="21"/>
                    </w:rPr>
                  </w:pPr>
                  <w:r>
                    <w:rPr>
                      <w:color w:val="auto"/>
                      <w:spacing w:val="-2"/>
                      <w:kern w:val="0"/>
                      <w:szCs w:val="21"/>
                    </w:rPr>
                    <w:t>1</w:t>
                  </w:r>
                </w:p>
              </w:tc>
              <w:tc>
                <w:tcPr>
                  <w:tcW w:w="650" w:type="pct"/>
                  <w:noWrap w:val="0"/>
                  <w:vAlign w:val="center"/>
                </w:tcPr>
                <w:p w14:paraId="795DB073">
                  <w:pPr>
                    <w:jc w:val="center"/>
                    <w:rPr>
                      <w:rFonts w:hint="default" w:eastAsia="宋体"/>
                      <w:color w:val="auto"/>
                      <w:szCs w:val="21"/>
                      <w:lang w:val="en-US" w:eastAsia="zh-CN"/>
                    </w:rPr>
                  </w:pPr>
                  <w:r>
                    <w:rPr>
                      <w:rFonts w:hint="default" w:eastAsia="宋体"/>
                      <w:color w:val="auto"/>
                      <w:szCs w:val="21"/>
                      <w:lang w:val="en-US" w:eastAsia="zh-CN"/>
                    </w:rPr>
                    <w:t>稻谷</w:t>
                  </w:r>
                </w:p>
              </w:tc>
              <w:tc>
                <w:tcPr>
                  <w:tcW w:w="881" w:type="pct"/>
                  <w:noWrap w:val="0"/>
                  <w:vAlign w:val="center"/>
                </w:tcPr>
                <w:p w14:paraId="17A2A40F">
                  <w:pPr>
                    <w:jc w:val="center"/>
                    <w:rPr>
                      <w:rFonts w:hint="eastAsia" w:eastAsia="宋体"/>
                      <w:color w:val="auto"/>
                      <w:szCs w:val="21"/>
                      <w:lang w:eastAsia="zh-CN"/>
                    </w:rPr>
                  </w:pPr>
                  <w:r>
                    <w:rPr>
                      <w:rFonts w:hint="eastAsia"/>
                      <w:color w:val="auto"/>
                      <w:szCs w:val="21"/>
                      <w:lang w:val="en-US" w:eastAsia="zh-CN"/>
                    </w:rPr>
                    <w:t>100000</w:t>
                  </w:r>
                  <w:r>
                    <w:rPr>
                      <w:rFonts w:hint="eastAsia"/>
                      <w:color w:val="auto"/>
                      <w:lang w:val="en-US" w:eastAsia="zh-CN"/>
                    </w:rPr>
                    <w:t>t/a</w:t>
                  </w:r>
                </w:p>
              </w:tc>
              <w:tc>
                <w:tcPr>
                  <w:tcW w:w="684" w:type="pct"/>
                  <w:noWrap w:val="0"/>
                  <w:vAlign w:val="center"/>
                </w:tcPr>
                <w:p w14:paraId="5AE04DE8">
                  <w:pPr>
                    <w:jc w:val="center"/>
                    <w:rPr>
                      <w:rFonts w:hint="default"/>
                      <w:color w:val="auto"/>
                      <w:szCs w:val="21"/>
                      <w:lang w:val="en-US" w:eastAsia="zh-CN"/>
                    </w:rPr>
                  </w:pPr>
                  <w:r>
                    <w:rPr>
                      <w:rFonts w:hint="eastAsia" w:ascii="Times New Roman" w:hAnsi="Times New Roman" w:eastAsia="宋体" w:cs="Times New Roman"/>
                      <w:color w:val="auto"/>
                      <w:szCs w:val="21"/>
                      <w:lang w:val="en-US" w:eastAsia="zh-CN"/>
                    </w:rPr>
                    <w:t>颗粒状</w:t>
                  </w:r>
                </w:p>
              </w:tc>
              <w:tc>
                <w:tcPr>
                  <w:tcW w:w="612" w:type="pct"/>
                  <w:noWrap w:val="0"/>
                  <w:vAlign w:val="center"/>
                </w:tcPr>
                <w:p w14:paraId="114F8ED0">
                  <w:pPr>
                    <w:jc w:val="center"/>
                    <w:rPr>
                      <w:rFonts w:hint="default" w:eastAsia="宋体"/>
                      <w:color w:val="auto"/>
                      <w:szCs w:val="21"/>
                      <w:lang w:val="en-US" w:eastAsia="zh-CN"/>
                    </w:rPr>
                  </w:pPr>
                  <w:r>
                    <w:rPr>
                      <w:rFonts w:hint="eastAsia"/>
                      <w:color w:val="auto"/>
                      <w:szCs w:val="21"/>
                      <w:lang w:val="en-US" w:eastAsia="zh-CN"/>
                    </w:rPr>
                    <w:t>6000t</w:t>
                  </w:r>
                </w:p>
              </w:tc>
              <w:tc>
                <w:tcPr>
                  <w:tcW w:w="1028" w:type="pct"/>
                  <w:noWrap w:val="0"/>
                  <w:vAlign w:val="center"/>
                </w:tcPr>
                <w:p w14:paraId="404D820C">
                  <w:pPr>
                    <w:jc w:val="center"/>
                    <w:rPr>
                      <w:rFonts w:hint="default" w:eastAsia="宋体"/>
                      <w:color w:val="auto"/>
                      <w:lang w:val="en-US" w:eastAsia="zh-CN"/>
                    </w:rPr>
                  </w:pPr>
                  <w:r>
                    <w:rPr>
                      <w:rFonts w:hint="eastAsia" w:eastAsia="宋体"/>
                      <w:color w:val="auto"/>
                      <w:lang w:val="en-US" w:eastAsia="zh-CN"/>
                    </w:rPr>
                    <w:t>袋装；50kg/袋/散装</w:t>
                  </w:r>
                </w:p>
              </w:tc>
              <w:tc>
                <w:tcPr>
                  <w:tcW w:w="476" w:type="pct"/>
                  <w:vMerge w:val="restart"/>
                  <w:noWrap w:val="0"/>
                  <w:vAlign w:val="center"/>
                </w:tcPr>
                <w:p w14:paraId="0A484F79">
                  <w:pPr>
                    <w:jc w:val="center"/>
                    <w:rPr>
                      <w:rFonts w:hint="eastAsia"/>
                      <w:color w:val="auto"/>
                    </w:rPr>
                  </w:pPr>
                  <w:r>
                    <w:rPr>
                      <w:rFonts w:hint="eastAsia"/>
                      <w:color w:val="auto"/>
                      <w:spacing w:val="-2"/>
                      <w:kern w:val="0"/>
                      <w:szCs w:val="21"/>
                      <w:lang w:val="en-US" w:eastAsia="zh-CN"/>
                    </w:rPr>
                    <w:t>原料仓库</w:t>
                  </w:r>
                </w:p>
              </w:tc>
              <w:tc>
                <w:tcPr>
                  <w:tcW w:w="390" w:type="pct"/>
                  <w:noWrap w:val="0"/>
                  <w:vAlign w:val="center"/>
                </w:tcPr>
                <w:p w14:paraId="64041740">
                  <w:pPr>
                    <w:jc w:val="center"/>
                    <w:rPr>
                      <w:rFonts w:hint="default" w:eastAsia="宋体"/>
                      <w:color w:val="auto"/>
                      <w:spacing w:val="-2"/>
                      <w:kern w:val="0"/>
                      <w:szCs w:val="21"/>
                      <w:lang w:val="en-US" w:eastAsia="zh-CN"/>
                    </w:rPr>
                  </w:pPr>
                  <w:r>
                    <w:rPr>
                      <w:rFonts w:hint="eastAsia" w:eastAsia="宋体"/>
                      <w:color w:val="auto"/>
                      <w:spacing w:val="-2"/>
                      <w:kern w:val="0"/>
                      <w:szCs w:val="21"/>
                      <w:lang w:val="en-US" w:eastAsia="zh-CN"/>
                    </w:rPr>
                    <w:t>20d</w:t>
                  </w:r>
                </w:p>
              </w:tc>
            </w:tr>
            <w:tr w14:paraId="7785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75" w:type="pct"/>
                  <w:noWrap w:val="0"/>
                  <w:vAlign w:val="center"/>
                </w:tcPr>
                <w:p w14:paraId="09C14F06">
                  <w:pPr>
                    <w:jc w:val="center"/>
                    <w:rPr>
                      <w:rFonts w:hint="eastAsia"/>
                      <w:color w:val="auto"/>
                      <w:spacing w:val="-2"/>
                      <w:kern w:val="0"/>
                      <w:szCs w:val="21"/>
                      <w:lang w:val="en-US" w:eastAsia="zh-CN"/>
                    </w:rPr>
                  </w:pPr>
                  <w:r>
                    <w:rPr>
                      <w:rFonts w:hint="eastAsia"/>
                      <w:color w:val="auto"/>
                      <w:spacing w:val="-2"/>
                      <w:kern w:val="0"/>
                      <w:szCs w:val="21"/>
                      <w:lang w:val="en-US" w:eastAsia="zh-CN"/>
                    </w:rPr>
                    <w:t>2</w:t>
                  </w:r>
                </w:p>
              </w:tc>
              <w:tc>
                <w:tcPr>
                  <w:tcW w:w="650" w:type="pct"/>
                  <w:noWrap w:val="0"/>
                  <w:vAlign w:val="center"/>
                </w:tcPr>
                <w:p w14:paraId="02AA479E">
                  <w:pPr>
                    <w:jc w:val="center"/>
                    <w:rPr>
                      <w:rFonts w:hint="eastAsia" w:eastAsia="宋体"/>
                      <w:color w:val="auto"/>
                      <w:lang w:val="en-US" w:eastAsia="zh-CN"/>
                    </w:rPr>
                  </w:pPr>
                  <w:r>
                    <w:rPr>
                      <w:rFonts w:hint="eastAsia"/>
                      <w:color w:val="auto"/>
                      <w:lang w:val="en-US" w:eastAsia="zh-CN"/>
                    </w:rPr>
                    <w:t>包装材料</w:t>
                  </w:r>
                </w:p>
              </w:tc>
              <w:tc>
                <w:tcPr>
                  <w:tcW w:w="881" w:type="pct"/>
                  <w:noWrap w:val="0"/>
                  <w:vAlign w:val="center"/>
                </w:tcPr>
                <w:p w14:paraId="67C31D7F">
                  <w:pPr>
                    <w:jc w:val="center"/>
                    <w:rPr>
                      <w:rFonts w:hint="default"/>
                      <w:color w:val="auto"/>
                      <w:lang w:val="en-US" w:eastAsia="zh-CN"/>
                    </w:rPr>
                  </w:pPr>
                  <w:r>
                    <w:rPr>
                      <w:rFonts w:hint="eastAsia"/>
                      <w:color w:val="auto"/>
                      <w:lang w:val="en-US" w:eastAsia="zh-CN"/>
                    </w:rPr>
                    <w:t>30t</w:t>
                  </w:r>
                </w:p>
              </w:tc>
              <w:tc>
                <w:tcPr>
                  <w:tcW w:w="684" w:type="pct"/>
                  <w:noWrap w:val="0"/>
                  <w:vAlign w:val="center"/>
                </w:tcPr>
                <w:p w14:paraId="0E65E5FB">
                  <w:pPr>
                    <w:jc w:val="center"/>
                    <w:rPr>
                      <w:rFonts w:hint="default"/>
                      <w:color w:val="auto"/>
                      <w:lang w:val="en-US" w:eastAsia="zh-CN"/>
                    </w:rPr>
                  </w:pPr>
                  <w:r>
                    <w:rPr>
                      <w:rFonts w:hint="eastAsia"/>
                      <w:color w:val="auto"/>
                      <w:lang w:val="en-US" w:eastAsia="zh-CN"/>
                    </w:rPr>
                    <w:t>/</w:t>
                  </w:r>
                </w:p>
              </w:tc>
              <w:tc>
                <w:tcPr>
                  <w:tcW w:w="612" w:type="pct"/>
                  <w:noWrap w:val="0"/>
                  <w:vAlign w:val="center"/>
                </w:tcPr>
                <w:p w14:paraId="5DA8D9B0">
                  <w:pPr>
                    <w:jc w:val="center"/>
                    <w:rPr>
                      <w:rFonts w:hint="default" w:eastAsia="宋体"/>
                      <w:color w:val="auto"/>
                      <w:lang w:val="en-US" w:eastAsia="zh-CN"/>
                    </w:rPr>
                  </w:pPr>
                  <w:r>
                    <w:rPr>
                      <w:rFonts w:hint="eastAsia"/>
                      <w:color w:val="auto"/>
                      <w:lang w:val="en-US" w:eastAsia="zh-CN"/>
                    </w:rPr>
                    <w:t>1t</w:t>
                  </w:r>
                </w:p>
              </w:tc>
              <w:tc>
                <w:tcPr>
                  <w:tcW w:w="1028" w:type="pct"/>
                  <w:noWrap w:val="0"/>
                  <w:vAlign w:val="center"/>
                </w:tcPr>
                <w:p w14:paraId="275BFB28">
                  <w:pPr>
                    <w:jc w:val="center"/>
                    <w:rPr>
                      <w:rFonts w:hint="default"/>
                      <w:color w:val="auto"/>
                      <w:lang w:val="en-US" w:eastAsia="zh-CN"/>
                    </w:rPr>
                  </w:pPr>
                  <w:r>
                    <w:rPr>
                      <w:rFonts w:hint="eastAsia"/>
                      <w:color w:val="auto"/>
                      <w:lang w:val="en-US" w:eastAsia="zh-CN"/>
                    </w:rPr>
                    <w:t>捆装；20kg/捆</w:t>
                  </w:r>
                </w:p>
              </w:tc>
              <w:tc>
                <w:tcPr>
                  <w:tcW w:w="476" w:type="pct"/>
                  <w:vMerge w:val="continue"/>
                  <w:noWrap w:val="0"/>
                  <w:vAlign w:val="center"/>
                </w:tcPr>
                <w:p w14:paraId="51340CD5">
                  <w:pPr>
                    <w:jc w:val="center"/>
                    <w:rPr>
                      <w:rFonts w:hint="eastAsia"/>
                      <w:color w:val="auto"/>
                    </w:rPr>
                  </w:pPr>
                </w:p>
              </w:tc>
              <w:tc>
                <w:tcPr>
                  <w:tcW w:w="390" w:type="pct"/>
                  <w:noWrap w:val="0"/>
                  <w:vAlign w:val="center"/>
                </w:tcPr>
                <w:p w14:paraId="1B58CC1C">
                  <w:pPr>
                    <w:jc w:val="center"/>
                    <w:rPr>
                      <w:rFonts w:hint="default"/>
                      <w:color w:val="auto"/>
                      <w:spacing w:val="-2"/>
                      <w:kern w:val="0"/>
                      <w:szCs w:val="21"/>
                      <w:lang w:val="en-US" w:eastAsia="zh-CN"/>
                    </w:rPr>
                  </w:pPr>
                  <w:r>
                    <w:rPr>
                      <w:rFonts w:hint="eastAsia"/>
                      <w:color w:val="auto"/>
                      <w:spacing w:val="-2"/>
                      <w:kern w:val="0"/>
                      <w:szCs w:val="21"/>
                      <w:lang w:val="en-US" w:eastAsia="zh-CN"/>
                    </w:rPr>
                    <w:t>10d</w:t>
                  </w:r>
                </w:p>
              </w:tc>
            </w:tr>
            <w:tr w14:paraId="6AFA5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275" w:type="pct"/>
                  <w:noWrap w:val="0"/>
                  <w:vAlign w:val="center"/>
                </w:tcPr>
                <w:p w14:paraId="6A0CC5D6">
                  <w:pPr>
                    <w:jc w:val="center"/>
                    <w:rPr>
                      <w:rFonts w:hint="eastAsia" w:eastAsia="宋体"/>
                      <w:color w:val="auto"/>
                      <w:spacing w:val="-2"/>
                      <w:kern w:val="0"/>
                      <w:szCs w:val="21"/>
                      <w:lang w:eastAsia="zh-CN"/>
                    </w:rPr>
                  </w:pPr>
                  <w:r>
                    <w:rPr>
                      <w:rFonts w:hint="eastAsia"/>
                      <w:color w:val="auto"/>
                      <w:spacing w:val="-2"/>
                      <w:kern w:val="0"/>
                      <w:szCs w:val="21"/>
                      <w:lang w:val="en-US" w:eastAsia="zh-CN"/>
                    </w:rPr>
                    <w:t>3</w:t>
                  </w:r>
                </w:p>
              </w:tc>
              <w:tc>
                <w:tcPr>
                  <w:tcW w:w="650" w:type="pct"/>
                  <w:noWrap w:val="0"/>
                  <w:vAlign w:val="center"/>
                </w:tcPr>
                <w:p w14:paraId="04D6C20C">
                  <w:pPr>
                    <w:jc w:val="center"/>
                    <w:rPr>
                      <w:rFonts w:hint="eastAsia"/>
                      <w:color w:val="auto"/>
                    </w:rPr>
                  </w:pPr>
                  <w:r>
                    <w:rPr>
                      <w:rFonts w:hint="eastAsia"/>
                      <w:color w:val="auto"/>
                    </w:rPr>
                    <w:t>自来水</w:t>
                  </w:r>
                </w:p>
              </w:tc>
              <w:tc>
                <w:tcPr>
                  <w:tcW w:w="881" w:type="pct"/>
                  <w:noWrap w:val="0"/>
                  <w:vAlign w:val="center"/>
                </w:tcPr>
                <w:p w14:paraId="2C3AC413">
                  <w:pPr>
                    <w:jc w:val="center"/>
                    <w:rPr>
                      <w:color w:val="auto"/>
                    </w:rPr>
                  </w:pPr>
                  <w:r>
                    <w:rPr>
                      <w:rFonts w:hint="eastAsia"/>
                      <w:color w:val="auto"/>
                      <w:lang w:val="en-US" w:eastAsia="zh-CN"/>
                    </w:rPr>
                    <w:t>1080</w:t>
                  </w:r>
                  <w:r>
                    <w:rPr>
                      <w:rFonts w:hint="eastAsia"/>
                      <w:color w:val="auto"/>
                    </w:rPr>
                    <w:t>t/a</w:t>
                  </w:r>
                </w:p>
              </w:tc>
              <w:tc>
                <w:tcPr>
                  <w:tcW w:w="684" w:type="pct"/>
                  <w:noWrap w:val="0"/>
                  <w:vAlign w:val="center"/>
                </w:tcPr>
                <w:p w14:paraId="66FCEC07">
                  <w:pPr>
                    <w:jc w:val="center"/>
                    <w:rPr>
                      <w:rFonts w:hint="default"/>
                      <w:color w:val="auto"/>
                      <w:lang w:val="en-US" w:eastAsia="zh-CN"/>
                    </w:rPr>
                  </w:pPr>
                  <w:r>
                    <w:rPr>
                      <w:rFonts w:hint="eastAsia"/>
                      <w:color w:val="auto"/>
                      <w:lang w:val="en-US" w:eastAsia="zh-CN"/>
                    </w:rPr>
                    <w:t>/</w:t>
                  </w:r>
                </w:p>
              </w:tc>
              <w:tc>
                <w:tcPr>
                  <w:tcW w:w="612" w:type="pct"/>
                  <w:noWrap w:val="0"/>
                  <w:vAlign w:val="center"/>
                </w:tcPr>
                <w:p w14:paraId="67DBD356">
                  <w:pPr>
                    <w:jc w:val="center"/>
                    <w:rPr>
                      <w:color w:val="auto"/>
                    </w:rPr>
                  </w:pPr>
                  <w:r>
                    <w:rPr>
                      <w:rFonts w:hint="eastAsia"/>
                      <w:color w:val="auto"/>
                    </w:rPr>
                    <w:t>/</w:t>
                  </w:r>
                </w:p>
              </w:tc>
              <w:tc>
                <w:tcPr>
                  <w:tcW w:w="1028" w:type="pct"/>
                  <w:noWrap w:val="0"/>
                  <w:vAlign w:val="center"/>
                </w:tcPr>
                <w:p w14:paraId="0E6E5DD6">
                  <w:pPr>
                    <w:jc w:val="center"/>
                    <w:rPr>
                      <w:rFonts w:hint="eastAsia" w:eastAsia="宋体"/>
                      <w:color w:val="auto"/>
                      <w:lang w:val="en-US" w:eastAsia="zh-CN"/>
                    </w:rPr>
                  </w:pPr>
                  <w:r>
                    <w:rPr>
                      <w:rFonts w:hint="eastAsia"/>
                      <w:color w:val="auto"/>
                      <w:lang w:val="en-US" w:eastAsia="zh-CN"/>
                    </w:rPr>
                    <w:t>/</w:t>
                  </w:r>
                </w:p>
              </w:tc>
              <w:tc>
                <w:tcPr>
                  <w:tcW w:w="476" w:type="pct"/>
                  <w:noWrap w:val="0"/>
                  <w:vAlign w:val="center"/>
                </w:tcPr>
                <w:p w14:paraId="648BA2F4">
                  <w:pPr>
                    <w:jc w:val="center"/>
                    <w:rPr>
                      <w:color w:val="auto"/>
                    </w:rPr>
                  </w:pPr>
                  <w:r>
                    <w:rPr>
                      <w:rFonts w:hint="eastAsia"/>
                      <w:color w:val="auto"/>
                    </w:rPr>
                    <w:t>/</w:t>
                  </w:r>
                </w:p>
              </w:tc>
              <w:tc>
                <w:tcPr>
                  <w:tcW w:w="390" w:type="pct"/>
                  <w:noWrap w:val="0"/>
                  <w:vAlign w:val="center"/>
                </w:tcPr>
                <w:p w14:paraId="7C830A1B">
                  <w:pPr>
                    <w:jc w:val="center"/>
                    <w:rPr>
                      <w:rFonts w:hint="default" w:eastAsia="宋体"/>
                      <w:color w:val="auto"/>
                      <w:spacing w:val="-2"/>
                      <w:kern w:val="0"/>
                      <w:szCs w:val="21"/>
                      <w:lang w:val="en-US" w:eastAsia="zh-CN"/>
                    </w:rPr>
                  </w:pPr>
                  <w:r>
                    <w:rPr>
                      <w:rFonts w:hint="eastAsia"/>
                      <w:color w:val="auto"/>
                      <w:spacing w:val="-2"/>
                      <w:kern w:val="0"/>
                      <w:szCs w:val="21"/>
                      <w:lang w:val="en-US" w:eastAsia="zh-CN"/>
                    </w:rPr>
                    <w:t>/</w:t>
                  </w:r>
                </w:p>
              </w:tc>
            </w:tr>
            <w:tr w14:paraId="44A3E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75" w:type="pct"/>
                  <w:noWrap w:val="0"/>
                  <w:vAlign w:val="center"/>
                </w:tcPr>
                <w:p w14:paraId="7D82D99B">
                  <w:pPr>
                    <w:jc w:val="center"/>
                    <w:rPr>
                      <w:rFonts w:hint="default" w:eastAsia="宋体"/>
                      <w:color w:val="auto"/>
                      <w:spacing w:val="-2"/>
                      <w:kern w:val="0"/>
                      <w:szCs w:val="21"/>
                      <w:lang w:val="en-US" w:eastAsia="zh-CN"/>
                    </w:rPr>
                  </w:pPr>
                  <w:r>
                    <w:rPr>
                      <w:rFonts w:hint="eastAsia" w:eastAsia="宋体"/>
                      <w:color w:val="auto"/>
                      <w:spacing w:val="-2"/>
                      <w:kern w:val="0"/>
                      <w:szCs w:val="21"/>
                      <w:lang w:val="en-US" w:eastAsia="zh-CN"/>
                    </w:rPr>
                    <w:t>4</w:t>
                  </w:r>
                </w:p>
              </w:tc>
              <w:tc>
                <w:tcPr>
                  <w:tcW w:w="650" w:type="pct"/>
                  <w:noWrap w:val="0"/>
                  <w:vAlign w:val="center"/>
                </w:tcPr>
                <w:p w14:paraId="14F36768">
                  <w:pPr>
                    <w:jc w:val="center"/>
                    <w:rPr>
                      <w:color w:val="auto"/>
                    </w:rPr>
                  </w:pPr>
                  <w:r>
                    <w:rPr>
                      <w:rFonts w:hint="eastAsia"/>
                      <w:color w:val="auto"/>
                    </w:rPr>
                    <w:t>电</w:t>
                  </w:r>
                </w:p>
              </w:tc>
              <w:tc>
                <w:tcPr>
                  <w:tcW w:w="881" w:type="pct"/>
                  <w:noWrap w:val="0"/>
                  <w:vAlign w:val="center"/>
                </w:tcPr>
                <w:p w14:paraId="11A0A27C">
                  <w:pPr>
                    <w:jc w:val="center"/>
                    <w:rPr>
                      <w:color w:val="auto"/>
                    </w:rPr>
                  </w:pPr>
                  <w:r>
                    <w:rPr>
                      <w:rFonts w:hint="eastAsia"/>
                      <w:color w:val="auto"/>
                      <w:lang w:val="en-US" w:eastAsia="zh-CN"/>
                    </w:rPr>
                    <w:t>100万</w:t>
                  </w:r>
                  <w:r>
                    <w:rPr>
                      <w:rFonts w:hint="eastAsia"/>
                      <w:color w:val="auto"/>
                    </w:rPr>
                    <w:t>kwh/年</w:t>
                  </w:r>
                </w:p>
              </w:tc>
              <w:tc>
                <w:tcPr>
                  <w:tcW w:w="684" w:type="pct"/>
                  <w:noWrap w:val="0"/>
                  <w:vAlign w:val="center"/>
                </w:tcPr>
                <w:p w14:paraId="7731B31E">
                  <w:pPr>
                    <w:jc w:val="center"/>
                    <w:rPr>
                      <w:rFonts w:hint="default"/>
                      <w:color w:val="auto"/>
                      <w:lang w:val="en-US" w:eastAsia="zh-CN"/>
                    </w:rPr>
                  </w:pPr>
                  <w:r>
                    <w:rPr>
                      <w:rFonts w:hint="eastAsia"/>
                      <w:color w:val="auto"/>
                      <w:lang w:val="en-US" w:eastAsia="zh-CN"/>
                    </w:rPr>
                    <w:t>/</w:t>
                  </w:r>
                </w:p>
              </w:tc>
              <w:tc>
                <w:tcPr>
                  <w:tcW w:w="612" w:type="pct"/>
                  <w:noWrap w:val="0"/>
                  <w:vAlign w:val="center"/>
                </w:tcPr>
                <w:p w14:paraId="672568DA">
                  <w:pPr>
                    <w:jc w:val="center"/>
                    <w:rPr>
                      <w:color w:val="auto"/>
                    </w:rPr>
                  </w:pPr>
                  <w:r>
                    <w:rPr>
                      <w:rFonts w:hint="eastAsia"/>
                      <w:color w:val="auto"/>
                    </w:rPr>
                    <w:t>/</w:t>
                  </w:r>
                </w:p>
              </w:tc>
              <w:tc>
                <w:tcPr>
                  <w:tcW w:w="1028" w:type="pct"/>
                  <w:noWrap w:val="0"/>
                  <w:vAlign w:val="center"/>
                </w:tcPr>
                <w:p w14:paraId="48B2531C">
                  <w:pPr>
                    <w:jc w:val="center"/>
                    <w:rPr>
                      <w:rFonts w:hint="eastAsia" w:eastAsia="宋体"/>
                      <w:color w:val="auto"/>
                      <w:lang w:val="en-US" w:eastAsia="zh-CN"/>
                    </w:rPr>
                  </w:pPr>
                  <w:r>
                    <w:rPr>
                      <w:rFonts w:hint="eastAsia"/>
                      <w:color w:val="auto"/>
                      <w:lang w:val="en-US" w:eastAsia="zh-CN"/>
                    </w:rPr>
                    <w:t>/</w:t>
                  </w:r>
                </w:p>
              </w:tc>
              <w:tc>
                <w:tcPr>
                  <w:tcW w:w="476" w:type="pct"/>
                  <w:noWrap w:val="0"/>
                  <w:vAlign w:val="center"/>
                </w:tcPr>
                <w:p w14:paraId="26F66A68">
                  <w:pPr>
                    <w:jc w:val="center"/>
                    <w:rPr>
                      <w:color w:val="auto"/>
                    </w:rPr>
                  </w:pPr>
                  <w:r>
                    <w:rPr>
                      <w:rFonts w:hint="eastAsia"/>
                      <w:color w:val="auto"/>
                    </w:rPr>
                    <w:t>/</w:t>
                  </w:r>
                </w:p>
              </w:tc>
              <w:tc>
                <w:tcPr>
                  <w:tcW w:w="390" w:type="pct"/>
                  <w:noWrap w:val="0"/>
                  <w:vAlign w:val="center"/>
                </w:tcPr>
                <w:p w14:paraId="35E7BDD8">
                  <w:pPr>
                    <w:jc w:val="center"/>
                    <w:rPr>
                      <w:rFonts w:hint="eastAsia" w:eastAsia="宋体"/>
                      <w:color w:val="auto"/>
                      <w:spacing w:val="-2"/>
                      <w:kern w:val="0"/>
                      <w:szCs w:val="21"/>
                      <w:lang w:val="en-US" w:eastAsia="zh-CN"/>
                    </w:rPr>
                  </w:pPr>
                  <w:r>
                    <w:rPr>
                      <w:rFonts w:hint="eastAsia"/>
                      <w:color w:val="auto"/>
                      <w:spacing w:val="-2"/>
                      <w:kern w:val="0"/>
                      <w:szCs w:val="21"/>
                      <w:lang w:val="en-US" w:eastAsia="zh-CN"/>
                    </w:rPr>
                    <w:t>/</w:t>
                  </w:r>
                </w:p>
              </w:tc>
            </w:tr>
          </w:tbl>
          <w:p w14:paraId="6FABA8EE">
            <w:pPr>
              <w:spacing w:line="360" w:lineRule="auto"/>
              <w:rPr>
                <w:color w:val="auto"/>
                <w:sz w:val="24"/>
                <w:szCs w:val="24"/>
              </w:rPr>
            </w:pPr>
            <w:r>
              <w:rPr>
                <w:rFonts w:hint="eastAsia"/>
                <w:b/>
                <w:color w:val="auto"/>
                <w:sz w:val="24"/>
                <w:szCs w:val="24"/>
              </w:rPr>
              <w:t>6、水平衡分析</w:t>
            </w:r>
          </w:p>
          <w:p w14:paraId="18140373">
            <w:pPr>
              <w:widowControl/>
              <w:spacing w:line="360" w:lineRule="auto"/>
              <w:ind w:firstLine="480" w:firstLineChars="200"/>
              <w:jc w:val="left"/>
              <w:rPr>
                <w:bCs/>
                <w:color w:val="auto"/>
                <w:sz w:val="24"/>
                <w:szCs w:val="24"/>
              </w:rPr>
            </w:pPr>
            <w:r>
              <w:rPr>
                <w:rFonts w:hint="eastAsia"/>
                <w:bCs/>
                <w:color w:val="auto"/>
                <w:sz w:val="24"/>
                <w:szCs w:val="24"/>
              </w:rPr>
              <w:t>（1）生活用水</w:t>
            </w:r>
          </w:p>
          <w:p w14:paraId="4A84AAAB">
            <w:pPr>
              <w:widowControl/>
              <w:spacing w:line="360" w:lineRule="auto"/>
              <w:ind w:firstLine="480" w:firstLineChars="200"/>
              <w:rPr>
                <w:bCs/>
                <w:color w:val="auto"/>
                <w:sz w:val="24"/>
                <w:szCs w:val="24"/>
              </w:rPr>
            </w:pPr>
            <w:r>
              <w:rPr>
                <w:rFonts w:hint="eastAsia"/>
                <w:bCs/>
                <w:color w:val="auto"/>
                <w:sz w:val="24"/>
                <w:szCs w:val="24"/>
              </w:rPr>
              <w:t>项目</w:t>
            </w:r>
            <w:r>
              <w:rPr>
                <w:bCs/>
                <w:color w:val="auto"/>
                <w:sz w:val="24"/>
                <w:szCs w:val="24"/>
              </w:rPr>
              <w:t>定员为</w:t>
            </w:r>
            <w:r>
              <w:rPr>
                <w:rFonts w:hint="eastAsia"/>
                <w:bCs/>
                <w:color w:val="auto"/>
                <w:sz w:val="24"/>
                <w:szCs w:val="24"/>
              </w:rPr>
              <w:t>10</w:t>
            </w:r>
            <w:r>
              <w:rPr>
                <w:bCs/>
                <w:color w:val="auto"/>
                <w:sz w:val="24"/>
                <w:szCs w:val="24"/>
              </w:rPr>
              <w:t>人，均</w:t>
            </w:r>
            <w:r>
              <w:rPr>
                <w:rFonts w:hint="eastAsia"/>
                <w:bCs/>
                <w:color w:val="auto"/>
                <w:sz w:val="24"/>
                <w:szCs w:val="24"/>
                <w:lang w:eastAsia="zh-CN"/>
              </w:rPr>
              <w:t>不</w:t>
            </w:r>
            <w:r>
              <w:rPr>
                <w:bCs/>
                <w:color w:val="auto"/>
                <w:sz w:val="24"/>
                <w:szCs w:val="24"/>
              </w:rPr>
              <w:t>在厂内</w:t>
            </w:r>
            <w:r>
              <w:rPr>
                <w:rFonts w:hint="eastAsia"/>
                <w:bCs/>
                <w:color w:val="auto"/>
                <w:sz w:val="24"/>
                <w:szCs w:val="24"/>
              </w:rPr>
              <w:t>食宿</w:t>
            </w:r>
            <w:r>
              <w:rPr>
                <w:bCs/>
                <w:color w:val="auto"/>
                <w:sz w:val="24"/>
                <w:szCs w:val="24"/>
              </w:rPr>
              <w:t>。</w:t>
            </w:r>
            <w:r>
              <w:rPr>
                <w:rFonts w:hint="eastAsia"/>
                <w:bCs/>
                <w:color w:val="auto"/>
                <w:sz w:val="24"/>
                <w:szCs w:val="24"/>
              </w:rPr>
              <w:t>参照《安徽省行业用水定额》（DB34/T 679-20</w:t>
            </w:r>
            <w:r>
              <w:rPr>
                <w:rFonts w:hint="eastAsia"/>
                <w:bCs/>
                <w:color w:val="auto"/>
                <w:sz w:val="24"/>
                <w:szCs w:val="24"/>
                <w:lang w:val="en-US" w:eastAsia="zh-CN"/>
              </w:rPr>
              <w:t>25</w:t>
            </w:r>
            <w:r>
              <w:rPr>
                <w:rFonts w:hint="eastAsia"/>
                <w:bCs/>
                <w:color w:val="auto"/>
                <w:sz w:val="24"/>
                <w:szCs w:val="24"/>
              </w:rPr>
              <w:t>）中</w:t>
            </w:r>
            <w:r>
              <w:rPr>
                <w:rFonts w:hint="eastAsia"/>
                <w:bCs/>
                <w:color w:val="auto"/>
                <w:sz w:val="24"/>
                <w:szCs w:val="24"/>
                <w:lang w:eastAsia="zh-CN"/>
              </w:rPr>
              <w:t>农村</w:t>
            </w:r>
            <w:r>
              <w:rPr>
                <w:rFonts w:hint="eastAsia"/>
                <w:bCs/>
                <w:color w:val="auto"/>
                <w:sz w:val="24"/>
                <w:szCs w:val="24"/>
              </w:rPr>
              <w:t>居民生活用水标准，</w:t>
            </w:r>
            <w:r>
              <w:rPr>
                <w:bCs/>
                <w:color w:val="auto"/>
                <w:sz w:val="24"/>
                <w:szCs w:val="24"/>
              </w:rPr>
              <w:t>厂内职工生活用水按每人每天用水量</w:t>
            </w:r>
            <w:r>
              <w:rPr>
                <w:rFonts w:hint="eastAsia"/>
                <w:bCs/>
                <w:color w:val="auto"/>
                <w:sz w:val="24"/>
                <w:szCs w:val="24"/>
              </w:rPr>
              <w:t>1</w:t>
            </w:r>
            <w:r>
              <w:rPr>
                <w:rFonts w:hint="eastAsia"/>
                <w:bCs/>
                <w:color w:val="auto"/>
                <w:sz w:val="24"/>
                <w:szCs w:val="24"/>
                <w:lang w:val="en-US" w:eastAsia="zh-CN"/>
              </w:rPr>
              <w:t>60</w:t>
            </w:r>
            <w:r>
              <w:rPr>
                <w:bCs/>
                <w:color w:val="auto"/>
                <w:sz w:val="24"/>
                <w:szCs w:val="24"/>
              </w:rPr>
              <w:t>L计算。经核算，生活用水量大约为</w:t>
            </w:r>
            <w:r>
              <w:rPr>
                <w:rFonts w:hint="eastAsia"/>
                <w:bCs/>
                <w:color w:val="auto"/>
                <w:sz w:val="24"/>
                <w:szCs w:val="24"/>
              </w:rPr>
              <w:t>1</w:t>
            </w:r>
            <w:r>
              <w:rPr>
                <w:rFonts w:hint="eastAsia"/>
                <w:bCs/>
                <w:color w:val="auto"/>
                <w:sz w:val="24"/>
                <w:szCs w:val="24"/>
                <w:lang w:val="en-US" w:eastAsia="zh-CN"/>
              </w:rPr>
              <w:t>.6</w:t>
            </w:r>
            <w:r>
              <w:rPr>
                <w:bCs/>
                <w:color w:val="auto"/>
                <w:sz w:val="24"/>
                <w:szCs w:val="24"/>
              </w:rPr>
              <w:t>m</w:t>
            </w:r>
            <w:r>
              <w:rPr>
                <w:bCs/>
                <w:color w:val="auto"/>
                <w:sz w:val="24"/>
                <w:szCs w:val="24"/>
                <w:vertAlign w:val="superscript"/>
              </w:rPr>
              <w:t>3</w:t>
            </w:r>
            <w:r>
              <w:rPr>
                <w:bCs/>
                <w:color w:val="auto"/>
                <w:sz w:val="24"/>
                <w:szCs w:val="24"/>
              </w:rPr>
              <w:t>/d，即</w:t>
            </w:r>
            <w:r>
              <w:rPr>
                <w:rFonts w:hint="eastAsia"/>
                <w:bCs/>
                <w:color w:val="auto"/>
                <w:sz w:val="24"/>
                <w:szCs w:val="24"/>
                <w:lang w:val="en-US" w:eastAsia="zh-CN"/>
              </w:rPr>
              <w:t>48</w:t>
            </w:r>
            <w:r>
              <w:rPr>
                <w:rFonts w:hint="eastAsia"/>
                <w:bCs/>
                <w:color w:val="auto"/>
                <w:sz w:val="24"/>
                <w:szCs w:val="24"/>
              </w:rPr>
              <w:t>0</w:t>
            </w:r>
            <w:r>
              <w:rPr>
                <w:bCs/>
                <w:color w:val="auto"/>
                <w:sz w:val="24"/>
                <w:szCs w:val="24"/>
              </w:rPr>
              <w:t>m</w:t>
            </w:r>
            <w:r>
              <w:rPr>
                <w:bCs/>
                <w:color w:val="auto"/>
                <w:sz w:val="24"/>
                <w:szCs w:val="24"/>
                <w:vertAlign w:val="superscript"/>
              </w:rPr>
              <w:t>3</w:t>
            </w:r>
            <w:r>
              <w:rPr>
                <w:bCs/>
                <w:color w:val="auto"/>
                <w:sz w:val="24"/>
                <w:szCs w:val="24"/>
              </w:rPr>
              <w:t>/a。生活污水的产生量取用水量的80%，则生活污水排放量约为</w:t>
            </w:r>
            <w:r>
              <w:rPr>
                <w:rFonts w:hint="eastAsia"/>
                <w:bCs/>
                <w:color w:val="auto"/>
                <w:sz w:val="24"/>
                <w:szCs w:val="24"/>
                <w:lang w:val="en-US" w:eastAsia="zh-CN"/>
              </w:rPr>
              <w:t>384</w:t>
            </w:r>
            <w:r>
              <w:rPr>
                <w:bCs/>
                <w:color w:val="auto"/>
                <w:sz w:val="24"/>
                <w:szCs w:val="24"/>
              </w:rPr>
              <w:t>m</w:t>
            </w:r>
            <w:r>
              <w:rPr>
                <w:bCs/>
                <w:color w:val="auto"/>
                <w:sz w:val="24"/>
                <w:szCs w:val="24"/>
                <w:vertAlign w:val="superscript"/>
              </w:rPr>
              <w:t>3</w:t>
            </w:r>
            <w:r>
              <w:rPr>
                <w:bCs/>
                <w:color w:val="auto"/>
                <w:sz w:val="24"/>
                <w:szCs w:val="24"/>
              </w:rPr>
              <w:t>/a（全年工作日按300天计算）。</w:t>
            </w:r>
          </w:p>
          <w:p w14:paraId="3C6CDF8B">
            <w:pPr>
              <w:widowControl/>
              <w:spacing w:line="360" w:lineRule="auto"/>
              <w:ind w:firstLine="480" w:firstLineChars="200"/>
              <w:jc w:val="left"/>
              <w:rPr>
                <w:rFonts w:hint="default"/>
                <w:bCs/>
                <w:color w:val="auto"/>
                <w:sz w:val="24"/>
                <w:szCs w:val="24"/>
                <w:lang w:val="en-US" w:eastAsia="zh-CN"/>
              </w:rPr>
            </w:pPr>
            <w:r>
              <w:rPr>
                <w:rFonts w:hint="eastAsia"/>
                <w:bCs/>
                <w:color w:val="auto"/>
                <w:sz w:val="24"/>
                <w:szCs w:val="24"/>
                <w:lang w:val="en-US" w:eastAsia="zh-CN"/>
              </w:rPr>
              <w:t>（2）抛光用水</w:t>
            </w:r>
          </w:p>
          <w:p w14:paraId="4F04092A">
            <w:pPr>
              <w:widowControl/>
              <w:spacing w:line="360" w:lineRule="auto"/>
              <w:ind w:firstLine="480" w:firstLineChars="200"/>
              <w:jc w:val="left"/>
              <w:rPr>
                <w:rFonts w:hint="default"/>
                <w:bCs/>
                <w:color w:val="auto"/>
                <w:sz w:val="24"/>
                <w:szCs w:val="24"/>
                <w:lang w:val="en-US" w:eastAsia="zh-CN"/>
              </w:rPr>
            </w:pPr>
            <w:r>
              <w:rPr>
                <w:rFonts w:hint="default"/>
                <w:bCs/>
                <w:color w:val="auto"/>
                <w:sz w:val="24"/>
                <w:szCs w:val="24"/>
                <w:lang w:val="en-US" w:eastAsia="zh-CN"/>
              </w:rPr>
              <w:t>生产过程中对经过碾米、分级的白米进行初次抛光时采用的是湿式抛光法，因此会加入少量的自来水，用水量为2.0t/d，</w:t>
            </w:r>
            <w:r>
              <w:rPr>
                <w:rFonts w:hint="eastAsia"/>
                <w:bCs/>
                <w:color w:val="auto"/>
                <w:sz w:val="24"/>
                <w:szCs w:val="24"/>
                <w:lang w:val="en-US" w:eastAsia="zh-CN"/>
              </w:rPr>
              <w:t>600</w:t>
            </w:r>
            <w:r>
              <w:rPr>
                <w:rFonts w:hint="default"/>
                <w:bCs/>
                <w:color w:val="auto"/>
                <w:sz w:val="24"/>
                <w:szCs w:val="24"/>
                <w:lang w:val="en-US" w:eastAsia="zh-CN"/>
              </w:rPr>
              <w:t>t/a，该部分水进入产品以及蒸发，不外排。</w:t>
            </w:r>
          </w:p>
          <w:p w14:paraId="4AC58B0C">
            <w:pPr>
              <w:widowControl/>
              <w:spacing w:line="360" w:lineRule="auto"/>
              <w:ind w:firstLine="480" w:firstLineChars="200"/>
              <w:jc w:val="left"/>
              <w:rPr>
                <w:bCs/>
                <w:color w:val="auto"/>
                <w:sz w:val="24"/>
                <w:szCs w:val="24"/>
              </w:rPr>
            </w:pPr>
            <w:r>
              <w:rPr>
                <w:bCs/>
                <w:color w:val="auto"/>
                <w:sz w:val="24"/>
                <w:szCs w:val="24"/>
              </w:rPr>
              <w:t>综上所述，本项目总用水量约为</w:t>
            </w:r>
            <w:r>
              <w:rPr>
                <w:rFonts w:hint="eastAsia"/>
                <w:bCs/>
                <w:color w:val="auto"/>
                <w:sz w:val="24"/>
                <w:szCs w:val="24"/>
                <w:lang w:val="en-US" w:eastAsia="zh-CN"/>
              </w:rPr>
              <w:t>1080</w:t>
            </w:r>
            <w:r>
              <w:rPr>
                <w:bCs/>
                <w:color w:val="auto"/>
                <w:sz w:val="24"/>
                <w:szCs w:val="24"/>
              </w:rPr>
              <w:t>m</w:t>
            </w:r>
            <w:r>
              <w:rPr>
                <w:bCs/>
                <w:color w:val="auto"/>
                <w:sz w:val="24"/>
                <w:szCs w:val="24"/>
                <w:vertAlign w:val="superscript"/>
              </w:rPr>
              <w:t>3</w:t>
            </w:r>
            <w:r>
              <w:rPr>
                <w:bCs/>
                <w:color w:val="auto"/>
                <w:sz w:val="24"/>
                <w:szCs w:val="24"/>
              </w:rPr>
              <w:t>/a，废水产生量为</w:t>
            </w:r>
            <w:r>
              <w:rPr>
                <w:rFonts w:hint="eastAsia"/>
                <w:bCs/>
                <w:color w:val="auto"/>
                <w:sz w:val="24"/>
                <w:szCs w:val="24"/>
                <w:lang w:val="en-US" w:eastAsia="zh-CN"/>
              </w:rPr>
              <w:t>384</w:t>
            </w:r>
            <w:r>
              <w:rPr>
                <w:rFonts w:hint="eastAsia"/>
                <w:bCs/>
                <w:color w:val="auto"/>
                <w:sz w:val="24"/>
                <w:szCs w:val="24"/>
              </w:rPr>
              <w:t>t/a</w:t>
            </w:r>
            <w:r>
              <w:rPr>
                <w:bCs/>
                <w:color w:val="auto"/>
                <w:sz w:val="24"/>
                <w:szCs w:val="24"/>
              </w:rPr>
              <w:t>。</w:t>
            </w:r>
          </w:p>
          <w:p w14:paraId="32D4B447">
            <w:pPr>
              <w:widowControl/>
              <w:spacing w:line="360" w:lineRule="auto"/>
              <w:ind w:firstLine="480" w:firstLineChars="200"/>
              <w:jc w:val="left"/>
              <w:rPr>
                <w:bCs/>
                <w:color w:val="auto"/>
                <w:sz w:val="24"/>
                <w:szCs w:val="24"/>
              </w:rPr>
            </w:pPr>
            <w:r>
              <w:rPr>
                <w:bCs/>
                <w:color w:val="auto"/>
                <w:sz w:val="24"/>
                <w:szCs w:val="24"/>
              </w:rPr>
              <w:t>本项目水平衡情况</w:t>
            </w:r>
            <w:r>
              <w:rPr>
                <w:rFonts w:hint="eastAsia"/>
                <w:bCs/>
                <w:color w:val="auto"/>
                <w:sz w:val="24"/>
                <w:szCs w:val="24"/>
              </w:rPr>
              <w:t>见</w:t>
            </w:r>
            <w:r>
              <w:rPr>
                <w:bCs/>
                <w:color w:val="auto"/>
                <w:sz w:val="24"/>
                <w:szCs w:val="24"/>
              </w:rPr>
              <w:t>图</w:t>
            </w:r>
            <w:r>
              <w:rPr>
                <w:rFonts w:hint="eastAsia"/>
                <w:bCs/>
                <w:color w:val="auto"/>
                <w:sz w:val="24"/>
                <w:szCs w:val="24"/>
              </w:rPr>
              <w:t>2-1</w:t>
            </w:r>
            <w:r>
              <w:rPr>
                <w:bCs/>
                <w:color w:val="auto"/>
                <w:sz w:val="24"/>
                <w:szCs w:val="24"/>
              </w:rPr>
              <w:t>。</w:t>
            </w:r>
          </w:p>
          <w:p w14:paraId="0C328F44">
            <w:pPr>
              <w:spacing w:line="360" w:lineRule="auto"/>
              <w:jc w:val="center"/>
              <w:rPr>
                <w:b/>
                <w:bCs/>
                <w:color w:val="auto"/>
                <w:szCs w:val="21"/>
              </w:rPr>
            </w:pPr>
            <w:r>
              <w:rPr>
                <w:rFonts w:hint="default" w:ascii="Times New Roman" w:hAnsi="Times New Roman" w:cs="Times New Roman"/>
                <w:color w:val="auto"/>
                <w:sz w:val="24"/>
              </w:rPr>
              <mc:AlternateContent>
                <mc:Choice Requires="wpc">
                  <w:drawing>
                    <wp:inline distT="0" distB="0" distL="114300" distR="114300">
                      <wp:extent cx="5372100" cy="1403985"/>
                      <wp:effectExtent l="0" t="0" r="0" b="0"/>
                      <wp:docPr id="34" name="画布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 name="矩形 4"/>
                              <wps:cNvSpPr/>
                              <wps:spPr>
                                <a:xfrm>
                                  <a:off x="759460" y="470748"/>
                                  <a:ext cx="914400" cy="297314"/>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74929B">
                                    <w:pPr>
                                      <w:jc w:val="center"/>
                                      <w:rPr>
                                        <w:rFonts w:hint="eastAsia"/>
                                        <w:szCs w:val="21"/>
                                      </w:rPr>
                                    </w:pPr>
                                    <w:r>
                                      <w:rPr>
                                        <w:rFonts w:hint="eastAsia"/>
                                        <w:szCs w:val="21"/>
                                      </w:rPr>
                                      <w:t>职工生活用水</w:t>
                                    </w:r>
                                  </w:p>
                                </w:txbxContent>
                              </wps:txbx>
                              <wps:bodyPr lIns="18000" tIns="45720" rIns="18000" bIns="45720" upright="1"/>
                            </wps:wsp>
                            <wps:wsp>
                              <wps:cNvPr id="5" name="直接连接符 5"/>
                              <wps:cNvCnPr/>
                              <wps:spPr>
                                <a:xfrm>
                                  <a:off x="1673860" y="614323"/>
                                  <a:ext cx="383540" cy="635"/>
                                </a:xfrm>
                                <a:prstGeom prst="line">
                                  <a:avLst/>
                                </a:prstGeom>
                                <a:ln w="9525" cap="flat" cmpd="sng">
                                  <a:solidFill>
                                    <a:srgbClr val="000000"/>
                                  </a:solidFill>
                                  <a:prstDash val="solid"/>
                                  <a:headEnd type="none" w="med" len="med"/>
                                  <a:tailEnd type="triangle" w="med" len="med"/>
                                </a:ln>
                              </wps:spPr>
                              <wps:bodyPr upright="1"/>
                            </wps:wsp>
                            <wps:wsp>
                              <wps:cNvPr id="6" name="矩形 6"/>
                              <wps:cNvSpPr/>
                              <wps:spPr>
                                <a:xfrm>
                                  <a:off x="1684020" y="383078"/>
                                  <a:ext cx="571500" cy="297314"/>
                                </a:xfrm>
                                <a:prstGeom prst="rect">
                                  <a:avLst/>
                                </a:prstGeom>
                                <a:noFill/>
                                <a:ln>
                                  <a:noFill/>
                                </a:ln>
                              </wps:spPr>
                              <wps:txbx>
                                <w:txbxContent>
                                  <w:p w14:paraId="487D8EC4">
                                    <w:pPr>
                                      <w:rPr>
                                        <w:rFonts w:hint="default" w:eastAsia="宋体"/>
                                        <w:szCs w:val="21"/>
                                        <w:lang w:val="en-US" w:eastAsia="zh-CN"/>
                                      </w:rPr>
                                    </w:pPr>
                                    <w:r>
                                      <w:rPr>
                                        <w:rFonts w:hint="eastAsia"/>
                                        <w:szCs w:val="21"/>
                                        <w:lang w:val="en-US" w:eastAsia="zh-CN"/>
                                      </w:rPr>
                                      <w:t>1.28</w:t>
                                    </w:r>
                                  </w:p>
                                </w:txbxContent>
                              </wps:txbx>
                              <wps:bodyPr upright="1"/>
                            </wps:wsp>
                            <wps:wsp>
                              <wps:cNvPr id="8" name="曲线连接符 8"/>
                              <wps:cNvCnPr/>
                              <wps:spPr>
                                <a:xfrm rot="-5400000">
                                  <a:off x="1159510" y="187410"/>
                                  <a:ext cx="200025" cy="230609"/>
                                </a:xfrm>
                                <a:prstGeom prst="curvedConnector2">
                                  <a:avLst/>
                                </a:prstGeom>
                                <a:ln w="9525" cap="flat" cmpd="sng">
                                  <a:solidFill>
                                    <a:srgbClr val="000000"/>
                                  </a:solidFill>
                                  <a:prstDash val="dash"/>
                                  <a:headEnd type="none" w="med" len="med"/>
                                  <a:tailEnd type="triangle" w="med" len="med"/>
                                </a:ln>
                              </wps:spPr>
                              <wps:bodyPr/>
                            </wps:wsp>
                            <wps:wsp>
                              <wps:cNvPr id="9" name="矩形 9"/>
                              <wps:cNvSpPr/>
                              <wps:spPr>
                                <a:xfrm>
                                  <a:off x="1463675" y="81317"/>
                                  <a:ext cx="914400" cy="297314"/>
                                </a:xfrm>
                                <a:prstGeom prst="rect">
                                  <a:avLst/>
                                </a:prstGeom>
                                <a:noFill/>
                                <a:ln>
                                  <a:noFill/>
                                </a:ln>
                              </wps:spPr>
                              <wps:txbx>
                                <w:txbxContent>
                                  <w:p w14:paraId="30FBE868">
                                    <w:pPr>
                                      <w:rPr>
                                        <w:rFonts w:hint="default" w:eastAsia="宋体"/>
                                        <w:szCs w:val="21"/>
                                        <w:lang w:val="en-US" w:eastAsia="zh-CN"/>
                                      </w:rPr>
                                    </w:pPr>
                                    <w:r>
                                      <w:rPr>
                                        <w:rFonts w:hint="eastAsia" w:eastAsia="宋体"/>
                                        <w:szCs w:val="21"/>
                                        <w:lang w:val="en-US" w:eastAsia="zh-CN"/>
                                      </w:rPr>
                                      <w:t>0.</w:t>
                                    </w:r>
                                    <w:r>
                                      <w:rPr>
                                        <w:rFonts w:hint="eastAsia"/>
                                        <w:szCs w:val="21"/>
                                        <w:lang w:val="en-US" w:eastAsia="zh-CN"/>
                                      </w:rPr>
                                      <w:t>32</w:t>
                                    </w:r>
                                  </w:p>
                                </w:txbxContent>
                              </wps:txbx>
                              <wps:bodyPr upright="1"/>
                            </wps:wsp>
                            <wps:wsp>
                              <wps:cNvPr id="10" name="矩形 10"/>
                              <wps:cNvSpPr/>
                              <wps:spPr>
                                <a:xfrm>
                                  <a:off x="2057400" y="484724"/>
                                  <a:ext cx="610235" cy="27190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AAF9F0">
                                    <w:pPr>
                                      <w:jc w:val="center"/>
                                      <w:rPr>
                                        <w:rFonts w:hint="eastAsia"/>
                                        <w:szCs w:val="21"/>
                                      </w:rPr>
                                    </w:pPr>
                                    <w:r>
                                      <w:rPr>
                                        <w:rFonts w:hint="eastAsia" w:hAnsi="宋体"/>
                                        <w:szCs w:val="21"/>
                                      </w:rPr>
                                      <w:t>化粪池</w:t>
                                    </w:r>
                                  </w:p>
                                </w:txbxContent>
                              </wps:txbx>
                              <wps:bodyPr lIns="18000" tIns="10800" rIns="18000" bIns="45720" upright="1"/>
                            </wps:wsp>
                            <wps:wsp>
                              <wps:cNvPr id="11" name="直接连接符 11"/>
                              <wps:cNvCnPr/>
                              <wps:spPr>
                                <a:xfrm flipV="1">
                                  <a:off x="2678430" y="619405"/>
                                  <a:ext cx="261620" cy="635"/>
                                </a:xfrm>
                                <a:prstGeom prst="line">
                                  <a:avLst/>
                                </a:prstGeom>
                                <a:ln w="9525" cap="flat" cmpd="sng">
                                  <a:solidFill>
                                    <a:srgbClr val="000000"/>
                                  </a:solidFill>
                                  <a:prstDash val="solid"/>
                                  <a:headEnd type="none" w="med" len="med"/>
                                  <a:tailEnd type="triangle" w="med" len="med"/>
                                </a:ln>
                              </wps:spPr>
                              <wps:bodyPr upright="1"/>
                            </wps:wsp>
                            <wps:wsp>
                              <wps:cNvPr id="17" name="直接连接符 17"/>
                              <wps:cNvCnPr/>
                              <wps:spPr>
                                <a:xfrm>
                                  <a:off x="269240" y="594629"/>
                                  <a:ext cx="480695" cy="635"/>
                                </a:xfrm>
                                <a:prstGeom prst="line">
                                  <a:avLst/>
                                </a:prstGeom>
                                <a:ln w="9525" cap="flat" cmpd="sng">
                                  <a:solidFill>
                                    <a:srgbClr val="000000"/>
                                  </a:solidFill>
                                  <a:prstDash val="solid"/>
                                  <a:headEnd type="none" w="med" len="med"/>
                                  <a:tailEnd type="triangle" w="med" len="med"/>
                                </a:ln>
                              </wps:spPr>
                              <wps:bodyPr upright="1"/>
                            </wps:wsp>
                            <wps:wsp>
                              <wps:cNvPr id="18" name="矩形 18"/>
                              <wps:cNvSpPr/>
                              <wps:spPr>
                                <a:xfrm>
                                  <a:off x="2943860" y="429454"/>
                                  <a:ext cx="1839595" cy="42564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F03AC3">
                                    <w:pPr>
                                      <w:jc w:val="center"/>
                                      <w:rPr>
                                        <w:rFonts w:hint="default" w:eastAsia="宋体"/>
                                        <w:sz w:val="21"/>
                                        <w:szCs w:val="21"/>
                                        <w:lang w:val="en-US" w:eastAsia="zh-CN"/>
                                      </w:rPr>
                                    </w:pPr>
                                    <w:r>
                                      <w:rPr>
                                        <w:rFonts w:hint="default" w:ascii="Times New Roman" w:hAnsi="Times New Roman" w:eastAsia="宋体" w:cs="Times New Roman"/>
                                        <w:color w:val="auto"/>
                                        <w:sz w:val="21"/>
                                        <w:szCs w:val="21"/>
                                        <w:lang w:val="en-US" w:eastAsia="zh-CN"/>
                                      </w:rPr>
                                      <w:t>经厂区内化粪池处理后定期清掏</w:t>
                                    </w:r>
                                    <w:r>
                                      <w:rPr>
                                        <w:rFonts w:hint="eastAsia" w:ascii="Times New Roman" w:hAnsi="Times New Roman" w:eastAsia="宋体" w:cs="Times New Roman"/>
                                        <w:color w:val="auto"/>
                                        <w:sz w:val="21"/>
                                        <w:szCs w:val="21"/>
                                        <w:lang w:val="en-US" w:eastAsia="zh-CN"/>
                                      </w:rPr>
                                      <w:t>农用</w:t>
                                    </w:r>
                                  </w:p>
                                </w:txbxContent>
                              </wps:txbx>
                              <wps:bodyPr upright="1"/>
                            </wps:wsp>
                            <wps:wsp>
                              <wps:cNvPr id="19" name="矩形 19"/>
                              <wps:cNvSpPr/>
                              <wps:spPr>
                                <a:xfrm>
                                  <a:off x="676910" y="1084435"/>
                                  <a:ext cx="1010285" cy="25729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7C0289">
                                    <w:pPr>
                                      <w:jc w:val="center"/>
                                      <w:rPr>
                                        <w:rFonts w:hint="default"/>
                                        <w:szCs w:val="21"/>
                                        <w:lang w:val="en-US"/>
                                      </w:rPr>
                                    </w:pPr>
                                    <w:r>
                                      <w:rPr>
                                        <w:rFonts w:hint="eastAsia"/>
                                        <w:szCs w:val="21"/>
                                        <w:lang w:val="en-US" w:eastAsia="zh-CN"/>
                                      </w:rPr>
                                      <w:t>抛光用水</w:t>
                                    </w:r>
                                  </w:p>
                                </w:txbxContent>
                              </wps:txbx>
                              <wps:bodyPr lIns="18000" tIns="45720" rIns="18000" bIns="45720" upright="1"/>
                            </wps:wsp>
                            <wps:wsp>
                              <wps:cNvPr id="22" name="直接连接符 22"/>
                              <wps:cNvCnPr/>
                              <wps:spPr>
                                <a:xfrm>
                                  <a:off x="258445" y="1196881"/>
                                  <a:ext cx="457200" cy="635"/>
                                </a:xfrm>
                                <a:prstGeom prst="line">
                                  <a:avLst/>
                                </a:prstGeom>
                                <a:ln w="9525" cap="flat" cmpd="sng">
                                  <a:solidFill>
                                    <a:srgbClr val="000000"/>
                                  </a:solidFill>
                                  <a:prstDash val="solid"/>
                                  <a:headEnd type="none" w="med" len="med"/>
                                  <a:tailEnd type="triangle" w="med" len="med"/>
                                </a:ln>
                              </wps:spPr>
                              <wps:bodyPr upright="1"/>
                            </wps:wsp>
                            <wps:wsp>
                              <wps:cNvPr id="27" name="直接连接符 27"/>
                              <wps:cNvCnPr/>
                              <wps:spPr>
                                <a:xfrm flipV="1">
                                  <a:off x="258445" y="375455"/>
                                  <a:ext cx="635" cy="802368"/>
                                </a:xfrm>
                                <a:prstGeom prst="line">
                                  <a:avLst/>
                                </a:prstGeom>
                                <a:ln w="9525" cap="flat" cmpd="sng">
                                  <a:solidFill>
                                    <a:srgbClr val="000000"/>
                                  </a:solidFill>
                                  <a:prstDash val="solid"/>
                                  <a:headEnd type="none" w="med" len="med"/>
                                  <a:tailEnd type="none" w="med" len="med"/>
                                </a:ln>
                              </wps:spPr>
                              <wps:bodyPr upright="1"/>
                            </wps:wsp>
                            <wps:wsp>
                              <wps:cNvPr id="28" name="矩形 28"/>
                              <wps:cNvSpPr/>
                              <wps:spPr>
                                <a:xfrm>
                                  <a:off x="291465" y="355761"/>
                                  <a:ext cx="571500" cy="343055"/>
                                </a:xfrm>
                                <a:prstGeom prst="rect">
                                  <a:avLst/>
                                </a:prstGeom>
                                <a:noFill/>
                                <a:ln>
                                  <a:noFill/>
                                </a:ln>
                              </wps:spPr>
                              <wps:txbx>
                                <w:txbxContent>
                                  <w:p w14:paraId="0CB30EA4">
                                    <w:pPr>
                                      <w:rPr>
                                        <w:rFonts w:hint="default" w:eastAsia="宋体"/>
                                        <w:szCs w:val="21"/>
                                        <w:lang w:val="en-US" w:eastAsia="zh-CN"/>
                                      </w:rPr>
                                    </w:pPr>
                                    <w:r>
                                      <w:rPr>
                                        <w:rFonts w:hint="eastAsia"/>
                                        <w:szCs w:val="21"/>
                                        <w:lang w:val="en-US" w:eastAsia="zh-CN"/>
                                      </w:rPr>
                                      <w:t>1.6</w:t>
                                    </w:r>
                                  </w:p>
                                </w:txbxContent>
                              </wps:txbx>
                              <wps:bodyPr upright="1"/>
                            </wps:wsp>
                            <wps:wsp>
                              <wps:cNvPr id="29" name="矩形 29"/>
                              <wps:cNvSpPr/>
                              <wps:spPr>
                                <a:xfrm>
                                  <a:off x="238760" y="890038"/>
                                  <a:ext cx="914400" cy="297314"/>
                                </a:xfrm>
                                <a:prstGeom prst="rect">
                                  <a:avLst/>
                                </a:prstGeom>
                                <a:noFill/>
                                <a:ln>
                                  <a:noFill/>
                                </a:ln>
                              </wps:spPr>
                              <wps:txbx>
                                <w:txbxContent>
                                  <w:p w14:paraId="421FAB3E">
                                    <w:pPr>
                                      <w:rPr>
                                        <w:rFonts w:hint="default" w:eastAsia="宋体"/>
                                        <w:szCs w:val="21"/>
                                        <w:lang w:val="en-US" w:eastAsia="zh-CN"/>
                                      </w:rPr>
                                    </w:pPr>
                                    <w:r>
                                      <w:rPr>
                                        <w:rFonts w:hint="eastAsia"/>
                                        <w:szCs w:val="21"/>
                                        <w:lang w:val="en-US" w:eastAsia="zh-CN"/>
                                      </w:rPr>
                                      <w:t>2</w:t>
                                    </w:r>
                                  </w:p>
                                </w:txbxContent>
                              </wps:txbx>
                              <wps:bodyPr upright="1"/>
                            </wps:wsp>
                            <wps:wsp>
                              <wps:cNvPr id="30" name="矩形 30"/>
                              <wps:cNvSpPr/>
                              <wps:spPr>
                                <a:xfrm>
                                  <a:off x="0" y="63500"/>
                                  <a:ext cx="1034415" cy="350520"/>
                                </a:xfrm>
                                <a:prstGeom prst="rect">
                                  <a:avLst/>
                                </a:prstGeom>
                                <a:noFill/>
                                <a:ln>
                                  <a:noFill/>
                                </a:ln>
                              </wps:spPr>
                              <wps:txbx>
                                <w:txbxContent>
                                  <w:p w14:paraId="3FC30B0F">
                                    <w:pPr>
                                      <w:jc w:val="center"/>
                                      <w:rPr>
                                        <w:rFonts w:hint="default" w:eastAsia="宋体"/>
                                        <w:szCs w:val="21"/>
                                        <w:lang w:val="en-US" w:eastAsia="zh-CN"/>
                                      </w:rPr>
                                    </w:pPr>
                                    <w:r>
                                      <w:rPr>
                                        <w:rFonts w:hint="eastAsia"/>
                                        <w:szCs w:val="21"/>
                                      </w:rPr>
                                      <w:t>新鲜水</w:t>
                                    </w:r>
                                    <w:r>
                                      <w:rPr>
                                        <w:rFonts w:hint="eastAsia"/>
                                        <w:szCs w:val="21"/>
                                        <w:lang w:val="en-US" w:eastAsia="zh-CN"/>
                                      </w:rPr>
                                      <w:t>3.6</w:t>
                                    </w:r>
                                  </w:p>
                                </w:txbxContent>
                              </wps:txbx>
                              <wps:bodyPr upright="1"/>
                            </wps:wsp>
                            <wps:wsp>
                              <wps:cNvPr id="31" name="曲线连接符 31"/>
                              <wps:cNvCnPr/>
                              <wps:spPr>
                                <a:xfrm rot="-5400000">
                                  <a:off x="1139825" y="849379"/>
                                  <a:ext cx="200025" cy="230609"/>
                                </a:xfrm>
                                <a:prstGeom prst="curvedConnector2">
                                  <a:avLst/>
                                </a:prstGeom>
                                <a:ln w="9525" cap="flat" cmpd="sng">
                                  <a:solidFill>
                                    <a:srgbClr val="000000"/>
                                  </a:solidFill>
                                  <a:prstDash val="dash"/>
                                  <a:headEnd type="none" w="med" len="med"/>
                                  <a:tailEnd type="triangle" w="med" len="med"/>
                                </a:ln>
                              </wps:spPr>
                              <wps:bodyPr/>
                            </wps:wsp>
                            <wps:wsp>
                              <wps:cNvPr id="32" name="矩形 32"/>
                              <wps:cNvSpPr/>
                              <wps:spPr>
                                <a:xfrm>
                                  <a:off x="1348105" y="786486"/>
                                  <a:ext cx="914400" cy="297314"/>
                                </a:xfrm>
                                <a:prstGeom prst="rect">
                                  <a:avLst/>
                                </a:prstGeom>
                                <a:noFill/>
                                <a:ln>
                                  <a:noFill/>
                                </a:ln>
                              </wps:spPr>
                              <wps:txbx>
                                <w:txbxContent>
                                  <w:p w14:paraId="355219ED">
                                    <w:pPr>
                                      <w:rPr>
                                        <w:rFonts w:hint="default" w:eastAsia="宋体"/>
                                        <w:szCs w:val="21"/>
                                        <w:lang w:val="en-US" w:eastAsia="zh-CN"/>
                                      </w:rPr>
                                    </w:pPr>
                                    <w:r>
                                      <w:rPr>
                                        <w:rFonts w:hint="eastAsia" w:eastAsia="宋体"/>
                                        <w:szCs w:val="21"/>
                                        <w:lang w:val="en-US" w:eastAsia="zh-CN"/>
                                      </w:rPr>
                                      <w:t>2</w:t>
                                    </w:r>
                                  </w:p>
                                </w:txbxContent>
                              </wps:txbx>
                              <wps:bodyPr upright="1"/>
                            </wps:wsp>
                            <wps:wsp>
                              <wps:cNvPr id="33" name="矩形 33"/>
                              <wps:cNvSpPr/>
                              <wps:spPr>
                                <a:xfrm>
                                  <a:off x="2628900" y="396419"/>
                                  <a:ext cx="571500" cy="297314"/>
                                </a:xfrm>
                                <a:prstGeom prst="rect">
                                  <a:avLst/>
                                </a:prstGeom>
                                <a:noFill/>
                                <a:ln>
                                  <a:noFill/>
                                </a:ln>
                              </wps:spPr>
                              <wps:txbx>
                                <w:txbxContent>
                                  <w:p w14:paraId="031FB8AC">
                                    <w:pPr>
                                      <w:rPr>
                                        <w:rFonts w:hint="default" w:eastAsia="宋体"/>
                                        <w:szCs w:val="21"/>
                                        <w:lang w:val="en-US" w:eastAsia="zh-CN"/>
                                      </w:rPr>
                                    </w:pPr>
                                    <w:r>
                                      <w:rPr>
                                        <w:rFonts w:hint="eastAsia"/>
                                        <w:szCs w:val="21"/>
                                        <w:lang w:val="en-US" w:eastAsia="zh-CN"/>
                                      </w:rPr>
                                      <w:t>1.28</w:t>
                                    </w:r>
                                  </w:p>
                                </w:txbxContent>
                              </wps:txbx>
                              <wps:bodyPr upright="1"/>
                            </wps:wsp>
                          </wpc:wpc>
                        </a:graphicData>
                      </a:graphic>
                    </wp:inline>
                  </w:drawing>
                </mc:Choice>
                <mc:Fallback>
                  <w:pict>
                    <v:group id="_x0000_s1026" o:spid="_x0000_s1026" o:spt="203" style="height:110.55pt;width:423pt;" coordsize="5372100,1403985" editas="canvas"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GNtfuLzBQAA2CUAAA4AAABkcnMvZTJvRG9jLnhtbO1aTY/b&#10;RBi+I/EfLN/beDzjsR0120O3rZAQVCpw99pOYslfGns3u2funLhVohISSEicEAcEQv017fIzeGbG&#10;H4kbN6FstylkD1nbMx7PPO/zvu8zr33v/mWWGhexqJIin5nkrmUacR4WUZIvZuaXXzy645lGVQd5&#10;FKRFHs/Mq7gy7598/NG9VTmN7WJZpFEsDAySV9NVOTOXdV1OJ5MqXMZZUN0tyjhH47wQWVDjVCwm&#10;kQhWGD1LJ7Zl8cmqEFEpijCuKlw91Y1mM6LYZ8BiPk/C+LQIz7M4r/WoIk6DGkuqlklZmSdqtvN5&#10;HNafz+dVXBvpzMRKa/WLh+D4TP5OTu4F04UIymUSNlMI9pnCYE1ZkOR4aDfUaVAHxrlIXhsqS0JR&#10;VMW8vhsW2UQvRCGCVRBrgM1jUZyXai2L6WpRdqDDUAPU33rY8LOLJ8JIoplJmWnkQQaLX3/7x8vf&#10;vjZwAeisysUUnR6L8mn5RDQXFvpMLvhyLjL5H0sxLhWuVx2u8WVthLjoUNcmFiAP0UaYRX3P0ciH&#10;S5jntfvC5cMdd07aB0/k/LrprEpwsuqBqv4dUE+XQRkr/CuJQQNUj9Pzn17++b3RwKS6dBhV0wpw&#10;bQHIdXzGAQWQYK7lMk8D0ULlE8ZapGzfpUSN3i03mJaiqh/HRWbIg5kpwHBFvODi06qGedC17SKf&#10;XhVpEj1K0lSdiMXZg1QYFwG84ZH6k0/HLRvd0txYzUzfsR1YLICLz+FaOMxK0KTKF+p5G3dU6wNb&#10;6m/bwHJip0G11BNQI+jVZ0kdC8wkmC7jIHqYR0Z9VYKJOSKQKSeTxZFppDECljxSPesgSffpidWl&#10;ORYpuaFtIo/qy7NLDCMPz4roCqZNP8lBF+Jh9ogT6oQ5ro0Tsd5ytt5yXopksYQZiFpuQz897Dvn&#10;IazT+OuzX19988NfL77D7/XPPxrKt+RcwNkHeeO07eJbx+k8lnCXeg0jOWHUphrflpHUow5rfJdT&#10;NfY4HdMEBpN2HKHj7VPrbQlViyTIF+kI/baTqmHSe2UF71ihoxOX1mzIsDs6Ee4xS3Ie4QmGt9xB&#10;eHJc4txkeMoLGZuUP0snDabdhe0Iv+627xVsSCXtgq+e/XL9+4veBRVsb3ZBQxQIHHfgW/JPOU2T&#10;QwlxfIdoIxDPZThUCLUeCRVlqdgMI9nU4pavok/v2W0CaHJEeC4u4uhBkedIFoWwD8BBI2QBvajb&#10;909gqZIBAvQtRWq/pcm19kllr/19knHKXUR7mNsjlLibbLhpxdB5oM6bH5pLSr9p0qIGW3vP3mjb&#10;luMqBSYFmsdcWwmwYNo6HyeWjSyopKztEt9S6XI8Ix4F2i4pt2+k3yLQiAW5drACjZCOigOFhpY+&#10;K49INGOeJuVXUlrKvNikBpu7HqM6NXDiM6vZR7XstDnhMn3LjdZRrDV7he0EOwSxhljeBqshQ1SU&#10;f7OC2OCFb0uRDrPL/aWtMkwftJhncb8JWkdaHD4tOl3ZCAayrid3q3jbZ92WjuHEGeQw4lEfElOH&#10;CWY7nB2T2C1VGd7rdoUMhSgu9HloN6+4y/12X2J5jOlqQB9mCEqYNkp7WhyheOLrusjozuQojt6h&#10;ODrs6pVtj6U+tPSkHBFH66nPARPBOaQ+QnzueYpzPSkVDEdJtFk+PVxJZI9KIrTs5MV20dwzhLoO&#10;cwaaWQoiFbE87Oy4yrTj27n/ToFzvLZ+wOQYCiP7nwojwriOFdRxXD4IFevVTYptlmbKOBl2pa8P&#10;vJSCXUS7O9GlFL2t2L+UQj23ebHg+ZZFla36wHwsXOlXNO37V+SojcIVtvl9vNstzvTuD8EMFRHc&#10;1+NMLMoYaWIcmh0UCNDhf0tr2pVlhlV7tPSIjyiPN5Xt8V5b1uWhRDzmU3ewCT+W7fFG9+1fq0nK&#10;ytBze2V72ktUHf9woefHbo8klHkEFTpJCNfjzFPv4nrHPAbAzQBIhwFQVSX2TzfclmlGwU19zvTm&#10;tod7PbvfxKcV7y67q49a8MGPCtLNx0nyi6L1c+UN/QdZJ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ggAAFtDb250ZW50X1R5cGVzXS54bWxQ&#10;SwECFAAKAAAAAACHTuJAAAAAAAAAAAAAAAAABgAAAAAAAAAAABAAAABEBwAAX3JlbHMvUEsBAhQA&#10;FAAAAAgAh07iQIoUZjzRAAAAlAEAAAsAAAAAAAAAAQAgAAAAaAcAAF9yZWxzLy5yZWxzUEsBAhQA&#10;CgAAAAAAh07iQAAAAAAAAAAAAAAAAAQAAAAAAAAAAAAQAAAAAAAAAGRycy9QSwECFAAUAAAACACH&#10;TuJAT7MfdtYAAAAFAQAADwAAAAAAAAABACAAAAAiAAAAZHJzL2Rvd25yZXYueG1sUEsBAhQAFAAA&#10;AAgAh07iQGNtfuLzBQAA2CUAAA4AAAAAAAAAAQAgAAAAJQEAAGRycy9lMm9Eb2MueG1sUEsFBgAA&#10;AAAGAAYAWQEAAIoJAAAAAA==&#10;">
                      <o:lock v:ext="edit" aspectratio="f"/>
                      <v:shape id="_x0000_s1026" o:spid="_x0000_s1026" style="position:absolute;left:0;top:0;height:1403985;width:53721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CsxzQ6eBQAAUyUAAA4AAABkcnMvZTJvRG9jLnhtbO1azY7j&#10;RBC+I/EOlu87cbvbbTuazB5mGISEYKUF7h3bSSz5T21PMvMSvMBKICEtEhInxAkJ7dOww2PwdbcT&#10;J2YyCcvsTBaSQ2K7O+Xuqq+qvir79Pl1nlnzRNZpWYxscuLYVlJEZZwW05H99VeXzwLbqhtRxCIr&#10;i2Rk3yS1/fzs449OF9UwcctZmcWJtCCkqIeLamTPmqYaDgZ1NEtyUZ+UVVJgcFLKXDQ4ldNBLMUC&#10;0vNs4DoOHyxKGVeyjJK6xtULM2i3EuU+AsvJJI2SizK6ypOiMVJlkokGW6pnaVXbZ3q1k0kSNV9O&#10;JnXSWNnIxk4b/Y2b4Hisvgdnp2I4laKapVG7BLHPEnp7ykVa4KYrUReiEdaVTP8mKk8jWdblpDmJ&#10;ynxgNqI1gl0Qp6ebc1HMhdlMBF0vF4ijB5Q7nqp1F+VlmmXQxgDSh+qa+l3A2okazorNSeaKntvO&#10;WVSAQ12tgFH/uyW+nIkq0Wash9EX8xfSSuORzWyrEDlAefv9T3/8/oPFlP3UnTHlZfVCtmc1DtV6&#10;rycyV79Qs3U9sn0vZByGv4Eg3/FZYKyfXDdWhOGQMOZgOMK4G/qUaOmDTkwl6+bTpMwtdTCyJcCl&#10;bS7mn9eNUp0YLqeou9ZllsZKq/pETsfnmbTmAkC81B91d/xlY1pWWAusxHM9rEPAuyZANQ7zCruv&#10;i6m+38Y/6nXBjv7cJVgt7ELUM7MALcHsPk+bRGIlYjhLRPxJEVvNTQUNF3B+Wy0mT2LbyhLECnWk&#10;ZzYizfaZid0p4AAm9dDYRB011+NriFGH4zK+gWmzzwrAhQRYPVxUnzDPd3Ei10fG6yNXlUynM5iB&#10;6O0qaYCfEfvecQjrtDh89evbb1//+eY7fN/+/KPlqcWotQCQ58UuQBLu06BFJCeMutTod4lIGlCP&#10;tYjkVMveDscshcGUHbfA8fGh9a6AamQqimm2BX53g6pF0pOigq9QYaITXwPD7uhEeMAchXmEHxje&#10;8XvhyfOJ95DhaRXx74nu97vtkyobLMW44NtXv9z+9qZzQa22+13QkiUCxzP4lvpop2lTBCFe6BFj&#10;BBL4DIc64i09EgTG0bFZ5QjqcCdU49udMrqS8yQ+L4sCyaKU7gE4aIwsYDb1+P6pdPW4kTpcwqRl&#10;DNpeLTr28EnGKfcR7WHugFDib6LhoRnDB+6Sym826Jnxnr217TqerxkYtM0C5ruagInh0vk4cVxk&#10;QUPQfBI6Ol1ud74jQdtF5e7OpXsRNOKArh0sQSNkBcUeQ8PITopmTbK0+kZRS8Wn2tTgcj9g1KQG&#10;TkLmaD7WodPlhKv0rcqHI1lra4W7AXYIZA2xfBms+gjRUf5+BrGBi9BVJB1mV/WlqzNMBwsWODxs&#10;g9YRFocPixWvbAkDWeeTuxmDG7JVScdw4vVyGAloCIppwgRzPc6OSeyRugxPWq6QPhHFhS4P7cYV&#10;93m4rEucgDHTDejCDEH30A2W5AjNk9D0RY7dq2P3atWRaruorrst9WGkA+Xu/pXrAYnAHFIfISEP&#10;Ao25DpS6iXekRJvt08OlRO5WSoSRnbi4mzR3CKG+x7weZ1aESBPmAJUd15l2ezn332lwbu+tHzA4&#10;+sTI/afEiDBuYgX1PJ/3QsV6d5OizDJI2Q6GXbX9B95KQRWxrE5ML9mUFfu3Umjgtw8WgtBxqLZV&#10;F5iPjSvziKZNiKqq32hc4UIX73aTM1P9IZihI4L/dXomDmWMtDEOwx4aBJjwv4U1XbVl+l17jHQa&#10;38I87mvb0zBQfXkwkYCF1O8V4ce2PZ7ovvtjNQVZFXoe7wEr7SiqiX+40OFjt0cSygKCDp0ChB9w&#10;FuhncZ1jHgPgZgCk/QCouxL7pxvuqjSj1U1Dzkxx26l7Pbs/xKsV7y+7m1daqkgH6fa9IPUyz/q5&#10;9obuXaizv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ANCAAAW0NvbnRlbnRfVHlwZXNdLnhtbFBLAQIUAAoAAAAAAIdO4kAAAAAAAAAAAAAAAAAG&#10;AAAAAAAAAAAAEAAAAO8GAABfcmVscy9QSwECFAAUAAAACACHTuJAihRmPNEAAACUAQAACwAAAAAA&#10;AAABACAAAAATBwAAX3JlbHMvLnJlbHNQSwECFAAKAAAAAACHTuJAAAAAAAAAAAAAAAAABAAAAAAA&#10;AAAAABAAAAAAAAAAZHJzL1BLAQIUABQAAAAIAIdO4kBPsx921gAAAAUBAAAPAAAAAAAAAAEAIAAA&#10;ACIAAABkcnMvZG93bnJldi54bWxQSwECFAAUAAAACACHTuJAKzHNDp4FAABTJQAADgAAAAAAAAAB&#10;ACAAAAAlAQAAZHJzL2Uyb0RvYy54bWxQSwUGAAAAAAYABgBZAQAANQkAAAAA&#10;">
                        <v:fill on="f" focussize="0,0"/>
                        <v:stroke on="f"/>
                        <v:imagedata o:title=""/>
                        <o:lock v:ext="edit" aspectratio="t"/>
                      </v:shape>
                      <v:rect id="_x0000_s1026" o:spid="_x0000_s1026" o:spt="1" style="position:absolute;left:759460;top:470748;height:297314;width:914400;" fillcolor="#FFFFFF" filled="t" stroked="t" coordsize="21600,21600" o:gfxdata="UEsDBAoAAAAAAIdO4kAAAAAAAAAAAAAAAAAEAAAAZHJzL1BLAwQUAAAACACHTuJAjENIxtMAAAAF&#10;AQAADwAAAGRycy9kb3ducmV2LnhtbE2PQUvDQBCF74L/YRnBi9hNQgk1zaQHQY9qW71vs9MkNDsb&#10;spu0/feOXvTy4PGG974pNxfXq5nG0HlGSBcJKOLa244bhM/9y+MKVIiGrek9E8KVAmyq25vSFNaf&#10;eUvzLjZKSjgUBqGNcSi0DnVLzoSFH4glO/rRmSh2bLQdzVnKXa+zJMm1Mx3LQmsGem6pPu0mh/Cx&#10;n47b9zl3T2/2unzgLxpeIyHe36XJGlSkS/w7hh98QYdKmA5+YhtUjyCPxF+VbLXMxR4QsixNQVel&#10;/k9ffQNQSwMEFAAAAAgAh07iQAdusjokAgAAZgQAAA4AAABkcnMvZTJvRG9jLnhtbK1UzY7TMBC+&#10;I/EOlu80SUm3bdR0D5QiJAQrLTyAYzuJJf/Jdpv0aZC48RA8DuI1GDtlt7tw6IEckpnM5Jvvmxln&#10;czsqiY7ceWF0jYtZjhHX1DChuxp/+bx/tcLIB6IZkUbzGp+4x7fbly82g6343PRGMu4QgGhfDbbG&#10;fQi2yjJPe66InxnLNQRb4xQJ4LouY44MgK5kNs/zm2wwjllnKPce3u6mID4jumsATdsKyneGHhTX&#10;YUJ1XJIAknwvrMfbxLZtOQ2f2tbzgGSNQWlIdygCdhPv2XZDqs4R2wt6pkCuofBMkyJCQ9EHqB0J&#10;BB2c+AtKCeqMN22YUaOySUjqCKgo8me9ue+J5UkLtNrbh6b7/wdLPx7vHBKsxiVGmigY+K+v33/+&#10;+IbK2JvB+gpS7u2dO3sezCh0bJ2KT5CAxhovF+vyBpp6AqBlvixXU2f5GBCF8LooyxzCFOLz9fJ1&#10;kdCzRxjrfHjHjULRqLGDwaV+kuMHH6A0pP5JiVW9kYLthZTJcV3zRjp0JDDkfbpidfjkSZrUaAAm&#10;i/kCeBDY3BY2BkxlQb3XXar35At/CZyn61/AkdiO+H4ikBAm9UoE7oAJqXpO2FvNUDhZ6LCGg4Uj&#10;GcUZRpLDOYxWygxEyGsyQZ3UIDJOaJpJtMLYjAATzcawE4xWvtewLsUK2MP6J6dcLOfguMtIcxk5&#10;WCe6HsZQJLkRDdYvdfR8VOJ+X/qJyOPvYf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ENIxtMA&#10;AAAFAQAADwAAAAAAAAABACAAAAAiAAAAZHJzL2Rvd25yZXYueG1sUEsBAhQAFAAAAAgAh07iQAdu&#10;sjokAgAAZgQAAA4AAAAAAAAAAQAgAAAAIgEAAGRycy9lMm9Eb2MueG1sUEsFBgAAAAAGAAYAWQEA&#10;ALgFAAAAAA==&#10;">
                        <v:fill on="t" focussize="0,0"/>
                        <v:stroke color="#000000" joinstyle="miter"/>
                        <v:imagedata o:title=""/>
                        <o:lock v:ext="edit" aspectratio="f"/>
                        <v:textbox inset="0.5mm,1.27mm,0.5mm,1.27mm">
                          <w:txbxContent>
                            <w:p w14:paraId="2D74929B">
                              <w:pPr>
                                <w:jc w:val="center"/>
                                <w:rPr>
                                  <w:rFonts w:hint="eastAsia"/>
                                  <w:szCs w:val="21"/>
                                </w:rPr>
                              </w:pPr>
                              <w:r>
                                <w:rPr>
                                  <w:rFonts w:hint="eastAsia"/>
                                  <w:szCs w:val="21"/>
                                </w:rPr>
                                <w:t>职工生活用水</w:t>
                              </w:r>
                            </w:p>
                          </w:txbxContent>
                        </v:textbox>
                      </v:rect>
                      <v:line id="_x0000_s1026" o:spid="_x0000_s1026" o:spt="20" style="position:absolute;left:1673860;top:614323;height:635;width:383540;" filled="f" stroked="t" coordsize="21600,21600" o:gfxdata="UEsDBAoAAAAAAIdO4kAAAAAAAAAAAAAAAAAEAAAAZHJzL1BLAwQUAAAACACHTuJAwsOCadYAAAAF&#10;AQAADwAAAGRycy9kb3ducmV2LnhtbE2PQUvDQBCF74L/YRnBm91skBJiNj0I9dKqtBXR2zY7JsHs&#10;bNjdtPHfO3rRy4PHG977plrNbhAnDLH3pEEtMhBIjbc9tRpeDuubAkRMhqwZPKGGL4ywqi8vKlNa&#10;f6YdnvapFVxCsTQaupTGUsrYdOhMXPgRibMPH5xJbEMrbTBnLneDzLNsKZ3piRc6M+J9h83nfnIa&#10;dtv1pnjdTHMT3h/U0+F5+/gWC62vr1R2ByLhnP6O4Qef0aFmpqOfyEYxaOBH0q9yVtwu2R415LlS&#10;IOtK/qevvwFQSwMEFAAAAAgAh07iQMYjMjEKAgAA9AMAAA4AAABkcnMvZTJvRG9jLnhtbK1TzY7T&#10;MBC+I/EOlu80bbMt3ajpHrYsFwSVYB9gajuJJf/Jdpv2JXgBJG5w4sidt2F5DMZO2cIipD2QgzPO&#10;jL/5vi/j5dVBK7IXPkhrajoZjSkRhlkuTVvT23c3zxaUhAiGg7JG1PQoAr1aPX2y7F0lprazigtP&#10;EMSEqnc17WJ0VVEE1gkNYWSdMJhsrNcQcevbgnvoEV2rYjoez4veeu68ZSIE/LoekvSE6B8DaJtG&#10;MrG2bKeFiQOqFwoiSgqddIGuMtumESy+aZogIlE1RaUxr9gE421ai9USqtaD6yQ7UYDHUHigSYM0&#10;2PQeag0RyM7Lv6C0ZN4G28QRs7oYhGRHUMVk/MCbtx04kbWg1cHdmx7+Hyx7vd94InlNZ5QY0PjD&#10;7z58/f7+049vH3G9+/KZzJJJvQsV1l6bjT/tgtv4pPjQeJ3eqIUccKDmz8vFHO091nQ+uSin5eCx&#10;OETCMF8uytkFplnKlxm7OIM4H+JLYTVJQU2VNEk/VLB/FSI2xtJfJemzMqSv6eVsiuQZ4DA2OAQY&#10;aoeCgmnz2WCV5DdSqXQi+HZ7rTzZQxqI/CR+iPtHWWqyhtANdTk1yOgE8BeGk3h0aJXBG0ITBS04&#10;JUrghUoRAkIVQapzZfQSTKv+UY3tlUEWyeXB1xRtLT/iz9k5L9sO3ZhkpimDw5A5nwY3Tdvv+4x0&#10;vqyr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DgmnWAAAABQEAAA8AAAAAAAAAAQAgAAAAIgAA&#10;AGRycy9kb3ducmV2LnhtbFBLAQIUABQAAAAIAIdO4kDGIzIxCgIAAPQDAAAOAAAAAAAAAAEAIAAA&#10;ACUBAABkcnMvZTJvRG9jLnhtbFBLBQYAAAAABgAGAFkBAAChBQAAAAA=&#10;">
                        <v:fill on="f" focussize="0,0"/>
                        <v:stroke color="#000000" joinstyle="round" endarrow="block"/>
                        <v:imagedata o:title=""/>
                        <o:lock v:ext="edit" aspectratio="f"/>
                      </v:line>
                      <v:rect id="_x0000_s1026" o:spid="_x0000_s1026" o:spt="1" style="position:absolute;left:1684020;top:383078;height:297314;width:5715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CQ1NnqtAQAASwMAAA4AAABkcnMvZTJvRG9jLnhtbK1TS27b&#10;MBTcF+gdCO5rSnZiO4LlbIx0U6QB0h6ApkiLAH/goy35NAWy6yF6nKLX6KOk5rvJohvq/TBvZkht&#10;rntryElG0N7VtJwVlEgnfKPdoabfv918WlMCibuGG+9kTc8S6PX244dNFyo59603jYwEQRxUXahp&#10;m1KoGAPRSsth5oN02FQ+Wp4wjQfWRN4hujVsXhRL1vnYhOiFBMDqbmzSCTG+B9ArpYXceXG00qUR&#10;NUrDE0qCVgeg24GtUlKkr0qBTMTUFJWm4cQlGO/zybYbXh0iD60WEwX+HgqvNFmuHS59hNrxxMkx&#10;6jdQVovowas0E96yUcjgCKooi1fe3Lc8yEELWg3h0XT4f7Di9nQXiW5quqTEcYsX/ufHz9+/Hsgy&#10;e9MFqHDkPtzFKQMMs9BeRZu/KIH0+I6W64tijq6ea7pYL4rVerRW9okI7F+uyssC2wL786vVorzI&#10;ffaEEyKkz9JbkoOaRry5wVB++gJpHP03ktc6f6ONwTqvjHtRQMxcYZn6SDZHqd/3k4K9b86o+Rii&#10;PrS4qhyY5CH0eOA0vYd8ic/zAfTpH9j+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E+zH3bWAAAA&#10;BQEAAA8AAAAAAAAAAQAgAAAAIgAAAGRycy9kb3ducmV2LnhtbFBLAQIUABQAAAAIAIdO4kAkNTZ6&#10;rQEAAEsDAAAOAAAAAAAAAAEAIAAAACUBAABkcnMvZTJvRG9jLnhtbFBLBQYAAAAABgAGAFkBAABE&#10;BQAAAAA=&#10;">
                        <v:fill on="f" focussize="0,0"/>
                        <v:stroke on="f"/>
                        <v:imagedata o:title=""/>
                        <o:lock v:ext="edit" aspectratio="f"/>
                        <v:textbox>
                          <w:txbxContent>
                            <w:p w14:paraId="487D8EC4">
                              <w:pPr>
                                <w:rPr>
                                  <w:rFonts w:hint="default" w:eastAsia="宋体"/>
                                  <w:szCs w:val="21"/>
                                  <w:lang w:val="en-US" w:eastAsia="zh-CN"/>
                                </w:rPr>
                              </w:pPr>
                              <w:r>
                                <w:rPr>
                                  <w:rFonts w:hint="eastAsia"/>
                                  <w:szCs w:val="21"/>
                                  <w:lang w:val="en-US" w:eastAsia="zh-CN"/>
                                </w:rPr>
                                <w:t>1.28</w:t>
                              </w:r>
                            </w:p>
                          </w:txbxContent>
                        </v:textbox>
                      </v:rect>
                      <v:shape id="_x0000_s1026" o:spid="_x0000_s1026" o:spt="37" type="#_x0000_t37" style="position:absolute;left:1159510;top:187410;height:230609;width:200025;rotation:-5898240f;" filled="f" stroked="t" coordsize="21600,21600" o:gfxdata="UEsDBAoAAAAAAIdO4kAAAAAAAAAAAAAAAAAEAAAAZHJzL1BLAwQUAAAACACHTuJAPw/fotUAAAAF&#10;AQAADwAAAGRycy9kb3ducmV2LnhtbE2PzU7DMBCE70i8g7VI3KiTgEKVxumhEkitcmlB4ura2yQQ&#10;ryPb/YGnZ+ECl5FGs5r5tl5e3ChOGOLgSUE+y0AgGW8H6hS8vjzdzUHEpMnq0RMq+MQIy+b6qtaV&#10;9Wfa4mmXOsElFCutoE9pqqSMpken48xPSJwdfHA6sQ2dtEGfudyNssiyUjo9EC/0esJVj+Zjd3QK&#10;2ue3L//e3pftpl3bsFqb7ebRKHV7k2cLEAkv6e8YfvAZHRpm2vsj2ShGBfxI+lXO5g8l272Coshz&#10;kE0t/9M331BLAwQUAAAACACHTuJAPq2R4BYCAAAFBAAADgAAAGRycy9lMm9Eb2MueG1srVPNbhMx&#10;EL4j8Q6W781uQlOSVTY9JJQLgkjAAzi2d9eS/zR2sslL8AJI3ODEiSOXvk3LYzD2hhaKkHpgD6ux&#10;Z+ab+b4ZLy4PRpO9hKCcrel4VFIiLXdC2bam799dnc0oCZFZwbSzsqZHGejl8umTRe8rOXGd00IC&#10;QRAbqt7XtIvRV0UReCcNCyPnpUVn48CwiEdoCwGsR3Sji0lZXhS9A+HBcRkC3q4HJz0hwmMAXdMo&#10;LteO74y0cUAFqVlESqFTPtBl7rZpJI9vmibISHRNkWnMfyyC9jb9i+WCVS0w3yl+aoE9poUHnAxT&#10;FoveQa1ZZGQH6i8oozi44Jo44s4UA5GsCLIYlw+0edsxLzMXlDr4O9HD/4Plr/cbIErUFMdumcGB&#10;33z8dvv9+sf1p5sPn2+/fiGzJFLvQ4WxK7uB0yn4DSTGhwYMAYfKnk3Py/RlIZAaOeB+jafz6RjV&#10;PqI9e36OZpZcHiLh6MeNKCdTSjj6J8/Ki3Ke/MUAm+A9hPhSOkOSUVO+g70UK2ctjtbBJNdi+1ch&#10;Dmm/wlOqtqSv6Xya8RmuaoMrgqWMR7rBtjk3OK3EldI6ZQRotysNZM/SuuTv1M4fYanImoVuiBNo&#10;DaQ6ycQLK0g8etTR4vOhqQMjBSVa4mtLVqYfmdL3kREUs63+RzSKoS1qkkYwiJ6srRPHPIt8j9uR&#10;VTttclq/3885+/71Ln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Pw/fotUAAAAFAQAADwAAAAAA&#10;AAABACAAAAAiAAAAZHJzL2Rvd25yZXYueG1sUEsBAhQAFAAAAAgAh07iQD6tkeAWAgAABQQAAA4A&#10;AAAAAAAAAQAgAAAAJAEAAGRycy9lMm9Eb2MueG1sUEsFBgAAAAAGAAYAWQEAAKwFAAAAAA==&#10;">
                        <v:fill on="f" focussize="0,0"/>
                        <v:stroke color="#000000" joinstyle="round" dashstyle="dash" endarrow="block"/>
                        <v:imagedata o:title=""/>
                        <o:lock v:ext="edit" aspectratio="f"/>
                      </v:shape>
                      <v:rect id="_x0000_s1026" o:spid="_x0000_s1026" o:spt="1" style="position:absolute;left:1463675;top:81317;height:297314;width:9144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CHl0VmuAQAASgMAAA4AAABkcnMvZTJvRG9jLnhtbK1TS27b&#10;MBTcF+gdCO5rSrZrx4LlbIx0UyQB0h6ApkiLAH94pC35NAG6yyF6nKLX6KOkJm26yaIb6v0wb2ZI&#10;ba97a8hZQtTe1bScFZRIJ3yj3bGmX7/cfLiiJCbuGm68kzW9yEivd+/fbbtQyblvvWkkEARxsepC&#10;TduUQsVYFK20PM58kA6byoPlCVM4sgZ4h+jWsHlRrFjnoQnghYwRq/uxSSdEeAugV0oLuffiZKVL&#10;IypIwxNKiq0Oke4GtkpJke6UijIRU1NUmoYTl2B8yCfbbXl1BB5aLSYK/C0UXmmyXDtc+gy154mT&#10;E+h/oKwW4KNXaSa8ZaOQwRFUURavvHloeZCDFrQ6hmfT4/+DFbfneyC6qemGEsctXvjPx6cf37+R&#10;TfamC7HCkYdwD1MWMcxCewU2f1EC6fEdLVeL1fojJZeaXpWLcj06K/tEBLY35XJZoOcC2/PNelEu&#10;c5+9wASI6ZP0luSgpoAXN/jJz59jGkd/j+Stzt9oY7DOK+P+KiBmrrDMfOSao9Qf+knAwTcXlHwK&#10;oI8trioHJnkILR44Tc8h3+Gf+QD68gvsfg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sx921gAA&#10;AAUBAAAPAAAAAAAAAAEAIAAAACIAAABkcnMvZG93bnJldi54bWxQSwECFAAUAAAACACHTuJAIeXR&#10;Wa4BAABKAwAADgAAAAAAAAABACAAAAAlAQAAZHJzL2Uyb0RvYy54bWxQSwUGAAAAAAYABgBZAQAA&#10;RQUAAAAA&#10;">
                        <v:fill on="f" focussize="0,0"/>
                        <v:stroke on="f"/>
                        <v:imagedata o:title=""/>
                        <o:lock v:ext="edit" aspectratio="f"/>
                        <v:textbox>
                          <w:txbxContent>
                            <w:p w14:paraId="30FBE868">
                              <w:pPr>
                                <w:rPr>
                                  <w:rFonts w:hint="default" w:eastAsia="宋体"/>
                                  <w:szCs w:val="21"/>
                                  <w:lang w:val="en-US" w:eastAsia="zh-CN"/>
                                </w:rPr>
                              </w:pPr>
                              <w:r>
                                <w:rPr>
                                  <w:rFonts w:hint="eastAsia" w:eastAsia="宋体"/>
                                  <w:szCs w:val="21"/>
                                  <w:lang w:val="en-US" w:eastAsia="zh-CN"/>
                                </w:rPr>
                                <w:t>0.</w:t>
                              </w:r>
                              <w:r>
                                <w:rPr>
                                  <w:rFonts w:hint="eastAsia"/>
                                  <w:szCs w:val="21"/>
                                  <w:lang w:val="en-US" w:eastAsia="zh-CN"/>
                                </w:rPr>
                                <w:t>32</w:t>
                              </w:r>
                            </w:p>
                          </w:txbxContent>
                        </v:textbox>
                      </v:rect>
                      <v:rect id="_x0000_s1026" o:spid="_x0000_s1026" o:spt="1" style="position:absolute;left:2057400;top:484724;height:271903;width:610235;" fillcolor="#FFFFFF" filled="t" stroked="t" coordsize="21600,21600" o:gfxdata="UEsDBAoAAAAAAIdO4kAAAAAAAAAAAAAAAAAEAAAAZHJzL1BLAwQUAAAACACHTuJAamcYedUAAAAF&#10;AQAADwAAAGRycy9kb3ducmV2LnhtbE2PQUvDQBCF74L/YRnBm90kSCxpNj0oguipqVS9bbPTbGh2&#10;NmQ3Tf33jl7s5cHjDe99U67PrhcnHEPnSUG6SEAgNd501Cp43z7fLUGEqMno3hMq+MYA6+r6qtSF&#10;8TNt8FTHVnAJhUIrsDEOhZShseh0WPgBibODH52ObMdWmlHPXO56mSVJLp3uiBesHvDRYnOsJ6dg&#10;bp76w/Tx8PVi37a72n/m3Wb3qtTtTZqsQEQ8x/9j+MVndKiYae8nMkH0CviR+KecLe9ztnsFWZam&#10;IKtSXtJXP1BLAwQUAAAACACHTuJANWzMkSgCAABpBAAADgAAAGRycy9lMm9Eb2MueG1srVRLbtsw&#10;EN0X6B0I7mt9YseOYDmLui4KFG2AtAegSEoiwB9I2pJPU6C7HqLHKXqNDCk3cdIuvKgX8oxm/Pje&#10;m6HXt6OS6MCdF0bXuJjlGHFNDRO6q/HXL7s3K4x8IJoRaTSv8ZF7fLt5/Wo92IqXpjeScYcARPtq&#10;sDXuQ7BVlnnac0X8zFiuodgap0iA1HUZc2QAdCWzMs+vs8E4Zp2h3Ht4u52K+IToLgE0bSso3xq6&#10;V1yHCdVxSQJI8r2wHm8S27blNHxuW88DkjUGpSE94RCIm/jMNmtSdY7YXtATBXIJhReaFBEaDn2E&#10;2pJA0N6Jv6CUoM5404YZNSqbhCRHQEWRv/DmvieWJy1gtbePpvv/B0s/He4cEgw2ASzRRMHEf3/7&#10;8evndwQvwJ3B+gqa7u2dO2Uewih1bJ2K3yACjTUu88VyngPIscbz1XxZzidz+RgQhfp1kZdXC4wo&#10;1MtlcZNfxXr2hGOdD++5USgGNXYwu2QpOXz0YWr90xKP9UYKthNSpsR1zVvp0IHAnHfpc0J/1iY1&#10;Gmp8sygjDwLL28LSQKgsGOB1l8579gt/Dpynz7+AI7Et8f1EICFM6pUI3AF5UvWcsHeaoXC04LGG&#10;u4UjGcUZRpLDVYxR6gxEyEs6wTupwcI4omkoMQpjMwJMDBvDjjBd+UHDxhQrYA83YEpyyDBy55Um&#10;JfPFsoTK3jrR9TCGIsmNaLCBaV6n2xJX/DxPRJ7+ITY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amcYedUAAAAFAQAADwAAAAAAAAABACAAAAAiAAAAZHJzL2Rvd25yZXYueG1sUEsBAhQAFAAAAAgA&#10;h07iQDVszJEoAgAAaQQAAA4AAAAAAAAAAQAgAAAAJAEAAGRycy9lMm9Eb2MueG1sUEsFBgAAAAAG&#10;AAYAWQEAAL4FAAAAAA==&#10;">
                        <v:fill on="t" focussize="0,0"/>
                        <v:stroke color="#000000" joinstyle="miter"/>
                        <v:imagedata o:title=""/>
                        <o:lock v:ext="edit" aspectratio="f"/>
                        <v:textbox inset="0.5mm,0.3mm,0.5mm,1.27mm">
                          <w:txbxContent>
                            <w:p w14:paraId="53AAF9F0">
                              <w:pPr>
                                <w:jc w:val="center"/>
                                <w:rPr>
                                  <w:rFonts w:hint="eastAsia"/>
                                  <w:szCs w:val="21"/>
                                </w:rPr>
                              </w:pPr>
                              <w:r>
                                <w:rPr>
                                  <w:rFonts w:hint="eastAsia" w:hAnsi="宋体"/>
                                  <w:szCs w:val="21"/>
                                </w:rPr>
                                <w:t>化粪池</w:t>
                              </w:r>
                            </w:p>
                          </w:txbxContent>
                        </v:textbox>
                      </v:rect>
                      <v:line id="_x0000_s1026" o:spid="_x0000_s1026" o:spt="20" style="position:absolute;left:2678430;top:619405;flip:y;height:635;width:261620;" filled="f" stroked="t" coordsize="21600,21600" o:gfxdata="UEsDBAoAAAAAAIdO4kAAAAAAAAAAAAAAAAAEAAAAZHJzL1BLAwQUAAAACACHTuJACqsXOtUAAAAF&#10;AQAADwAAAGRycy9kb3ducmV2LnhtbE2PQUvDQBCF74L/YRnBm91sqKXGbHoQBU+irQjettkxic3O&#10;xuy0qf56Ry96efB4w3vflKtj6NUBx9RFsmBmGSikOvqOGgvPm7uLJajEjrzrI6GFT0ywqk5PSlf4&#10;ONETHtbcKCmhVDgLLfNQaJ3qFoNLszggSfYWx+BY7NhoP7pJykOv8yxb6OA6koXWDXjTYr1b74OF&#10;q810GR/H3cvcdB+vX7fvPNw/sLXnZya7BsV45L9j+MEXdKiEaRv35JPqLcgj/KuSLecLsVsLeW4M&#10;6KrU/+mrb1BLAwQUAAAACACHTuJAy24NOBECAAAABAAADgAAAGRycy9lMm9Eb2MueG1srVPNbhMx&#10;EL4j8Q6W72STtAntKpseGsoFQSQo94l/di35T7aTTV6CF0DiBieO3HkbymN07A0tFCH1wB6s8c7n&#10;b+b7PF5c7I0mOxGicrahk9GYEmGZ48q2Db1+d/XsjJKYwHLQzoqGHkSkF8unTxa9r8XUdU5zEQiS&#10;2Fj3vqFdSr6uqsg6YSCOnBcWk9IFAwm3oa14gB7Zja6m4/G86l3gPjgmYsS/qyFJj4zhMYROSsXE&#10;yrGtETYNrEFoSCgpdspHuizdSilYeiNlFInohqLSVFYsgvEmr9VyAXUbwHeKHVuAx7TwQJMBZbHo&#10;HdUKEpBtUH9RGcWCi06mEXOmGoQUR1DFZPzAm7cdeFG0oNXR35ke/x8te71bB6I4TsKEEgsGb/zm&#10;47cfHz7//P4J15uvXwhm0KbexxrRl3Ydjrvo1yFr3stgiNTKv0eW4gLqIvuGTufPz05P0OpDQ+eT&#10;89PxbPBb7BNhJT+ZTzHNcv6kJKuBLtP6ENNL4QzJQUO1stkLqGH3KiZsAaG/IPm3tqRv6PlsOkNC&#10;wMGUOBAYGo/iom3L2ei04ldK63wihnZzqQPZQR6O8uX+kPcPWC6ygtgNuJIaZHQC+AvLSTp4dM3i&#10;a6G5BSM4JVrg48oREkKdQOl7ZAoKbKv/gcby2mIX2e/B4RxtHD/gRW19UG2HbpQrKRgcjNLzcYjz&#10;5P2+L0z3D3d5C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AqrFzrVAAAABQEAAA8AAAAAAAAAAQAg&#10;AAAAIgAAAGRycy9kb3ducmV2LnhtbFBLAQIUABQAAAAIAIdO4kDLbg04EQIAAAAEAAAOAAAAAAAA&#10;AAEAIAAAACQBAABkcnMvZTJvRG9jLnhtbFBLBQYAAAAABgAGAFkBAACnBQAAAAA=&#10;">
                        <v:fill on="f" focussize="0,0"/>
                        <v:stroke color="#000000" joinstyle="round" endarrow="block"/>
                        <v:imagedata o:title=""/>
                        <o:lock v:ext="edit" aspectratio="f"/>
                      </v:line>
                      <v:line id="_x0000_s1026" o:spid="_x0000_s1026" o:spt="20" style="position:absolute;left:269240;top:594629;height:635;width:480695;" filled="f" stroked="t" coordsize="21600,21600" o:gfxdata="UEsDBAoAAAAAAIdO4kAAAAAAAAAAAAAAAAAEAAAAZHJzL1BLAwQUAAAACACHTuJAwsOCadYAAAAF&#10;AQAADwAAAGRycy9kb3ducmV2LnhtbE2PQUvDQBCF74L/YRnBm91skBJiNj0I9dKqtBXR2zY7JsHs&#10;bNjdtPHfO3rRy4PHG977plrNbhAnDLH3pEEtMhBIjbc9tRpeDuubAkRMhqwZPKGGL4ywqi8vKlNa&#10;f6YdnvapFVxCsTQaupTGUsrYdOhMXPgRibMPH5xJbEMrbTBnLneDzLNsKZ3piRc6M+J9h83nfnIa&#10;dtv1pnjdTHMT3h/U0+F5+/gWC62vr1R2ByLhnP6O4Qef0aFmpqOfyEYxaOBH0q9yVtwu2R415LlS&#10;IOtK/qevvwFQSwMEFAAAAAgAh07iQGyQ3rwKAgAA9QMAAA4AAABkcnMvZTJvRG9jLnhtbK1TzY7T&#10;MBC+I/EOlu80bWjLNmq6hy3LBUEl2AeYOk5iyX/yuE37ErwAEjc4ceTO27A8BuOku4VFSHsgB2fs&#10;b/x5vs/j5eXBaLaXAZWzJZ+MxpxJK1ylbFPym/fXzy44wwi2Au2sLPlRIr9cPX2y7Hwhc9c6XcnA&#10;iMRi0fmStzH6IstQtNIAjpyXlsDaBQORpqHJqgAdsRud5ePxPOtcqHxwQiLS6noA+YkxPIbQ1bUS&#10;cu3EzkgbB9YgNUSShK3yyFd9tXUtRXxb1ygj0yUnpbEf6RCKt2nMVksomgC+VeJUAjymhAeaDChL&#10;h95TrSEC2wX1F5VRIjh0dRwJZ7JBSO8IqZiMH3jzrgUvey1kNfp70/H/0Yo3+01gqqJOeMGZBUM3&#10;fvvx248Pn39+/0Tj7dcvjBCyqfNYUPaV3YTTDP0mJM2HOpj0JzXsUPJ8vsin5O+x5LPFdJ4vBpPl&#10;ITJB8PRiPF/MOBOEz5/PEpidOXzA+Eo6w1JQcq1sMgAK2L/GOKTepaRlbVlX8sUsT4RA3VhTF1Bo&#10;PClC2/R70WlVXSut0w4MzfZKB7aH1BH9dyrhj7R0yBqwHfJ6aJDRSqhe2orFoyerLD0RnkowsuJM&#10;S3pRKaJCoYig9DkzBgW20f/IJge0JSOSyYOtKdq66ki3s/NBNS25MekrTQh1Q2/bqXNTu/0+75nO&#10;r3X1C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DgmnWAAAABQEAAA8AAAAAAAAAAQAgAAAAIgAA&#10;AGRycy9kb3ducmV2LnhtbFBLAQIUABQAAAAIAIdO4kBskN68CgIAAPUDAAAOAAAAAAAAAAEAIAAA&#10;ACUBAABkcnMvZTJvRG9jLnhtbFBLBQYAAAAABgAGAFkBAAChBQAAAAA=&#10;">
                        <v:fill on="f" focussize="0,0"/>
                        <v:stroke color="#000000" joinstyle="round" endarrow="block"/>
                        <v:imagedata o:title=""/>
                        <o:lock v:ext="edit" aspectratio="f"/>
                      </v:line>
                      <v:rect id="_x0000_s1026" o:spid="_x0000_s1026" o:spt="1" style="position:absolute;left:2943860;top:429454;height:425643;width:1839595;" fillcolor="#FFFFFF" filled="t" stroked="t" coordsize="21600,21600" o:gfxdata="UEsDBAoAAAAAAIdO4kAAAAAAAAAAAAAAAAAEAAAAZHJzL1BLAwQUAAAACACHTuJAitMFo9QAAAAF&#10;AQAADwAAAGRycy9kb3ducmV2LnhtbE2PQU+DQBCF7yb+h82YeLMLaJqKLD1oauKxpRdvAzsCys4S&#10;dmnRX+/oRS8veXmT974ptosb1Imm0Hs2kK4SUMSNtz23Bo7V7mYDKkRki4NnMvBJAbbl5UWBufVn&#10;3tPpEFslJRxyNNDFOOZah6Yjh2HlR2LJ3vzkMIqdWm0nPEu5G3SWJGvtsGdZ6HCkx46aj8PsDNR9&#10;dsSvffWcuPvdbXxZqvf59cmY66s0eQAVaYl/x/CDL+hQClPtZ7ZBDQbkkfirkm3u1mJrA1mWpqDL&#10;Qv+nL78BUEsDBBQAAAAIAIdO4kCslGOnCwIAADYEAAAOAAAAZHJzL2Uyb0RvYy54bWytUzuO2zAQ&#10;7QPkDgT7WP7DFixvEcdpgmSBTQ5Ak5REgD9waEs+TYB0OUSOE+QaGVLO/rKFi1VBzYijx/feDDc3&#10;vdHkJAMoZys6GY0pkZY7oWxT0W9f9+9WlEBkVjDtrKzoWQK92b59s+l8KaeudVrIQBDEQtn5irYx&#10;+rIogLfSMBg5Ly1u1i4YFjENTSEC6xDd6GI6Hi+LzgXhg+MSAL/uhk16QQzXALq6VlzuHD8aaeOA&#10;GqRmESVBqzzQbWZb15LHL3UNMhJdUVQa84qHYHxIa7HdsLIJzLeKXyiwayg802SYsnjoPdSORUaO&#10;Qf0HZRQPDlwdR9yZYhCSHUEVk/Ezb+5a5mXWglaDvzcdXg+Wfz7dBqIETgL23TKDHf/z/efvXz8I&#10;fkB3Og8lFt3523DJAMMkta+DSW8UQfqKTtfz2WqJvp4rOsdkMR/MlX0kHPcnq9l6sV5QwnPBYjmf&#10;pYLiAcgHiB+lMyQFFQ3YvOwpO32COJT+K0nngtNK7JXWOQnN4b0O5MSw0fv8XNCflGlLuoquF9PE&#10;g+H01jg1GBqPDoBt8nlP/oDHwOP8vASciO0YtAOBjDDINyrKgORZ2UomPlhB4tmjyRYvF01kjBSU&#10;aIl3MUW5MjKlr6lE77RFC1OPhq6kKPaHHmFSeHDijO09+qCaFi2dZOppB8cpe38Z/TSvj/MM+nDd&#10;t3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tMFo9QAAAAFAQAADwAAAAAAAAABACAAAAAiAAAA&#10;ZHJzL2Rvd25yZXYueG1sUEsBAhQAFAAAAAgAh07iQKyUY6cLAgAANgQAAA4AAAAAAAAAAQAgAAAA&#10;IwEAAGRycy9lMm9Eb2MueG1sUEsFBgAAAAAGAAYAWQEAAKAFAAAAAA==&#10;">
                        <v:fill on="t" focussize="0,0"/>
                        <v:stroke color="#000000" joinstyle="miter"/>
                        <v:imagedata o:title=""/>
                        <o:lock v:ext="edit" aspectratio="f"/>
                        <v:textbox>
                          <w:txbxContent>
                            <w:p w14:paraId="23F03AC3">
                              <w:pPr>
                                <w:jc w:val="center"/>
                                <w:rPr>
                                  <w:rFonts w:hint="default" w:eastAsia="宋体"/>
                                  <w:sz w:val="21"/>
                                  <w:szCs w:val="21"/>
                                  <w:lang w:val="en-US" w:eastAsia="zh-CN"/>
                                </w:rPr>
                              </w:pPr>
                              <w:r>
                                <w:rPr>
                                  <w:rFonts w:hint="default" w:ascii="Times New Roman" w:hAnsi="Times New Roman" w:eastAsia="宋体" w:cs="Times New Roman"/>
                                  <w:color w:val="auto"/>
                                  <w:sz w:val="21"/>
                                  <w:szCs w:val="21"/>
                                  <w:lang w:val="en-US" w:eastAsia="zh-CN"/>
                                </w:rPr>
                                <w:t>经厂区内化粪池处理后定期清掏</w:t>
                              </w:r>
                              <w:r>
                                <w:rPr>
                                  <w:rFonts w:hint="eastAsia" w:ascii="Times New Roman" w:hAnsi="Times New Roman" w:eastAsia="宋体" w:cs="Times New Roman"/>
                                  <w:color w:val="auto"/>
                                  <w:sz w:val="21"/>
                                  <w:szCs w:val="21"/>
                                  <w:lang w:val="en-US" w:eastAsia="zh-CN"/>
                                </w:rPr>
                                <w:t>农用</w:t>
                              </w:r>
                            </w:p>
                          </w:txbxContent>
                        </v:textbox>
                      </v:rect>
                      <v:rect id="_x0000_s1026" o:spid="_x0000_s1026" o:spt="1" style="position:absolute;left:676910;top:1084435;height:257291;width:1010285;" fillcolor="#FFFFFF" filled="t" stroked="t" coordsize="21600,21600" o:gfxdata="UEsDBAoAAAAAAIdO4kAAAAAAAAAAAAAAAAAEAAAAZHJzL1BLAwQUAAAACACHTuJAjENIxtMAAAAF&#10;AQAADwAAAGRycy9kb3ducmV2LnhtbE2PQUvDQBCF74L/YRnBi9hNQgk1zaQHQY9qW71vs9MkNDsb&#10;spu0/feOXvTy4PGG974pNxfXq5nG0HlGSBcJKOLa244bhM/9y+MKVIiGrek9E8KVAmyq25vSFNaf&#10;eUvzLjZKSjgUBqGNcSi0DnVLzoSFH4glO/rRmSh2bLQdzVnKXa+zJMm1Mx3LQmsGem6pPu0mh/Cx&#10;n47b9zl3T2/2unzgLxpeIyHe36XJGlSkS/w7hh98QYdKmA5+YhtUjyCPxF+VbLXMxR4QsixNQVel&#10;/k9ffQNQSwMEFAAAAAgAh07iQFHJAIskAgAAagQAAA4AAABkcnMvZTJvRG9jLnhtbK1Uy47TMBTd&#10;I/EPlvc0D9pOGzWdBaUICcFIAx/g2k5iyS/ZbpN+DRI7PoLPQfwG106Y6QwsuiCL5N745vicc6+z&#10;uR2URCfuvDC6xsUsx4hrapjQbY2/fN6/WmHkA9GMSKN5jc/c49vtyxeb3la8NJ2RjDsEINpXva1x&#10;F4KtsszTjiviZ8ZyDYuNcYoESF2bMUd6QFcyK/N8mfXGMesM5d7D2924iCdEdw2gaRpB+c7Qo+I6&#10;jKiOSxJAku+E9Xib2DYNp+FT03gekKwxKA3pDptAfIj3bLshVeuI7QSdKJBrKDzTpIjQsOkD1I4E&#10;go5O/AWlBHXGmybMqFHZKCQ5AiqK/Jk39x2xPGkBq719MN3/P1j68XTnkGAwCWuMNFHQ8V9fv//8&#10;8Q3BC3Cnt76Cont756bMQxilDo1T8Qki0FDj5c1yXYCtZ4DKV/P568VoLh8CorBegL5ytcCIQkW5&#10;uCnXRSzIHoGs8+EdNwrFoMYOmpc8JacPPoylf0rivt5IwfZCypS49vBGOnQi0Oh9uib0J2VSo77G&#10;60UZeRCY3gamBkJlwQGv27Tfky/8JXCern8BR2I74ruRQEIY5SsRuAPypOo4YW81Q+FswWQNhwtH&#10;MoozjCSHsxijVBmIkNdUgndSg4WxR2NXYhSGwwAwMTwYdob2yvcaRqZYAXs4AimZQwMgcZcrh8uV&#10;o3Wi7aANY5ciGoxg6td0XOKMX+aJyOMvY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jENIxtMA&#10;AAAFAQAADwAAAAAAAAABACAAAAAiAAAAZHJzL2Rvd25yZXYueG1sUEsBAhQAFAAAAAgAh07iQFHJ&#10;AIskAgAAagQAAA4AAAAAAAAAAQAgAAAAIgEAAGRycy9lMm9Eb2MueG1sUEsFBgAAAAAGAAYAWQEA&#10;ALgFAAAAAA==&#10;">
                        <v:fill on="t" focussize="0,0"/>
                        <v:stroke color="#000000" joinstyle="miter"/>
                        <v:imagedata o:title=""/>
                        <o:lock v:ext="edit" aspectratio="f"/>
                        <v:textbox inset="0.5mm,1.27mm,0.5mm,1.27mm">
                          <w:txbxContent>
                            <w:p w14:paraId="2B7C0289">
                              <w:pPr>
                                <w:jc w:val="center"/>
                                <w:rPr>
                                  <w:rFonts w:hint="default"/>
                                  <w:szCs w:val="21"/>
                                  <w:lang w:val="en-US"/>
                                </w:rPr>
                              </w:pPr>
                              <w:r>
                                <w:rPr>
                                  <w:rFonts w:hint="eastAsia"/>
                                  <w:szCs w:val="21"/>
                                  <w:lang w:val="en-US" w:eastAsia="zh-CN"/>
                                </w:rPr>
                                <w:t>抛光用水</w:t>
                              </w:r>
                            </w:p>
                          </w:txbxContent>
                        </v:textbox>
                      </v:rect>
                      <v:line id="_x0000_s1026" o:spid="_x0000_s1026" o:spt="20" style="position:absolute;left:258445;top:1196881;height:635;width:457200;" filled="f" stroked="t" coordsize="21600,21600" o:gfxdata="UEsDBAoAAAAAAIdO4kAAAAAAAAAAAAAAAAAEAAAAZHJzL1BLAwQUAAAACACHTuJAwsOCadYAAAAF&#10;AQAADwAAAGRycy9kb3ducmV2LnhtbE2PQUvDQBCF74L/YRnBm91skBJiNj0I9dKqtBXR2zY7JsHs&#10;bNjdtPHfO3rRy4PHG977plrNbhAnDLH3pEEtMhBIjbc9tRpeDuubAkRMhqwZPKGGL4ywqi8vKlNa&#10;f6YdnvapFVxCsTQaupTGUsrYdOhMXPgRibMPH5xJbEMrbTBnLneDzLNsKZ3piRc6M+J9h83nfnIa&#10;dtv1pnjdTHMT3h/U0+F5+/gWC62vr1R2ByLhnP6O4Qef0aFmpqOfyEYxaOBH0q9yVtwu2R415LlS&#10;IOtK/qevvwFQSwMEFAAAAAgAh07iQIRQ6IAKAgAA9gMAAA4AAABkcnMvZTJvRG9jLnhtbK1TS44T&#10;MRDdI3EHy3vSSUhCppXOLCYMGwQjAQeouN3dlvyTy0knl+ACSOxgxZI9t2E4BmV3mMAgpFnQC3fZ&#10;9fxc77m8ujwYzfYyoHK24pPRmDNphauVbSv+7u31kyVnGMHWoJ2VFT9K5Jfrx49WvS/l1HVO1zIw&#10;IrFY9r7iXYy+LAoUnTSAI+elpWTjgoFI09AWdYCe2I0upuPxouhdqH1wQiLS6mZI8hNjeAihaxol&#10;5MaJnZE2DqxBaogkCTvlka9ztU0jRXzdNCgj0xUnpTGPdAjF2zQW6xWUbQDfKXEqAR5Swj1NBpSl&#10;Q++oNhCB7YL6i8ooERy6Jo6EM8UgJDtCKibje9686cDLrIWsRn9nOv4/WvFqfxOYqis+nXJmwdCN&#10;3374+v39px/fPtJ4++UzowzZ1HssCX1lb8Jphv4mJM2HJpj0JzXsQETz5Ww25+xI3TW5WCyXk8Fl&#10;eYhMUH42f0Z9wJkgwOLpPCWLM4kPGF9IZ1gKKq6VTQ5ACfuXGAfoL0ha1pb1Fb+YT+lAAdSODbUB&#10;hcaTJLRt3otOq/paaZ12YGi3VzqwPaSWyN+phD9g6ZANYDfgcmqQ0Umon9uaxaMnryy9EZ5KMLLm&#10;TEt6UimiQqGMoPQZGYMC2+p/oMkBbcmI5PLga4q2rj7S9ex8UG1HbmQnM4baIdt2at3Ub7/PM9P5&#10;ua5/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LDgmnWAAAABQEAAA8AAAAAAAAAAQAgAAAAIgAA&#10;AGRycy9kb3ducmV2LnhtbFBLAQIUABQAAAAIAIdO4kCEUOiACgIAAPYDAAAOAAAAAAAAAAEAIAAA&#10;ACUBAABkcnMvZTJvRG9jLnhtbFBLBQYAAAAABgAGAFkBAAChBQAAAAA=&#10;">
                        <v:fill on="f" focussize="0,0"/>
                        <v:stroke color="#000000" joinstyle="round" endarrow="block"/>
                        <v:imagedata o:title=""/>
                        <o:lock v:ext="edit" aspectratio="f"/>
                      </v:line>
                      <v:line id="_x0000_s1026" o:spid="_x0000_s1026" o:spt="20" style="position:absolute;left:258445;top:375455;flip:y;height:802368;width:635;" filled="f" stroked="t" coordsize="21600,21600" o:gfxdata="UEsDBAoAAAAAAIdO4kAAAAAAAAAAAAAAAAAEAAAAZHJzL1BLAwQUAAAACACHTuJA/YEup9QAAAAF&#10;AQAADwAAAGRycy9kb3ducmV2LnhtbE2PQUvDQBCF70L/wzKF3uxuUik1ZlNE1IsgWKPnTXZMgruz&#10;IbtN67939KKXB483vPdNuT97J2ac4hBIQ7ZWIJDaYAfqNNSvD5c7EDEZssYFQg1fGGFfLS5KU9hw&#10;ohecD6kTXEKxMBr6lMZCytj26E1chxGJs48weZPYTp20kzlxuXcyV2orvRmIF3oz4l2P7efh6DXc&#10;vj/db57nxgdnr7v6zfpaPeZar5aZugGR8Jz+juEHn9GhYqYmHMlG4TTwI+lXOdtdbdk2GvI8y0BW&#10;pfxPX30DUEsDBBQAAAAIAIdO4kB+RC/BCAIAAPsDAAAOAAAAZHJzL2Uyb0RvYy54bWytU7uOEzEU&#10;7ZH4B8s9mbwmG0aZbLFhaRBE4tHf2J4ZS37JdjLJT/ADSHRQUdLzNyyfwbUnLLA0KXBhXftcH99z&#10;fL26PmpFDsIHaU1NJ6MxJcIwy6Vpa/r2ze2TJSUhguGgrBE1PYlAr9ePH616V4mp7aziwhMkMaHq&#10;XU27GF1VFIF1QkMYWScMgo31GiIufVtwDz2ya1VMx+NF0VvPnbdMhIC7mwGkZ0Z/CaFtGsnExrK9&#10;FiYOrF4oiCgpdNIFus7VNo1g8VXTBBGJqikqjXnGSzDepblYr6BqPbhOsnMJcEkJDzRpkAYvvafa&#10;QASy9/IfKi2Zt8E2ccSsLgYh2RFUMRk/8OZ1B05kLWh1cPemh/9Hy14etp5IXtPpFSUGNL743Yev&#10;399/+vHtI853Xz4TRNCm3oUKs2/M1p9XwW190nxsvCaNku4d9lN2AXWRI1KWy/m8pORU09lVOS/L&#10;wW5xjIQhvJghxhBcjqezxTKBxcCWWJ0P8bmwmqSgpkqaZAVUcHgR4pD6KyVtK0P6mj4tp4kTsC8b&#10;7AcMtUNtwbT5bLBK8lupVDoRfLu7UZ4cIPVGHucS/kpLl2wgdENehgYZnQD+zHASTw5NM/hZaCpB&#10;C06JEvi3UoSFQhVBqksyUb0yaEKyejA3RTvLT/hGe+dl26ETk1xlQrAnsmXn/k1N9+c6M/3+s+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Eup9QAAAAFAQAADwAAAAAAAAABACAAAAAiAAAAZHJz&#10;L2Rvd25yZXYueG1sUEsBAhQAFAAAAAgAh07iQH5EL8EIAgAA+wMAAA4AAAAAAAAAAQAgAAAAIwEA&#10;AGRycy9lMm9Eb2MueG1sUEsFBgAAAAAGAAYAWQEAAJ0FAAAAAA==&#10;">
                        <v:fill on="f" focussize="0,0"/>
                        <v:stroke color="#000000" joinstyle="round"/>
                        <v:imagedata o:title=""/>
                        <o:lock v:ext="edit" aspectratio="f"/>
                      </v:line>
                      <v:rect id="_x0000_s1026" o:spid="_x0000_s1026" o:spt="1" style="position:absolute;left:291465;top:355761;height:343055;width:5715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Ejk4jauAQAATAMAAA4AAABkcnMvZTJvRG9jLnhtbK1TS27b&#10;MBDdF+gdCO5rSk7kNILlbIx0UyQB0hyApiiLAH8Y0pZ8mgLZ5RA9TtFrdEipSZtssuiGGs6M3rz3&#10;RlpfjUaTo4SgnG1ouSgokVa4Vtl9Qx++XX/6TEmI3LZcOysbepKBXm0+flgPvpZL1zvdSiAIYkM9&#10;+Ib2MfqasSB6aXhYOC8tFjsHhke8wp61wAdEN5oti2LFBgetBydkCJjdTkU6I8J7AF3XKSG3ThyM&#10;tHFCBal5REmhVz7QTWbbdVLE264LMhLdUFQa84lDMN6lk23WvN4D970SMwX+HgqvNBmuLA59htry&#10;yMkB1BsoowS44Lq4EM6wSUh2BFWUxStv7nvuZdaCVgf/bHr4f7Di5ngHRLUNXeLeLTe48V/fn37+&#10;eCSYQHcGH2psuvd3MN8Chknq2IFJTxRBRnz/sjxfVZScGnpWVRercvJWjpEILFcXZVWg6yLVz8+K&#10;qkp19gLjIcQv0hmSgoYCri47yo9fQ5xa/7SkqdZdK60xz2tt/0kgZsqwxHzimqI47sZZwM61JxR9&#10;8KD2PY7KTHM7mpw5zR9E2uLf9wz68hN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sx921gAA&#10;AAUBAAAPAAAAAAAAAAEAIAAAACIAAABkcnMvZG93bnJldi54bWxQSwECFAAUAAAACACHTuJASOTi&#10;Nq4BAABMAwAADgAAAAAAAAABACAAAAAlAQAAZHJzL2Uyb0RvYy54bWxQSwUGAAAAAAYABgBZAQAA&#10;RQUAAAAA&#10;">
                        <v:fill on="f" focussize="0,0"/>
                        <v:stroke on="f"/>
                        <v:imagedata o:title=""/>
                        <o:lock v:ext="edit" aspectratio="f"/>
                        <v:textbox>
                          <w:txbxContent>
                            <w:p w14:paraId="0CB30EA4">
                              <w:pPr>
                                <w:rPr>
                                  <w:rFonts w:hint="default" w:eastAsia="宋体"/>
                                  <w:szCs w:val="21"/>
                                  <w:lang w:val="en-US" w:eastAsia="zh-CN"/>
                                </w:rPr>
                              </w:pPr>
                              <w:r>
                                <w:rPr>
                                  <w:rFonts w:hint="eastAsia"/>
                                  <w:szCs w:val="21"/>
                                  <w:lang w:val="en-US" w:eastAsia="zh-CN"/>
                                </w:rPr>
                                <w:t>1.6</w:t>
                              </w:r>
                            </w:p>
                          </w:txbxContent>
                        </v:textbox>
                      </v:rect>
                      <v:rect id="_x0000_s1026" o:spid="_x0000_s1026" o:spt="1" style="position:absolute;left:238760;top:890038;height:297314;width:9144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PoH77WuAQAATAMAAA4AAABkcnMvZTJvRG9jLnhtbK1TS27b&#10;MBTcF+gdCO5rSraR2ILlbIxkEzQB0h6ApkiLAH94pC35NAWy6yF6nKLX6KOkJG2yySIb6v00b2Yo&#10;ba56a8hJQtTe1bScFZRIJ3yj3aGm379df1lREhN3DTfeyZqeZaRX28+fNl2o5Ny33jQSCIK4WHWh&#10;pm1KoWIsilZaHmc+SIdN5cHyhCkcWAO8Q3Rr2LwoLljnoQnghYwRq7uxSSdEeA+gV0oLufPiaKVL&#10;IypIwxNKiq0OkW4HtkpJke6UijIRU1NUmoYTl2C8zyfbbnh1AB5aLSYK/D0UXmmyXDtc+gy144mT&#10;I+g3UFYL8NGrNBPeslHI4AiqKItX3jy0PMhBC1odw7Pp8eNgxdfTPRDd1HS+psRxizf+58fP378e&#10;CRbQnS7ECocewj1MWcQwS+0V2PxEEaTH9xerywu09VzT1booFqvRW9knIrC9LpfLAtsC+/P15aJc&#10;5j57gQkQ0430luSgpoBXNzjKT7cxjaNPI3mr89faGKzzyrj/CoiZKywzH7nmKPX7fhKw980ZRR8D&#10;6EOLq8qBSR5CkwdO0weRb/HffAB9+Qm2f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sx921gAA&#10;AAUBAAAPAAAAAAAAAAEAIAAAACIAAABkcnMvZG93bnJldi54bWxQSwECFAAUAAAACACHTuJA+gfv&#10;ta4BAABMAwAADgAAAAAAAAABACAAAAAlAQAAZHJzL2Uyb0RvYy54bWxQSwUGAAAAAAYABgBZAQAA&#10;RQUAAAAA&#10;">
                        <v:fill on="f" focussize="0,0"/>
                        <v:stroke on="f"/>
                        <v:imagedata o:title=""/>
                        <o:lock v:ext="edit" aspectratio="f"/>
                        <v:textbox>
                          <w:txbxContent>
                            <w:p w14:paraId="421FAB3E">
                              <w:pPr>
                                <w:rPr>
                                  <w:rFonts w:hint="default" w:eastAsia="宋体"/>
                                  <w:szCs w:val="21"/>
                                  <w:lang w:val="en-US" w:eastAsia="zh-CN"/>
                                </w:rPr>
                              </w:pPr>
                              <w:r>
                                <w:rPr>
                                  <w:rFonts w:hint="eastAsia"/>
                                  <w:szCs w:val="21"/>
                                  <w:lang w:val="en-US" w:eastAsia="zh-CN"/>
                                </w:rPr>
                                <w:t>2</w:t>
                              </w:r>
                            </w:p>
                          </w:txbxContent>
                        </v:textbox>
                      </v:rect>
                      <v:rect id="_x0000_s1026" o:spid="_x0000_s1026" o:spt="1" style="position:absolute;left:0;top:63500;height:350520;width:1034415;"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PQnQtWmAQAARwMAAA4AAABkcnMvZTJvRG9jLnhtbK1SS27b&#10;MBDdF+gdCO5rSXYcFILlbIxkU7QB0h6ApkiLAH+YoS35NAW66yF6nKLX6JBWkzbdZJENOZx5eDPv&#10;DTc3k7PspABN8B1vFjVnysvQG3/o+JfPt+/ec4ZJ+F7Y4FXHzwr5zfbtm80YW7UMQ7C9AkYkHtsx&#10;dnxIKbZVhXJQTuAiROWpqAM4kegJh6oHMRK7s9Wyrq+rMUAfIUiFSNndpchnRngJYdDaSLUL8uiU&#10;TxdWUFYkkoSDici3ZVqtlUyftEaVmO04KU3lpCYU7/NZbTeiPYCIg5HzCOIlIzzT5ITx1PSRaieS&#10;YEcw/1E5IyFg0Gkhg6suQoojpKKpn3nzMIioihayGuOj6fh6tPLj6R6Y6Tu+Iku8cLTxX1+///zx&#10;jVGC3BkjtgR6iPcwv5DCLHXS4PJNIthUHD13/Hq1rmdX1ZSYpEJTr66umjVnkupUXi8LoHpiiIDp&#10;TgXHctBxoK0VM8XpAybqStA/kNzQh1tjbdmc9f8kCJgzVR76MmaO0rSf5tn3oT+T3mMEcxioVZMl&#10;Fjj5WxrNfyEv8O93QT39/+1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T7MfdtYAAAAFAQAADwAA&#10;AAAAAAABACAAAAAiAAAAZHJzL2Rvd25yZXYueG1sUEsBAhQAFAAAAAgAh07iQPQnQtWmAQAARwMA&#10;AA4AAAAAAAAAAQAgAAAAJQEAAGRycy9lMm9Eb2MueG1sUEsFBgAAAAAGAAYAWQEAAD0FAAAAAA==&#10;">
                        <v:fill on="f" focussize="0,0"/>
                        <v:stroke on="f"/>
                        <v:imagedata o:title=""/>
                        <o:lock v:ext="edit" aspectratio="f"/>
                        <v:textbox>
                          <w:txbxContent>
                            <w:p w14:paraId="3FC30B0F">
                              <w:pPr>
                                <w:jc w:val="center"/>
                                <w:rPr>
                                  <w:rFonts w:hint="default" w:eastAsia="宋体"/>
                                  <w:szCs w:val="21"/>
                                  <w:lang w:val="en-US" w:eastAsia="zh-CN"/>
                                </w:rPr>
                              </w:pPr>
                              <w:r>
                                <w:rPr>
                                  <w:rFonts w:hint="eastAsia"/>
                                  <w:szCs w:val="21"/>
                                </w:rPr>
                                <w:t>新鲜水</w:t>
                              </w:r>
                              <w:r>
                                <w:rPr>
                                  <w:rFonts w:hint="eastAsia"/>
                                  <w:szCs w:val="21"/>
                                  <w:lang w:val="en-US" w:eastAsia="zh-CN"/>
                                </w:rPr>
                                <w:t>3.6</w:t>
                              </w:r>
                            </w:p>
                          </w:txbxContent>
                        </v:textbox>
                      </v:rect>
                      <v:shape id="_x0000_s1026" o:spid="_x0000_s1026" o:spt="37" type="#_x0000_t37" style="position:absolute;left:1139825;top:849379;height:230609;width:200025;rotation:-5898240f;" filled="f" stroked="t" coordsize="21600,21600" o:gfxdata="UEsDBAoAAAAAAIdO4kAAAAAAAAAAAAAAAAAEAAAAZHJzL1BLAwQUAAAACACHTuJAPw/fotUAAAAF&#10;AQAADwAAAGRycy9kb3ducmV2LnhtbE2PzU7DMBCE70i8g7VI3KiTgEKVxumhEkitcmlB4ura2yQQ&#10;ryPb/YGnZ+ECl5FGs5r5tl5e3ChOGOLgSUE+y0AgGW8H6hS8vjzdzUHEpMnq0RMq+MQIy+b6qtaV&#10;9Wfa4mmXOsElFCutoE9pqqSMpken48xPSJwdfHA6sQ2dtEGfudyNssiyUjo9EC/0esJVj+Zjd3QK&#10;2ue3L//e3pftpl3bsFqb7ebRKHV7k2cLEAkv6e8YfvAZHRpm2vsj2ShGBfxI+lXO5g8l272Coshz&#10;kE0t/9M331BLAwQUAAAACACHTuJAEX1RZhoCAAAHBAAADgAAAGRycy9lMm9Eb2MueG1srVPNbhMx&#10;EL4j8Q6W781ukqYkq2x6SCgXBJGAB3Bs764l/2ns/L0EL4DEDU6cOPbSt2l5DMbe0EIRUg/4YI09&#10;M9/M93k8vzwYTXYSgnK2psNBSYm03All25p+eH91NqUkRGYF087Kmh5loJeL58/me1/JkeucFhII&#10;gthQ7X1Nuxh9VRSBd9KwMHBeWnQ2DgyLeIS2EMD2iG50MSrLi2LvQHhwXIaAt6veSU+I8BRA1zSK&#10;y5XjWyNt7FFBahaRUuiUD3SRu20ayePbpgkyEl1TZBrzjkXQ3qS9WMxZ1QLzneKnFthTWnjEyTBl&#10;seg91IpFRrag/oIyioMLrokD7kzRE8mKIIth+Uibdx3zMnNBqYO/Fz38P1j+ZrcGokRNx0NKLDP4&#10;4refvt9d3/y4+Xz78cvdt68EPSjT3ocKo5d2DadT8GtInA8NGAIOtT2bnJdpZSmQHDnghA3Hs+lo&#10;QsmxptPz2fjFrBddHiLh6MeZKJObo380Li/K7C962ATvIcRX0hmSjJryLeykWDpr8XEdjHIttnsd&#10;IraFab/CU6q2ZF/T2STjMxzWBocESxmPhINtc25wWokrpXXKCNBulhrIjqWBySu1i7h/hKUiKxa6&#10;Pk6g1ZPqJBMvrSDx6FFIix+Ipg6MFJRoif8tWYjHqsiUfoiMoJht9T+isbq22ER6gl70ZG2cOOa3&#10;yPc4H7nN0yynAfz9nLMf/u/i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8P36LVAAAABQEAAA8A&#10;AAAAAAAAAQAgAAAAIgAAAGRycy9kb3ducmV2LnhtbFBLAQIUABQAAAAIAIdO4kARfVFmGgIAAAcE&#10;AAAOAAAAAAAAAAEAIAAAACQBAABkcnMvZTJvRG9jLnhtbFBLBQYAAAAABgAGAFkBAACwBQAAAAA=&#10;">
                        <v:fill on="f" focussize="0,0"/>
                        <v:stroke color="#000000" joinstyle="round" dashstyle="dash" endarrow="block"/>
                        <v:imagedata o:title=""/>
                        <o:lock v:ext="edit" aspectratio="f"/>
                      </v:shape>
                      <v:rect id="_x0000_s1026" o:spid="_x0000_s1026" o:spt="1" style="position:absolute;left:1348105;top:786486;height:297314;width:9144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BhBAR6wAQAATQMAAA4AAABkcnMvZTJvRG9jLnhtbK1TS27b&#10;MBTcF+gdCO5rSrbqOILlbIx0U7QB0h6ApkiLAH94pC35NAW66yF6nKLX6KOkJm2yySIb6v0wb2ZI&#10;bW8Ga8hZQtTeNbRcFJRIJ3yr3bGhX7/cvttQEhN3LTfeyYZeZKQ3u7dvtn2o5dJ33rQSCIK4WPeh&#10;oV1KoWYsik5aHhc+SIdN5cHyhCkcWQu8R3Rr2LIo1qz30AbwQsaI1f3UpDMivATQK6WF3HtxstKl&#10;CRWk4QklxU6HSHcjW6WkSJ+VijIR01BUmsYTl2B8yCfbbXl9BB46LWYK/CUUnmiyXDtc+gC154mT&#10;E+hnUFYL8NGrtBDesknI6AiqKIsn3tx3PMhRC1odw4Pp8fVgxafzHRDdNnS1pMRxizf++9uPXz+/&#10;EyygO32INQ7dhzuYs4hhljoosPmLIsiAL2lVbcriPSWXhl5t1tVmPZkrh0QE9q/LqirQdoH95fXV&#10;qqxynz3iBIjpg/SW5KChgHc3WsrPH2OaRv+O5LXO32pjsM5r4/4rIGausEx9IpujNByGWcHBtxdU&#10;fQqgjx2uKkcmeQhdHjnNLyJf47/5CPr4F+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zH3bW&#10;AAAABQEAAA8AAAAAAAAAAQAgAAAAIgAAAGRycy9kb3ducmV2LnhtbFBLAQIUABQAAAAIAIdO4kAY&#10;QQEesAEAAE0DAAAOAAAAAAAAAAEAIAAAACUBAABkcnMvZTJvRG9jLnhtbFBLBQYAAAAABgAGAFkB&#10;AABHBQAAAAA=&#10;">
                        <v:fill on="f" focussize="0,0"/>
                        <v:stroke on="f"/>
                        <v:imagedata o:title=""/>
                        <o:lock v:ext="edit" aspectratio="f"/>
                        <v:textbox>
                          <w:txbxContent>
                            <w:p w14:paraId="355219ED">
                              <w:pPr>
                                <w:rPr>
                                  <w:rFonts w:hint="default" w:eastAsia="宋体"/>
                                  <w:szCs w:val="21"/>
                                  <w:lang w:val="en-US" w:eastAsia="zh-CN"/>
                                </w:rPr>
                              </w:pPr>
                              <w:r>
                                <w:rPr>
                                  <w:rFonts w:hint="eastAsia" w:eastAsia="宋体"/>
                                  <w:szCs w:val="21"/>
                                  <w:lang w:val="en-US" w:eastAsia="zh-CN"/>
                                </w:rPr>
                                <w:t>2</w:t>
                              </w:r>
                            </w:p>
                          </w:txbxContent>
                        </v:textbox>
                      </v:rect>
                      <v:rect id="_x0000_s1026" o:spid="_x0000_s1026" o:spt="1" style="position:absolute;left:2628900;top:396419;height:297314;width:571500;" filled="f" stroked="f" coordsize="21600,21600" o:gfxdata="UEsDBAoAAAAAAIdO4kAAAAAAAAAAAAAAAAAEAAAAZHJzL1BLAwQUAAAACACHTuJAT7MfdtYAAAAF&#10;AQAADwAAAGRycy9kb3ducmV2LnhtbE2PzWrDMBCE74W+g9hCL6WRbUoIruUcAiGhFEKdn7NibWwT&#10;a+VYip2+fbe9NJeBYZaZb7P5zbZiwN43jhTEkwgEUulMQ5WC3Xb5OgPhgyajW0eo4Bs9zPPHh0yn&#10;xo30hUMRKsEl5FOtoA6hS6X0ZY1W+4nrkDg7ud7qwLavpOn1yOW2lUkUTaXVDfFCrTtc1Fiei6tV&#10;MJab4bD9XMnNy2Ht6LK+LIr9h1LPT3H0DiLgLfwfwy8+o0POTEd3JeNFq4AfCX/K2extyvaoIEni&#10;GGSeyXv6/AdQSwMEFAAAAAgAh07iQMNSF2yuAQAATQMAAA4AAABkcnMvZTJvRG9jLnhtbK1TS27b&#10;MBTcF+gdCO5jSnLixILlbIx0U7QB0hyApkiLAH/goy35NAW66yF6nKLX6KOkJm26ySIb8v0wb2Yo&#10;bW4Ha8hJRtDeNbRcFJRIJ3yr3aGhj1/uLm4ogcRdy413sqFnCfR2+/7dpg+1rHznTSsjQRAHdR8a&#10;2qUUasZAdNJyWPggHTaVj5YnTOOBtZH3iG4Nq4pixXof2xC9kABY3U1NOiPG1wB6pbSQOy+OVro0&#10;oUZpeEJJ0OkAdDuyVUqK9FkpkImYhqLSNJ64BON9Ptl2w+tD5KHTYqbAX0PhhSbLtcOlT1A7njg5&#10;Rv0flNUievAqLYS3bBIyOoIqyuKFNw8dD3LUglZDeDId3g5WfDrdR6Lbhi6XlDhu8cV/ff3+88c3&#10;ggV0pw9Q49BDuI9zBhhmqYOKNt8oggwNrVbVzbpAX8+ItV5dluvJXDkkIrB/dV1e5bbAfrW+XpaX&#10;uc+ecUKE9EF6S3LQ0IhvN1rKTx8hTaN/RvJa5++0MVjntXH/FBAzV1imPpHNURr2w6xg79szqj6G&#10;qA8dripHJnkIXR45zV9Efsa/8xH0+S/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Psx921gAA&#10;AAUBAAAPAAAAAAAAAAEAIAAAACIAAABkcnMvZG93bnJldi54bWxQSwECFAAUAAAACACHTuJAw1IX&#10;bK4BAABNAwAADgAAAAAAAAABACAAAAAlAQAAZHJzL2Uyb0RvYy54bWxQSwUGAAAAAAYABgBZAQAA&#10;RQUAAAAA&#10;">
                        <v:fill on="f" focussize="0,0"/>
                        <v:stroke on="f"/>
                        <v:imagedata o:title=""/>
                        <o:lock v:ext="edit" aspectratio="f"/>
                        <v:textbox>
                          <w:txbxContent>
                            <w:p w14:paraId="031FB8AC">
                              <w:pPr>
                                <w:rPr>
                                  <w:rFonts w:hint="default" w:eastAsia="宋体"/>
                                  <w:szCs w:val="21"/>
                                  <w:lang w:val="en-US" w:eastAsia="zh-CN"/>
                                </w:rPr>
                              </w:pPr>
                              <w:r>
                                <w:rPr>
                                  <w:rFonts w:hint="eastAsia"/>
                                  <w:szCs w:val="21"/>
                                  <w:lang w:val="en-US" w:eastAsia="zh-CN"/>
                                </w:rPr>
                                <w:t>1.28</w:t>
                              </w:r>
                            </w:p>
                          </w:txbxContent>
                        </v:textbox>
                      </v:rect>
                      <w10:wrap type="none"/>
                      <w10:anchorlock/>
                    </v:group>
                  </w:pict>
                </mc:Fallback>
              </mc:AlternateContent>
            </w:r>
          </w:p>
          <w:p w14:paraId="2EDBF8A7">
            <w:pPr>
              <w:spacing w:line="360" w:lineRule="auto"/>
              <w:jc w:val="center"/>
              <w:rPr>
                <w:b/>
                <w:bCs/>
                <w:color w:val="auto"/>
                <w:szCs w:val="21"/>
              </w:rPr>
            </w:pPr>
            <w:r>
              <w:rPr>
                <w:b/>
                <w:bCs/>
                <w:color w:val="auto"/>
                <w:szCs w:val="21"/>
              </w:rPr>
              <w:t>图</w:t>
            </w:r>
            <w:r>
              <w:rPr>
                <w:rFonts w:hint="eastAsia"/>
                <w:b/>
                <w:bCs/>
                <w:color w:val="auto"/>
                <w:szCs w:val="21"/>
              </w:rPr>
              <w:t>2-1</w:t>
            </w:r>
            <w:r>
              <w:rPr>
                <w:b/>
                <w:bCs/>
                <w:color w:val="auto"/>
                <w:szCs w:val="21"/>
              </w:rPr>
              <w:t xml:space="preserve">  </w:t>
            </w:r>
            <w:r>
              <w:rPr>
                <w:b/>
                <w:color w:val="auto"/>
                <w:szCs w:val="21"/>
              </w:rPr>
              <w:t>建设项目水平衡图</w:t>
            </w:r>
            <w:r>
              <w:rPr>
                <w:color w:val="auto"/>
                <w:szCs w:val="21"/>
              </w:rPr>
              <w:t xml:space="preserve">  </w:t>
            </w:r>
            <w:r>
              <w:rPr>
                <w:b/>
                <w:color w:val="auto"/>
                <w:szCs w:val="21"/>
              </w:rPr>
              <w:t>单位：</w:t>
            </w:r>
            <w:r>
              <w:rPr>
                <w:b/>
                <w:bCs/>
                <w:color w:val="auto"/>
                <w:szCs w:val="21"/>
              </w:rPr>
              <w:t>m</w:t>
            </w:r>
            <w:r>
              <w:rPr>
                <w:b/>
                <w:bCs/>
                <w:color w:val="auto"/>
                <w:szCs w:val="21"/>
                <w:vertAlign w:val="superscript"/>
              </w:rPr>
              <w:t>3</w:t>
            </w:r>
            <w:r>
              <w:rPr>
                <w:b/>
                <w:bCs/>
                <w:color w:val="auto"/>
                <w:szCs w:val="21"/>
              </w:rPr>
              <w:t>/</w:t>
            </w:r>
            <w:r>
              <w:rPr>
                <w:rFonts w:hint="eastAsia"/>
                <w:b/>
                <w:bCs/>
                <w:color w:val="auto"/>
                <w:szCs w:val="21"/>
              </w:rPr>
              <w:t>d</w:t>
            </w:r>
          </w:p>
          <w:p w14:paraId="0DB56ED6">
            <w:pPr>
              <w:spacing w:line="360" w:lineRule="auto"/>
              <w:rPr>
                <w:color w:val="auto"/>
                <w:sz w:val="24"/>
                <w:szCs w:val="24"/>
              </w:rPr>
            </w:pPr>
            <w:r>
              <w:rPr>
                <w:rFonts w:hint="eastAsia"/>
                <w:b/>
                <w:color w:val="auto"/>
                <w:sz w:val="24"/>
                <w:szCs w:val="24"/>
              </w:rPr>
              <w:t>8、劳动定员</w:t>
            </w:r>
          </w:p>
          <w:p w14:paraId="4A1A2281">
            <w:pPr>
              <w:widowControl/>
              <w:spacing w:line="360" w:lineRule="auto"/>
              <w:ind w:firstLine="480" w:firstLineChars="200"/>
              <w:jc w:val="left"/>
              <w:rPr>
                <w:color w:val="auto"/>
                <w:sz w:val="24"/>
                <w:szCs w:val="24"/>
              </w:rPr>
            </w:pPr>
            <w:r>
              <w:rPr>
                <w:color w:val="auto"/>
                <w:sz w:val="24"/>
                <w:szCs w:val="24"/>
              </w:rPr>
              <w:t>本项目劳动定员为</w:t>
            </w:r>
            <w:r>
              <w:rPr>
                <w:rFonts w:hint="eastAsia"/>
                <w:color w:val="auto"/>
                <w:sz w:val="24"/>
                <w:szCs w:val="24"/>
              </w:rPr>
              <w:t>10</w:t>
            </w:r>
            <w:r>
              <w:rPr>
                <w:color w:val="auto"/>
                <w:sz w:val="24"/>
                <w:szCs w:val="24"/>
              </w:rPr>
              <w:t>人，采用</w:t>
            </w:r>
            <w:r>
              <w:rPr>
                <w:rFonts w:hint="eastAsia"/>
                <w:color w:val="auto"/>
                <w:sz w:val="24"/>
                <w:szCs w:val="24"/>
                <w:lang w:eastAsia="zh-CN"/>
              </w:rPr>
              <w:t>单</w:t>
            </w:r>
            <w:r>
              <w:rPr>
                <w:rFonts w:hint="eastAsia"/>
                <w:color w:val="auto"/>
                <w:sz w:val="24"/>
                <w:szCs w:val="24"/>
              </w:rPr>
              <w:t>班制生产，每班</w:t>
            </w:r>
            <w:r>
              <w:rPr>
                <w:color w:val="auto"/>
                <w:sz w:val="24"/>
                <w:szCs w:val="24"/>
              </w:rPr>
              <w:t>工作8小时，年工作时间为3</w:t>
            </w:r>
            <w:r>
              <w:rPr>
                <w:rFonts w:hint="eastAsia"/>
                <w:color w:val="auto"/>
                <w:sz w:val="24"/>
                <w:szCs w:val="24"/>
              </w:rPr>
              <w:t>0</w:t>
            </w:r>
            <w:r>
              <w:rPr>
                <w:color w:val="auto"/>
                <w:sz w:val="24"/>
                <w:szCs w:val="24"/>
              </w:rPr>
              <w:t>0天。</w:t>
            </w:r>
          </w:p>
        </w:tc>
      </w:tr>
      <w:tr w14:paraId="1EF17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8F4D7F2">
            <w:pPr>
              <w:widowControl/>
              <w:spacing w:line="360" w:lineRule="auto"/>
              <w:jc w:val="center"/>
              <w:rPr>
                <w:bCs/>
                <w:color w:val="auto"/>
                <w:szCs w:val="21"/>
              </w:rPr>
            </w:pPr>
            <w:r>
              <w:rPr>
                <w:rFonts w:hint="eastAsia"/>
                <w:bCs/>
                <w:color w:val="auto"/>
                <w:szCs w:val="21"/>
              </w:rPr>
              <w:t>工艺流程和产排污环节</w:t>
            </w:r>
          </w:p>
        </w:tc>
        <w:tc>
          <w:tcPr>
            <w:tcW w:w="8567" w:type="dxa"/>
            <w:vAlign w:val="center"/>
          </w:tcPr>
          <w:p w14:paraId="42BEDE23">
            <w:pPr>
              <w:spacing w:line="360" w:lineRule="auto"/>
              <w:rPr>
                <w:b/>
                <w:color w:val="auto"/>
                <w:sz w:val="24"/>
              </w:rPr>
            </w:pPr>
            <w:r>
              <w:rPr>
                <w:rFonts w:hint="eastAsia"/>
                <w:b/>
                <w:color w:val="auto"/>
                <w:sz w:val="24"/>
                <w:szCs w:val="24"/>
              </w:rPr>
              <w:t>1、</w:t>
            </w:r>
            <w:r>
              <w:rPr>
                <w:rFonts w:hint="eastAsia"/>
                <w:b/>
                <w:color w:val="auto"/>
                <w:sz w:val="24"/>
              </w:rPr>
              <w:t>施工期工艺流程</w:t>
            </w:r>
          </w:p>
          <w:p w14:paraId="2C4CC9C5">
            <w:pPr>
              <w:spacing w:line="360" w:lineRule="auto"/>
              <w:ind w:firstLine="480" w:firstLineChars="200"/>
              <w:rPr>
                <w:b/>
                <w:color w:val="auto"/>
                <w:sz w:val="24"/>
                <w:szCs w:val="24"/>
              </w:rPr>
            </w:pPr>
            <w:r>
              <w:rPr>
                <w:rFonts w:hint="eastAsia"/>
                <w:bCs/>
                <w:color w:val="auto"/>
                <w:sz w:val="24"/>
              </w:rPr>
              <w:t>本项目为新建，其施工期工艺流程及产污环节见下图。</w:t>
            </w:r>
          </w:p>
          <w:p w14:paraId="18E54F81">
            <w:pPr>
              <w:spacing w:line="360" w:lineRule="auto"/>
              <w:jc w:val="center"/>
              <w:rPr>
                <w:b/>
                <w:color w:val="auto"/>
                <w:sz w:val="24"/>
                <w:szCs w:val="24"/>
              </w:rPr>
            </w:pPr>
            <w:r>
              <w:rPr>
                <w:color w:val="auto"/>
              </w:rPr>
              <w:drawing>
                <wp:inline distT="0" distB="0" distL="0" distR="0">
                  <wp:extent cx="5231765" cy="4357370"/>
                  <wp:effectExtent l="0" t="0" r="6985" b="5080"/>
                  <wp:docPr id="6463" name="图片 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 name="图片 64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31765" cy="4357370"/>
                          </a:xfrm>
                          <a:prstGeom prst="rect">
                            <a:avLst/>
                          </a:prstGeom>
                          <a:noFill/>
                          <a:ln>
                            <a:noFill/>
                          </a:ln>
                        </pic:spPr>
                      </pic:pic>
                    </a:graphicData>
                  </a:graphic>
                </wp:inline>
              </w:drawing>
            </w:r>
          </w:p>
          <w:p w14:paraId="3027BF89">
            <w:pPr>
              <w:spacing w:line="360" w:lineRule="auto"/>
              <w:jc w:val="center"/>
              <w:rPr>
                <w:color w:val="auto"/>
                <w:sz w:val="24"/>
              </w:rPr>
            </w:pPr>
            <w:r>
              <w:rPr>
                <w:rFonts w:hint="eastAsia"/>
                <w:b/>
                <w:color w:val="auto"/>
                <w:szCs w:val="21"/>
              </w:rPr>
              <w:t>图</w:t>
            </w:r>
            <w:r>
              <w:rPr>
                <w:b/>
                <w:color w:val="auto"/>
                <w:szCs w:val="21"/>
              </w:rPr>
              <w:t>2-</w:t>
            </w:r>
            <w:r>
              <w:rPr>
                <w:rFonts w:hint="eastAsia"/>
                <w:b/>
                <w:color w:val="auto"/>
                <w:szCs w:val="21"/>
                <w:lang w:val="en-US" w:eastAsia="zh-CN"/>
              </w:rPr>
              <w:t>2</w:t>
            </w:r>
            <w:r>
              <w:rPr>
                <w:b/>
                <w:color w:val="auto"/>
                <w:szCs w:val="21"/>
              </w:rPr>
              <w:t xml:space="preserve">  </w:t>
            </w:r>
            <w:r>
              <w:rPr>
                <w:rFonts w:hint="eastAsia"/>
                <w:b/>
                <w:color w:val="auto"/>
                <w:szCs w:val="21"/>
              </w:rPr>
              <w:t>建设项目施工期工艺流程及产污环节图</w:t>
            </w:r>
          </w:p>
          <w:p w14:paraId="72D6DA38">
            <w:pPr>
              <w:pStyle w:val="63"/>
              <w:keepNext w:val="0"/>
              <w:keepLines w:val="0"/>
              <w:suppressLineNumbers w:val="0"/>
              <w:spacing w:before="0" w:beforeAutospacing="0" w:after="0" w:afterAutospacing="0" w:line="360" w:lineRule="auto"/>
              <w:ind w:left="0" w:right="0"/>
              <w:jc w:val="both"/>
              <w:rPr>
                <w:rFonts w:hint="default" w:eastAsia="宋体"/>
                <w:b/>
                <w:bCs/>
                <w:color w:val="auto"/>
                <w:sz w:val="24"/>
                <w:szCs w:val="24"/>
              </w:rPr>
            </w:pPr>
            <w:r>
              <w:rPr>
                <w:rFonts w:hint="eastAsia" w:eastAsia="宋体"/>
                <w:b/>
                <w:bCs/>
                <w:color w:val="auto"/>
                <w:sz w:val="24"/>
                <w:szCs w:val="24"/>
              </w:rPr>
              <w:t>施工期工艺流程说明</w:t>
            </w:r>
          </w:p>
          <w:p w14:paraId="7D10D675">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宋体" w:hAnsi="宋体" w:cs="宋体"/>
                <w:bCs/>
                <w:color w:val="auto"/>
                <w:sz w:val="24"/>
                <w:szCs w:val="24"/>
              </w:rPr>
            </w:pPr>
            <w:r>
              <w:rPr>
                <w:rFonts w:hint="eastAsia" w:ascii="宋体" w:hAnsi="宋体" w:cs="宋体"/>
                <w:bCs/>
                <w:color w:val="auto"/>
                <w:sz w:val="24"/>
                <w:szCs w:val="24"/>
              </w:rPr>
              <w:t>本项目在建设期的施工活动主要包括平整土地、开槽、地基处理、主体结构施工、内外装修、管道建设、设备安装、道路铺设及绿化等。</w:t>
            </w:r>
          </w:p>
          <w:p w14:paraId="28C33B9C">
            <w:pPr>
              <w:spacing w:line="360" w:lineRule="auto"/>
              <w:rPr>
                <w:b/>
                <w:color w:val="auto"/>
                <w:sz w:val="24"/>
                <w:szCs w:val="24"/>
              </w:rPr>
            </w:pPr>
            <w:r>
              <w:rPr>
                <w:rFonts w:hint="eastAsia"/>
                <w:b/>
                <w:color w:val="auto"/>
                <w:sz w:val="24"/>
                <w:szCs w:val="24"/>
              </w:rPr>
              <w:t>2、营运期工艺流程和产排污环节</w:t>
            </w:r>
          </w:p>
          <w:p w14:paraId="41746F99">
            <w:pPr>
              <w:spacing w:line="360" w:lineRule="auto"/>
              <w:ind w:firstLine="482" w:firstLineChars="200"/>
              <w:rPr>
                <w:rFonts w:hint="default" w:ascii="Times New Roman" w:hAnsi="Times New Roman" w:cs="Times New Roman"/>
                <w:b/>
                <w:color w:val="auto"/>
                <w:sz w:val="24"/>
                <w:lang w:val="en-US" w:eastAsia="zh-CN"/>
              </w:rPr>
            </w:pPr>
            <w:r>
              <w:rPr>
                <w:rFonts w:hint="default" w:ascii="Times New Roman" w:hAnsi="Times New Roman" w:cs="Times New Roman"/>
                <w:b/>
                <w:color w:val="auto"/>
                <w:sz w:val="24"/>
                <w:lang w:val="en-US" w:eastAsia="zh-CN"/>
              </w:rPr>
              <w:t>大米加工生产工艺流程图</w:t>
            </w:r>
            <w:r>
              <w:rPr>
                <w:rFonts w:hint="eastAsia" w:cs="Times New Roman"/>
                <w:b/>
                <w:color w:val="auto"/>
                <w:sz w:val="24"/>
                <w:lang w:val="en-US" w:eastAsia="zh-CN"/>
              </w:rPr>
              <w:t>及产污环节</w:t>
            </w:r>
            <w:r>
              <w:rPr>
                <w:rFonts w:hint="default" w:ascii="Times New Roman" w:hAnsi="Times New Roman" w:cs="Times New Roman"/>
                <w:b/>
                <w:color w:val="auto"/>
                <w:sz w:val="24"/>
                <w:lang w:val="en-US" w:eastAsia="zh-CN"/>
              </w:rPr>
              <w:t>：</w:t>
            </w:r>
          </w:p>
          <w:p w14:paraId="68206C6F">
            <w:pPr>
              <w:spacing w:line="360" w:lineRule="auto"/>
              <w:ind w:firstLine="482" w:firstLineChars="200"/>
              <w:rPr>
                <w:rFonts w:hint="default" w:ascii="Times New Roman" w:hAnsi="Times New Roman" w:cs="Times New Roman"/>
                <w:b/>
                <w:color w:val="auto"/>
                <w:sz w:val="24"/>
                <w:lang w:val="en-US" w:eastAsia="zh-CN"/>
              </w:rPr>
            </w:pPr>
          </w:p>
          <w:p w14:paraId="04E0F043">
            <w:pPr>
              <w:spacing w:line="360" w:lineRule="auto"/>
              <w:ind w:firstLine="482" w:firstLineChars="200"/>
              <w:rPr>
                <w:rFonts w:hint="default" w:ascii="Times New Roman" w:hAnsi="Times New Roman" w:cs="Times New Roman"/>
                <w:b/>
                <w:color w:val="auto"/>
                <w:sz w:val="24"/>
                <w:lang w:val="en-US" w:eastAsia="zh-CN"/>
              </w:rPr>
            </w:pPr>
          </w:p>
          <w:p w14:paraId="622B01DE">
            <w:pPr>
              <w:spacing w:line="360" w:lineRule="auto"/>
              <w:ind w:firstLine="482" w:firstLineChars="200"/>
              <w:rPr>
                <w:rFonts w:hint="default" w:ascii="Times New Roman" w:hAnsi="Times New Roman" w:cs="Times New Roman"/>
                <w:b/>
                <w:color w:val="auto"/>
                <w:sz w:val="24"/>
                <w:lang w:val="en-US" w:eastAsia="zh-CN"/>
              </w:rPr>
            </w:pPr>
          </w:p>
          <w:p w14:paraId="1C7DDF87">
            <w:pPr>
              <w:spacing w:line="360" w:lineRule="auto"/>
              <w:ind w:firstLine="482" w:firstLineChars="200"/>
              <w:rPr>
                <w:rFonts w:hint="default" w:ascii="Times New Roman" w:hAnsi="Times New Roman" w:cs="Times New Roman"/>
                <w:b/>
                <w:color w:val="auto"/>
                <w:sz w:val="24"/>
                <w:lang w:val="en-US" w:eastAsia="zh-CN"/>
              </w:rPr>
            </w:pPr>
          </w:p>
          <w:p w14:paraId="337B628C">
            <w:pPr>
              <w:spacing w:line="360" w:lineRule="auto"/>
              <w:ind w:firstLine="482" w:firstLineChars="200"/>
              <w:rPr>
                <w:rFonts w:hint="default" w:ascii="Times New Roman" w:hAnsi="Times New Roman" w:cs="Times New Roman"/>
                <w:b/>
                <w:color w:val="auto"/>
                <w:sz w:val="24"/>
                <w:lang w:val="en-US" w:eastAsia="zh-CN"/>
              </w:rPr>
            </w:pPr>
          </w:p>
          <w:p w14:paraId="04D44DC0">
            <w:pPr>
              <w:spacing w:line="360" w:lineRule="auto"/>
              <w:ind w:firstLine="482" w:firstLineChars="200"/>
              <w:rPr>
                <w:rFonts w:hint="default" w:ascii="Times New Roman" w:hAnsi="Times New Roman" w:cs="Times New Roman"/>
                <w:b/>
                <w:color w:val="auto"/>
                <w:sz w:val="24"/>
                <w:lang w:val="en-US" w:eastAsia="zh-CN"/>
              </w:rPr>
            </w:pPr>
          </w:p>
          <w:p w14:paraId="1E73F5D5">
            <w:pPr>
              <w:spacing w:line="360" w:lineRule="auto"/>
              <w:rPr>
                <w:color w:val="auto"/>
                <w:sz w:val="21"/>
              </w:rPr>
            </w:pPr>
            <w:r>
              <w:rPr>
                <w:color w:val="auto"/>
                <w:sz w:val="21"/>
              </w:rPr>
              <mc:AlternateContent>
                <mc:Choice Requires="wps">
                  <w:drawing>
                    <wp:anchor distT="0" distB="0" distL="114300" distR="114300" simplePos="0" relativeHeight="251706368" behindDoc="0" locked="0" layoutInCell="1" allowOverlap="1">
                      <wp:simplePos x="0" y="0"/>
                      <wp:positionH relativeFrom="column">
                        <wp:posOffset>2767330</wp:posOffset>
                      </wp:positionH>
                      <wp:positionV relativeFrom="paragraph">
                        <wp:posOffset>3690620</wp:posOffset>
                      </wp:positionV>
                      <wp:extent cx="1115695" cy="28829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1115695" cy="28829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1A9D9220">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碎米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7.9pt;margin-top:290.6pt;height:22.7pt;width:87.85pt;z-index:251706368;mso-width-relative:page;mso-height-relative:page;" fillcolor="#000000" filled="t" stroked="f" coordsize="21600,21600" o:gfxdata="UEsDBAoAAAAAAIdO4kAAAAAAAAAAAAAAAAAEAAAAZHJzL1BLAwQUAAAACACHTuJAg3Z1rdcAAAAL&#10;AQAADwAAAGRycy9kb3ducmV2LnhtbE2Py07EMAxF90j8Q2QkdkySQquqNJ0FCLFhATN8QNqYtqJx&#10;SpN50K/HrGBny1fH59bbs5/EEZc4BjKgNwoEUhfcSL2B9/3TTQkiJkvOToHQwDdG2DaXF7WtXDjR&#10;Gx53qRcMoVhZA0NKcyVl7Ab0Nm7CjMS3j7B4m3hdeukWe2K4n2SmVCG9HYk/DHbGhwG7z93BG7iT&#10;q3pNzwO2Zbf24/ry2H7h3pjrK63uQSQ8p78w/OqzOjTs1IYDuSgmZtzmrJ4M5KXOQHCi0DoH0fKQ&#10;FQXIppb/OzQ/UEsDBBQAAAAIAIdO4kCBol5YXAIAAK4EAAAOAAAAZHJzL2Uyb0RvYy54bWytVM1u&#10;GjEQvlfqO1i+lwUaCKAsEQ2iqoSaSLTq2Xi9rCXb49qGXfoA7Rvk1Evvfa48R8feJUFpDzmUgxnP&#10;zzeeb2b26rrRihyE8xJMTge9PiXCcCik2eX086fVmwklPjBTMAVG5PQoPL2ev351VduZGEIFqhCO&#10;IIjxs9rmtArBzrLM80po5ntghUFjCU6zgFe3ywrHakTXKhv2++OsBldYB1x4j9pla6QdonsJIJSl&#10;5GIJfK+FCS2qE4oFLMlX0no6T68tS8HDbVl6EYjKKVYa0olJUN7GM5tfsdnOMVtJ3j2BveQJz2rS&#10;TBpM+gi1ZIGRvZN/QWnJHXgoQ4+DztpCEiNYxaD/jJtNxaxItSDV3j6S7v8fLP94uHNEFjm9xL4b&#10;prHjD/c/Hn7+fvj1naAOCaqtn6HfxqJnaN5Bg2Nz0ntUxrqb0un4jxURtCO9x0d6RRMIj0GDwWg8&#10;HVHC0TacTIbTxH/2FG2dD+8FaBKFnDpsX2KVHdY+4EvQ9eQSk3lQslhJpdLF7bY3ypEDi61OvzZW&#10;2Yp12vhqxPCtayufYyhD6pyO3476KdRABG9jlEH3yERbcZRCs206erZQHJEdB+2AectXEktYMx/u&#10;mMOJQkJw58ItHqUCTAKdREkF7tu/9NEfG41WSmqc0Jz6r3vmBCXqg8ERmA4uLuJIp8vF6HKIF3du&#10;2Z5bzF7fADIzwO22PInRP6iTWDrQX3A1FzErmpjhmDun4STehHZvcLW5WCySEw6xZWFtNpZH6NgH&#10;A4t9gFKmfkWaWm469nCME+3dysU9Ob8nr6fPzPw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g3Z1&#10;rdcAAAALAQAADwAAAAAAAAABACAAAAAiAAAAZHJzL2Rvd25yZXYueG1sUEsBAhQAFAAAAAgAh07i&#10;QIGiXlhcAgAArgQAAA4AAAAAAAAAAQAgAAAAJgEAAGRycy9lMm9Eb2MueG1sUEsFBgAAAAAGAAYA&#10;WQEAAPQFAAAAAA==&#10;">
                      <v:fill on="t" opacity="0f" focussize="0,0"/>
                      <v:stroke on="f" weight="0.5pt"/>
                      <v:imagedata o:title=""/>
                      <o:lock v:ext="edit" aspectratio="f"/>
                      <v:textbox>
                        <w:txbxContent>
                          <w:p w14:paraId="1A9D9220">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碎米</w:t>
                            </w:r>
                          </w:p>
                        </w:txbxContent>
                      </v:textbox>
                    </v:shape>
                  </w:pict>
                </mc:Fallback>
              </mc:AlternateContent>
            </w:r>
            <w:r>
              <w:rPr>
                <w:color w:val="auto"/>
                <w:sz w:val="21"/>
              </w:rPr>
              <mc:AlternateContent>
                <mc:Choice Requires="wps">
                  <w:drawing>
                    <wp:anchor distT="0" distB="0" distL="114300" distR="114300" simplePos="0" relativeHeight="251705344" behindDoc="0" locked="0" layoutInCell="1" allowOverlap="1">
                      <wp:simplePos x="0" y="0"/>
                      <wp:positionH relativeFrom="column">
                        <wp:posOffset>2776855</wp:posOffset>
                      </wp:positionH>
                      <wp:positionV relativeFrom="paragraph">
                        <wp:posOffset>3090545</wp:posOffset>
                      </wp:positionV>
                      <wp:extent cx="1115695" cy="288290"/>
                      <wp:effectExtent l="0" t="0" r="0" b="0"/>
                      <wp:wrapNone/>
                      <wp:docPr id="77" name="文本框 77"/>
                      <wp:cNvGraphicFramePr/>
                      <a:graphic xmlns:a="http://schemas.openxmlformats.org/drawingml/2006/main">
                        <a:graphicData uri="http://schemas.microsoft.com/office/word/2010/wordprocessingShape">
                          <wps:wsp>
                            <wps:cNvSpPr txBox="1"/>
                            <wps:spPr>
                              <a:xfrm>
                                <a:off x="0" y="0"/>
                                <a:ext cx="1115695" cy="28829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01925FDF">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碎米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8.65pt;margin-top:243.35pt;height:22.7pt;width:87.85pt;z-index:251705344;mso-width-relative:page;mso-height-relative:page;" fillcolor="#000000" filled="t" stroked="f" coordsize="21600,21600" o:gfxdata="UEsDBAoAAAAAAIdO4kAAAAAAAAAAAAAAAAAEAAAAZHJzL1BLAwQUAAAACACHTuJAwMfQg9gAAAAL&#10;AQAADwAAAGRycy9kb3ducmV2LnhtbE2Py07EMAxF90j8Q2QkdkzSKXSq0nQWIMSGBczwAWljmorG&#10;KU3mQb8es4KdLV8dn1tvz34UR5zjEEhDtlIgkLpgB+o1vO+fbkoQMRmyZgyEGr4xwra5vKhNZcOJ&#10;3vC4S71gCMXKaHApTZWUsXPoTVyFCYlvH2H2JvE699LO5sRwP8q1UoX0ZiD+4MyEDw67z93Ba7iV&#10;i3pNzw7bslv6YXl5bL9wr/X1VabuQSQ8p78w/OqzOjTs1IYD2ShGZuSbnKM8lMUGBCeKLOd2rYa7&#10;fJ2BbGr5v0PzA1BLAwQUAAAACACHTuJAz4dAJF0CAACuBAAADgAAAGRycy9lMm9Eb2MueG1srVTN&#10;bhoxEL5X6jtYvjcLFAhBLBEFUVWKmkhp1bPxellLtse1Dbv0Ado3yKmX3vtceY6OvQtBaQ85lIMZ&#10;z883nm9mdnbdaEX2wnkJJqf9ix4lwnAopNnm9POn9ZsJJT4wUzAFRuT0IDy9nr9+NavtVAygAlUI&#10;RxDE+Gltc1qFYKdZ5nklNPMXYIVBYwlOs4BXt80Kx2pE1yob9HrjrAZXWAdceI/aVWukHaJ7CSCU&#10;peRiBXynhQktqhOKBSzJV9J6Ok+vLUvBw21ZehGIyilWGtKJSVDexDObz9h065itJO+ewF7yhGc1&#10;aSYNJj1BrVhgZOfkX1BacgceynDBQWdtIYkRrKLfe8bNfcWsSLUg1d6eSPf/D5Z/3N85IoucXl5S&#10;YpjGjj8+/Hj8+fvx13eCOiSotn6KfvcWPUPzDhocm6PeozLW3ZROx3+siKAd6T2c6BVNIDwG9fuj&#10;8dWIEo62wWQyuEr8Z0/R1vnwXoAmUcipw/YlVtn+xgd8CboeXWIyD0oWa6lUurjtZqkc2bPY6vRr&#10;Y5WtWKeNr0YM37q28jmGMqTO6fjtqJdCDUTwNkYZdI9MtBVHKTSbpqNnA8UB2XHQDpi3fC2xhBvm&#10;wx1zOFFICO5cuMWjVIBJoJMoqcB9+5c++mOj0UpJjROaU/91x5ygRH0wOAJX/eEwjnS6DEeXA7y4&#10;c8vm3GJ2egnITB+32/IkRv+gjmLpQH/B1VzErGhihmPunIajuAzt3uBqc7FYJCccYsvCjbm3PELH&#10;PhhY7AKUMvUr0tRy07GHY5xo71Yu7sn5PXk9fWbm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A&#10;x9CD2AAAAAsBAAAPAAAAAAAAAAEAIAAAACIAAABkcnMvZG93bnJldi54bWxQSwECFAAUAAAACACH&#10;TuJAz4dAJF0CAACuBAAADgAAAAAAAAABACAAAAAnAQAAZHJzL2Uyb0RvYy54bWxQSwUGAAAAAAYA&#10;BgBZAQAA9gUAAAAA&#10;">
                      <v:fill on="t" opacity="0f" focussize="0,0"/>
                      <v:stroke on="f" weight="0.5pt"/>
                      <v:imagedata o:title=""/>
                      <o:lock v:ext="edit" aspectratio="f"/>
                      <v:textbox>
                        <w:txbxContent>
                          <w:p w14:paraId="01925FDF">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碎米</w:t>
                            </w:r>
                          </w:p>
                        </w:txbxContent>
                      </v:textbox>
                    </v:shape>
                  </w:pict>
                </mc:Fallback>
              </mc:AlternateContent>
            </w:r>
            <w:r>
              <w:rPr>
                <w:color w:val="auto"/>
                <w:sz w:val="21"/>
              </w:rPr>
              <mc:AlternateContent>
                <mc:Choice Requires="wps">
                  <w:drawing>
                    <wp:anchor distT="0" distB="0" distL="114300" distR="114300" simplePos="0" relativeHeight="251717632" behindDoc="0" locked="0" layoutInCell="1" allowOverlap="1">
                      <wp:simplePos x="0" y="0"/>
                      <wp:positionH relativeFrom="column">
                        <wp:posOffset>2891155</wp:posOffset>
                      </wp:positionH>
                      <wp:positionV relativeFrom="paragraph">
                        <wp:posOffset>2480945</wp:posOffset>
                      </wp:positionV>
                      <wp:extent cx="1325245" cy="27876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1325245" cy="278765"/>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45A675E9">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稻壳、稻糠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65pt;margin-top:195.35pt;height:21.95pt;width:104.35pt;z-index:251717632;mso-width-relative:page;mso-height-relative:page;" fillcolor="#000000" filled="t" stroked="f" coordsize="21600,21600" o:gfxdata="UEsDBAoAAAAAAIdO4kAAAAAAAAAAAAAAAAAEAAAAZHJzL1BLAwQUAAAACACHTuJAKZGTbdgAAAAL&#10;AQAADwAAAGRycy9kb3ducmV2LnhtbE2Py07DMBBF90j8gzVI7KhdkoYS4nQBQmxYQMsHOPEQR8Tj&#10;ELsP8vUMK7oc3asz51abkx/EAafYB9KwXCgQSG2wPXUaPnbPN2sQMRmyZgiEGn4wwqa+vKhMacOR&#10;3vGwTZ1gCMXSaHApjaWUsXXoTVyEEYmzzzB5k/icOmknc2S4H+StUoX0pif+4MyIjw7br+3ea8jl&#10;rN7Si8Nm3c5dP78+Nd+40/r6aqkeQCQ8pf8y/OmzOtTs1IQ92SgGZqxWGVc1ZPfqDgQ3iiLndQ1H&#10;WV6ArCt5vqH+BVBLAwQUAAAACACHTuJAoM3nKloCAACuBAAADgAAAGRycy9lMm9Eb2MueG1srVTN&#10;bhMxEL4j8Q6W73STNOlPlE0VUhUhVbRSQZwdr521ZHuM7WS3PAC8QU9cuPNcfQ7G3k0aCoceyMGZ&#10;P3/j+WZmZxet0WQrfFBgSzo8GlAiLIdK2XVJP328enNGSYjMVkyDFSW9F4FezF+/mjVuKkZQg66E&#10;Jwhiw7RxJa1jdNOiCLwWhoUjcMKiU4I3LKLq10XlWYPoRhejweCkaMBXzgMXIaD1snPSHtG/BBCk&#10;VFxcAt8YYWOH6oVmEUsKtXKBzvNrpRQ83kgZRCS6pFhpzCcmQXmVzmI+Y9O1Z65WvH8Ce8kTntVk&#10;mLKYdA91ySIjG6/+gjKKewgg4xEHU3SFZEawiuHgGTd3NXMi14JUB7cnPfw/WP5he+uJqkp6PqbE&#10;MoMdf3z4/vjj1+PPbwRtSFDjwhTj7hxGxvYttDg2O3tAY6q7ld6kf6yIoB/pvd/TK9pIeLp0PJqM&#10;xhNKOPpGp2enJ5MEUzzddj7EdwIMSUJJPbYvs8q21yF2obuQlCyAVtWV0jorfr1aak+2LLU6/7q7&#10;2tWst/bpQheaU/+BoS1pSnpyPBnkqxYSeJdXWwxPTHQVJym2q7anZwXVPbLjoRuw4PiVwhKuWYi3&#10;zONEISG4c/EGD6kBk0AvUVKD//ove4rHRqOXkgYntKThy4Z5QYl+b3EEzofjcRrprIwnpyNU/KFn&#10;deixG7MEZGaI2+14FlN81DtRejCfcTUXKSu6mOWYu6RxJy5jtze42lwsFjkIh9ixeG3vHE/QqQ8W&#10;FpsIUuV+JZo6bnr2cIwz7f3KpT051HPU02dm/h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pkZNt&#10;2AAAAAsBAAAPAAAAAAAAAAEAIAAAACIAAABkcnMvZG93bnJldi54bWxQSwECFAAUAAAACACHTuJA&#10;oM3nKloCAACuBAAADgAAAAAAAAABACAAAAAnAQAAZHJzL2Uyb0RvYy54bWxQSwUGAAAAAAYABgBZ&#10;AQAA8wUAAAAA&#10;">
                      <v:fill on="t" opacity="0f" focussize="0,0"/>
                      <v:stroke on="f" weight="0.5pt"/>
                      <v:imagedata o:title=""/>
                      <o:lock v:ext="edit" aspectratio="f"/>
                      <v:textbox>
                        <w:txbxContent>
                          <w:p w14:paraId="45A675E9">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稻壳、稻糠</w:t>
                            </w:r>
                          </w:p>
                        </w:txbxContent>
                      </v:textbox>
                    </v:shape>
                  </w:pict>
                </mc:Fallback>
              </mc:AlternateContent>
            </w:r>
            <w:r>
              <w:rPr>
                <w:color w:val="auto"/>
                <w:sz w:val="21"/>
              </w:rPr>
              <mc:AlternateContent>
                <mc:Choice Requires="wps">
                  <w:drawing>
                    <wp:anchor distT="0" distB="0" distL="114300" distR="114300" simplePos="0" relativeHeight="251704320" behindDoc="0" locked="0" layoutInCell="1" allowOverlap="1">
                      <wp:simplePos x="0" y="0"/>
                      <wp:positionH relativeFrom="column">
                        <wp:posOffset>2881630</wp:posOffset>
                      </wp:positionH>
                      <wp:positionV relativeFrom="paragraph">
                        <wp:posOffset>1947545</wp:posOffset>
                      </wp:positionV>
                      <wp:extent cx="1325245" cy="278765"/>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325245" cy="278765"/>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65BE8A98">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稻壳、稻糠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6.9pt;margin-top:153.35pt;height:21.95pt;width:104.35pt;z-index:251704320;mso-width-relative:page;mso-height-relative:page;" fillcolor="#000000" filled="t" stroked="f" coordsize="21600,21600" o:gfxdata="UEsDBAoAAAAAAIdO4kAAAAAAAAAAAAAAAAAEAAAAZHJzL1BLAwQUAAAACACHTuJAWoWIjtgAAAAL&#10;AQAADwAAAGRycy9kb3ducmV2LnhtbE2Py07DMBBF90j8gzVI7KjdlpgqxOkChNiwgJYPcOIhjojH&#10;IXYf5OsZVrCcmasz51bbcxjEEafURzKwXCgQSG10PXUG3vdPNxsQKVtydoiEBr4xwba+vKhs6eKJ&#10;3vC4y51gCKXSGvA5j6WUqfUYbFrEEYlvH3EKNvM4ddJN9sTwMMiVUloG2xN/8HbEB4/t5+4QDNzK&#10;Wb3mZ4/Npp27fn55bL5wb8z11VLdg8h4zn9h+NVndajZqYkHckkMzCjWrJ4NrJW+A8EJrVcFiIY3&#10;hdIg60r+71D/AFBLAwQUAAAACACHTuJAsCiK4FwCAACuBAAADgAAAGRycy9lMm9Eb2MueG1srVTN&#10;bhMxEL4j8Q6W72STND8lyqYKqYqQKlopIM6O15u1ZHuM7WS3PAC8QU9cuPNceQ7G3k0aFQ49kIMz&#10;np9vPN/M7Pyq0YrshfMSTE4HvT4lwnAopNnm9POnmzeXlPjATMEUGJHTB+Hp1eL1q3ltZ2IIFahC&#10;OIIgxs9qm9MqBDvLMs8roZnvgRUGjSU4zQJe3TYrHKsRXats2O9PshpcYR1w4T1qr1sj7RDdSwCh&#10;LCUX18B3WpjQojqhWMCSfCWtp4v02rIUPNyVpReBqJxipSGdmATlTTyzxZzNto7ZSvLuCewlT3hW&#10;k2bSYNIT1DULjOyc/AtKS+7AQxl6HHTWFpIYwSoG/WfcrCtmRaoFqfb2RLr/f7D84/7eEVnkdDqm&#10;xDCNHT88/jj8/H349Z2gDgmqrZ+h39qiZ2jeQYNjc9R7VMa6m9Lp+I8VEbQjvQ8nekUTCI9BF8Px&#10;cIRpONqG08vpJMFnT9HW+fBegCZRyKnD9iVW2f7WB3wJuh5dYjIPShY3Uql0cdvNSjmyZ7HV6dfG&#10;KluxThtfjRi+dW3lcwxlSJ3TycW4n0INRPA2Rhl0j0y0FUcpNJumo2cDxQOy46AdMG/5jcQSbpkP&#10;98zhRCEhuHPhDo9SASaBTqKkAvftX/roj41GKyU1TmhO/dcdc4IS9cHgCLwdjEZxpNNlNJ4O8eLO&#10;LZtzi9npFSAzA9xuy5MY/YM6iqUD/QVXcxmzookZjrlzGo7iKrR7g6vNxXKZnHCILQu3Zm15hI59&#10;MLDcBShl6lekqeWmYw/HONHerVzck/N78nr6zC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qF&#10;iI7YAAAACwEAAA8AAAAAAAAAAQAgAAAAIgAAAGRycy9kb3ducmV2LnhtbFBLAQIUABQAAAAIAIdO&#10;4kCwKIrgXAIAAK4EAAAOAAAAAAAAAAEAIAAAACcBAABkcnMvZTJvRG9jLnhtbFBLBQYAAAAABgAG&#10;AFkBAAD1BQAAAAA=&#10;">
                      <v:fill on="t" opacity="0f" focussize="0,0"/>
                      <v:stroke on="f" weight="0.5pt"/>
                      <v:imagedata o:title=""/>
                      <o:lock v:ext="edit" aspectratio="f"/>
                      <v:textbox>
                        <w:txbxContent>
                          <w:p w14:paraId="65BE8A98">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稻壳、稻糠</w:t>
                            </w:r>
                          </w:p>
                        </w:txbxContent>
                      </v:textbox>
                    </v:shape>
                  </w:pict>
                </mc:Fallback>
              </mc:AlternateContent>
            </w:r>
            <w:r>
              <w:rPr>
                <w:color w:val="auto"/>
                <w:sz w:val="21"/>
              </w:rPr>
              <mc:AlternateContent>
                <mc:Choice Requires="wps">
                  <w:drawing>
                    <wp:anchor distT="0" distB="0" distL="114300" distR="114300" simplePos="0" relativeHeight="251716608" behindDoc="0" locked="0" layoutInCell="1" allowOverlap="1">
                      <wp:simplePos x="0" y="0"/>
                      <wp:positionH relativeFrom="column">
                        <wp:posOffset>2600325</wp:posOffset>
                      </wp:positionH>
                      <wp:positionV relativeFrom="paragraph">
                        <wp:posOffset>2079625</wp:posOffset>
                      </wp:positionV>
                      <wp:extent cx="539750" cy="635"/>
                      <wp:effectExtent l="0" t="37465" r="12700" b="38100"/>
                      <wp:wrapNone/>
                      <wp:docPr id="93" name="直接连接符 93"/>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prstDash val="solid"/>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4.75pt;margin-top:163.75pt;height:0.05pt;width:42.5pt;z-index:251716608;mso-width-relative:page;mso-height-relative:page;" filled="f" stroked="t" coordsize="21600,21600" o:gfxdata="UEsDBAoAAAAAAIdO4kAAAAAAAAAAAAAAAAAEAAAAZHJzL1BLAwQUAAAACACHTuJAzg2MYtkAAAAL&#10;AQAADwAAAGRycy9kb3ducmV2LnhtbE2PzU7DMBCE70i8g7VI3KidEhIa4lQFCQ70gGh74LiNt0lE&#10;bIfY/Xt7Fi5wm90ZzX5bzk+2FwcaQ+edhmSiQJCrvelco2Gzfr65BxEiOoO9d6ThTAHm1eVFiYXx&#10;R/dOh1VsBJe4UKCGNsahkDLULVkMEz+QY2/nR4uRx7GRZsQjl9teTpXKpMXO8YUWB3pqqf5c7a0G&#10;SheLZZaPL4+7j6jOX2+vuUpQ6+urRD2AiHSKf2H4wWd0qJhp6/fOBNFrSNXsjqMabqc5C06ks5TF&#10;9neTgaxK+f+H6htQSwMEFAAAAAgAh07iQB9NVvv7AQAA4wMAAA4AAABkcnMvZTJvRG9jLnhtbK1T&#10;zW4TMRC+I/EOlu9k00YpdJVNDw3lgiAS8AAT27tryX/yuNnkJXgBJG5w4sidt2l5DMbekEC59MAe&#10;vOP5+Tzf5/HiamcN26qI2ruGn02mnCknvNSua/iH9zfPXnCGCZwE451q+F4hv1o+fbIYQq3Ofe+N&#10;VJERiMN6CA3vUwp1VaHolQWc+KAcBVsfLSTaxq6SEQZCt6Y6n04vqsFHGaIXCpG8qzHID4jxMYC+&#10;bbVQKy9urXJpRI3KQCJK2OuAfFm6bVsl0tu2RZWYaTgxTWWlQ8je5LVaLqDuIoRei0ML8JgWHnCy&#10;oB0deoRaQQJ2G/U/UFaL6NG3aSK8rUYiRRFicTZ9oM27HoIqXEhqDEfR8f/BijfbdWRaNvxyxpkD&#10;Szd+/+n73ccvP398pvX+21dGEZJpCFhT9rVbx8MOwzpmzrs22vwnNmxXpN0fpVW7xAQ557PL53MS&#10;XVDoYjbPgNWpMkRMr5S3LBsNN9pl2lDD9jWmMfV3SnY7f6ONIT/UxrGhIGZsoHFsaQzItIEooes4&#10;A9PRnIsUCyJ6o2WuzsUYu821iWwLeTrKd2jsr7R89AqwH/NKKKdB3SuQL51kaR9INkfPZfQn0Obk&#10;T1GD64ziuVOrJGdGUUfZGqkZR2JkeUdBs7Xxcl90Ln66+yLXYU7zcP25L9Wnt7n8B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4NjGLZAAAACwEAAA8AAAAAAAAAAQAgAAAAIgAAAGRycy9kb3ducmV2&#10;LnhtbFBLAQIUABQAAAAIAIdO4kAfTVb7+wEAAOMDAAAOAAAAAAAAAAEAIAAAACgBAABkcnMvZTJv&#10;RG9jLnhtbFBLBQYAAAAABgAGAFkBAACVBQ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715584" behindDoc="0" locked="0" layoutInCell="1" allowOverlap="1">
                      <wp:simplePos x="0" y="0"/>
                      <wp:positionH relativeFrom="column">
                        <wp:posOffset>2619375</wp:posOffset>
                      </wp:positionH>
                      <wp:positionV relativeFrom="paragraph">
                        <wp:posOffset>2632075</wp:posOffset>
                      </wp:positionV>
                      <wp:extent cx="539750" cy="635"/>
                      <wp:effectExtent l="0" t="37465" r="12700" b="38100"/>
                      <wp:wrapNone/>
                      <wp:docPr id="92" name="直接连接符 92"/>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prstDash val="solid"/>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6.25pt;margin-top:207.25pt;height:0.05pt;width:42.5pt;z-index:251715584;mso-width-relative:page;mso-height-relative:page;" filled="f" stroked="t" coordsize="21600,21600" o:gfxdata="UEsDBAoAAAAAAIdO4kAAAAAAAAAAAAAAAAAEAAAAZHJzL1BLAwQUAAAACACHTuJA2d60adcAAAAL&#10;AQAADwAAAGRycy9kb3ducmV2LnhtbE2PzU7DMBCE70i8g7VI3KidKiQQ4lQFCQ5wQBQOHLfxNomI&#10;7WC7f2/PlgvcZndGs9/Wi4MdxY5CHLzTkM0UCHKtN4PrNHy8P17dgIgJncHRO9JwpAiL5vysxsr4&#10;vXuj3Sp1gktcrFBDn9JUSRnbnizGmZ/IsbfxwWLiMXTSBNxzuR3lXKlCWhwcX+hxooee2q/V1mqg&#10;fLl8KcrwdL/5TOr4/fpcqgy1vrzI1B2IRIf0F4YTPqNDw0xrv3UmilFDns2vOXoSOQtO5Lcli/Xv&#10;pgDZ1PL/D80PUEsDBBQAAAAIAIdO4kC3D3Td+wEAAOMDAAAOAAAAZHJzL2Uyb0RvYy54bWytU81u&#10;EzEQviPxDpbvZNNUKXSVTQ8N5YIgEvAAE9u7a8l/8rjZ5CV4ASRucOLInbdpeQzG3pBAufTAHrzj&#10;+fk83+fx4mpnDduqiNq7hp9NppwpJ7zUrmv4h/c3z15whgmcBOOdavheIb9aPn2yGEKtZr73RqrI&#10;CMRhPYSG9ymFuqpQ9MoCTnxQjoKtjxYSbWNXyQgDoVtTzabTi2rwUYbohUIk72oM8gNifAygb1st&#10;1MqLW6tcGlGjMpCIEvY6IF+WbttWifS2bVElZhpOTFNZ6RCyN3mtlguouwih1+LQAjymhQecLGhH&#10;hx6hVpCA3Ub9D5TVInr0bZoIb6uRSFGEWJxNH2jzroegCheSGsNRdPx/sOLNdh2Zlg2/nHHmwNKN&#10;33/6fvfxy88fn2m9//aVUYRkGgLWlH3t1vGww7COmfOujTb/iQ3bFWn3R2nVLjFBzvn55fM5iS4o&#10;dHE+z4DVqTJETK+UtywbDTfaZdpQw/Y1pjH1d0p2O3+jjSE/1MaxoSBmbKBxbGkMyLSBKKHrOAPT&#10;0ZyLFAsieqNlrs7FGLvNtYlsC3k6yndo7K+0fPQKsB/zSiinQd0rkC+dZGkfSDZHz2X0J9Dm5E9R&#10;g+uM4rlTqyRnRlFH2RqpGUdiZHlHQbO18XJfdC5+uvsi12FO83D9uS/Vp7e5/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Z3rRp1wAAAAsBAAAPAAAAAAAAAAEAIAAAACIAAABkcnMvZG93bnJldi54&#10;bWxQSwECFAAUAAAACACHTuJAtw903fsBAADjAwAADgAAAAAAAAABACAAAAAmAQAAZHJzL2Uyb0Rv&#10;Yy54bWxQSwUGAAAAAAYABgBZAQAAkwU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711488" behindDoc="0" locked="0" layoutInCell="1" allowOverlap="1">
                      <wp:simplePos x="0" y="0"/>
                      <wp:positionH relativeFrom="column">
                        <wp:posOffset>3557905</wp:posOffset>
                      </wp:positionH>
                      <wp:positionV relativeFrom="paragraph">
                        <wp:posOffset>4319270</wp:posOffset>
                      </wp:positionV>
                      <wp:extent cx="1421765" cy="563245"/>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1421765" cy="563245"/>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5E9DE351">
                                  <w:pPr>
                                    <w:keepNext w:val="0"/>
                                    <w:keepLines w:val="0"/>
                                    <w:pageBreakBefore w:val="0"/>
                                    <w:widowControl w:val="0"/>
                                    <w:kinsoku/>
                                    <w:wordWrap/>
                                    <w:overflowPunct/>
                                    <w:topLinePunct w:val="0"/>
                                    <w:bidi w:val="0"/>
                                    <w:adjustRightInd/>
                                    <w:snapToGrid/>
                                    <w:jc w:val="center"/>
                                    <w:textAlignment w:val="auto"/>
                                    <w:rPr>
                                      <w:rFonts w:hint="default" w:eastAsia="宋体"/>
                                      <w:color w:val="FF0000"/>
                                      <w:lang w:val="en-US" w:eastAsia="zh-CN"/>
                                    </w:rPr>
                                  </w:pPr>
                                  <w:r>
                                    <w:rPr>
                                      <w:rFonts w:hint="eastAsia"/>
                                      <w:color w:val="FF0000"/>
                                      <w:lang w:val="en-US" w:eastAsia="zh-CN"/>
                                    </w:rPr>
                                    <w:t>大米加工废气G</w:t>
                                  </w:r>
                                  <w:r>
                                    <w:rPr>
                                      <w:rFonts w:hint="eastAsia"/>
                                      <w:color w:val="FF0000"/>
                                      <w:vertAlign w:val="subscript"/>
                                      <w:lang w:val="en-US" w:eastAsia="zh-CN"/>
                                    </w:rPr>
                                    <w:t>3</w:t>
                                  </w:r>
                                  <w:r>
                                    <w:rPr>
                                      <w:rFonts w:hint="eastAsia"/>
                                      <w:color w:val="FF0000"/>
                                      <w:lang w:val="en-US" w:eastAsia="zh-CN"/>
                                    </w:rPr>
                                    <w:t>~G</w:t>
                                  </w:r>
                                  <w:r>
                                    <w:rPr>
                                      <w:rFonts w:hint="eastAsia"/>
                                      <w:color w:val="FF0000"/>
                                      <w:vertAlign w:val="subscript"/>
                                      <w:lang w:val="en-US" w:eastAsia="zh-CN"/>
                                    </w:rPr>
                                    <w:t>9</w:t>
                                  </w:r>
                                  <w:r>
                                    <w:rPr>
                                      <w:rFonts w:hint="eastAsia"/>
                                      <w:color w:val="FF0000"/>
                                      <w:lang w:val="en-US" w:eastAsia="zh-CN"/>
                                    </w:rPr>
                                    <w:t>、噪声N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0.15pt;margin-top:340.1pt;height:44.35pt;width:111.95pt;z-index:251711488;mso-width-relative:page;mso-height-relative:page;" fillcolor="#000000" filled="t" stroked="f" coordsize="21600,21600" o:gfxdata="UEsDBAoAAAAAAIdO4kAAAAAAAAAAAAAAAAAEAAAAZHJzL1BLAwQUAAAACACHTuJA5fdQ9NgAAAAL&#10;AQAADwAAAGRycy9kb3ducmV2LnhtbE2Py07EMAxF90j8Q2Qkdkwyw1BCaToLEGLDAmb4gLQxTUXj&#10;lCbzoF+PWcHuWj66Pq42pzCIA06pj2RguVAgkNroeuoMvO+erjSIlC05O0RCA9+YYFOfn1W2dPFI&#10;b3jY5k5wCaXSGvA5j6WUqfUYbFrEEYl3H3EKNvM4ddJN9sjlYZArpQoZbE98wdsRHzy2n9t9MLCW&#10;s3rNzx4b3c5dP788Nl+4M+byYqnuQWQ85T8YfvVZHWp2auKeXBKDgZtCXTNqoNBqBYKJW73m0HAo&#10;9B3IupL/f6h/AFBLAwQUAAAACACHTuJAJlyuK1kCAACuBAAADgAAAGRycy9lMm9Eb2MueG1srVTN&#10;bhMxEL4j8Q6W72STNElplE0VUhUhVbRSQJwdrzdryfYY28lueAB4A05cuPNceQ7G3k0aCoceyMGZ&#10;P3/j+WZmZ9eNVmQnnJdgcjro9SkRhkMhzSanHz/cvnpNiQ/MFEyBETndC0+v5y9fzGo7FUOoQBXC&#10;EQQxflrbnFYh2GmWeV4JzXwPrDDoLMFpFlB1m6xwrEZ0rbJhvz/JanCFdcCF92i9aZ20Q3TPAYSy&#10;lFzcAN9qYUKL6oRiAUvylbSeztNry1LwcF+WXgSicoqVhnRiEpTX8czmMzbdOGYrybsnsOc84UlN&#10;mkmDSU9QNywwsnXyLygtuQMPZehx0FlbSGIEqxj0n3CzqpgVqRak2tsT6f7/wfL3uwdHZJHTqwEl&#10;hmns+OH7t8OPX4efXwnakKDa+inGrSxGhuYNNDg2R7tHY6y7KZ2O/1gRQT/Suz/RK5pAeLw0Gg4u&#10;J2NKOPrGk4vhaBxhssfb1vnwVoAmUcipw/YlVtnuzoc29BgSk3lQsriVSiXFbdZL5ciOxVanX3tX&#10;2Yp11i6db0NT6j8wlCF1TicX4366aiCCt3mVwfDIRFtxlEKzbjp61lDskR0H7YB5y28llnDHfHhg&#10;DicKCcGdC/d4lAowCXQSJRW4L/+yx3hsNHopqXFCc+o/b5kTlKh3BkfgajAaxZFOymh8OUTFnXvW&#10;5x6z1UtAZrDL+LokxvigjmLpQH/C1VzErOhihmPunIajuAzt3uBqc7FYpCAcYsvCnVlZHqFjHwws&#10;tgFKmfoVaWq56djDMU60dysX9+RcT1GPn5n5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X3UPTY&#10;AAAACwEAAA8AAAAAAAAAAQAgAAAAIgAAAGRycy9kb3ducmV2LnhtbFBLAQIUABQAAAAIAIdO4kAm&#10;XK4rWQIAAK4EAAAOAAAAAAAAAAEAIAAAACcBAABkcnMvZTJvRG9jLnhtbFBLBQYAAAAABgAGAFkB&#10;AADyBQAAAAA=&#10;">
                      <v:fill on="t" opacity="0f" focussize="0,0"/>
                      <v:stroke on="f" weight="0.5pt"/>
                      <v:imagedata o:title=""/>
                      <o:lock v:ext="edit" aspectratio="f"/>
                      <v:textbox>
                        <w:txbxContent>
                          <w:p w14:paraId="5E9DE351">
                            <w:pPr>
                              <w:keepNext w:val="0"/>
                              <w:keepLines w:val="0"/>
                              <w:pageBreakBefore w:val="0"/>
                              <w:widowControl w:val="0"/>
                              <w:kinsoku/>
                              <w:wordWrap/>
                              <w:overflowPunct/>
                              <w:topLinePunct w:val="0"/>
                              <w:bidi w:val="0"/>
                              <w:adjustRightInd/>
                              <w:snapToGrid/>
                              <w:jc w:val="center"/>
                              <w:textAlignment w:val="auto"/>
                              <w:rPr>
                                <w:rFonts w:hint="default" w:eastAsia="宋体"/>
                                <w:color w:val="FF0000"/>
                                <w:lang w:val="en-US" w:eastAsia="zh-CN"/>
                              </w:rPr>
                            </w:pPr>
                            <w:r>
                              <w:rPr>
                                <w:rFonts w:hint="eastAsia"/>
                                <w:color w:val="FF0000"/>
                                <w:lang w:val="en-US" w:eastAsia="zh-CN"/>
                              </w:rPr>
                              <w:t>大米加工废气G</w:t>
                            </w:r>
                            <w:r>
                              <w:rPr>
                                <w:rFonts w:hint="eastAsia"/>
                                <w:color w:val="FF0000"/>
                                <w:vertAlign w:val="subscript"/>
                                <w:lang w:val="en-US" w:eastAsia="zh-CN"/>
                              </w:rPr>
                              <w:t>3</w:t>
                            </w:r>
                            <w:r>
                              <w:rPr>
                                <w:rFonts w:hint="eastAsia"/>
                                <w:color w:val="FF0000"/>
                                <w:lang w:val="en-US" w:eastAsia="zh-CN"/>
                              </w:rPr>
                              <w:t>~G</w:t>
                            </w:r>
                            <w:r>
                              <w:rPr>
                                <w:rFonts w:hint="eastAsia"/>
                                <w:color w:val="FF0000"/>
                                <w:vertAlign w:val="subscript"/>
                                <w:lang w:val="en-US" w:eastAsia="zh-CN"/>
                              </w:rPr>
                              <w:t>9</w:t>
                            </w:r>
                            <w:r>
                              <w:rPr>
                                <w:rFonts w:hint="eastAsia"/>
                                <w:color w:val="FF0000"/>
                                <w:lang w:val="en-US" w:eastAsia="zh-CN"/>
                              </w:rPr>
                              <w:t>、噪声N</w:t>
                            </w:r>
                          </w:p>
                        </w:txbxContent>
                      </v:textbox>
                    </v:shape>
                  </w:pict>
                </mc:Fallback>
              </mc:AlternateContent>
            </w:r>
            <w:r>
              <w:rPr>
                <w:color w:val="auto"/>
                <w:sz w:val="21"/>
              </w:rPr>
              <mc:AlternateContent>
                <mc:Choice Requires="wps">
                  <w:drawing>
                    <wp:anchor distT="0" distB="0" distL="114300" distR="114300" simplePos="0" relativeHeight="251714560" behindDoc="0" locked="0" layoutInCell="1" allowOverlap="1">
                      <wp:simplePos x="0" y="0"/>
                      <wp:positionH relativeFrom="column">
                        <wp:posOffset>2971800</wp:posOffset>
                      </wp:positionH>
                      <wp:positionV relativeFrom="paragraph">
                        <wp:posOffset>4432300</wp:posOffset>
                      </wp:positionV>
                      <wp:extent cx="539750" cy="635"/>
                      <wp:effectExtent l="0" t="37465" r="12700" b="38100"/>
                      <wp:wrapNone/>
                      <wp:docPr id="90" name="直接连接符 90"/>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rgbClr val="FF0000"/>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4pt;margin-top:349pt;height:0.05pt;width:42.5pt;z-index:251714560;mso-width-relative:page;mso-height-relative:page;" filled="f" stroked="t" coordsize="21600,21600" o:gfxdata="UEsDBAoAAAAAAIdO4kAAAAAAAAAAAAAAAAAEAAAAZHJzL1BLAwQUAAAACACHTuJAA3kgHtkAAAAL&#10;AQAADwAAAGRycy9kb3ducmV2LnhtbE2PzU7DMBCE70i8g7VI3KgToFEIcXoAIW6UlB56dOLNj4jX&#10;IXab0qdnywVus7uj2W/y1dEO4oCT7x0piBcRCKTamZ5aBduPl5sUhA+ajB4coYJv9LAqLi9ynRk3&#10;U4mHTWgFh5DPtIIuhDGT0tcdWu0XbkTiW+MmqwOPUyvNpGcOt4O8jaJEWt0Tf+j0iE8d1p+bvVXw&#10;in15eo6b8r2c0/VYfe2a7dtOqeurOHoEEfAY/sxwxmd0KJipcnsyXgwK7pOUuwQFycNZsGO5vGNR&#10;/W5ikEUu/3cofgBQSwMEFAAAAAgAh07iQCs4eXL+AQAA4gMAAA4AAABkcnMvZTJvRG9jLnhtbK1T&#10;zW4TMRC+I/EOlu9k01YpdJVNDw3hgiAS8AAT27tryX/yuNnkJXgBJG5w4sidt2l5DMbekEC59MAe&#10;vOPxzDfzfR7Pr3fWsK2KqL1r+NlkyplywkvtuoZ/eL969oIzTOAkGO9Uw/cK+fXi6ZP5EGp17ntv&#10;pIqMQBzWQ2h4n1KoqwpFryzgxAfl6LD10UKibewqGWEgdGuq8+n0shp8lCF6oRDJuxwP+QExPgbQ&#10;t60WaunFrVUujahRGUhECXsdkC9Kt22rRHrbtqgSMw0npqmsVITsTV6rxRzqLkLotTi0AI9p4QEn&#10;C9pR0SPUEhKw26j/gbJaRI++TRPhbTUSKYoQi7PpA23e9RBU4UJSYziKjv8PVrzZriPTsuFXJIkD&#10;Szd+/+n73ccvP398pvX+21dGJyTTELCm6Bu3jocdhnXMnHdttPlPbNiuSLs/Sqt2iQlyzi6uns+o&#10;gqCjy4tZBqxOmSFieqW8ZdlouNEu04Yatq8xjaG/Q7Lb+ZU2hvxQG8eGgpixgcaxpTEg0waihK7j&#10;DExHcy5SLIjojZY5Oydj7DY3JrIt0HSsVlP6Do39FZZLLwH7MU6SlaOg7hXIl06ytA+kmqPXMvoT&#10;aHPyp6jBdUbx3KhVkjOjqKFsjcyMIy2yuqOe2dp4uS8yFz9dfVHrMKZ5tv7cl+zT01z8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AN5IB7ZAAAACwEAAA8AAAAAAAAAAQAgAAAAIgAAAGRycy9kb3du&#10;cmV2LnhtbFBLAQIUABQAAAAIAIdO4kArOHly/gEAAOIDAAAOAAAAAAAAAAEAIAAAACgBAABkcnMv&#10;ZTJvRG9jLnhtbFBLBQYAAAAABgAGAFkBAACYBQAAAAA=&#10;">
                      <v:fill on="f" focussize="0,0"/>
                      <v:stroke weight="0.5pt" color="#FF0000 [3204]" joinstyle="round" dashstyle="dash" endarrow="block"/>
                      <v:imagedata o:title=""/>
                      <o:lock v:ext="edit" aspectratio="f"/>
                    </v:line>
                  </w:pict>
                </mc:Fallback>
              </mc:AlternateContent>
            </w:r>
            <w:r>
              <w:rPr>
                <w:color w:val="auto"/>
                <w:sz w:val="21"/>
              </w:rPr>
              <mc:AlternateContent>
                <mc:Choice Requires="wps">
                  <w:drawing>
                    <wp:anchor distT="0" distB="0" distL="114300" distR="114300" simplePos="0" relativeHeight="251713536" behindDoc="0" locked="0" layoutInCell="1" allowOverlap="1">
                      <wp:simplePos x="0" y="0"/>
                      <wp:positionH relativeFrom="column">
                        <wp:posOffset>214630</wp:posOffset>
                      </wp:positionH>
                      <wp:positionV relativeFrom="paragraph">
                        <wp:posOffset>3147695</wp:posOffset>
                      </wp:positionV>
                      <wp:extent cx="1115695" cy="288290"/>
                      <wp:effectExtent l="0" t="0" r="8255" b="16510"/>
                      <wp:wrapNone/>
                      <wp:docPr id="89" name="文本框 89"/>
                      <wp:cNvGraphicFramePr/>
                      <a:graphic xmlns:a="http://schemas.openxmlformats.org/drawingml/2006/main">
                        <a:graphicData uri="http://schemas.microsoft.com/office/word/2010/wordprocessingShape">
                          <wps:wsp>
                            <wps:cNvSpPr txBox="1"/>
                            <wps:spPr>
                              <a:xfrm>
                                <a:off x="0" y="0"/>
                                <a:ext cx="1115695" cy="28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E9BF2B">
                                  <w:pPr>
                                    <w:keepNext w:val="0"/>
                                    <w:keepLines w:val="0"/>
                                    <w:pageBreakBefore w:val="0"/>
                                    <w:widowControl w:val="0"/>
                                    <w:kinsoku/>
                                    <w:wordWrap/>
                                    <w:overflowPunct/>
                                    <w:topLinePunct w:val="0"/>
                                    <w:bidi w:val="0"/>
                                    <w:adjustRightInd/>
                                    <w:snapToGrid/>
                                    <w:jc w:val="center"/>
                                    <w:textAlignment w:val="auto"/>
                                    <w:rPr>
                                      <w:rFonts w:hint="eastAsia" w:eastAsia="宋体"/>
                                      <w:color w:val="FF0000"/>
                                      <w:lang w:eastAsia="zh-CN"/>
                                    </w:rPr>
                                  </w:pPr>
                                  <w:r>
                                    <w:rPr>
                                      <w:rFonts w:hint="eastAsia"/>
                                      <w:color w:val="FF0000"/>
                                      <w:lang w:eastAsia="zh-CN"/>
                                    </w:rPr>
                                    <w:t>大米加工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9pt;margin-top:247.85pt;height:22.7pt;width:87.85pt;z-index:251713536;mso-width-relative:page;mso-height-relative:page;" filled="f" stroked="f" coordsize="21600,21600" o:gfxdata="UEsDBAoAAAAAAIdO4kAAAAAAAAAAAAAAAAAEAAAAZHJzL1BLAwQUAAAACACHTuJA1/65YdwAAAAK&#10;AQAADwAAAGRycy9kb3ducmV2LnhtbE2Py07DMBRE90j8g3WR2FE7aQNtmpsKRaqQEF20dNPdTewm&#10;EX6E2H3A12NWsBzNaOZMsboazc5q9L2zCMlEAFO2cbK3LcL+ff0wB+YDWUnaWYXwpTysytubgnLp&#10;LnarzrvQslhifU4IXQhDzrlvOmXIT9ygbPSObjQUohxbLke6xHKjeSrEIzfU27jQ0aCqTjUfu5NB&#10;eK3WG9rWqZl/6+rl7fg8fO4PGeL9XSKWwIK6hr8w/OJHdCgjU+1OVnqmEabTSB4QZovsCVgMpGKR&#10;AasRslmSAC8L/v9C+QNQSwMEFAAAAAgAh07iQJLAM3c9AgAAaAQAAA4AAABkcnMvZTJvRG9jLnht&#10;bK1UzY7TMBC+I/EOlu80TWlLWzVdla2KkFbsSgVxdh2niWR7jO02KQ8Ab8CJC3eeq8/B2Em71cJh&#10;D1ycsef3+2Ym85tGSXIQ1lWgM5r2+pQIzSGv9C6jnz6uX00ocZ7pnEnQIqNH4ejN4uWLeW1mYgAl&#10;yFxYgkG0m9Umo6X3ZpYkjpdCMdcDIzQqC7CKebzaXZJbVmN0JZNBvz9OarC5scCFc/i6apW0i2if&#10;ExCKouJiBXyvhPZtVCsk8wjJlZVxdBGrLQrB/X1ROOGJzCgi9fHEJChvw5ks5my2s8yUFe9KYM8p&#10;4QkmxSqNSS+hVswzsrfVX6FUxS04KHyPg0paIJERRJH2n3CzKZkREQtS7cyFdPf/wvIPhwdLqjyj&#10;kyklmins+OnH99PP36df3wi+IUG1cTO02xi09M1baHBszu8OHwPuprAqfBERQT3Se7zQKxpPeHBK&#10;09F4OqKEo24wmQymkf/k0dtY598JUCQIGbXYvsgqO9w5j5Wg6dkkJNOwrqSMLZSa1Bkdvx71o8NF&#10;gx5So2PA0NYaJN9smw7YFvIj4rLQjoYzfF1h8jvm/AOzOAsIBbfF3+NRSMAk0EmUlGC//us92GOL&#10;UEtJjbOVUfdlz6ygRL7X2LxpOhyGYYyX4ejNAC/2WrO91ui9ugUc3xT30vAoBnsvz2JhQX3GpVqG&#10;rKhimmPujPqzeOvbicel5GK5jEY4fob5O70xPIRu6VzuPRRVZDrQ1HLTsYcDGBvQLUuY8Ot7tHr8&#10;QS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f+uWHcAAAACgEAAA8AAAAAAAAAAQAgAAAAIgAA&#10;AGRycy9kb3ducmV2LnhtbFBLAQIUABQAAAAIAIdO4kCSwDN3PQIAAGgEAAAOAAAAAAAAAAEAIAAA&#10;ACsBAABkcnMvZTJvRG9jLnhtbFBLBQYAAAAABgAGAFkBAADaBQAAAAA=&#10;">
                      <v:fill on="f" focussize="0,0"/>
                      <v:stroke on="f" weight="0.5pt"/>
                      <v:imagedata o:title=""/>
                      <o:lock v:ext="edit" aspectratio="f"/>
                      <v:textbox>
                        <w:txbxContent>
                          <w:p w14:paraId="1BE9BF2B">
                            <w:pPr>
                              <w:keepNext w:val="0"/>
                              <w:keepLines w:val="0"/>
                              <w:pageBreakBefore w:val="0"/>
                              <w:widowControl w:val="0"/>
                              <w:kinsoku/>
                              <w:wordWrap/>
                              <w:overflowPunct/>
                              <w:topLinePunct w:val="0"/>
                              <w:bidi w:val="0"/>
                              <w:adjustRightInd/>
                              <w:snapToGrid/>
                              <w:jc w:val="center"/>
                              <w:textAlignment w:val="auto"/>
                              <w:rPr>
                                <w:rFonts w:hint="eastAsia" w:eastAsia="宋体"/>
                                <w:color w:val="FF0000"/>
                                <w:lang w:eastAsia="zh-CN"/>
                              </w:rPr>
                            </w:pPr>
                            <w:r>
                              <w:rPr>
                                <w:rFonts w:hint="eastAsia"/>
                                <w:color w:val="FF0000"/>
                                <w:lang w:eastAsia="zh-CN"/>
                              </w:rPr>
                              <w:t>大米加工</w:t>
                            </w:r>
                          </w:p>
                        </w:txbxContent>
                      </v:textbox>
                    </v:shape>
                  </w:pict>
                </mc:Fallback>
              </mc:AlternateContent>
            </w:r>
            <w:r>
              <w:rPr>
                <w:color w:val="auto"/>
                <w:sz w:val="21"/>
              </w:rPr>
              <mc:AlternateContent>
                <mc:Choice Requires="wps">
                  <w:drawing>
                    <wp:anchor distT="0" distB="0" distL="114300" distR="114300" simplePos="0" relativeHeight="251712512" behindDoc="0" locked="0" layoutInCell="1" allowOverlap="1">
                      <wp:simplePos x="0" y="0"/>
                      <wp:positionH relativeFrom="column">
                        <wp:posOffset>1066165</wp:posOffset>
                      </wp:positionH>
                      <wp:positionV relativeFrom="paragraph">
                        <wp:posOffset>1692910</wp:posOffset>
                      </wp:positionV>
                      <wp:extent cx="1895475" cy="4781550"/>
                      <wp:effectExtent l="5080" t="4445" r="4445" b="14605"/>
                      <wp:wrapNone/>
                      <wp:docPr id="88" name="圆角矩形 88"/>
                      <wp:cNvGraphicFramePr/>
                      <a:graphic xmlns:a="http://schemas.openxmlformats.org/drawingml/2006/main">
                        <a:graphicData uri="http://schemas.microsoft.com/office/word/2010/wordprocessingShape">
                          <wps:wsp>
                            <wps:cNvSpPr/>
                            <wps:spPr>
                              <a:xfrm>
                                <a:off x="2340610" y="3155950"/>
                                <a:ext cx="1895475" cy="4781550"/>
                              </a:xfrm>
                              <a:prstGeom prst="roundRect">
                                <a:avLst/>
                              </a:prstGeom>
                              <a:noFill/>
                              <a:ln w="6350">
                                <a:solidFill>
                                  <a:srgbClr val="FF0000"/>
                                </a:solidFill>
                                <a:prstDash val="lgDash"/>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83.95pt;margin-top:133.3pt;height:376.5pt;width:149.25pt;z-index:251712512;v-text-anchor:middle;mso-width-relative:page;mso-height-relative:page;" filled="f" stroked="t" coordsize="21600,21600" arcsize="0.166666666666667" o:gfxdata="UEsDBAoAAAAAAIdO4kAAAAAAAAAAAAAAAAAEAAAAZHJzL1BLAwQUAAAACACHTuJAKgLakNoAAAAM&#10;AQAADwAAAGRycy9kb3ducmV2LnhtbE2Py07DMBBF90j8gzVIbBC1UypDQ5wKIXVT2FC6KDs3niZR&#10;43EUO338PcOKLq/u0Z0zxeLsO3HEIbaBDGQTBQKpCq6l2sDme/n4AiImS852gdDABSMsytubwuYu&#10;nOgLj+tUCx6hmFsDTUp9LmWsGvQ2TkKPxN0+DN4mjkMt3WBPPO47OVVKS29b4guN7fG9weqwHr2B&#10;7efb6sM/XH4sbZdPq3ozHvYSjbm/y9QriITn9A/Dnz6rQ8lOuzCSi6LjrJ/njBqYaq1BMDHTegZi&#10;x5XK5hpkWcjrJ8pfUEsDBBQAAAAIAIdO4kA0d0BmfQIAAM4EAAAOAAAAZHJzL2Uyb0RvYy54bWyt&#10;VMtuUzEQ3SPxD5b39OamSZtGvamiRkFIFa0oiLXj6/uQ/MJ2HuUD+ADWlZDYID6Cz6ngMzj2vX1Q&#10;WHRBFs6MfXJm5sxMjk92SpKNcL41uqD53oASobkpW10X9N3b5YsJJT4wXTJptCjolfD0ZPb82fHW&#10;TsXQNEaWwhGQaD/d2oI2IdhplnneCMX8nrFC47EyTrEA19VZ6dgW7Epmw8HgINsaV1pnuPAet4vu&#10;kfaM7imEpqpaLhaGr5XQoWN1QrKAknzTWk9nKduqEjycV5UXgciCotKQTgSBvYpnNjtm09ox27S8&#10;T4E9JYVHNSnWagS9o1qwwMjatX9RqZY7400V9rhRWVdIUgRV5INH2lw2zIpUC6T29k50//9o+evN&#10;hSNtWdAJ+q6ZQsdvrj/9+vb555fvNz++ElxDo631U0Av7YXrPQ8zFryrnIrfKIXsCjrcHw0Ocqh7&#10;VdD9fDw+Gvcai10gHIB8cjQeHY4p4UCMDifAJER2T2WdDy+FUSQaBXVmrcs36GQSmG3OfEAOwN/i&#10;Ynhtlq2UqZtSk21BD/bBSzjDhFaYDJjKokqva0qYrDH6PLjE6I1sy/jryONdvTqVjmwYBma5HOAT&#10;60e0P2Ax9IL5psPJOto9TmrAo16dQtFamfIKKjvTjZ+3fNmC4Iz5cMEc5g2ZYiPDOY5KGmRveouS&#10;xriP/7qPeIwBXinZYn5R2oc1c4IS+UpjQI7y0Qi0ITmj8eEQjnv4snr4otfq1KDiHLtveTIjPshb&#10;s3JGvcfizmNUPDHNEbsTsXdOQ7dXWH0u5vMEw5BbFs70peWRvOvUfB1M1aYm3qvTi4YxT2r3Kxn3&#10;6KGfUPd/Q7P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KgLakNoAAAAMAQAADwAAAAAAAAABACAA&#10;AAAiAAAAZHJzL2Rvd25yZXYueG1sUEsBAhQAFAAAAAgAh07iQDR3QGZ9AgAAzgQAAA4AAAAAAAAA&#10;AQAgAAAAKQEAAGRycy9lMm9Eb2MueG1sUEsFBgAAAAAGAAYAWQEAABgGAAAAAA==&#10;">
                      <v:fill on="f" focussize="0,0"/>
                      <v:stroke weight="0.5pt" color="#FF0000 [2404]" joinstyle="round" dashstyle="longDash"/>
                      <v:imagedata o:title=""/>
                      <o:lock v:ext="edit" aspectratio="f"/>
                    </v:roundrect>
                  </w:pict>
                </mc:Fallback>
              </mc:AlternateContent>
            </w:r>
            <w:r>
              <w:rPr>
                <w:color w:val="auto"/>
                <w:sz w:val="21"/>
              </w:rPr>
              <mc:AlternateContent>
                <mc:Choice Requires="wps">
                  <w:drawing>
                    <wp:anchor distT="0" distB="0" distL="114300" distR="114300" simplePos="0" relativeHeight="251703296" behindDoc="0" locked="0" layoutInCell="1" allowOverlap="1">
                      <wp:simplePos x="0" y="0"/>
                      <wp:positionH relativeFrom="column">
                        <wp:posOffset>3339465</wp:posOffset>
                      </wp:positionH>
                      <wp:positionV relativeFrom="paragraph">
                        <wp:posOffset>1204595</wp:posOffset>
                      </wp:positionV>
                      <wp:extent cx="1602105" cy="458470"/>
                      <wp:effectExtent l="0" t="0" r="0" b="0"/>
                      <wp:wrapNone/>
                      <wp:docPr id="74" name="文本框 74"/>
                      <wp:cNvGraphicFramePr/>
                      <a:graphic xmlns:a="http://schemas.openxmlformats.org/drawingml/2006/main">
                        <a:graphicData uri="http://schemas.microsoft.com/office/word/2010/wordprocessingShape">
                          <wps:wsp>
                            <wps:cNvSpPr txBox="1"/>
                            <wps:spPr>
                              <a:xfrm>
                                <a:off x="0" y="0"/>
                                <a:ext cx="1602105" cy="45847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2259362F">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r>
                                    <w:rPr>
                                      <w:rFonts w:hint="eastAsia"/>
                                      <w:lang w:val="en-US" w:eastAsia="zh-CN"/>
                                    </w:rPr>
                                    <w:t>清理废气G</w:t>
                                  </w:r>
                                  <w:r>
                                    <w:rPr>
                                      <w:rFonts w:hint="eastAsia"/>
                                      <w:vertAlign w:val="subscript"/>
                                      <w:lang w:val="en-US" w:eastAsia="zh-CN"/>
                                    </w:rPr>
                                    <w:t>2</w:t>
                                  </w:r>
                                  <w:r>
                                    <w:rPr>
                                      <w:rFonts w:hint="eastAsia"/>
                                      <w:lang w:val="en-US" w:eastAsia="zh-CN"/>
                                    </w:rPr>
                                    <w:t>、秸秆、</w:t>
                                  </w:r>
                                </w:p>
                                <w:p w14:paraId="3C9BD13E">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砂石S</w:t>
                                  </w:r>
                                  <w:r>
                                    <w:rPr>
                                      <w:rFonts w:hint="eastAsia"/>
                                      <w:vertAlign w:val="subscript"/>
                                      <w:lang w:val="en-US" w:eastAsia="zh-CN"/>
                                    </w:rPr>
                                    <w:t>1</w:t>
                                  </w:r>
                                  <w:r>
                                    <w:rPr>
                                      <w:rFonts w:hint="eastAsia"/>
                                      <w:lang w:val="en-US" w:eastAsia="zh-CN"/>
                                    </w:rPr>
                                    <w:t>、噪声N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62.95pt;margin-top:94.85pt;height:36.1pt;width:126.15pt;z-index:251703296;mso-width-relative:page;mso-height-relative:page;" fillcolor="#000000" filled="t" stroked="f" coordsize="21600,21600" o:gfxdata="UEsDBAoAAAAAAIdO4kAAAAAAAAAAAAAAAAAEAAAAZHJzL1BLAwQUAAAACACHTuJA5DziS9gAAAAL&#10;AQAADwAAAGRycy9kb3ducmV2LnhtbE2Py07DMBBF90j8gzVI7KidiDYP4nQBQmxYQMsHOPGQRMTj&#10;ELsP8vUMK7oc3aN7z1TbsxvFEecweNKQrBQIpNbbgToNH/vnuxxEiIasGT2hhh8MsK2vrypTWn+i&#10;dzzuYie4hEJpNPQxTqWUoe3RmbDyExJnn352JvI5d9LO5sTlbpSpUhvpzEC80JsJH3tsv3YHp+Fe&#10;LuotvvTY5O3SDcvrU/ONe61vbxL1ACLiOf7D8KfP6lCzU+MPZIMYNazTdcEoB3mRgWAiy/IURKMh&#10;3SQFyLqSlz/Uv1BLAwQUAAAACACHTuJAhIp+vlwCAACuBAAADgAAAGRycy9lMm9Eb2MueG1srVTN&#10;bhMxEL4j8Q6W73Q3IUlLlE0VEhUhVbRSQJwdrzdryfYY28lueQB4A05cuPNceQ7G3k0aFQ49kIMz&#10;np9vPN/M7Oy61YrshfMSTEEHFzklwnAopdkW9NPHm1dXlPjATMkUGFHQB+Hp9fzli1ljp2IINahS&#10;OIIgxk8bW9A6BDvNMs9roZm/ACsMGitwmgW8um1WOtYgulbZMM8nWQOutA648B61q85Ie0T3HECo&#10;KsnFCvhOCxM6VCcUC1iSr6X1dJ5eW1WCh7uq8iIQVVCsNKQTk6C8iWc2n7Hp1jFbS94/gT3nCU9q&#10;0kwaTHqCWrHAyM7Jv6C05A48VOGCg866QhIjWMUgf8LNumZWpFqQam9PpPv/B8s/7O8dkWVBL0eU&#10;GKax44cf3w8/fx9+fSOoQ4Ia66fot7boGdq30OLYHPUelbHutnI6/mNFBO1I78OJXtEGwmPQJB8O&#10;8jElHG2j8dXoMvGfPUZb58M7AZpEoaAO25dYZftbH/Al6Hp0ick8KFneSKXSxW03S+XInsVWp18X&#10;q2zNem18NWL4zrWTzzGUIU1BJ6/HeQo1EMG7GGXQPTLRVRyl0G7anp4NlA/IjoNuwLzlNxJLuGU+&#10;3DOHE4WE4M6FOzwqBZgEeomSGtzXf+mjPzYarZQ0OKEF9V92zAlK1HuDI/BmMBrFkU6X0fhyiBd3&#10;btmcW8xOLwGZGeB2W57E6B/UUawc6M+4mouYFU3McMxd0HAUl6HbG1xtLhaL5IRDbFm4NWvLI3Ts&#10;g4HFLkAlU78iTR03PXs4xon2fuXinpzfk9fjZ2b+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OQ8&#10;4kvYAAAACwEAAA8AAAAAAAAAAQAgAAAAIgAAAGRycy9kb3ducmV2LnhtbFBLAQIUABQAAAAIAIdO&#10;4kCEin6+XAIAAK4EAAAOAAAAAAAAAAEAIAAAACcBAABkcnMvZTJvRG9jLnhtbFBLBQYAAAAABgAG&#10;AFkBAAD1BQAAAAA=&#10;">
                      <v:fill on="t" opacity="0f" focussize="0,0"/>
                      <v:stroke on="f" weight="0.5pt"/>
                      <v:imagedata o:title=""/>
                      <o:lock v:ext="edit" aspectratio="f"/>
                      <v:textbox>
                        <w:txbxContent>
                          <w:p w14:paraId="2259362F">
                            <w:pPr>
                              <w:keepNext w:val="0"/>
                              <w:keepLines w:val="0"/>
                              <w:pageBreakBefore w:val="0"/>
                              <w:widowControl w:val="0"/>
                              <w:kinsoku/>
                              <w:wordWrap/>
                              <w:overflowPunct/>
                              <w:topLinePunct w:val="0"/>
                              <w:bidi w:val="0"/>
                              <w:adjustRightInd/>
                              <w:snapToGrid/>
                              <w:jc w:val="center"/>
                              <w:textAlignment w:val="auto"/>
                              <w:rPr>
                                <w:rFonts w:hint="eastAsia"/>
                                <w:lang w:val="en-US" w:eastAsia="zh-CN"/>
                              </w:rPr>
                            </w:pPr>
                            <w:r>
                              <w:rPr>
                                <w:rFonts w:hint="eastAsia"/>
                                <w:lang w:val="en-US" w:eastAsia="zh-CN"/>
                              </w:rPr>
                              <w:t>清理废气G</w:t>
                            </w:r>
                            <w:r>
                              <w:rPr>
                                <w:rFonts w:hint="eastAsia"/>
                                <w:vertAlign w:val="subscript"/>
                                <w:lang w:val="en-US" w:eastAsia="zh-CN"/>
                              </w:rPr>
                              <w:t>2</w:t>
                            </w:r>
                            <w:r>
                              <w:rPr>
                                <w:rFonts w:hint="eastAsia"/>
                                <w:lang w:val="en-US" w:eastAsia="zh-CN"/>
                              </w:rPr>
                              <w:t>、秸秆、</w:t>
                            </w:r>
                          </w:p>
                          <w:p w14:paraId="3C9BD13E">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砂石S</w:t>
                            </w:r>
                            <w:r>
                              <w:rPr>
                                <w:rFonts w:hint="eastAsia"/>
                                <w:vertAlign w:val="subscript"/>
                                <w:lang w:val="en-US" w:eastAsia="zh-CN"/>
                              </w:rPr>
                              <w:t>1</w:t>
                            </w:r>
                            <w:r>
                              <w:rPr>
                                <w:rFonts w:hint="eastAsia"/>
                                <w:lang w:val="en-US" w:eastAsia="zh-CN"/>
                              </w:rPr>
                              <w:t>、噪声N</w:t>
                            </w:r>
                          </w:p>
                        </w:txbxContent>
                      </v:textbox>
                    </v:shape>
                  </w:pict>
                </mc:Fallback>
              </mc:AlternateContent>
            </w:r>
            <w:r>
              <w:rPr>
                <w:color w:val="auto"/>
                <w:sz w:val="21"/>
              </w:rPr>
              <mc:AlternateContent>
                <mc:Choice Requires="wps">
                  <w:drawing>
                    <wp:anchor distT="0" distB="0" distL="114300" distR="114300" simplePos="0" relativeHeight="251702272" behindDoc="0" locked="0" layoutInCell="1" allowOverlap="1">
                      <wp:simplePos x="0" y="0"/>
                      <wp:positionH relativeFrom="column">
                        <wp:posOffset>3034030</wp:posOffset>
                      </wp:positionH>
                      <wp:positionV relativeFrom="paragraph">
                        <wp:posOffset>747395</wp:posOffset>
                      </wp:positionV>
                      <wp:extent cx="1553845" cy="269240"/>
                      <wp:effectExtent l="0" t="0" r="0" b="0"/>
                      <wp:wrapNone/>
                      <wp:docPr id="73" name="文本框 73"/>
                      <wp:cNvGraphicFramePr/>
                      <a:graphic xmlns:a="http://schemas.openxmlformats.org/drawingml/2006/main">
                        <a:graphicData uri="http://schemas.microsoft.com/office/word/2010/wordprocessingShape">
                          <wps:wsp>
                            <wps:cNvSpPr txBox="1"/>
                            <wps:spPr>
                              <a:xfrm>
                                <a:off x="0" y="0"/>
                                <a:ext cx="1553845" cy="269240"/>
                              </a:xfrm>
                              <a:prstGeom prst="rect">
                                <a:avLst/>
                              </a:prstGeom>
                              <a:solidFill>
                                <a:srgbClr val="000000">
                                  <a:alpha val="0"/>
                                </a:srgbClr>
                              </a:solidFill>
                              <a:ln w="6350">
                                <a:noFill/>
                              </a:ln>
                            </wps:spPr>
                            <wps:style>
                              <a:lnRef idx="0">
                                <a:schemeClr val="accent1"/>
                              </a:lnRef>
                              <a:fillRef idx="0">
                                <a:schemeClr val="accent1"/>
                              </a:fillRef>
                              <a:effectRef idx="0">
                                <a:schemeClr val="accent1"/>
                              </a:effectRef>
                              <a:fontRef idx="minor">
                                <a:schemeClr val="dk1"/>
                              </a:fontRef>
                            </wps:style>
                            <wps:txbx>
                              <w:txbxContent>
                                <w:p w14:paraId="4761CF66">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卸粮废气G</w:t>
                                  </w:r>
                                  <w:r>
                                    <w:rPr>
                                      <w:rFonts w:hint="eastAsia"/>
                                      <w:vertAlign w:val="subscript"/>
                                      <w:lang w:val="en-US" w:eastAsia="zh-CN"/>
                                    </w:rPr>
                                    <w:t>1</w:t>
                                  </w:r>
                                  <w:r>
                                    <w:rPr>
                                      <w:rFonts w:hint="eastAsia"/>
                                      <w:lang w:val="en-US" w:eastAsia="zh-CN"/>
                                    </w:rPr>
                                    <w:t>、噪声N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8.9pt;margin-top:58.85pt;height:21.2pt;width:122.35pt;z-index:251702272;mso-width-relative:page;mso-height-relative:page;" fillcolor="#000000" filled="t" stroked="f" coordsize="21600,21600" o:gfxdata="UEsDBAoAAAAAAIdO4kAAAAAAAAAAAAAAAAAEAAAAZHJzL1BLAwQUAAAACACHTuJAageTLdcAAAAL&#10;AQAADwAAAGRycy9kb3ducmV2LnhtbE2Py07EMAxF90j8Q2QkdkzSCiaj0nQWIMSGBczwAWljmorG&#10;KU3mQb8es4Klfa+Oj+vtOYziiHMaIhkoVgoEUhfdQL2B9/3TzQZEypacHSOhgW9MsG0uL2pbuXii&#10;Nzzuci8YQqmyBnzOUyVl6jwGm1ZxQuLsI87BZh7nXrrZnhgeRlkqtZbBDsQXvJ3wwWP3uTsEA7dy&#10;Ua/52WO76ZZ+WF4e2y/cG3N9Vah7EBnP+a8Mv/qsDg07tfFALomRGVqzeuag0BoEN3RZ3oFoebNW&#10;Bcimlv9/aH4AUEsDBBQAAAAIAIdO4kDzAmGiXAIAAK4EAAAOAAAAZHJzL2Uyb0RvYy54bWytVM1u&#10;GjEQvlfqO1i+lwUCJEEsEQ2iqhQ1kWjVs/F6WUu2x7UNu+kDtG/QUy+997l4jo69C0FpDzmUgxnP&#10;zzeeb2Z2dtNoRfbCeQkmp4NenxJhOBTSbHP66ePqzRUlPjBTMAVG5PRReHozf/1qVtupGEIFqhCO&#10;IIjx09rmtArBTrPM80po5ntghUFjCU6zgFe3zQrHakTXKhv2+5OsBldYB1x4j9pla6QdonsJIJSl&#10;5GIJfKeFCS2qE4oFLMlX0no6T68tS8HDfVl6EYjKKVYa0olJUN7EM5vP2HTrmK0k757AXvKEZzVp&#10;Jg0mPUEtWWBk5+RfUFpyBx7K0OOgs7aQxAhWMeg/42ZdMStSLUi1tyfS/f+D5R/2D47IIqeXF5QY&#10;prHjhx/fDz9/H359I6hDgmrrp+i3tugZmrfQ4Ngc9R6Vse6mdDr+Y0UE7Ujv44le0QTCY9B4fHE1&#10;GlPC0TacXA9Hif/sKdo6H94J0CQKOXXYvsQq29/5gC9B16NLTOZByWIllUoXt93cKkf2LLY6/dpY&#10;ZSvWaeOrEcO3rq18jqEMqXM6uRj3U6iBCN7GKIPukYm24iiFZtN09GygeER2HLQD5i1fSSzhjvnw&#10;wBxOFBKCOxfu8SgVYBLoJEoqcF//pY/+2Gi0UlLjhObUf9kxJyhR7w2OwPVghASSkC6j8eUQL+7c&#10;sjm3mJ2+BWRmgNtteRKjf1BHsXSgP+NqLmJWNDHDMXdOw1G8De3e4GpzsVgkJxxiy8KdWVseoWMf&#10;DCx2AUqZ+hVparnp2MMxTrR3Kxf35PyevJ4+M/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geT&#10;LdcAAAALAQAADwAAAAAAAAABACAAAAAiAAAAZHJzL2Rvd25yZXYueG1sUEsBAhQAFAAAAAgAh07i&#10;QPMCYaJcAgAArgQAAA4AAAAAAAAAAQAgAAAAJgEAAGRycy9lMm9Eb2MueG1sUEsFBgAAAAAGAAYA&#10;WQEAAPQFAAAAAA==&#10;">
                      <v:fill on="t" opacity="0f" focussize="0,0"/>
                      <v:stroke on="f" weight="0.5pt"/>
                      <v:imagedata o:title=""/>
                      <o:lock v:ext="edit" aspectratio="f"/>
                      <v:textbox>
                        <w:txbxContent>
                          <w:p w14:paraId="4761CF66">
                            <w:pPr>
                              <w:keepNext w:val="0"/>
                              <w:keepLines w:val="0"/>
                              <w:pageBreakBefore w:val="0"/>
                              <w:widowControl w:val="0"/>
                              <w:kinsoku/>
                              <w:wordWrap/>
                              <w:overflowPunct/>
                              <w:topLinePunct w:val="0"/>
                              <w:bidi w:val="0"/>
                              <w:adjustRightInd/>
                              <w:snapToGrid/>
                              <w:jc w:val="center"/>
                              <w:textAlignment w:val="auto"/>
                              <w:rPr>
                                <w:rFonts w:hint="default" w:eastAsia="宋体"/>
                                <w:lang w:val="en-US" w:eastAsia="zh-CN"/>
                              </w:rPr>
                            </w:pPr>
                            <w:r>
                              <w:rPr>
                                <w:rFonts w:hint="eastAsia"/>
                                <w:lang w:val="en-US" w:eastAsia="zh-CN"/>
                              </w:rPr>
                              <w:t>卸粮废气G</w:t>
                            </w:r>
                            <w:r>
                              <w:rPr>
                                <w:rFonts w:hint="eastAsia"/>
                                <w:vertAlign w:val="subscript"/>
                                <w:lang w:val="en-US" w:eastAsia="zh-CN"/>
                              </w:rPr>
                              <w:t>1</w:t>
                            </w:r>
                            <w:r>
                              <w:rPr>
                                <w:rFonts w:hint="eastAsia"/>
                                <w:lang w:val="en-US" w:eastAsia="zh-CN"/>
                              </w:rPr>
                              <w:t>、噪声N</w:t>
                            </w:r>
                          </w:p>
                        </w:txbxContent>
                      </v:textbox>
                    </v:shape>
                  </w:pict>
                </mc:Fallback>
              </mc:AlternateContent>
            </w:r>
            <w:r>
              <w:rPr>
                <w:color w:val="auto"/>
                <w:sz w:val="21"/>
              </w:rPr>
              <mc:AlternateContent>
                <mc:Choice Requires="wps">
                  <w:drawing>
                    <wp:inline distT="0" distB="0" distL="114300" distR="114300">
                      <wp:extent cx="5207000" cy="7023735"/>
                      <wp:effectExtent l="0" t="0" r="0" b="0"/>
                      <wp:docPr id="21" name="矩形 21"/>
                      <wp:cNvGraphicFramePr/>
                      <a:graphic xmlns:a="http://schemas.openxmlformats.org/drawingml/2006/main">
                        <a:graphicData uri="http://schemas.microsoft.com/office/word/2010/wordprocessingShape">
                          <wps:wsp>
                            <wps:cNvSpPr/>
                            <wps:spPr>
                              <a:xfrm>
                                <a:off x="1376045" y="1496060"/>
                                <a:ext cx="5207000" cy="7023735"/>
                              </a:xfrm>
                              <a:prstGeom prst="rect">
                                <a:avLst/>
                              </a:prstGeom>
                              <a:ln w="6350">
                                <a:noFill/>
                                <a:prstDash val="solid"/>
                                <a:headEnd type="none"/>
                                <a:tailEnd type="triangle" w="med" len="med"/>
                              </a:ln>
                            </wps:spPr>
                            <wps:style>
                              <a:lnRef idx="2">
                                <a:schemeClr val="accent1"/>
                              </a:lnRef>
                              <a:fillRef idx="0">
                                <a:srgbClr val="FFFFFF"/>
                              </a:fillRef>
                              <a:effectRef idx="0">
                                <a:srgbClr val="FFFFFF"/>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inline>
                  </w:drawing>
                </mc:Choice>
                <mc:Fallback>
                  <w:pict>
                    <v:rect id="_x0000_s1026" o:spid="_x0000_s1026" o:spt="1" style="height:553.05pt;width:410pt;v-text-anchor:middle;" filled="f" stroked="f" coordsize="21600,21600" o:gfxdata="UEsDBAoAAAAAAIdO4kAAAAAAAAAAAAAAAAAEAAAAZHJzL1BLAwQUAAAACACHTuJAKPP3zdQAAAAG&#10;AQAADwAAAGRycy9kb3ducmV2LnhtbE2PwU7DMBBE70j8g7WVuFHblahKiNNDpSCQuLT0A9x4m0SJ&#10;10nstuHvWbjAZaXVjGbe5NvZ9+KKU2wDGdBLBQKpCq6l2sDxs3zcgIjJkrN9IDTwhRG2xf1dbjMX&#10;brTH6yHVgkMoZtZAk9KQSRmrBr2NyzAgsXYOk7eJ36mWbrI3Dve9XCm1lt62xA2NHXDXYNUdLt5A&#10;fH8qn8duLl9XH+O+O4+o31o05mGh1QuIhHP6M8MPPqNDwUyncCEXRW+Ah6Tfy9qGq0Cc2KTVWoMs&#10;cvkfv/gGUEsDBBQAAAAIAIdO4kBzI/djeQIAAN8EAAAOAAAAZHJzL2Uyb0RvYy54bWytVEtuFDEQ&#10;3SNxB8t70j1/MkpPNGIIQopIpIBYO2572pJ/2J4fl0FixyE4DuIaPHd3MqPAIgs2nqpyzauq51d9&#10;cbk3mmxFiMrZig7OSkqE5a5Wdl3RTx+vXr2mJCZma6adFRU9iEgvFy9fXOz8XAxd43QtAgGIjfOd&#10;r2iTkp8XReSNMCyeOS8sLqULhiW4YV3Uge2AbnQxLMtpsXOh9sFxESOiq+6S9ojhOYBOSsXFyvGN&#10;ETZ1qEFoljBSbJSPdNF2K6Xg6UbKKBLRFcWkqT1RBPZ9PovFBZuvA/ON4n0L7DktPJnJMGVR9BFq&#10;xRIjm6D+gjKKBxedTGfcmaIbpGUEUwzKJ9zcNcyLdhZQHf0j6fH/wfIP29tAVF3R4YASywxe/Pe3&#10;H79+ficIgJ2dj3Mk3fnb0HsRZh51L4PJvxiC7KGk0WxajieUHGCPz6fltGdX7BPhSJgMy1lZgniO&#10;jFk5HM1Gk1yhOEL5ENM74QzJRkUDnq9llW2vY+pSH1JyZeuulNaIs7m2ZFfR6WiS8RlkKSEHmMZj&#10;tGjXlDC9ht55Ci3iyV8z4orFhmwZRBKdVnUni0aw+q2tSTp4sGKxDV08MaWP8RQUs2staG7AiJoS&#10;LVAoW13H2mLGTGNHXLbuXX0A7cF1eoyeXyl0cc1iumUBAsQUWNF0g0NqB2DXW5Q0Lnz9VzznQxe4&#10;RScQNEb5smEBfen3Foo5H4zHgE2tM57MhnDC6c396Y3dmDcOdEAU6K41c37SD6YMznzGJi9zVVwx&#10;y1G7I7h33qRu0fAt4GK5bNOges/Stb3zPIN3r7jcJCdV+8BHdnrSoPtWIv2O5sU69dus43dp8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o8/fN1AAAAAYBAAAPAAAAAAAAAAEAIAAAACIAAABkcnMv&#10;ZG93bnJldi54bWxQSwECFAAUAAAACACHTuJAcyP3Y3kCAADfBAAADgAAAAAAAAABACAAAAAjAQAA&#10;ZHJzL2Uyb0RvYy54bWxQSwUGAAAAAAYABgBZAQAADgYAAAAA&#10;">
                      <v:fill on="f" focussize="0,0"/>
                      <v:stroke on="f" weight="0.5pt" endarrow="block"/>
                      <v:imagedata o:title=""/>
                      <o:lock v:ext="edit" aspectratio="f"/>
                      <w10:wrap type="none"/>
                      <w10:anchorlock/>
                    </v:rect>
                  </w:pict>
                </mc:Fallback>
              </mc:AlternateContent>
            </w:r>
            <w:r>
              <w:rPr>
                <w:color w:val="auto"/>
                <w:sz w:val="21"/>
              </w:rPr>
              <mc:AlternateContent>
                <mc:Choice Requires="wps">
                  <w:drawing>
                    <wp:anchor distT="0" distB="0" distL="114300" distR="114300" simplePos="0" relativeHeight="251707392" behindDoc="0" locked="0" layoutInCell="1" allowOverlap="1">
                      <wp:simplePos x="0" y="0"/>
                      <wp:positionH relativeFrom="column">
                        <wp:posOffset>1304925</wp:posOffset>
                      </wp:positionH>
                      <wp:positionV relativeFrom="paragraph">
                        <wp:posOffset>2632075</wp:posOffset>
                      </wp:positionV>
                      <wp:extent cx="539750" cy="635"/>
                      <wp:effectExtent l="0" t="0" r="0" b="0"/>
                      <wp:wrapNone/>
                      <wp:docPr id="83" name="直接连接符 83"/>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headEnd type="none" w="med" len="med"/>
                                <a:tailEnd type="non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2.75pt;margin-top:207.25pt;height:0.05pt;width:42.5pt;z-index:251707392;mso-width-relative:page;mso-height-relative:page;" filled="f" stroked="t" coordsize="21600,21600" o:gfxdata="UEsDBAoAAAAAAIdO4kAAAAAAAAAAAAAAAAAEAAAAZHJzL1BLAwQUAAAACACHTuJAWu9fhNYAAAAL&#10;AQAADwAAAGRycy9kb3ducmV2LnhtbE2PMU/DMBCFdyT+g3VIbNRO1FSQxumAFMTCQKmY3fhIosbn&#10;KHbjwq/nYIHt3b2nd99Vu4sbxYJzGDxpyFYKBFLr7UCdhsNbc3cPIkRD1oyeUMMnBtjV11eVKa1P&#10;9IrLPnaCSyiURkMf41RKGdoenQkrPyGx9+FnZyKPcyftbBKXu1HmSm2kMwPxhd5M+Nhje9qfnQbK&#10;4vuYUkzL/FU8FVnRPKuXRuvbm0xtQUS8xL8w/OAzOtTMdPRnskGMGnJVFBzVsM7WLDiRPygWx9/N&#10;BmRdyf8/1N9QSwMEFAAAAAgAh07iQK9M73D3AQAA8QMAAA4AAABkcnMvZTJvRG9jLnhtbK1TzY7T&#10;MBC+I/EOlu803a26LFHTPWxZLggqAQ8wtZ3Ekv/k8TbtS/ACSNzgxJE7b7PLYzB2SheWSw/k4Izn&#10;55v5vkwWVztr2FZF1N41/Gwy5Uw54aV2XcM/vL95dskZJnASjHeq4XuF/Gr59MliCLU69703UkVG&#10;IA7rITS8TynUVYWiVxZw4oNyFGx9tJDoGrtKRhgI3ZrqfDq9qAYfZYheKETyrsYgPyDGUwB922qh&#10;Vl7cWuXSiBqVgUSUsNcB+bJM27ZKpLdtiyox03BimspJTcje5LNaLqDuIoRei8MIcMoIjzhZ0I6a&#10;HqFWkIDdRv0PlNUievRtmghvq5FIUYRYnE0fafOuh6AKF5Iaw1F0/H+w4s12HZmWDb+ccebA0he/&#10;//T97uOXnz8+03n/7SujCMk0BKwp+9qt4+GGYR0z510bbX4TG7Yr0u6P0qpdYoKc89mL53MSXVDo&#10;YjbPgNVDZYiYXilvWTYabrTLtKGG7WtMY+rvlOx2/kYbQ36ojWNDQczYQOvY0hqQaQNRQtdxBqaj&#10;PRcpFkT0RstcnYsxdptrE9kW8naU5zDYX2m59QqwH/NKKKdB3SuQL51kaR9INke/C8/TWCU5M4q6&#10;ZqtkJtDmlEzSxDiSJos9yputjZf7onrx0yYU8Q5bm1ftz3upfvhTl7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u9fhNYAAAALAQAADwAAAAAAAAABACAAAAAiAAAAZHJzL2Rvd25yZXYueG1sUEsB&#10;AhQAFAAAAAgAh07iQK9M73D3AQAA8QMAAA4AAAAAAAAAAQAgAAAAJQEAAGRycy9lMm9Eb2MueG1s&#10;UEsFBgAAAAAGAAYAWQEAAI4FAAAAAA==&#10;">
                      <v:fill on="f" focussize="0,0"/>
                      <v:stroke weight="0.5pt" color="#000000 [3213]" joinstyle="round"/>
                      <v:imagedata o:title=""/>
                      <o:lock v:ext="edit" aspectratio="f"/>
                    </v:line>
                  </w:pict>
                </mc:Fallback>
              </mc:AlternateContent>
            </w:r>
            <w:r>
              <w:rPr>
                <w:color w:val="auto"/>
                <w:sz w:val="21"/>
              </w:rPr>
              <mc:AlternateContent>
                <mc:Choice Requires="wps">
                  <w:drawing>
                    <wp:anchor distT="0" distB="0" distL="114300" distR="114300" simplePos="0" relativeHeight="251710464" behindDoc="0" locked="0" layoutInCell="1" allowOverlap="1">
                      <wp:simplePos x="0" y="0"/>
                      <wp:positionH relativeFrom="column">
                        <wp:posOffset>1014730</wp:posOffset>
                      </wp:positionH>
                      <wp:positionV relativeFrom="paragraph">
                        <wp:posOffset>1804670</wp:posOffset>
                      </wp:positionV>
                      <wp:extent cx="720090" cy="288290"/>
                      <wp:effectExtent l="0" t="0" r="3810" b="16510"/>
                      <wp:wrapNone/>
                      <wp:docPr id="86" name="文本框 86"/>
                      <wp:cNvGraphicFramePr/>
                      <a:graphic xmlns:a="http://schemas.openxmlformats.org/drawingml/2006/main">
                        <a:graphicData uri="http://schemas.microsoft.com/office/word/2010/wordprocessingShape">
                          <wps:wsp>
                            <wps:cNvSpPr txBox="1"/>
                            <wps:spPr>
                              <a:xfrm>
                                <a:off x="0" y="0"/>
                                <a:ext cx="720090" cy="2882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178DB36">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回砻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9.9pt;margin-top:142.1pt;height:22.7pt;width:56.7pt;z-index:251710464;mso-width-relative:page;mso-height-relative:page;" filled="f" stroked="f" coordsize="21600,21600" o:gfxdata="UEsDBAoAAAAAAIdO4kAAAAAAAAAAAAAAAAAEAAAAZHJzL1BLAwQUAAAACACHTuJAmIvFmtwAAAAL&#10;AQAADwAAAGRycy9kb3ducmV2LnhtbE2PzU7DMBCE70i8g7VI3KhTl5Y0xKlQpAoJ0UNLL9w2sZtE&#10;xOsQuz/w9CwnuM1oRrPf5quL68XJjqHzpGE6SUBYqr3pqNGwf1vfpSBCRDLYe7IavmyAVXF9lWNm&#10;/Jm29rSLjeARChlqaGMcMilD3VqHYeIHS5wd/Ogwsh0baUY887jrpUqShXTYEV9ocbBla+uP3dFp&#10;eCnXG9xWyqXfffn8engaPvfvc61vb6bJI4hoL/GvDL/4jA4FM1X+SCaInv18yehRg0rvFQhuqIcZ&#10;i0rDTC0XIItc/v+h+AFQSwMEFAAAAAgAh07iQPPCRIw6AgAAZwQAAA4AAABkcnMvZTJvRG9jLnht&#10;bK1UwW4TMRC9I/EPlu90k5CWNOqmCq2KkCpaqSDOjtebXcn2GNvpbvkA+ANOXLjzXf0Onr1JWhUO&#10;PXBxxjOzb/zezOTktDea3SofWrIlHx+MOFNWUtXadck/fbx4NeMsRGErocmqkt+pwE8XL1+cdG6u&#10;JtSQrpRnALFh3rmSNzG6eVEE2SgjwgE5ZRGsyRsRcfXrovKiA7rRxWQ0Oio68pXzJFUI8J4PQb5F&#10;9M8BpLpupTonuTHKxgHVKy0iKIWmdYEv8mvrWsl4VddBRaZLDqYxnygCe5XOYnEi5msvXNPK7RPE&#10;c57whJMRrUXRPdS5iIJtfPsXlGmlp0B1PJBkioFIVgQsxqMn2tw0wqnMBVIHtxc9/D9Y+eH22rO2&#10;KvnsiDMrDDp+/+P7/c/f97++MfggUOfCHHk3Dpmxf0s9xmbnD3Am3n3tTfoFI4Y45L3by6v6yCSc&#10;b9D+Y0QkQpPZbAIb6MXDx86H+E6RYckouUf3sqji9jLEIXWXkmpZumi1zh3UlnUlP3p9OMof7CMA&#10;1xY1EoXhqcmK/arf8lpRdQdanobJCE5etCh+KUK8Fh6jgPdiWeIVjloTitDW4qwh//Vf/pSPDiHK&#10;WYfRKnn4shFecabfW/TueDydAjbmy/QQsnDmH0dWjyN2Y84I0zvGWjqZzZQf9c6sPZnP2KllqoqQ&#10;sBK1Sx535lkcBh47KdVymZMwfU7ES3vjZIIe5FxuItVtVjrJNGizVQ/zl3u13ZU04I/vOevh/2Hx&#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iLxZrcAAAACwEAAA8AAAAAAAAAAQAgAAAAIgAAAGRy&#10;cy9kb3ducmV2LnhtbFBLAQIUABQAAAAIAIdO4kDzwkSMOgIAAGcEAAAOAAAAAAAAAAEAIAAAACsB&#10;AABkcnMvZTJvRG9jLnhtbFBLBQYAAAAABgAGAFkBAADXBQAAAAA=&#10;">
                      <v:fill on="f" focussize="0,0"/>
                      <v:stroke on="f" weight="0.5pt"/>
                      <v:imagedata o:title=""/>
                      <o:lock v:ext="edit" aspectratio="f"/>
                      <v:textbox>
                        <w:txbxContent>
                          <w:p w14:paraId="5178DB36">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回砻</w:t>
                            </w:r>
                          </w:p>
                        </w:txbxContent>
                      </v:textbox>
                    </v:shape>
                  </w:pict>
                </mc:Fallback>
              </mc:AlternateContent>
            </w:r>
            <w:r>
              <w:rPr>
                <w:color w:val="auto"/>
                <w:sz w:val="21"/>
              </w:rPr>
              <mc:AlternateContent>
                <mc:Choice Requires="wps">
                  <w:drawing>
                    <wp:anchor distT="0" distB="0" distL="114300" distR="114300" simplePos="0" relativeHeight="251709440" behindDoc="0" locked="0" layoutInCell="1" allowOverlap="1">
                      <wp:simplePos x="0" y="0"/>
                      <wp:positionH relativeFrom="column">
                        <wp:posOffset>1323975</wp:posOffset>
                      </wp:positionH>
                      <wp:positionV relativeFrom="paragraph">
                        <wp:posOffset>2089150</wp:posOffset>
                      </wp:positionV>
                      <wp:extent cx="539750" cy="635"/>
                      <wp:effectExtent l="0" t="37465" r="12700" b="38100"/>
                      <wp:wrapNone/>
                      <wp:docPr id="85" name="直接连接符 85"/>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4.25pt;margin-top:164.5pt;height:0.05pt;width:42.5pt;z-index:251709440;mso-width-relative:page;mso-height-relative:page;" filled="f" stroked="t" coordsize="21600,21600" o:gfxdata="UEsDBAoAAAAAAIdO4kAAAAAAAAAAAAAAAAAEAAAAZHJzL1BLAwQUAAAACACHTuJAzOgl29gAAAAL&#10;AQAADwAAAGRycy9kb3ducmV2LnhtbE2Py07DMBBF90j8gzVI7KidFPoIcaqCRBewQBQWLN14mkTE&#10;42C7r79nygaWc+foPsrF0fVijyF2njRkIwUCqfa2o0bDx/vTzQxETIas6T2hhhNGWFSXF6UprD/Q&#10;G+7XqRFsQrEwGtqUhkLKWLfoTBz5AYl/Wx+cSXyGRtpgDmzuepkrNZHOdMQJrRnwscX6a71zGvB2&#10;uXyZTMPqYfuZ1On79XmqMqP19VWm7kEkPKY/GM71uTpU3Gnjd2Sj6DXkanbHqIZxPudRTOTzMSub&#10;XyUDWZXy/4bqB1BLAwQUAAAACACHTuJAd8uw9/wBAADjAwAADgAAAGRycy9lMm9Eb2MueG1srVPN&#10;bhMxEL4j8Q6W72TTVintKpseGsoFQSTgASa2d9eS/+Rxs8lL8AJI3ODEkTtv0/IYjL1pAuXSA3vw&#10;jmfG38z3eTy/2lrDNiqi9q7hJ5MpZ8oJL7XrGv7xw82LC84wgZNgvFMN3ynkV4vnz+ZDqNWp772R&#10;KjICcVgPoeF9SqGuKhS9soATH5SjYOujhUTb2FUywkDo1lSn0+l5NfgoQ/RCIZJ3OQb5HjE+BdC3&#10;rRZq6cWtVS6NqFEZSEQJex2QL0q3batEete2qBIzDSemqaxUhOx1XqvFHOouQui12LcAT2nhEScL&#10;2lHRA9QSErDbqP+BslpEj75NE+FtNRIpihCLk+kjbd73EFThQlJjOIiO/w9WvN2sItOy4RczzhxY&#10;uvH7zz/uPn399fMLrfffvzGKkExDwJqyr90q7ncYVjFz3rbR5j+xYdsi7e4grdomJsg5O7t8OSPR&#10;BYXOzwpgdTwZIqbXyluWjYYb7TJtqGHzBhNVo9SHlOx2/kYbU67OODYUxIwNNI4tjQGZNhAldB1n&#10;YDqac5FiQURvtMynMw7Gbn1tIttAno7yZaZU7a+0XHoJ2I95JTTOTa9AvnKSpV0g2Rw9l9GfQJuj&#10;P0UNrjOK506tkpwZRR1layxmHNXM8o6CZmvt5a7oXPx096Wr/Zzm4fpzX04f3+b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zoJdvYAAAACwEAAA8AAAAAAAAAAQAgAAAAIgAAAGRycy9kb3ducmV2&#10;LnhtbFBLAQIUABQAAAAIAIdO4kB3y7D3/AEAAOMDAAAOAAAAAAAAAAEAIAAAACcBAABkcnMvZTJv&#10;RG9jLnhtbFBLBQYAAAAABgAGAFkBAACVBQ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708416" behindDoc="0" locked="0" layoutInCell="1" allowOverlap="1">
                      <wp:simplePos x="0" y="0"/>
                      <wp:positionH relativeFrom="column">
                        <wp:posOffset>1313815</wp:posOffset>
                      </wp:positionH>
                      <wp:positionV relativeFrom="paragraph">
                        <wp:posOffset>2079625</wp:posOffset>
                      </wp:positionV>
                      <wp:extent cx="635" cy="552450"/>
                      <wp:effectExtent l="4445" t="0" r="13970" b="0"/>
                      <wp:wrapNone/>
                      <wp:docPr id="84" name="直接连接符 84"/>
                      <wp:cNvGraphicFramePr/>
                      <a:graphic xmlns:a="http://schemas.openxmlformats.org/drawingml/2006/main">
                        <a:graphicData uri="http://schemas.microsoft.com/office/word/2010/wordprocessingShape">
                          <wps:wsp>
                            <wps:cNvCnPr/>
                            <wps:spPr>
                              <a:xfrm flipH="1">
                                <a:off x="0" y="0"/>
                                <a:ext cx="635" cy="552450"/>
                              </a:xfrm>
                              <a:prstGeom prst="line">
                                <a:avLst/>
                              </a:prstGeom>
                              <a:ln w="6350">
                                <a:solidFill>
                                  <a:schemeClr val="tx1"/>
                                </a:solidFill>
                                <a:headEnd type="none" w="med" len="med"/>
                                <a:tailEnd type="non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03.45pt;margin-top:163.75pt;height:43.5pt;width:0.05pt;z-index:251708416;mso-width-relative:page;mso-height-relative:page;" filled="f" stroked="t" coordsize="21600,21600" o:gfxdata="UEsDBAoAAAAAAIdO4kAAAAAAAAAAAAAAAAAEAAAAZHJzL1BLAwQUAAAACACHTuJAkHB36twAAAAL&#10;AQAADwAAAGRycy9kb3ducmV2LnhtbE2PXUvDMBSG7wX/QziCdy5p1q2z9nSIHyCCiNtgt1kT27rm&#10;pDTpVv+98UovD+fhfZ+3WE+2Yycz+NYRQjITwAxVTrdUI+y2zzcrYD4o0qpzZBC+jYd1eXlRqFy7&#10;M32Y0ybULIaQzxVCE0Kfc+6rxljlZ643FH+fbrAqxHOouR7UOYbbjkshltyqlmJDo3rz0JjquBkt&#10;wrus5/2T3h7Tt9fqJVtNj/f78Qvx+ioRd8CCmcIfDL/6UR3K6HRwI2nPOgQplrcRRZjLbAEsElJk&#10;cd0BIU3SBfCy4P83lD9QSwMEFAAAAAgAh07iQPp8EoYBAgAA+wMAAA4AAABkcnMvZTJvRG9jLnht&#10;bK1TzW4TMRC+I/EOlu9k09BU1SqbHhoKBwSRgAeY2N5dS/6Tx80mL8ELIHGDE0fuvA3lMRh7Q1rK&#10;JQf2YI3Hs9/M9/nz4mpnDduqiNq7hp9NppwpJ7zUrmv4h/c3zy45wwROgvFONXyvkF8tnz5ZDKFW&#10;M997I1VkBOKwHkLD+5RCXVUoemUBJz4oR4etjxYSbWNXyQgDoVtTzabTi2rwUYbohUKk7Go85AfE&#10;eAqgb1st1MqLW6tcGlGjMpCIEvY6IF+WadtWifS2bVElZhpOTFNZqQnFm7xWywXUXYTQa3EYAU4Z&#10;4REnC9pR0yPUChKw26j/gbJaRI++TRPhbTUSKYoQi7PpI23e9RBU4UJSYziKjv8PVrzZriPTsuGX&#10;55w5sHTjd5++//z45dePz7TeffvK6IRkGgLWVH3t1vGww7COmfOujZa1RodX5KeiAvFiuyLy/iiy&#10;2iUmKHnxfM6ZoPx8PjuflxuoRoyMFSKml8pbloOGG+2yAFDD9jUm6kulf0py2vkbbUy5ROPYUNDp&#10;agWQMVsyBIU2EDl0HWdgOnK8SLEgojda5r8zDsZuc20i20L2SfkyZ+r2V1luvQLsx7pyNDqoVyBf&#10;OMnSPpCAjh4Oz9NYJTkzirrmqIyZQJtTKqm1cTRBln0UOkcbL/dF/5InT5QZD/7Npnu4L3/fv9nl&#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JBwd+rcAAAACwEAAA8AAAAAAAAAAQAgAAAAIgAAAGRy&#10;cy9kb3ducmV2LnhtbFBLAQIUABQAAAAIAIdO4kD6fBKGAQIAAPsDAAAOAAAAAAAAAAEAIAAAACsB&#10;AABkcnMvZTJvRG9jLnhtbFBLBQYAAAAABgAGAFkBAACeBQAAAAA=&#10;">
                      <v:fill on="f" focussize="0,0"/>
                      <v:stroke weight="0.5pt" color="#000000 [3213]" joinstyle="round"/>
                      <v:imagedata o:title=""/>
                      <o:lock v:ext="edit" aspectratio="f"/>
                    </v:line>
                  </w:pict>
                </mc:Fallback>
              </mc:AlternateContent>
            </w:r>
            <w:r>
              <w:rPr>
                <w:color w:val="auto"/>
                <w:sz w:val="21"/>
              </w:rPr>
              <mc:AlternateContent>
                <mc:Choice Requires="wps">
                  <w:drawing>
                    <wp:anchor distT="0" distB="0" distL="114300" distR="114300" simplePos="0" relativeHeight="251701248" behindDoc="0" locked="0" layoutInCell="1" allowOverlap="1">
                      <wp:simplePos x="0" y="0"/>
                      <wp:positionH relativeFrom="column">
                        <wp:posOffset>2876550</wp:posOffset>
                      </wp:positionH>
                      <wp:positionV relativeFrom="paragraph">
                        <wp:posOffset>1450975</wp:posOffset>
                      </wp:positionV>
                      <wp:extent cx="539750" cy="635"/>
                      <wp:effectExtent l="0" t="37465" r="12700" b="38100"/>
                      <wp:wrapNone/>
                      <wp:docPr id="71" name="直接连接符 71"/>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26.5pt;margin-top:114.25pt;height:0.05pt;width:42.5pt;z-index:251701248;mso-width-relative:page;mso-height-relative:page;" filled="f" stroked="t" coordsize="21600,21600" o:gfxdata="UEsDBAoAAAAAAIdO4kAAAAAAAAAAAAAAAAAEAAAAZHJzL1BLAwQUAAAACACHTuJATvmHLNoAAAAL&#10;AQAADwAAAGRycy9kb3ducmV2LnhtbE2PQUsDMRCF74L/IYzgRWzSbbcs62YLCoIHRVrFc7qZboKb&#10;yZKk7dZfb/Six3nzeO97zXpyAztiiNaThPlMAEPqvLbUS3h/e7ytgMWkSKvBE0o4Y4R1e3nRqFr7&#10;E23wuE09yyEUayXBpDTWnMfOoFNx5kek/Nv74FTKZ+i5DuqUw93ACyFW3ClLucGoER8Mdp/bg5Pw&#10;URV7kc7h5vXl6+nZbpbmfrJGyuurubgDlnBKf2b4wc/o0GamnT+QjmyQsCwXeUuSUBRVCSw7ykWV&#10;ld2vsgLeNvz/hvYbUEsDBBQAAAAIAIdO4kCKAIwx+wEAAOIDAAAOAAAAZHJzL2Uyb0RvYy54bWyt&#10;U81uEzEQviPxDpbvZJNWaWGVTQ8N5YIgEvAAE9u7a8l/8rjZ5CV4ASRucOLInbdpeQzG3pBAufTA&#10;Hrzj+fk83+fx4mpnDduqiNq7hs8mU86UE15q1zX8w/ubZ885wwROgvFONXyvkF8tnz5ZDKFWZ773&#10;RqrICMRhPYSG9ymFuqpQ9MoCTnxQjoKtjxYSbWNXyQgDoVtTnU2nF9XgowzRC4VI3tUY5AfE+BhA&#10;37ZaqJUXt1a5NKJGZSARJex1QL4s3batEult26JKzDScmKay0iFkb/JaLRdQdxFCr8WhBXhMCw84&#10;WdCODj1CrSABu436HyirRfTo2zQR3lYjkaIIsZhNH2jzroegCheSGsNRdPx/sOLNdh2Zlg2/nHHm&#10;wNKN33/6fvfxy88fn2m9//aVUYRkGgLWlH3t1vGww7COmfOujTb/iQ3bFWn3R2nVLjFBzvn5i8s5&#10;iS4odHE+z4DVqTJETK+UtywbDTfaZdpQw/Y1pjH1d0p2O3+jjSE/1MaxoSBmbKBxbGkMyLSBKKHr&#10;OAPT0ZyLFAsieqNlrs7FGLvNtYlsC3k6yndo7K+0fPQKsB/zJFk5C+pegXzpJEv7QKo5ei2jP4E2&#10;J3+KGlxnFM+NWiU5M4oaytbIzDjSIqs76pmtjZf7InPx09UXtQ5jmmfrz32pPj3N5S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O+Ycs2gAAAAsBAAAPAAAAAAAAAAEAIAAAACIAAABkcnMvZG93bnJl&#10;di54bWxQSwECFAAUAAAACACHTuJAigCMMfsBAADiAwAADgAAAAAAAAABACAAAAApAQAAZHJzL2Uy&#10;b0RvYy54bWxQSwUGAAAAAAYABgBZAQAAlgUAAAAA&#10;">
                      <v:fill on="f" focussize="0,0"/>
                      <v:stroke weight="0.5pt" color="#000000 [3213]" joinstyle="round" dashstyle="dash" endarrow="block"/>
                      <v:imagedata o:title=""/>
                      <o:lock v:ext="edit" aspectratio="f"/>
                    </v:line>
                  </w:pict>
                </mc:Fallback>
              </mc:AlternateContent>
            </w:r>
            <w:r>
              <w:rPr>
                <w:color w:val="auto"/>
                <w:sz w:val="21"/>
              </w:rPr>
              <mc:AlternateContent>
                <mc:Choice Requires="wps">
                  <w:drawing>
                    <wp:anchor distT="0" distB="0" distL="114300" distR="114300" simplePos="0" relativeHeight="251699200" behindDoc="0" locked="0" layoutInCell="1" allowOverlap="1">
                      <wp:simplePos x="0" y="0"/>
                      <wp:positionH relativeFrom="column">
                        <wp:posOffset>2590800</wp:posOffset>
                      </wp:positionH>
                      <wp:positionV relativeFrom="paragraph">
                        <wp:posOffset>3222625</wp:posOffset>
                      </wp:positionV>
                      <wp:extent cx="539750" cy="635"/>
                      <wp:effectExtent l="0" t="37465" r="12700" b="38100"/>
                      <wp:wrapNone/>
                      <wp:docPr id="65" name="直接连接符 65"/>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prstDash val="solid"/>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4pt;margin-top:253.75pt;height:0.05pt;width:42.5pt;z-index:251699200;mso-width-relative:page;mso-height-relative:page;" filled="f" stroked="t" coordsize="21600,21600" o:gfxdata="UEsDBAoAAAAAAIdO4kAAAAAAAAAAAAAAAAAEAAAAZHJzL1BLAwQUAAAACACHTuJAXtgx+9kAAAAL&#10;AQAADwAAAGRycy9kb3ducmV2LnhtbE2PzU7DMBCE70i8g7VI3KgdSJMS4lQFCQ70gGh74LiNt0lE&#10;vA6x+/f2GC5w3NnRzDfl/GR7caDRd441JBMFgrh2puNGw2b9fDMD4QOywd4xaTiTh3l1eVFiYdyR&#10;3+mwCo2IIewL1NCGMBRS+roli37iBuL427nRYojn2Egz4jGG217eKpVJix3HhhYHemqp/lztrQZK&#10;F4tllo8vj7uPoM5fb6+5SlDr66tEPYAIdAp/ZvjBj+hQRaat27PxoteQqlncEjRMVT4FER3p/V1U&#10;tr9KBrIq5f8N1TdQSwMEFAAAAAgAh07iQGGnND38AQAA4wMAAA4AAABkcnMvZTJvRG9jLnhtbK1T&#10;zW4TMRC+I/EOlu9k01YJdJVNDw3lgiAS9AEmtnfXkv/kcbPJS/ACSNzgxJE7b0N5DMbekEC59MAe&#10;vOOZ8TfzfR4vrnbWsK2KqL1r+Nlkyplywkvtuobfvr959oIzTOAkGO9Uw/cK+dXy6ZPFEGp17ntv&#10;pIqMQBzWQ2h4n1KoqwpFryzgxAflKNj6aCHRNnaVjDAQujXV+XQ6rwYfZYheKETyrsYgPyDGxwD6&#10;ttVCrby4s8qlETUqA4koYa8D8mXptm2VSG/bFlVipuHENJWVipC9yWu1XEDdRQi9FocW4DEtPOBk&#10;QTsqeoRaQQJ2F/U/UFaL6NG3aSK8rUYiRRFicTZ9oM27HoIqXEhqDEfR8f/BijfbdWRaNnw+48yB&#10;pRu///jtx4fPP79/ovX+6xdGEZJpCFhT9rVbx8MOwzpmzrs22vwnNmxXpN0fpVW7xAQ5ZxeXz2ck&#10;uqDQ/KIAVqeTIWJ6pbxl2Wi40S7Thhq2rzFRNUr9nZLdzt9oY8rVGceGgpixgcaxpTEg0waihK7j&#10;DExHcy5SLIjojZb5dMbB2G2uTWRbyNNRvsyUqv2VlkuvAPsxr4TGuekVyJdOsrQPJJuj5zL6E2hz&#10;8qeowXVG8dypVZIzo6ijbI3FjKOaWd5R0GxtvNwXnYuf7r50dZjTPFx/7svp09tc/g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e2DH72QAAAAsBAAAPAAAAAAAAAAEAIAAAACIAAABkcnMvZG93bnJl&#10;di54bWxQSwECFAAUAAAACACHTuJAYac0PfwBAADjAwAADgAAAAAAAAABACAAAAAoAQAAZHJzL2Uy&#10;b0RvYy54bWxQSwUGAAAAAAYABgBZAQAAlgU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700224" behindDoc="0" locked="0" layoutInCell="1" allowOverlap="1">
                      <wp:simplePos x="0" y="0"/>
                      <wp:positionH relativeFrom="column">
                        <wp:posOffset>2581275</wp:posOffset>
                      </wp:positionH>
                      <wp:positionV relativeFrom="paragraph">
                        <wp:posOffset>3822700</wp:posOffset>
                      </wp:positionV>
                      <wp:extent cx="539750" cy="635"/>
                      <wp:effectExtent l="0" t="37465" r="12700" b="38100"/>
                      <wp:wrapNone/>
                      <wp:docPr id="66" name="直接连接符 66"/>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prstDash val="solid"/>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3.25pt;margin-top:301pt;height:0.05pt;width:42.5pt;z-index:251700224;mso-width-relative:page;mso-height-relative:page;" filled="f" stroked="t" coordsize="21600,21600" o:gfxdata="UEsDBAoAAAAAAIdO4kAAAAAAAAAAAAAAAAAEAAAAZHJzL1BLAwQUAAAACACHTuJAwf1ketcAAAAL&#10;AQAADwAAAGRycy9kb3ducmV2LnhtbE2PPU/DMBCGdyT+g3VIbNR2FVIIcaqCBAMMFaVDRze+JhHx&#10;OcTu17/nYIHx3nv0fpTzk+/FAcfYBTKgJwoEUh1cR42B9cfzzR2ImCw52wdCA2eMMK8uL0pbuHCk&#10;dzysUiPYhGJhDbQpDYWUsW7R2zgJAxL/dmH0NvE5NtKN9sjmvpdTpXLpbUec0NoBn1qsP1d7bwCz&#10;xeItn40vj7tNUuev5etMaWvM9ZVWDyASntIfDD/1uTpU3Gkb9uSi6A1kKr9l1ECupjyKiexes7L9&#10;VTTIqpT/N1TfUEsDBBQAAAAIAIdO4kCZYFJX+wEAAOMDAAAOAAAAZHJzL2Uyb0RvYy54bWytU81u&#10;EzEQviPxDpbvZNNWCXSVTQ8N5YIgEvQBJrZ315L/5HGzyUvwAkjc4MSRO29DeQzG3pBAufTAHrzj&#10;+fk83+fx4mpnDduqiNq7hp9NppwpJ7zUrmv47fubZy84wwROgvFONXyvkF8tnz5ZDKFW5773RqrI&#10;CMRhPYSG9ymFuqpQ9MoCTnxQjoKtjxYSbWNXyQgDoVtTnU+n82rwUYbohUIk72oM8gNifAygb1st&#10;1MqLO6tcGlGjMpCIEvY6IF+WbttWifS2bVElZhpOTFNZ6RCyN3mtlguouwih1+LQAjymhQecLGhH&#10;hx6hVpCA3UX9D5TVInr0bZoIb6uRSFGEWJxNH2jzroegCheSGsNRdPx/sOLNdh2Zlg2fzzlzYOnG&#10;7z9++/Hh88/vn2i9//qFUYRkGgLWlH3t1vGww7COmfOujTb/iQ3bFWn3R2nVLjFBztnF5fMZiS4o&#10;NL+YZcDqVBkiplfKW5aNhhvtMm2oYfsa05j6OyW7nb/RxpAfauPYUBAzNtA4tjQGZNpAlNB1nIHp&#10;aM5FigURvdEyV+dijN3m2kS2hTwd5Ts09ldaPnoF2I95JZTToO4VyJdOsrQPJJuj5zL6E2hz8qeo&#10;wXVG8dypVZIzo6ijbI3UjCMxsryjoNnaeLkvOhc/3X2R6zCnebj+3Jfq09tc/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B/WR61wAAAAsBAAAPAAAAAAAAAAEAIAAAACIAAABkcnMvZG93bnJldi54&#10;bWxQSwECFAAUAAAACACHTuJAmWBSV/sBAADjAwAADgAAAAAAAAABACAAAAAmAQAAZHJzL2Uyb0Rv&#10;Yy54bWxQSwUGAAAAAAYABgBZAQAAkwU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98176" behindDoc="0" locked="0" layoutInCell="1" allowOverlap="1">
                      <wp:simplePos x="0" y="0"/>
                      <wp:positionH relativeFrom="column">
                        <wp:posOffset>2600325</wp:posOffset>
                      </wp:positionH>
                      <wp:positionV relativeFrom="paragraph">
                        <wp:posOffset>879475</wp:posOffset>
                      </wp:positionV>
                      <wp:extent cx="539750" cy="635"/>
                      <wp:effectExtent l="0" t="37465" r="12700" b="38100"/>
                      <wp:wrapNone/>
                      <wp:docPr id="63" name="直接连接符 63"/>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04.75pt;margin-top:69.25pt;height:0.05pt;width:42.5pt;z-index:251698176;mso-width-relative:page;mso-height-relative:page;" filled="f" stroked="t" coordsize="21600,21600" o:gfxdata="UEsDBAoAAAAAAIdO4kAAAAAAAAAAAAAAAAAEAAAAZHJzL1BLAwQUAAAACACHTuJAOR+g4dkAAAAL&#10;AQAADwAAAGRycy9kb3ducmV2LnhtbE2PQUsDMRCF74L/IYzgRWzSupbtutmCguChIq3iOd2km+Bm&#10;siRpu/XXO/WitzfzHm++qZej79nBxOQCSphOBDCDbdAOOwkf78+3JbCUFWrVBzQSTibBsrm8qFWl&#10;wxHX5rDJHaMSTJWSYHMeKs5Ta41XaRIGg+TtQvQq0xg7rqM6Urnv+UyIOffKIV2wajBP1rRfm72X&#10;8FnOdiKf4s3b6/fLyq0L+zg6K+X11VQ8AMtmzH9hOOMTOjTEtA171In1EgqxuKcoGXclCUoUi4LE&#10;9nczB97U/P8PzQ9QSwMEFAAAAAgAh07iQANMOzr7AQAA4gMAAA4AAABkcnMvZTJvRG9jLnhtbK1T&#10;S44TMRDdI3EHy3vSmYkSoJXOLCYMGwSRgANUbHe3Jf/k8qSTS3ABJHawYsme2zAcg7I7JDBsZkEv&#10;3OX6PNd7Li+v9tawnYqovWv4xWTKmXLCS+26hr9/d/PkGWeYwEkw3qmGHxTyq9XjR8sh1OrS995I&#10;FRmBOKyH0PA+pVBXFYpeWcCJD8pRsPXRQqJt7CoZYSB0a6rL6XRRDT7KEL1QiORdj0F+RIwPAfRt&#10;q4Vae3FrlUsjalQGElHCXgfkq9Jt2yqR3rQtqsRMw4lpKisdQvY2r9VqCXUXIfRaHFuAh7Rwj5MF&#10;7ejQE9QaErDbqP+BslpEj75NE+FtNRIpihCLi+k9bd72EFThQlJjOImO/w9WvN5tItOy4YsZZw4s&#10;3fjdx28/Pnz++f0TrXdfvzCKkExDwJqyr90mHncYNjFz3rfR5j+xYfsi7eEkrdonJsg5nz1/OifR&#10;BYUWs3kGrM6VIWJ6qbxl2Wi40S7Thhp2rzCNqb9Tstv5G20M+aE2jg0FMWMDjWNLY0CmDUQJXccZ&#10;mI7mXKRYENEbLXN1LsbYba9NZDvI01G+Y2N/peWj14D9mCfJyllQ9wrkCydZOgRSzdFrGf0JtDn7&#10;U9TgOqN4btQqyZlR1FC2RmbGkRZZ3VHPbG29PBSZi5+uvqh1HNM8W3/uS/X5aa5+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kfoOHZAAAACwEAAA8AAAAAAAAAAQAgAAAAIgAAAGRycy9kb3ducmV2&#10;LnhtbFBLAQIUABQAAAAIAIdO4kADTDs6+wEAAOIDAAAOAAAAAAAAAAEAIAAAACgBAABkcnMvZTJv&#10;RG9jLnhtbFBLBQYAAAAABgAGAFkBAACVBQAAAAA=&#10;">
                      <v:fill on="f" focussize="0,0"/>
                      <v:stroke weight="0.5pt" color="#000000 [3213]" joinstyle="round" dashstyle="dash" endarrow="block"/>
                      <v:imagedata o:title=""/>
                      <o:lock v:ext="edit" aspectratio="f"/>
                    </v:line>
                  </w:pict>
                </mc:Fallback>
              </mc:AlternateContent>
            </w:r>
            <w:r>
              <w:rPr>
                <w:color w:val="auto"/>
                <w:sz w:val="21"/>
              </w:rPr>
              <mc:AlternateContent>
                <mc:Choice Requires="wps">
                  <w:drawing>
                    <wp:anchor distT="0" distB="0" distL="114300" distR="114300" simplePos="0" relativeHeight="251693056" behindDoc="0" locked="0" layoutInCell="1" allowOverlap="1">
                      <wp:simplePos x="0" y="0"/>
                      <wp:positionH relativeFrom="column">
                        <wp:posOffset>614680</wp:posOffset>
                      </wp:positionH>
                      <wp:positionV relativeFrom="paragraph">
                        <wp:posOffset>4738370</wp:posOffset>
                      </wp:positionV>
                      <wp:extent cx="720090" cy="288290"/>
                      <wp:effectExtent l="0" t="0" r="3810" b="16510"/>
                      <wp:wrapNone/>
                      <wp:docPr id="58" name="文本框 58"/>
                      <wp:cNvGraphicFramePr/>
                      <a:graphic xmlns:a="http://schemas.openxmlformats.org/drawingml/2006/main">
                        <a:graphicData uri="http://schemas.microsoft.com/office/word/2010/wordprocessingShape">
                          <wps:wsp>
                            <wps:cNvSpPr txBox="1"/>
                            <wps:spPr>
                              <a:xfrm>
                                <a:off x="0" y="0"/>
                                <a:ext cx="720090" cy="288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2B7A6E">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加水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4pt;margin-top:373.1pt;height:22.7pt;width:56.7pt;z-index:251693056;mso-width-relative:page;mso-height-relative:page;" fillcolor="#FFFFFF [3201]" filled="t" stroked="f" coordsize="21600,21600" o:gfxdata="UEsDBAoAAAAAAIdO4kAAAAAAAAAAAAAAAAAEAAAAZHJzL1BLAwQUAAAACACHTuJAUuACoNYAAAAK&#10;AQAADwAAAGRycy9kb3ducmV2LnhtbE2PzU7DMBCE70i8g7WVuFHbURXaEKcHJK5ItKVnNzZxVHsd&#10;2e7v07Oc4LY7O5r5tl1fg2dnm/IYUYGcC2AW+2hGHBTstu/PS2C5aDTaR7QKbjbDunt8aHVj4gU/&#10;7XlTBkYhmButwJUyNZzn3tmg8zxOFun2HVPQhdY0cJP0hcKD55UQNQ96RGpwerJvzvbHzSko2A/h&#10;vv+SU3Im+AV+3G/bXRyVeppJ8Qqs2Gv5M8MvPqFDR0yHeEKTmVewqom8KHhZ1BUwMlRS0HAgZSVr&#10;4F3L/7/Q/QBQSwMEFAAAAAgAh07iQOeYbzxOAgAAkAQAAA4AAABkcnMvZTJvRG9jLnhtbK1UwW4T&#10;MRC9I/EPlu90k9CWNsqmCq2CkCpaqSDOjtebXcnrMbaT3fIB8Ac9ceHOd/U7ePZu2lA49EAOm/HM&#10;7Bu/NzM7O+sazbbK+ZpMzscHI86UkVTUZp3zTx+Xr04480GYQmgyKue3yvOz+csXs9ZO1YQq0oVy&#10;DCDGT1ub8yoEO80yLyvVCH9AVhkES3KNCDi6dVY40QK90dlkNDrOWnKFdSSV9/Be9EE+ILrnAFJZ&#10;1lJdkNw0yoQe1SktAij5qraez9Nty1LJcFWWXgWmcw6mIT1RBPYqPrP5TEzXTtiqlsMVxHOu8IRT&#10;I2qDog9QFyIItnH1X1BNLR15KsOBpCbriSRFwGI8eqLNTSWsSlwgtbcPovv/Bys/bK8dq4ucH6Hv&#10;RjTo+P3d9/sfv+5/fmPwQaDW+inybiwyQ/eWOozNzu/hjLy70jXxH4wY4pD39kFe1QUm4XyD9p8i&#10;IhGanJxMYAM9e3zZOh/eKWpYNHLu0L0kqthe+tCn7lJiLU+6Lpa11ung1qtz7dhWoNPL9BvQ/0jT&#10;hrU5P359NErIhuL7PbQ2uEzk2nOKVuhW3SDAiopb8HfUj5C3clnjlpfCh2vhMDMghq0KV3iUmlCE&#10;BouzitzXf/ljPlqJKGctZjDn/stGOMWZfm/Q5NPx4SFgQzocHkE/ztx+ZLUfMZvmnEB+jP21Mpkx&#10;P+idWTpqPmP5FrEqQsJI1M552Jnnod8MLK9Ui0VKwphaES7NjZUROkptaLEJVNapJVGmXptBPQxq&#10;auqwVHET9s8p6/FDMv8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UuACoNYAAAAKAQAADwAAAAAA&#10;AAABACAAAAAiAAAAZHJzL2Rvd25yZXYueG1sUEsBAhQAFAAAAAgAh07iQOeYbzxOAgAAkAQAAA4A&#10;AAAAAAAAAQAgAAAAJQEAAGRycy9lMm9Eb2MueG1sUEsFBgAAAAAGAAYAWQEAAOUFAAAAAA==&#10;">
                      <v:fill on="t" focussize="0,0"/>
                      <v:stroke on="f" weight="0.5pt"/>
                      <v:imagedata o:title=""/>
                      <o:lock v:ext="edit" aspectratio="f"/>
                      <v:textbox>
                        <w:txbxContent>
                          <w:p w14:paraId="582B7A6E">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加水</w:t>
                            </w:r>
                          </w:p>
                        </w:txbxContent>
                      </v:textbox>
                    </v:shape>
                  </w:pict>
                </mc:Fallback>
              </mc:AlternateContent>
            </w:r>
            <w:r>
              <w:rPr>
                <w:color w:val="auto"/>
                <w:sz w:val="21"/>
              </w:rPr>
              <mc:AlternateContent>
                <mc:Choice Requires="wps">
                  <w:drawing>
                    <wp:anchor distT="0" distB="0" distL="114300" distR="114300" simplePos="0" relativeHeight="251694080" behindDoc="0" locked="0" layoutInCell="1" allowOverlap="1">
                      <wp:simplePos x="0" y="0"/>
                      <wp:positionH relativeFrom="column">
                        <wp:posOffset>781050</wp:posOffset>
                      </wp:positionH>
                      <wp:positionV relativeFrom="paragraph">
                        <wp:posOffset>4984750</wp:posOffset>
                      </wp:positionV>
                      <wp:extent cx="539750" cy="635"/>
                      <wp:effectExtent l="0" t="37465" r="12700" b="38100"/>
                      <wp:wrapNone/>
                      <wp:docPr id="59" name="直接连接符 59"/>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61.5pt;margin-top:392.5pt;height:0.05pt;width:42.5pt;z-index:251694080;mso-width-relative:page;mso-height-relative:page;" filled="f" stroked="t" coordsize="21600,21600" o:gfxdata="UEsDBAoAAAAAAIdO4kAAAAAAAAAAAAAAAAAEAAAAZHJzL1BLAwQUAAAACACHTuJADgd4CdcAAAAL&#10;AQAADwAAAGRycy9kb3ducmV2LnhtbE1Py07DMBC8I/EP1iJxo3YCNFGIUxUkOMChonDg6MbbJCJe&#10;B9t9/T0LF7jN7IxmZ+rF0Y1ijyEOnjRkMwUCqfV2oE7D+9vjVQkiJkPWjJ5QwwkjLJrzs9pU1h/o&#10;Fffr1AkOoVgZDX1KUyVlbHt0Js78hMTa1gdnEtPQSRvMgcPdKHOl5tKZgfhDbyZ86LH9XO+cBrxZ&#10;Ll/mRXi6334kdfpaPRcqM1pfXmTqDkTCY/ozw099rg4Nd9r4HdkoRub5NW9JGorylgE7clUy2Pxe&#10;MpBNLf9vaL4BUEsDBBQAAAAIAIdO4kApotL8+wEAAOMDAAAOAAAAZHJzL2Uyb0RvYy54bWytU81u&#10;EzEQviPxDpbvZNNWKXSVTQ8N5YIgEvQBJrZ315L/5HGzyUvwAkjc4MSRO2/T8hgde0MC5dIDe/CO&#10;5+fzfJ/H88utNWyjImrvGn4ymXKmnPBSu67hNx+vX7ziDBM4CcY71fCdQn65eP5sPoRanfreG6ki&#10;IxCH9RAa3qcU6qpC0SsLOPFBOQq2PlpItI1dJSMMhG5NdTqdnleDjzJELxQieZdjkO8R41MAfdtq&#10;oZZe3Frl0ogalYFElLDXAfmidNu2SqT3bYsqMdNwYprKSoeQvc5rtZhD3UUIvRb7FuApLTziZEE7&#10;OvQAtYQE7Dbqf6CsFtGjb9NEeFuNRIoixOJk+kibDz0EVbiQ1BgOouP/gxXvNqvItGz47IIzB5Zu&#10;/P7zj7tPX3/9/ELr/fdvjCIk0xCwpuwrt4r7HYZVzJy3bbT5T2zYtki7O0irtokJcs7OLl7OSHRB&#10;ofOzWQasjpUhYnqjvGXZaLjRLtOGGjZvMY2pv1Oy2/lrbQz5oTaODQUxYwONY0tjQKYNRAldxxmY&#10;juZcpFgQ0Rstc3Uuxtitr0xkG8jTUb59Y3+l5aOXgP2YV0I5DepegXztJEu7QLI5ei6jP4E2R3+K&#10;GlxnFM+dWiU5M4o6ytZIzTgSI8s7CpqttZe7onPx090XufZzmofrz32pPr7Nx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OB3gJ1wAAAAsBAAAPAAAAAAAAAAEAIAAAACIAAABkcnMvZG93bnJldi54&#10;bWxQSwECFAAUAAAACACHTuJAKaLS/PsBAADjAwAADgAAAAAAAAABACAAAAAmAQAAZHJzL2Uyb0Rv&#10;Yy54bWxQSwUGAAAAAAYABgBZAQAAkwU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97152" behindDoc="0" locked="0" layoutInCell="1" allowOverlap="1">
                      <wp:simplePos x="0" y="0"/>
                      <wp:positionH relativeFrom="column">
                        <wp:posOffset>1323975</wp:posOffset>
                      </wp:positionH>
                      <wp:positionV relativeFrom="paragraph">
                        <wp:posOffset>4422775</wp:posOffset>
                      </wp:positionV>
                      <wp:extent cx="635" cy="1151890"/>
                      <wp:effectExtent l="4445" t="0" r="13970" b="10160"/>
                      <wp:wrapNone/>
                      <wp:docPr id="62" name="直接连接符 62"/>
                      <wp:cNvGraphicFramePr/>
                      <a:graphic xmlns:a="http://schemas.openxmlformats.org/drawingml/2006/main">
                        <a:graphicData uri="http://schemas.microsoft.com/office/word/2010/wordprocessingShape">
                          <wps:wsp>
                            <wps:cNvCnPr/>
                            <wps:spPr>
                              <a:xfrm>
                                <a:off x="1864995" y="2571115"/>
                                <a:ext cx="635" cy="1151890"/>
                              </a:xfrm>
                              <a:prstGeom prst="line">
                                <a:avLst/>
                              </a:prstGeom>
                              <a:ln w="6350">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4.25pt;margin-top:348.25pt;height:90.7pt;width:0.05pt;z-index:251697152;mso-width-relative:page;mso-height-relative:page;" filled="f" stroked="t" coordsize="21600,21600" o:gfxdata="UEsDBAoAAAAAAIdO4kAAAAAAAAAAAAAAAAAEAAAAZHJzL1BLAwQUAAAACACHTuJAz0QnZdcAAAAL&#10;AQAADwAAAGRycy9kb3ducmV2LnhtbE2PPU/DMBCGdyT+g3VIbNROpaRpiNMBKYiFgYKY3dgkEfY5&#10;st248Os5Jtju49F7z7WHi7NsNSHOHiUUGwHM4OD1jKOEt9f+rgYWk0KtrEcj4ctEOHTXV61qtM/4&#10;YtZjGhmFYGyUhCmlpeE8DpNxKm78YpB2Hz44lagNI9dBZQp3lm+FqLhTM9KFSS3mYTLD5/HsJGCR&#10;3m3OKa/hu3wsi7J/Es+9lLc3hbgHlswl/cHwq0/q0JHTyZ9RR2YlbEVdEiqh2ldUEEGTCthJQr3b&#10;7YF3Lf//Q/cDUEsDBBQAAAAIAIdO4kAmYxaJ5wEAAKoDAAAOAAAAZHJzL2Uyb0RvYy54bWytU82O&#10;0zAQviPxDpbvNE2hpY2a7mGr5YKgEvAAruMklvynGW/TvgQvgMQNThy58za7PAZjp+zCctkDOThj&#10;z5dv/H0zWV8crWEHBai9q3k5mXKmnPSNdl3NP7y/erbkDKNwjTDeqZqfFPKLzdMn6yFUauZ7bxoF&#10;jEgcVkOoeR9jqIoCZa+swIkPylGy9WBFpC10RQNiIHZritl0uigGD00ALxUinW7HJD8zwmMIfdtq&#10;qbZeXlvl4sgKyohIkrDXAfkm37ZtlYxv2xZVZKbmpDTmlYpQvE9rsVmLqgMRei3PVxCPucIDTVZo&#10;R0XvqLYiCnYN+h8qqyV49G2cSG+LUUh2hFSU0wfevOtFUFkLWY3hznT8f7TyzWEHTDc1X8w4c8JS&#10;x28/fb/5+OXnj8+03n77yihDNg0BK0Jfuh2cdxh2kDQfW7DpTWrYkUZquXixWs05O9V8Nn9ZluV8&#10;tFkdI5MEWDynpKQsZcrlKjehuKcJgPGV8paloOZGu+SBqMThNUYqTdDfkHTs/JU2JvfRODZkeuqu&#10;FDSbLc0EhTaQPnQdZ8J0NPQyQmZEb3STvk48CN3+0gA7iDQq+UnXpmp/wVLprcB+xOXUGWYcoZNL&#10;oy8p2vvmlO3K59TCzHcetzQjf+7z1/e/2OYX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0QnZdcA&#10;AAALAQAADwAAAAAAAAABACAAAAAiAAAAZHJzL2Rvd25yZXYueG1sUEsBAhQAFAAAAAgAh07iQCZj&#10;FonnAQAAqgMAAA4AAAAAAAAAAQAgAAAAJgEAAGRycy9lMm9Eb2MueG1sUEsFBgAAAAAGAAYAWQEA&#10;AH8FAAAAAA==&#10;">
                      <v:fill on="f" focussize="0,0"/>
                      <v:stroke weight="0.5pt" color="#000000 [3213]" joinstyle="round"/>
                      <v:imagedata o:title=""/>
                      <o:lock v:ext="edit" aspectratio="f"/>
                    </v:line>
                  </w:pict>
                </mc:Fallback>
              </mc:AlternateContent>
            </w:r>
            <w:r>
              <w:rPr>
                <w:color w:val="auto"/>
                <w:sz w:val="21"/>
              </w:rPr>
              <mc:AlternateContent>
                <mc:Choice Requires="wps">
                  <w:drawing>
                    <wp:anchor distT="0" distB="0" distL="114300" distR="114300" simplePos="0" relativeHeight="251695104" behindDoc="0" locked="0" layoutInCell="1" allowOverlap="1">
                      <wp:simplePos x="0" y="0"/>
                      <wp:positionH relativeFrom="column">
                        <wp:posOffset>1323975</wp:posOffset>
                      </wp:positionH>
                      <wp:positionV relativeFrom="paragraph">
                        <wp:posOffset>4432300</wp:posOffset>
                      </wp:positionV>
                      <wp:extent cx="539750" cy="635"/>
                      <wp:effectExtent l="0" t="37465" r="12700" b="38100"/>
                      <wp:wrapNone/>
                      <wp:docPr id="60" name="直接连接符 60"/>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4.25pt;margin-top:349pt;height:0.05pt;width:42.5pt;z-index:251695104;mso-width-relative:page;mso-height-relative:page;" filled="f" stroked="t" coordsize="21600,21600" o:gfxdata="UEsDBAoAAAAAAIdO4kAAAAAAAAAAAAAAAAAEAAAAZHJzL1BLAwQUAAAACACHTuJA1cgqk9gAAAAL&#10;AQAADwAAAGRycy9kb3ducmV2LnhtbE2PPU/DMBCGdyT+g3VIbNROgDQNcaqCBAMdEG0Hxmt8TSJi&#10;O8Tu17/nYIHx3nv0fpTzk+3FgcbQeachmSgQ5GpvOtdo2Kyfb3IQIaIz2HtHGs4UYF5dXpRYGH90&#10;73RYxUawiQsFamhjHAopQ92SxTDxAzn+7fxoMfI5NtKMeGRz28tUqUxa7BwntDjQU0v152pvNdDd&#10;YrHMpuPL4+4jqvPX2+tUJaj19VWiHkBEOsU/GH7qc3WouNPW750JoteQqvyeUQ3ZLOdRTKSzW1a2&#10;v0oCsirl/w3VN1BLAwQUAAAACACHTuJAae+fg/oBAADjAwAADgAAAGRycy9lMm9Eb2MueG1srVPN&#10;bhMxEL4j8Q6W72TTVgl0lU0PDeWCIBL0ASa2d9eS/+Rxs8lL8AJI3ODEkTtvQ3kMxt6QQLn0wB68&#10;4/n5PN/n8eJqZw3bqojau4afTaacKSe81K5r+O37m2cvOMMEToLxTjV8r5BfLZ8+WQyhVue+90aq&#10;yAjEYT2EhvcphbqqUPTKAk58UI6CrY8WEm1jV8kIA6FbU51Pp/Nq8FGG6IVCJO9qDPIDYnwMoG9b&#10;LdTKizurXBpRozKQiBL2OiBflm7bVon0tm1RJWYaTkxTWekQsjd5rZYLqLsIodfi0AI8poUHnCxo&#10;R4ceoVaQgN1F/Q+U1SJ69G2aCG+rkUhRhFicTR9o866HoAoXkhrDUXT8f7DizXYdmZYNn5MkDizd&#10;+P3Hbz8+fP75/ROt91+/MIqQTEPAmrKv3ToedhjWMXPetdHmP7FhuyLt/iit2iUmyDm7uHw+oxME&#10;heYXswxYnSpDxPRKecuy0XCjXaYNNWxfYxpTf6dkt/M32hjyQ20cGwpixgYax5bGgEwbiBK6jjMw&#10;Hc25SLEgojda5upcjLHbXJvItpCno3yHxv5Ky0evAPsxr4RyGtS9AvnSSZb2gWRz9FxGfwJtTv4U&#10;NbjOKJ47tUpyZhR1lK2RmnEkRpZ3FDRbGy/3Refip7svch3mNA/Xn/tSfXqby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DVyCqT2AAAAAsBAAAPAAAAAAAAAAEAIAAAACIAAABkcnMvZG93bnJldi54&#10;bWxQSwECFAAUAAAACACHTuJAae+fg/oBAADjAwAADgAAAAAAAAABACAAAAAnAQAAZHJzL2Uyb0Rv&#10;Yy54bWxQSwUGAAAAAAYABgBZAQAAkwU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96128" behindDoc="0" locked="0" layoutInCell="1" allowOverlap="1">
                      <wp:simplePos x="0" y="0"/>
                      <wp:positionH relativeFrom="column">
                        <wp:posOffset>1333500</wp:posOffset>
                      </wp:positionH>
                      <wp:positionV relativeFrom="paragraph">
                        <wp:posOffset>5575300</wp:posOffset>
                      </wp:positionV>
                      <wp:extent cx="539750" cy="635"/>
                      <wp:effectExtent l="0" t="37465" r="12700" b="38100"/>
                      <wp:wrapNone/>
                      <wp:docPr id="61" name="直接连接符 61"/>
                      <wp:cNvGraphicFramePr/>
                      <a:graphic xmlns:a="http://schemas.openxmlformats.org/drawingml/2006/main">
                        <a:graphicData uri="http://schemas.microsoft.com/office/word/2010/wordprocessingShape">
                          <wps:wsp>
                            <wps:cNvCnPr/>
                            <wps:spPr>
                              <a:xfrm>
                                <a:off x="0" y="0"/>
                                <a:ext cx="539750" cy="635"/>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05pt;margin-top:439pt;height:0.05pt;width:42.5pt;z-index:251696128;mso-width-relative:page;mso-height-relative:page;" filled="f" stroked="t" coordsize="21600,21600" o:gfxdata="UEsDBAoAAAAAAIdO4kAAAAAAAAAAAAAAAAAEAAAAZHJzL1BLAwQUAAAACACHTuJALqHHzNgAAAAL&#10;AQAADwAAAGRycy9kb3ducmV2LnhtbE2PzU7DMBCE70i8g7VI3KjtCJoQ4lQFCQ5wqCgcOG7jbRIR&#10;2yF2/96ehQvcZndHs99Ui6MbxJ6m2AdvQM8UCPJNsL1vDby/PV4VIGJCb3EIngycKMKiPj+rsLTh&#10;4F9pv06t4BAfSzTQpTSWUsamI4dxFkbyfNuGyWHicWqlnfDA4W6QmVJz6bD3/KHDkR46aj7XO2eA&#10;rpfLl3k+Pd1vP5I6fa2ec6XRmMsLre5AJDqmPzP84DM61My0CTtvoxgMZFpxl2SgyAsW7Mhub1hs&#10;fjcaZF3J/x3qb1BLAwQUAAAACACHTuJAwa29pfoBAADjAwAADgAAAGRycy9lMm9Eb2MueG1srVNL&#10;jhMxEN0jcQfLe9LJjBKglc4sJgwbBJGAA1Rsd7cl/+TypJNLcAEkdrBiyZ7bMByDsjskMGxmQS/c&#10;5fo813suL6/21rCdiqi9a/hsMuVMOeGldl3D37+7efKMM0zgJBjvVMMPCvnV6vGj5RBqdeF7b6SK&#10;jEAc1kNoeJ9SqKsKRa8s4MQH5SjY+mgh0TZ2lYwwELo11cV0uqgGH2WIXihE8q7HID8ixocA+rbV&#10;Qq29uLXKpRE1KgOJKGGvA/JV6bZtlUhv2hZVYqbhxDSVlQ4he5vXarWEuosQei2OLcBDWrjHyYJ2&#10;dOgJag0J2G3U/0BZLaJH36aJ8LYaiRRFiMVsek+btz0EVbiQ1BhOouP/gxWvd5vItGz4YsaZA0s3&#10;fvfx248Pn39+/0Tr3dcvjCIk0xCwpuxrt4nHHYZNzJz3bbT5T2zYvkh7OEmr9okJcs4vnz+dk+iC&#10;QovLeQaszpUhYnqpvGXZaLjRLtOGGnavMI2pv1Oy2/kbbQz5oTaODQUxYwONY0tjQKYNRAldxxmY&#10;juZcpFgQ0Rstc3Uuxthtr01kO8jTUb5jY3+l5aPXgP2YV0I5DepegXzhJEuHQLI5ei6jP4E2Z3+K&#10;GlxnFM+dWiU5M4o6ytZIzTgSI8s7CpqtrZeHonPx090XuY5zmofrz32pPr/N1S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BrBAAAW0NvbnRlbnRf&#10;VHlwZXNdLnhtbFBLAQIUAAoAAAAAAIdO4kAAAAAAAAAAAAAAAAAGAAAAAAAAAAAAEAAAAE0DAABf&#10;cmVscy9QSwECFAAUAAAACACHTuJAihRmPNEAAACUAQAACwAAAAAAAAABACAAAABxAwAAX3JlbHMv&#10;LnJlbHNQSwECFAAKAAAAAACHTuJAAAAAAAAAAAAAAAAABAAAAAAAAAAAABAAAAAAAAAAZHJzL1BL&#10;AQIUABQAAAAIAIdO4kAuocfM2AAAAAsBAAAPAAAAAAAAAAEAIAAAACIAAABkcnMvZG93bnJldi54&#10;bWxQSwECFAAUAAAACACHTuJAwa29pfoBAADjAwAADgAAAAAAAAABACAAAAAnAQAAZHJzL2Uyb0Rv&#10;Yy54bWxQSwUGAAAAAAYABgBZAQAAkwU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72576" behindDoc="0" locked="0" layoutInCell="1" allowOverlap="1">
                      <wp:simplePos x="0" y="0"/>
                      <wp:positionH relativeFrom="column">
                        <wp:posOffset>1624330</wp:posOffset>
                      </wp:positionH>
                      <wp:positionV relativeFrom="paragraph">
                        <wp:posOffset>6595745</wp:posOffset>
                      </wp:positionV>
                      <wp:extent cx="1115695" cy="288290"/>
                      <wp:effectExtent l="0" t="0" r="8255" b="16510"/>
                      <wp:wrapNone/>
                      <wp:docPr id="37" name="文本框 37"/>
                      <wp:cNvGraphicFramePr/>
                      <a:graphic xmlns:a="http://schemas.openxmlformats.org/drawingml/2006/main">
                        <a:graphicData uri="http://schemas.microsoft.com/office/word/2010/wordprocessingShape">
                          <wps:wsp>
                            <wps:cNvSpPr txBox="1"/>
                            <wps:spPr>
                              <a:xfrm>
                                <a:off x="0" y="0"/>
                                <a:ext cx="1115695" cy="288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24BE9CB3">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成品入库</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9pt;margin-top:519.35pt;height:22.7pt;width:87.85pt;z-index:251672576;mso-width-relative:page;mso-height-relative:page;" fillcolor="#FFFFFF [3201]" filled="t" stroked="f" coordsize="21600,21600" o:gfxdata="UEsDBAoAAAAAAIdO4kAAAAAAAAAAAAAAAAAEAAAAZHJzL1BLAwQUAAAACACHTuJAxcgF1dgAAAAN&#10;AQAADwAAAGRycy9kb3ducmV2LnhtbE2PzU7DMBCE70i8g7VIvVHbbQJRiNMDEtdKtKVnN16SCHsd&#10;2e7v0+Oe4Dg7o5lvm9XFWXbCEEdPCuRcAEPqvBmpV7DbfjxXwGLSZLT1hAquGGHVPj40ujb+TJ94&#10;2qSe5RKKtVYwpDTVnMduQKfj3E9I2fv2wemUZei5Cfqcy53lCyFeuNMj5YVBT/g+YPezOToF+97d&#10;9l9yCoNxtqD17brd+VGp2ZMUb8ASXtJfGO74GR3azHTwRzKRWQWLsszoKRtiWb0Cy5FiKUtgh/up&#10;KiTwtuH/v2h/AVBLAwQUAAAACACHTuJAwt6B71QCAACRBAAADgAAAGRycy9lMm9Eb2MueG1srVTN&#10;btswDL4P2DsIui+O06Y/QZwia5BhQLAW6IadFVmOBUiiJimxswfY3qCnXXbfc/U5RslO2nU79LAc&#10;FFKkSH4fSU+vWq3ITjgvwRQ0HwwpEYZDKc2moJ8+Lt9cUOIDMyVTYERB98LTq9nrV9PGTsQIalCl&#10;cASDGD9pbEHrEOwkyzyvhWZ+AFYYNFbgNAuouk1WOtZgdK2y0XB4ljXgSuuAC+/xdtEZaR/RvSQg&#10;VJXkYgF8q4UJXVQnFAsIydfSejpL1VaV4OGmqrwIRBUUkYZ0YhKU1/HMZlM22Thma8n7EthLSniG&#10;STNpMOkx1IIFRrZO/hVKS+7AQxUGHHTWAUmMIIp8+Iybu5pZkbAg1d4eSff/Lyz/sLt1RJYFPTmn&#10;xDCNHX+4//7w49fDz28E75CgxvoJ+t1Z9AztW2hxbA73Hi8j7rZyOv4jIoJ2pHd/pFe0gfD4KM/H&#10;Z5djSjjaRhcXo8vEf/b42jof3gnQJAoFddi+xCrbrXzAStD14BKTeVCyXEqlkuI262vlyI5hq5fp&#10;F4vEJ3+4KUOagp6djIcpsoH4vvNTBt0j2A5UlEK7bnsG1lDukQAH3Qx5y5cSq1wxH26Zw6FBzLhW&#10;4QaPSgEmgV6ipAb39V/30R97iVZKGhzCgvovW+YEJeq9wS5f5qencWqTcjo+H6HinlrWTy1mq68B&#10;wee4wJYnMfoHdRArB/ozbt88ZkUTMxxzFzQcxOvQrQZuLxfzeXLCObUsrMyd5TF0pNrAfBugkqkl&#10;kaaOm549nNREe79VcRWe6snr8Usy+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FyAXV2AAAAA0B&#10;AAAPAAAAAAAAAAEAIAAAACIAAABkcnMvZG93bnJldi54bWxQSwECFAAUAAAACACHTuJAwt6B71QC&#10;AACRBAAADgAAAAAAAAABACAAAAAnAQAAZHJzL2Uyb0RvYy54bWxQSwUGAAAAAAYABgBZAQAA7QUA&#10;AAAA&#10;">
                      <v:fill on="t" focussize="0,0"/>
                      <v:stroke on="f" weight="0.5pt"/>
                      <v:imagedata o:title=""/>
                      <o:lock v:ext="edit" aspectratio="f"/>
                      <v:textbox>
                        <w:txbxContent>
                          <w:p w14:paraId="24BE9CB3">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成品入库</w:t>
                            </w:r>
                          </w:p>
                        </w:txbxContent>
                      </v:textbox>
                    </v:shape>
                  </w:pict>
                </mc:Fallback>
              </mc:AlternateContent>
            </w:r>
            <w:r>
              <w:rPr>
                <w:color w:val="auto"/>
                <w:sz w:val="21"/>
              </w:rPr>
              <mc:AlternateContent>
                <mc:Choice Requires="wps">
                  <w:drawing>
                    <wp:anchor distT="0" distB="0" distL="114300" distR="114300" simplePos="0" relativeHeight="251674624" behindDoc="0" locked="0" layoutInCell="1" allowOverlap="1">
                      <wp:simplePos x="0" y="0"/>
                      <wp:positionH relativeFrom="column">
                        <wp:posOffset>1870075</wp:posOffset>
                      </wp:positionH>
                      <wp:positionV relativeFrom="paragraph">
                        <wp:posOffset>5407660</wp:posOffset>
                      </wp:positionV>
                      <wp:extent cx="720090" cy="288290"/>
                      <wp:effectExtent l="4445" t="4445" r="18415" b="12065"/>
                      <wp:wrapNone/>
                      <wp:docPr id="39" name="文本框 39"/>
                      <wp:cNvGraphicFramePr/>
                      <a:graphic xmlns:a="http://schemas.openxmlformats.org/drawingml/2006/main">
                        <a:graphicData uri="http://schemas.microsoft.com/office/word/2010/wordprocessingShape">
                          <wps:wsp>
                            <wps:cNvSpPr txBox="1"/>
                            <wps:spPr>
                              <a:xfrm>
                                <a:off x="0" y="0"/>
                                <a:ext cx="72009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2C2FAA4">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抛光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25pt;margin-top:425.8pt;height:22.7pt;width:56.7pt;z-index:251674624;mso-width-relative:page;mso-height-relative:page;" fillcolor="#FFFFFF [3201]" filled="t" stroked="t" coordsize="21600,21600" o:gfxdata="UEsDBAoAAAAAAIdO4kAAAAAAAAAAAAAAAAAEAAAAZHJzL1BLAwQUAAAACACHTuJARC/UUNkAAAAL&#10;AQAADwAAAGRycy9kb3ducmV2LnhtbE2Py07DMBBF90j8gzVI7KidtE2bNE4lkJAQO0o27Nx4mkT1&#10;I7Ldpvw9wwqWM3N059x6f7OGXTHE0TsJ2UIAQ9d5PbpeQvv5+rQFFpNyWhnvUMI3Rtg393e1qrSf&#10;3QdeD6lnFOJipSQMKU0V57Eb0Kq48BM6up18sCrRGHqug5op3BqeC1Fwq0ZHHwY14cuA3flwsRLe&#10;iuf0ha1+18t86eeWd+FkopSPD5nYAUt4S38w/OqTOjTkdPQXpyMzEvJytSZUwnadFcCIWIlNCexI&#10;m3IjgDc1/9+h+QFQSwMEFAAAAAgAh07iQCIcemlWAgAAuAQAAA4AAABkcnMvZTJvRG9jLnhtbK1U&#10;zW4TMRC+I/EOlu90k7SFNuqmCq2CkCpaqSDOjtebtfAftpPd8gDwBpy4cOe5+hx89m7SPw49kIMz&#10;nm/yeeabmZycdlqRjfBBWlPS8d6IEmG4raRZlfTTx8WrI0pCZKZiyhpR0hsR6Ons5YuT1k3FxDZW&#10;VcITkJgwbV1JmxjdtCgCb4RmYc86YQDW1msWcfWrovKsBbtWxWQ0el201lfOWy5CgPe8B+nA6J9D&#10;aOtacnFu+VoLE3tWLxSLKCk00gU6y9nWteDxsq6DiESVFJXGfOIR2Mt0FrMTNl155hrJhxTYc1J4&#10;VJNm0uDRHdU5i4ysvXxCpSX3Ntg67nGri76QrAiqGI8eaXPdMCdyLZA6uJ3o4f/R8g+bK09kVdL9&#10;Y0oM0+j47c8ft7/+3P7+TuCDQK0LU8RdO0TG7q3tMDZbf4Az1d3VXqdvVESAQ96bnbyii4TD+Qbt&#10;PwbCAU2OjiawwV7c/dj5EN8Jq0kySurRvSwq21yE2IduQ9JbwSpZLaRS+eJXyzPlyYah04v8Gdgf&#10;hClD2pK+3j8cZeYHWOLeUSwV41+eMiBbZZB00qSvPVmxW3aDUEtb3UAnb/tRC44vJHgvWIhXzGO2&#10;IAC2L17iqJVFMnawKGms//Yvf4pHy4FS0mJWSxq+rpkXlKj3BsNwPD44AG3Ml4ND6EyJv48s7yNm&#10;rc8sRBpjzx3PZoqPamvW3urPWNJ5ehUQMxxvlzRuzbPYbxCWnIv5PAdhnB2LF+ba8USdWmLsfB1t&#10;LXPrkky9NoN6GOjc/GH50sbcv+eouz+c2V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L9RQ2QAA&#10;AAsBAAAPAAAAAAAAAAEAIAAAACIAAABkcnMvZG93bnJldi54bWxQSwECFAAUAAAACACHTuJAIhx6&#10;aVYCAAC4BAAADgAAAAAAAAABACAAAAAoAQAAZHJzL2Uyb0RvYy54bWxQSwUGAAAAAAYABgBZAQAA&#10;8AUAAAAA&#10;">
                      <v:fill on="t" focussize="0,0"/>
                      <v:stroke weight="0.5pt" color="#000000 [3204]" joinstyle="round"/>
                      <v:imagedata o:title=""/>
                      <o:lock v:ext="edit" aspectratio="f"/>
                      <v:textbox>
                        <w:txbxContent>
                          <w:p w14:paraId="72C2FAA4">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抛光</w:t>
                            </w:r>
                          </w:p>
                        </w:txbxContent>
                      </v:textbox>
                    </v:shape>
                  </w:pict>
                </mc:Fallback>
              </mc:AlternateContent>
            </w:r>
            <w:r>
              <w:rPr>
                <w:color w:val="auto"/>
                <w:sz w:val="21"/>
              </w:rPr>
              <mc:AlternateContent>
                <mc:Choice Requires="wps">
                  <w:drawing>
                    <wp:anchor distT="0" distB="0" distL="114300" distR="114300" simplePos="0" relativeHeight="251678720" behindDoc="0" locked="0" layoutInCell="1" allowOverlap="1">
                      <wp:simplePos x="0" y="0"/>
                      <wp:positionH relativeFrom="column">
                        <wp:posOffset>1868805</wp:posOffset>
                      </wp:positionH>
                      <wp:positionV relativeFrom="paragraph">
                        <wp:posOffset>4827270</wp:posOffset>
                      </wp:positionV>
                      <wp:extent cx="720090" cy="288290"/>
                      <wp:effectExtent l="4445" t="4445" r="18415" b="12065"/>
                      <wp:wrapNone/>
                      <wp:docPr id="43" name="文本框 43"/>
                      <wp:cNvGraphicFramePr/>
                      <a:graphic xmlns:a="http://schemas.openxmlformats.org/drawingml/2006/main">
                        <a:graphicData uri="http://schemas.microsoft.com/office/word/2010/wordprocessingShape">
                          <wps:wsp>
                            <wps:cNvSpPr txBox="1"/>
                            <wps:spPr>
                              <a:xfrm>
                                <a:off x="0" y="0"/>
                                <a:ext cx="72009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3D60FD4">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色选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15pt;margin-top:380.1pt;height:22.7pt;width:56.7pt;z-index:251678720;mso-width-relative:page;mso-height-relative:page;" fillcolor="#FFFFFF [3201]" filled="t" stroked="t" coordsize="21600,21600" o:gfxdata="UEsDBAoAAAAAAIdO4kAAAAAAAAAAAAAAAAAEAAAAZHJzL1BLAwQUAAAACACHTuJAsKQ33tgAAAAL&#10;AQAADwAAAGRycy9kb3ducmV2LnhtbE2PwU7DMBBE70j8g7VI3KjdpCQlZFMJJCTEjZILNzfeJhH2&#10;Oordpvw95gTH1TzNvK13F2fFmeYwekZYrxQI4s6bkXuE9uPlbgsiRM1GW8+E8E0Bds31Va0r4xd+&#10;p/M+9iKVcKg0whDjVEkZuoGcDis/Eafs6GenYzrnXppZL6ncWZkpVUinR04Lg57oeaDua39yCK/F&#10;U/yk1ryZPMv90spuPtqAeHuzVo8gIl3iHwy/+kkdmuR08Cc2QViE7GGTJxShLFQGIhEbVZYgDghb&#10;dV+AbGr5/4fmB1BLAwQUAAAACACHTuJA/4Gt6VcCAAC4BAAADgAAAGRycy9lMm9Eb2MueG1srVTN&#10;bhMxEL4j8Q6W73STNC1t1E0VUgUhVbRSQZwdrze7wn/YTnbLA9A34MSFO8/V5+Czd5OmLYceyMEZ&#10;zzf5PPPNTM7OWyXJRjhfG53T4cGAEqG5KWq9yunnT4s3J5T4wHTBpNEip7fC0/Pp61dnjZ2IkamM&#10;LIQjINF+0ticViHYSZZ5XgnF/IGxQgMsjVMs4OpWWeFYA3Yls9FgcJw1xhXWGS68h/eiA2nP6F5C&#10;aMqy5uLC8LUSOnSsTkgWUJKvauvpNGVbloKHq7L0IhCZU1Qa0olHYC/jmU3P2GTlmK1q3qfAXpLC&#10;k5oUqzUe3VFdsMDI2tXPqFTNnfGmDAfcqKwrJCmCKoaDJ9rcVMyKVAuk9nYnuv9/tPzj5tqRusjp&#10;+JASzRQ6fv/z7v7Xn/vfPwh8EKixfoK4G4vI0L4zLcZm6/dwxrrb0qn4jYoIcMh7u5NXtIFwON+i&#10;/adAOKDRyckINtizhx9b58N7YRSJRk4dupdEZZtLH7rQbUh8yxtZF4taynRxq+VcOrJh6PQifXr2&#10;R2FSkyanx4dHg8T8CIvcO4qlZPzrcwZkKzWSjpp0tUcrtMu2F2ppilvo5Ew3at7yRQ3eS+bDNXOY&#10;LQiA7QtXOEppkIzpLUoq477/yx/j0XKglDSY1Zz6b2vmBCXyg8YwnA7HY9CGdBkfQWdK3D6y3Ef0&#10;Ws0NRBpizy1PZowPcmuWzqgvWNJZfBUQ0xxv5zRszXnoNghLzsVsloIwzpaFS31jeaSOLdFmtg6m&#10;rFProkydNr16GOjU/H754sbs31PUwx/O9C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wpDfe2AAA&#10;AAsBAAAPAAAAAAAAAAEAIAAAACIAAABkcnMvZG93bnJldi54bWxQSwECFAAUAAAACACHTuJA/4Gt&#10;6VcCAAC4BAAADgAAAAAAAAABACAAAAAnAQAAZHJzL2Uyb0RvYy54bWxQSwUGAAAAAAYABgBZAQAA&#10;8AUAAAAA&#10;">
                      <v:fill on="t" focussize="0,0"/>
                      <v:stroke weight="0.5pt" color="#000000 [3204]" joinstyle="round"/>
                      <v:imagedata o:title=""/>
                      <o:lock v:ext="edit" aspectratio="f"/>
                      <v:textbox>
                        <w:txbxContent>
                          <w:p w14:paraId="53D60FD4">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色选</w:t>
                            </w:r>
                          </w:p>
                        </w:txbxContent>
                      </v:textbox>
                    </v:shape>
                  </w:pict>
                </mc:Fallback>
              </mc:AlternateContent>
            </w:r>
            <w:r>
              <w:rPr>
                <w:color w:val="auto"/>
                <w:sz w:val="21"/>
              </w:rPr>
              <mc:AlternateContent>
                <mc:Choice Requires="wps">
                  <w:drawing>
                    <wp:anchor distT="0" distB="0" distL="114300" distR="114300" simplePos="0" relativeHeight="251675648" behindDoc="0" locked="0" layoutInCell="1" allowOverlap="1">
                      <wp:simplePos x="0" y="0"/>
                      <wp:positionH relativeFrom="column">
                        <wp:posOffset>1869440</wp:posOffset>
                      </wp:positionH>
                      <wp:positionV relativeFrom="paragraph">
                        <wp:posOffset>4279265</wp:posOffset>
                      </wp:positionV>
                      <wp:extent cx="720090" cy="288290"/>
                      <wp:effectExtent l="4445" t="4445" r="18415" b="12065"/>
                      <wp:wrapNone/>
                      <wp:docPr id="40" name="文本框 40"/>
                      <wp:cNvGraphicFramePr/>
                      <a:graphic xmlns:a="http://schemas.openxmlformats.org/drawingml/2006/main">
                        <a:graphicData uri="http://schemas.microsoft.com/office/word/2010/wordprocessingShape">
                          <wps:wsp>
                            <wps:cNvSpPr txBox="1"/>
                            <wps:spPr>
                              <a:xfrm>
                                <a:off x="0" y="0"/>
                                <a:ext cx="72009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1D88F81">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抛光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2pt;margin-top:336.95pt;height:22.7pt;width:56.7pt;z-index:251675648;mso-width-relative:page;mso-height-relative:page;" fillcolor="#FFFFFF [3201]" filled="t" stroked="t" coordsize="21600,21600" o:gfxdata="UEsDBAoAAAAAAIdO4kAAAAAAAAAAAAAAAAAEAAAAZHJzL1BLAwQUAAAACACHTuJAq1uC99kAAAAL&#10;AQAADwAAAGRycy9kb3ducmV2LnhtbE2Py07DMBBF90j8gzVI7KidhxKSxqkEEhJiR5sNOzeeJlFj&#10;O7Ldpvw9wwqWozm699xmdzMzu6IPk7MSko0AhrZ3erKDhO7w9vQMLERltZqdRQnfGGDX3t81qtZu&#10;tZ943ceBUYgNtZIwxrjUnId+RKPCxi1o6Xdy3qhIpx+49mqlcDPzVIiCGzVZahjVgq8j9uf9xUh4&#10;L17iF3b6Q2dp5taO9/40BykfHxKxBRbxFv9g+NUndWjJ6eguVgc2S0irPCdUQlFmFTAiclHSmKOE&#10;Mqky4G3D/29ofwBQSwMEFAAAAAgAh07iQHI2m+tVAgAAuAQAAA4AAABkcnMvZTJvRG9jLnhtbK1U&#10;zW4TMRC+I/EOlu90k9CWNuqmCq2CkCpaqSDOjtebtfAftpPd8gDwBpy4cOe5+hx89m7SPw49kIMz&#10;nm/yeeabmZycdlqRjfBBWlPS8d6IEmG4raRZlfTTx8WrI0pCZKZiyhpR0hsR6Ons5YuT1k3FxDZW&#10;VcITkJgwbV1JmxjdtCgCb4RmYc86YQDW1msWcfWrovKsBbtWxWQ0Oixa6yvnLRchwHveg3Rg9M8h&#10;tHUtuTi3fK2FiT2rF4pFlBQa6QKd5WzrWvB4WddBRKJKikpjPvEI7GU6i9kJm648c43kQwrsOSk8&#10;qkkzafDojuqcRUbWXj6h0pJ7G2wd97jVRV9IVgRVjEePtLlumBO5Fkgd3E708P9o+YfNlSeyKuk+&#10;JDFMo+O3P3/c/vpz+/s7gQ8CtS5MEXftEBm7t7bD2Gz9Ac5Ud1d7nb5REQEOrpudvKKLhMP5Bu0/&#10;BsIBTY6OJrDBXtz92PkQ3wmrSTJK6tG9LCrbXITYh25D0lvBKlktpFL54lfLM+XJhqHTi/wZ2B+E&#10;KUPakh6+Phhl5gdY4t5RLBXjX54yIFtlkHTSpK89WbFbdoNQS1vdQCdv+1ELji8keC9YiFfMY7Yg&#10;ALYvXuKolUUydrAoaaz/9i9/ikfLgVLSYlZLGr6umReUqPcGw3A83k/di/myfwCdKfH3keV9xKz1&#10;mYVIY+y549lM8VFtzdpb/RlLOk+vAmKG4+2Sxq15FvsNwpJzMZ/nIIyzY/HCXDueqFNLjJ2vo61l&#10;bl2SqddmUA8DnZs/LF/amPv3HHX3hzP7C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tbgvfZAAAA&#10;CwEAAA8AAAAAAAAAAQAgAAAAIgAAAGRycy9kb3ducmV2LnhtbFBLAQIUABQAAAAIAIdO4kByNpvr&#10;VQIAALgEAAAOAAAAAAAAAAEAIAAAACgBAABkcnMvZTJvRG9jLnhtbFBLBQYAAAAABgAGAFkBAADv&#10;BQAAAAA=&#10;">
                      <v:fill on="t" focussize="0,0"/>
                      <v:stroke weight="0.5pt" color="#000000 [3204]" joinstyle="round"/>
                      <v:imagedata o:title=""/>
                      <o:lock v:ext="edit" aspectratio="f"/>
                      <v:textbox>
                        <w:txbxContent>
                          <w:p w14:paraId="51D88F81">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抛光</w:t>
                            </w:r>
                          </w:p>
                        </w:txbxContent>
                      </v:textbox>
                    </v:shape>
                  </w:pict>
                </mc:Fallback>
              </mc:AlternateContent>
            </w:r>
            <w:r>
              <w:rPr>
                <w:color w:val="auto"/>
                <w:sz w:val="21"/>
              </w:rPr>
              <mc:AlternateContent>
                <mc:Choice Requires="wps">
                  <w:drawing>
                    <wp:anchor distT="0" distB="0" distL="114300" distR="114300" simplePos="0" relativeHeight="251679744" behindDoc="0" locked="0" layoutInCell="1" allowOverlap="1">
                      <wp:simplePos x="0" y="0"/>
                      <wp:positionH relativeFrom="column">
                        <wp:posOffset>1863090</wp:posOffset>
                      </wp:positionH>
                      <wp:positionV relativeFrom="paragraph">
                        <wp:posOffset>3676650</wp:posOffset>
                      </wp:positionV>
                      <wp:extent cx="720090" cy="288290"/>
                      <wp:effectExtent l="4445" t="4445" r="18415" b="12065"/>
                      <wp:wrapNone/>
                      <wp:docPr id="44" name="文本框 44"/>
                      <wp:cNvGraphicFramePr/>
                      <a:graphic xmlns:a="http://schemas.openxmlformats.org/drawingml/2006/main">
                        <a:graphicData uri="http://schemas.microsoft.com/office/word/2010/wordprocessingShape">
                          <wps:wsp>
                            <wps:cNvSpPr txBox="1"/>
                            <wps:spPr>
                              <a:xfrm>
                                <a:off x="0" y="0"/>
                                <a:ext cx="72009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9E4AB21">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分级</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7pt;margin-top:289.5pt;height:22.7pt;width:56.7pt;z-index:251679744;mso-width-relative:page;mso-height-relative:page;" fillcolor="#FFFFFF [3201]" filled="t" stroked="t" coordsize="21600,21600" o:gfxdata="UEsDBAoAAAAAAIdO4kAAAAAAAAAAAAAAAAAEAAAAZHJzL1BLAwQUAAAACACHTuJAytIpwNgAAAAL&#10;AQAADwAAAGRycy9kb3ducmV2LnhtbE2Py07DMBBF90j8gzVI7KjdJAQaMqkEEhJiR5sNOzeeJhF+&#10;RLHblL9nWMFyNFf3nlNvL86KM81xDB5hvVIgyHfBjL5HaPevd48gYtLeaBs8IXxThG1zfVXryoTF&#10;f9B5l3rBJT5WGmFIaaqkjN1ATsdVmMjz7xhmpxOfcy/NrBcud1ZmSpXS6dHzwqAnehmo+9qdHMJb&#10;+Zw+qTXvJs/ysLSym482It7erNUTiESX9BeGX3xGh4aZDuHkTRQWIdvkBUcR7h82LMWJQpUsc0Ao&#10;s6IA2dTyv0PzA1BLAwQUAAAACACHTuJAoYH9WlcCAAC4BAAADgAAAGRycy9lMm9Eb2MueG1srVTB&#10;bhMxEL0j8Q+W73STkJY0yqYKrYKQKlqpIM6O15u18NrGdrJbPgD+gBMX7nxXv4Nn7yZNWw49kIMz&#10;njd5nnkzk9lZWyuyFc5Lo3M6PBpQIjQ3hdTrnH76uHw1ocQHpgumjBY5vRWens1fvpg1dipGpjKq&#10;EI6ARPtpY3NahWCnWeZ5JWrmj4wVGmBpXM0Crm6dFY41YK9VNhoMTrLGuMI6w4X38F50IO0Z3XMI&#10;TVlKLi4M39RCh47VCcUCSvKVtJ7OU7ZlKXi4KksvAlE5RaUhnXgE9iqe2XzGpmvHbCV5nwJ7TgqP&#10;aqqZ1Hh0T3XBAiMbJ59Q1ZI7400Zjrips66QpAiqGA4eaXNTMStSLZDa273o/v/R8g/ba0dkkdPx&#10;mBLNanT87uePu19/7n5/J/BBoMb6KeJuLCJD+9a0GJud38MZ625LV8dvVESAQ97bvbyiDYTD+Qbt&#10;PwXCAY0mkxFssGf3P7bOh3fC1CQaOXXoXhKVbS996EJ3IfEtb5QsllKpdHHr1blyZMvQ6WX69OwP&#10;wpQmTU5PXh8PEvMDLHLvKVaK8S9PGZCt0kg6atLVHq3QrtpeqJUpbqGTM92oecuXEryXzIdr5jBb&#10;EADbF65wlMogGdNblFTGffuXP8aj5UApaTCrOfVfN8wJStR7jWE4HY7HoA3pMj6GzpS4Q2R1iOhN&#10;fW4g0hB7bnkyY3xQO7N0pv6MJV3EVwExzfF2TsPOPA/dBmHJuVgsUhDG2bJwqW8sj9SxJdosNsGU&#10;MrUuytRp06uHgU7N75cvbszhPUXd/+H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K0inA2AAA&#10;AAsBAAAPAAAAAAAAAAEAIAAAACIAAABkcnMvZG93bnJldi54bWxQSwECFAAUAAAACACHTuJAoYH9&#10;WlcCAAC4BAAADgAAAAAAAAABACAAAAAnAQAAZHJzL2Uyb0RvYy54bWxQSwUGAAAAAAYABgBZAQAA&#10;8AUAAAAA&#10;">
                      <v:fill on="t" focussize="0,0"/>
                      <v:stroke weight="0.5pt" color="#000000 [3204]" joinstyle="round"/>
                      <v:imagedata o:title=""/>
                      <o:lock v:ext="edit" aspectratio="f"/>
                      <v:textbox>
                        <w:txbxContent>
                          <w:p w14:paraId="59E4AB21">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分级</w:t>
                            </w:r>
                          </w:p>
                        </w:txbxContent>
                      </v:textbox>
                    </v:shape>
                  </w:pict>
                </mc:Fallback>
              </mc:AlternateContent>
            </w:r>
            <w:r>
              <w:rPr>
                <w:color w:val="auto"/>
                <w:sz w:val="21"/>
              </w:rPr>
              <mc:AlternateContent>
                <mc:Choice Requires="wps">
                  <w:drawing>
                    <wp:anchor distT="0" distB="0" distL="114300" distR="114300" simplePos="0" relativeHeight="251676672" behindDoc="0" locked="0" layoutInCell="1" allowOverlap="1">
                      <wp:simplePos x="0" y="0"/>
                      <wp:positionH relativeFrom="column">
                        <wp:posOffset>1870710</wp:posOffset>
                      </wp:positionH>
                      <wp:positionV relativeFrom="paragraph">
                        <wp:posOffset>3081020</wp:posOffset>
                      </wp:positionV>
                      <wp:extent cx="720090" cy="288290"/>
                      <wp:effectExtent l="4445" t="4445" r="18415" b="12065"/>
                      <wp:wrapNone/>
                      <wp:docPr id="41" name="文本框 41"/>
                      <wp:cNvGraphicFramePr/>
                      <a:graphic xmlns:a="http://schemas.openxmlformats.org/drawingml/2006/main">
                        <a:graphicData uri="http://schemas.microsoft.com/office/word/2010/wordprocessingShape">
                          <wps:wsp>
                            <wps:cNvSpPr txBox="1"/>
                            <wps:spPr>
                              <a:xfrm>
                                <a:off x="0" y="0"/>
                                <a:ext cx="72009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E2F444C">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碾米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3pt;margin-top:242.6pt;height:22.7pt;width:56.7pt;z-index:251676672;mso-width-relative:page;mso-height-relative:page;" fillcolor="#FFFFFF [3201]" filled="t" stroked="t" coordsize="21600,21600" o:gfxdata="UEsDBAoAAAAAAIdO4kAAAAAAAAAAAAAAAAAEAAAAZHJzL1BLAwQUAAAACACHTuJAQzNc5tgAAAAL&#10;AQAADwAAAGRycy9kb3ducmV2LnhtbE2Py07DMBBF90j8gzVI7KjdJI1CmkklkJAQO9ps2LnxNInq&#10;R2S7Tfl7zAqWozm699xmdzOaXcmHyVmE9UoAI9s7NdkBoTu8PVXAQpRWSe0sIXxTgF17f9fIWrnF&#10;ftJ1HweWQmyoJcIY41xzHvqRjAwrN5NNv5PzRsZ0+oErL5cUbjTPhCi5kZNNDaOc6XWk/ry/GIT3&#10;8iV+Uac+VJ7lbul47086ID4+rMUWWKRb/IPhVz+pQ5ucju5iVWAaIXsuyoQiFNUmA5aIQlRp3RFh&#10;k4sSeNvw/xvaH1BLAwQUAAAACACHTuJANlmmXFYCAAC4BAAADgAAAGRycy9lMm9Eb2MueG1srVTB&#10;bhMxEL0j8Q+W73STkJY0yqYKrYKQKlqpIM6O15u18NrGdrJbPgD+gBMX7nxXv4Nn7yZNWw49kIMz&#10;njd5nnkzk9lZWyuyFc5Lo3M6PBpQIjQ3hdTrnH76uHw1ocQHpgumjBY5vRWens1fvpg1dipGpjKq&#10;EI6ARPtpY3NahWCnWeZ5JWrmj4wVGmBpXM0Crm6dFY41YK9VNhoMTrLGuMI6w4X38F50IO0Z3XMI&#10;TVlKLi4M39RCh47VCcUCSvKVtJ7OU7ZlKXi4KksvAlE5RaUhnXgE9iqe2XzGpmvHbCV5nwJ7TgqP&#10;aqqZ1Hh0T3XBAiMbJ59Q1ZI7400Zjrips66QpAiqGA4eaXNTMStSLZDa273o/v/R8g/ba0dkkdPx&#10;kBLNanT87uePu19/7n5/J/BBoMb6KeJuLCJD+9a0GJud38MZ625LV8dvVESAQ97bvbyiDYTD+Qbt&#10;PwXCAY0mkxFssGf3P7bOh3fC1CQaOXXoXhKVbS996EJ3IfEtb5QsllKpdHHr1blyZMvQ6WX69OwP&#10;wpQmTU5PXh8PEvMDLHLvKVaK8S9PGZCt0kg6atLVHq3QrtpeqJUpbqGTM92oecuXEryXzIdr5jBb&#10;EADbF65wlMogGdNblFTGffuXP8aj5UApaTCrOfVfN8wJStR7jWE4HY7HoA3pMj6GzpS4Q2R1iOhN&#10;fW4gEvqN7JIZ44PamaUz9Wcs6SK+CohpjrdzGnbmeeg2CEvOxWKRgjDOloVLfWN5pI4t0WaxCaaU&#10;qXVRpk6bXj0MdGp+v3xxYw7vKer+D2f+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EMzXObYAAAA&#10;CwEAAA8AAAAAAAAAAQAgAAAAIgAAAGRycy9kb3ducmV2LnhtbFBLAQIUABQAAAAIAIdO4kA2WaZc&#10;VgIAALgEAAAOAAAAAAAAAAEAIAAAACcBAABkcnMvZTJvRG9jLnhtbFBLBQYAAAAABgAGAFkBAADv&#10;BQAAAAA=&#10;">
                      <v:fill on="t" focussize="0,0"/>
                      <v:stroke weight="0.5pt" color="#000000 [3204]" joinstyle="round"/>
                      <v:imagedata o:title=""/>
                      <o:lock v:ext="edit" aspectratio="f"/>
                      <v:textbox>
                        <w:txbxContent>
                          <w:p w14:paraId="6E2F444C">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碾米</w:t>
                            </w:r>
                          </w:p>
                        </w:txbxContent>
                      </v:textbox>
                    </v:shape>
                  </w:pict>
                </mc:Fallback>
              </mc:AlternateContent>
            </w:r>
            <w:r>
              <w:rPr>
                <w:color w:val="auto"/>
                <w:sz w:val="21"/>
              </w:rPr>
              <mc:AlternateContent>
                <mc:Choice Requires="wps">
                  <w:drawing>
                    <wp:anchor distT="0" distB="0" distL="114300" distR="114300" simplePos="0" relativeHeight="251673600" behindDoc="0" locked="0" layoutInCell="1" allowOverlap="1">
                      <wp:simplePos x="0" y="0"/>
                      <wp:positionH relativeFrom="column">
                        <wp:posOffset>1809115</wp:posOffset>
                      </wp:positionH>
                      <wp:positionV relativeFrom="paragraph">
                        <wp:posOffset>6003290</wp:posOffset>
                      </wp:positionV>
                      <wp:extent cx="791845" cy="288290"/>
                      <wp:effectExtent l="4445" t="4445" r="22860" b="12065"/>
                      <wp:wrapNone/>
                      <wp:docPr id="38" name="文本框 38"/>
                      <wp:cNvGraphicFramePr/>
                      <a:graphic xmlns:a="http://schemas.openxmlformats.org/drawingml/2006/main">
                        <a:graphicData uri="http://schemas.microsoft.com/office/word/2010/wordprocessingShape">
                          <wps:wsp>
                            <wps:cNvSpPr txBox="1"/>
                            <wps:spPr>
                              <a:xfrm>
                                <a:off x="0" y="0"/>
                                <a:ext cx="791845"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FEF1B92">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计量包装</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2.45pt;margin-top:472.7pt;height:22.7pt;width:62.35pt;z-index:251673600;mso-width-relative:page;mso-height-relative:page;" fillcolor="#FFFFFF [3201]" filled="t" stroked="t" coordsize="21600,21600" o:gfxdata="UEsDBAoAAAAAAIdO4kAAAAAAAAAAAAAAAAAEAAAAZHJzL1BLAwQUAAAACACHTuJAA+amqNgAAAAL&#10;AQAADwAAAGRycy9kb3ducmV2LnhtbE2Py07DMBBF90j8gzWV2FG7aYiSEKcSSEiIHW027Nx4mkT1&#10;I7Ldpvw9wwqWM3N059xmd7OGXTHEyTsJm7UAhq73enKDhO7w9lgCi0k5rYx3KOEbI+za+7tG1dov&#10;7hOv+zQwCnGxVhLGlOaa89iPaFVc+xkd3U4+WJVoDAPXQS0Ubg3PhCi4VZOjD6Oa8XXE/ry/WAnv&#10;xUv6wk5/6G229UvH+3AyUcqH1UY8A0t4S38w/OqTOrTkdPQXpyMzErIyrwiVUOVPOTAiclEVwI60&#10;qUQJvG34/w7tD1BLAwQUAAAACACHTuJAK4vKrFwCAAC4BAAADgAAAGRycy9lMm9Eb2MueG1srVTB&#10;btswDL0P2D8Iuq9O0rRNgzpFliDDgGIt0A07K7IcC5MlTVJidx+w/cFOu+y+7+p37ElO0rTdoYf5&#10;IFMk/Ug+kr64bGtFNsJ5aXRO+0c9SoTmppB6ldNPHxdvRpT4wHTBlNEip3fC08vJ61cXjR2LgamM&#10;KoQjANF+3NicViHYcZZ5Xoma+SNjhYaxNK5mAVe3ygrHGqDXKhv0eqdZY1xhneHCe2jnnZFuEd1L&#10;AE1ZSi7mhq9roUOH6oRiASX5SlpPJynbshQ8XJelF4GonKLSkE4EgbyMZza5YOOVY7aSfJsCe0kK&#10;T2qqmdQIuoeas8DI2slnULXkznhThiNu6qwrJDGCKvq9J9zcVsyKVAuo9nZPuv9/sPzD5sYRWeT0&#10;GH3XrEbH73/+uP/15/73dwIdCGqsH8Pv1sIztG9Ni7HZ6T2Use62dHV8oyICO+i929Mr2kA4lGfn&#10;/dHwhBIO02A0Gpwn+rOHj63z4Z0wNYlCTh26l0hlmysfkAhcdy4xljdKFgupVLq41XKmHNkwdHqR&#10;npgjPnnkpjRpcnp6fNJLyI9sEXsPsVSMf3mOADylARs56WqPUmiX7ZaopSnuwJMz3ah5yxcSuFfM&#10;hxvmMFugBtsXrnGUyiAZs5UoqYz79i999EfLYaWkwazm1H9dMycoUe81huG8PxzG4U6X4cnZABd3&#10;aFkeWvS6nhmQ1MeeW57E6B/UTiydqT9jSacxKkxMc8TOadiJs9BtEJaci+k0OWGcLQtX+tbyCB1b&#10;os10HUwpU+siTR03W/Yw0Kk92+WLG3N4T14PP5zJX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Pm&#10;pqjYAAAACwEAAA8AAAAAAAAAAQAgAAAAIgAAAGRycy9kb3ducmV2LnhtbFBLAQIUABQAAAAIAIdO&#10;4kAri8qsXAIAALgEAAAOAAAAAAAAAAEAIAAAACcBAABkcnMvZTJvRG9jLnhtbFBLBQYAAAAABgAG&#10;AFkBAAD1BQAAAAA=&#10;">
                      <v:fill on="t" focussize="0,0"/>
                      <v:stroke weight="0.5pt" color="#000000 [3204]" joinstyle="round"/>
                      <v:imagedata o:title=""/>
                      <o:lock v:ext="edit" aspectratio="f"/>
                      <v:textbox>
                        <w:txbxContent>
                          <w:p w14:paraId="4FEF1B92">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计量包装</w:t>
                            </w:r>
                          </w:p>
                        </w:txbxContent>
                      </v:textbox>
                    </v:shape>
                  </w:pict>
                </mc:Fallback>
              </mc:AlternateContent>
            </w:r>
            <w:r>
              <w:rPr>
                <w:color w:val="auto"/>
                <w:sz w:val="21"/>
              </w:rPr>
              <mc:AlternateContent>
                <mc:Choice Requires="wps">
                  <w:drawing>
                    <wp:anchor distT="0" distB="0" distL="114300" distR="114300" simplePos="0" relativeHeight="251680768" behindDoc="0" locked="0" layoutInCell="1" allowOverlap="1">
                      <wp:simplePos x="0" y="0"/>
                      <wp:positionH relativeFrom="column">
                        <wp:posOffset>1831975</wp:posOffset>
                      </wp:positionH>
                      <wp:positionV relativeFrom="paragraph">
                        <wp:posOffset>2494915</wp:posOffset>
                      </wp:positionV>
                      <wp:extent cx="791845" cy="288290"/>
                      <wp:effectExtent l="4445" t="4445" r="22860" b="12065"/>
                      <wp:wrapNone/>
                      <wp:docPr id="45" name="文本框 45"/>
                      <wp:cNvGraphicFramePr/>
                      <a:graphic xmlns:a="http://schemas.openxmlformats.org/drawingml/2006/main">
                        <a:graphicData uri="http://schemas.microsoft.com/office/word/2010/wordprocessingShape">
                          <wps:wsp>
                            <wps:cNvSpPr txBox="1"/>
                            <wps:spPr>
                              <a:xfrm>
                                <a:off x="0" y="0"/>
                                <a:ext cx="791845"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CD9A7D">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谷糙分离</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4.25pt;margin-top:196.45pt;height:22.7pt;width:62.35pt;z-index:251680768;mso-width-relative:page;mso-height-relative:page;" fillcolor="#FFFFFF [3201]" filled="t" stroked="t" coordsize="21600,21600" o:gfxdata="UEsDBAoAAAAAAIdO4kAAAAAAAAAAAAAAAAAEAAAAZHJzL1BLAwQUAAAACACHTuJArRCFfNgAAAAL&#10;AQAADwAAAGRycy9kb3ducmV2LnhtbE2Py07DMBBF90j8gzVI7KgTG6o0jVMJJCTEjpINOzeeJlH9&#10;iGy3KX/PsILdjObozrnN7uosu2BMU/AKylUBDH0fzOQHBd3n60MFLGXtjbbBo4JvTLBrb28aXZuw&#10;+A+87PPAKMSnWisYc55rzlM/otNpFWb0dDuG6HSmNQ7cRL1QuLNcFMWaOz15+jDqGV9G7E/7s1Pw&#10;tn7OX9iZdyOFDEvH+3i0San7u7LYAst4zX8w/OqTOrTkdAhnbxKzCkRVPRGqQG7EBhgRj6UUwA40&#10;yEoCbxv+v0P7A1BLAwQUAAAACACHTuJAqBZNn1oCAAC4BAAADgAAAGRycy9lMm9Eb2MueG1srVTN&#10;bhMxEL4j8Q6W73STkJY06qYKrYKQKlqpIM6O15u18B+2k93yAPAGnLhw57n6HHz2Jukfhx7Yg3c8&#10;M/vNzDcze3LaaUU2wgdpTUmHBwNKhOG2kmZV0k8fF68mlITITMWUNaKkNyLQ09nLFyetm4qRbayq&#10;hCcAMWHaupI2MbppUQTeCM3CgXXCwFhbr1nE1a+KyrMW6FoVo8HgqGitr5y3XIQA7XlvpFtE/xxA&#10;W9eSi3PL11qY2KN6oVhESaGRLtBZzrauBY+XdR1EJKqkqDTmE0EgL9NZzE7YdOWZayTfpsCek8Kj&#10;mjSTBkH3UOcsMrL28gmUltzbYOt4wK0u+kIyI6hiOHjEzXXDnMi1gOrg9qSH/wfLP2yuPJFVSceH&#10;lBim0fHbnz9uf/25/f2dQAeCWhem8Lt28IzdW9thbHb6AGWqu6u9Tm9URGAHvTd7ekUXCYfyzfFw&#10;kqJwmEaTyeg401/cfex8iO+E1SQJJfXoXiaVbS5CRCJw3bmkWMEqWS2kUvniV8sz5cmGodOL/KQc&#10;8ckDN2VIW9Kj14eDjPzAlrD3EEvF+JenCMBTBrCJk772JMVu2W2JWtrqBjx5249acHwhgXvBQrxi&#10;HrMFarB98RJHrSySsVuJksb6b//SJ3+0HFZKWsxqScPXNfOCEvXeYBiOh+NxGu58GR++GeHi71uW&#10;9y1mrc8sSBpizx3PYvKPaifW3urPWNJ5igoTMxyxSxp34lnsNwhLzsV8np0wzo7FC3PteIJOLTF2&#10;vo62lrl1iaaemy17GOjcnu3ypY25f89edz+c2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tEIV8&#10;2AAAAAsBAAAPAAAAAAAAAAEAIAAAACIAAABkcnMvZG93bnJldi54bWxQSwECFAAUAAAACACHTuJA&#10;qBZNn1oCAAC4BAAADgAAAAAAAAABACAAAAAnAQAAZHJzL2Uyb0RvYy54bWxQSwUGAAAAAAYABgBZ&#10;AQAA8wUAAAAA&#10;">
                      <v:fill on="t" focussize="0,0"/>
                      <v:stroke weight="0.5pt" color="#000000 [3204]" joinstyle="round"/>
                      <v:imagedata o:title=""/>
                      <o:lock v:ext="edit" aspectratio="f"/>
                      <v:textbox>
                        <w:txbxContent>
                          <w:p w14:paraId="54CD9A7D">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谷糙分离</w:t>
                            </w:r>
                          </w:p>
                        </w:txbxContent>
                      </v:textbox>
                    </v:shape>
                  </w:pict>
                </mc:Fallback>
              </mc:AlternateContent>
            </w:r>
            <w:r>
              <w:rPr>
                <w:color w:val="auto"/>
                <w:sz w:val="21"/>
              </w:rPr>
              <mc:AlternateContent>
                <mc:Choice Requires="wps">
                  <w:drawing>
                    <wp:anchor distT="0" distB="0" distL="114300" distR="114300" simplePos="0" relativeHeight="251692032" behindDoc="0" locked="0" layoutInCell="1" allowOverlap="1">
                      <wp:simplePos x="0" y="0"/>
                      <wp:positionH relativeFrom="column">
                        <wp:posOffset>2218055</wp:posOffset>
                      </wp:positionH>
                      <wp:positionV relativeFrom="paragraph">
                        <wp:posOffset>6289675</wp:posOffset>
                      </wp:positionV>
                      <wp:extent cx="635" cy="288290"/>
                      <wp:effectExtent l="38100" t="0" r="37465" b="16510"/>
                      <wp:wrapNone/>
                      <wp:docPr id="56" name="直接连接符 56"/>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495.25pt;height:22.7pt;width:0.05pt;z-index:251692032;mso-width-relative:page;mso-height-relative:page;" filled="f" stroked="t" coordsize="21600,21600" o:gfxdata="UEsDBAoAAAAAAIdO4kAAAAAAAAAAAAAAAAAEAAAAZHJzL1BLAwQUAAAACACHTuJAG6KNw9sAAAAM&#10;AQAADwAAAGRycy9kb3ducmV2LnhtbE2PsU7DMBCGdyTewTokloraJW3BIU4HJGChA6VSO7qxSaLE&#10;59R22vL2HBOMd/fpv+8vVhfXs5MNsfWoYDYVwCxW3rRYK9h+vtw9AotJo9G9R6vg20ZYlddXhc6N&#10;P+OHPW1SzSgEY64VNCkNOeexaqzTceoHi3T78sHpRGOouQn6TOGu5/dCLLnTLdKHRg/2ubFVtxmd&#10;guP7Puz2r3LpOuwe/Hgc3ybriVK3NzPxBCzZS/qD4Vef1KEkp4Mf0UTWK8jmMiNUgZRiAYwI2syB&#10;HQgV2UICLwv+v0T5A1BLAwQUAAAACACHTuJAecSuoAUCAADtAwAADgAAAGRycy9lMm9Eb2MueG1s&#10;rVNLjhMxEN0jcQfLe9KZoIlCK51ZTBhYIIgEHKBiu7st+SeXJ51cggsgsYMVS/bchuEYlN0h82Ez&#10;C3phlcvVr+o9Py8v9tawnYqovWv42WTKmXLCS+26hn/8cPVswRkmcBKMd6rhB4X8YvX0yXIItZr5&#10;3hupIiMQh/UQGt6nFOqqQtErCzjxQTk6bH20kGgbu0pGGAjdmmo2nc6rwUcZohcKkbLr8ZAfEeNj&#10;AH3baqHWXlxb5dKIGpWBRJSw1wH5qkzbtkqkd22LKjHTcGKaykpNKN7mtVotoe4ihF6L4wjwmBEe&#10;cLKgHTU9Qa0hAbuO+h8oq0X06Ns0Ed5WI5GiCLE4mz7Q5n0PQRUuJDWGk+j4/2DF290mMi0bfj7n&#10;zIGlG7/5/OPXp6+/f36h9eb7N0YnJNMQsKbqS7eJxx2GTcyc9220rDU6vCY/FRWIF9sXkQ8nkdU+&#10;MUHJ+fNzzgTlZ4vF7EW5gWrEyFghYnqlvGU5aLjRLgsANezeYKK+VPq3JKedv9LGlEs0jg0Fna5W&#10;ABmzJUNQaAORQ9dxBqYjx4sUCyJ6o2X+O+Ng7LaXJrIdZJ+UL3OmbvfKcus1YD/WlaPRQb0C+dJJ&#10;lg6BBHT0cMZ8Am1u8ylqcJ1RPE9qleTMKJooR2Mz46hnFnqUNkdbLw9F8ZInF5Spjo7NNru7L3/f&#10;vtL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BuijcPbAAAADAEAAA8AAAAAAAAAAQAgAAAAIgAA&#10;AGRycy9kb3ducmV2LnhtbFBLAQIUABQAAAAIAIdO4kB5xK6gBQIAAO0DAAAOAAAAAAAAAAEAIAAA&#10;ACoBAABkcnMvZTJvRG9jLnhtbFBLBQYAAAAABgAGAFkBAAChBQ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91008" behindDoc="0" locked="0" layoutInCell="1" allowOverlap="1">
                      <wp:simplePos x="0" y="0"/>
                      <wp:positionH relativeFrom="column">
                        <wp:posOffset>2218055</wp:posOffset>
                      </wp:positionH>
                      <wp:positionV relativeFrom="paragraph">
                        <wp:posOffset>5708650</wp:posOffset>
                      </wp:positionV>
                      <wp:extent cx="635" cy="288290"/>
                      <wp:effectExtent l="38100" t="0" r="37465" b="16510"/>
                      <wp:wrapNone/>
                      <wp:docPr id="55" name="直接连接符 55"/>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449.5pt;height:22.7pt;width:0.05pt;z-index:251691008;mso-width-relative:page;mso-height-relative:page;" filled="f" stroked="t" coordsize="21600,21600" o:gfxdata="UEsDBAoAAAAAAIdO4kAAAAAAAAAAAAAAAAAEAAAAZHJzL1BLAwQUAAAACACHTuJAJIeId9oAAAAL&#10;AQAADwAAAGRycy9kb3ducmV2LnhtbE2PwU7DMAyG70i8Q2QkLhNLx6qxlKY7IAEXODCQ2DFrTFu1&#10;cbok3cbbY05wtP3p9/eXm7MbxBFD7DxpWMwzEEi1tx01Gj7eH2/WIGIyZM3gCTV8Y4RNdXlRmsL6&#10;E73hcZsawSEUC6OhTWkspIx1i87EuR+R+PblgzOJx9BIG8yJw90gb7NsJZ3piD+0ZsSHFut+OzkN&#10;h5dd+Nw9qZXrqb/z02F6nr3OtL6+WmT3IBKe0x8Mv/qsDhU77f1ENopBwzJXS0Y1rJXiUkzwJgex&#10;16DyPAdZlfJ/h+oHUEsDBBQAAAAIAIdO4kAC3NFGBAIAAO0DAAAOAAAAZHJzL2Uyb0RvYy54bWyt&#10;U0uOEzEQ3SNxB8t70pmgGYVWOrOYMLBAEAk4QMWfbkv+yeXJ5xJcAIkdrFiy5zYMx6DsDhkYNrOg&#10;F1a5XP2q3vPz4nLvLNuqhCb4jp9NppwpL4I0vu/4+3fXT+acYQYvwQavOn5QyC+Xjx8tdrFVszAE&#10;K1ViBOKx3cWODznHtmlQDMoBTkJUng51SA4ybVPfyAQ7Qne2mU2nF80uJBlTEAqRsqvxkB8R00MA&#10;g9ZGqFUQN075PKImZSETJRxMRL6s02qtRH6jNarMbMeJaa4rNaF4U9ZmuYC2TxAHI44jwENGuMfJ&#10;gfHU9AS1ggzsJpl/oJwRKWDQeSKCa0YiVRFicTa9p83bAaKqXEhqjCfR8f/BitfbdWJGdvz8nDMP&#10;jm789uO3Hx8+//z+idbbr18YnZBMu4gtVV/5dTruMK5T4bzXyTFtTXxJfqoqEC+2ryIfTiKrfWaC&#10;khdPqZGg/Gw+nz2rN9CMGAUrJswvVHCsBB23xhcBoIXtK8zUl0p/l5S0D9fG2nqJ1rNdRaerFUDG&#10;1GQICl0kcuh7zsD25HiRU0XEYI0sfxccTP3myia2heKT+hXO1O2vstJ6BTiMdfVodNCgQD73kuVD&#10;JAE9PZwxn8HYu3xOBnxvFS+TOiU5s4omKtHYzHrqWYQepS3RJshDVbzmyQV1qqNji83+3Ne/717p&#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kh4h32gAAAAsBAAAPAAAAAAAAAAEAIAAAACIAAABk&#10;cnMvZG93bnJldi54bWxQSwECFAAUAAAACACHTuJAAtzRRgQCAADtAwAADgAAAAAAAAABACAAAAAp&#10;AQAAZHJzL2Uyb0RvYy54bWxQSwUGAAAAAAYABgBZAQAAnwU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89984" behindDoc="0" locked="0" layoutInCell="1" allowOverlap="1">
                      <wp:simplePos x="0" y="0"/>
                      <wp:positionH relativeFrom="column">
                        <wp:posOffset>2218055</wp:posOffset>
                      </wp:positionH>
                      <wp:positionV relativeFrom="paragraph">
                        <wp:posOffset>5118100</wp:posOffset>
                      </wp:positionV>
                      <wp:extent cx="635" cy="288290"/>
                      <wp:effectExtent l="38100" t="0" r="37465" b="16510"/>
                      <wp:wrapNone/>
                      <wp:docPr id="54" name="直接连接符 54"/>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403pt;height:22.7pt;width:0.05pt;z-index:251689984;mso-width-relative:page;mso-height-relative:page;" filled="f" stroked="t" coordsize="21600,21600" o:gfxdata="UEsDBAoAAAAAAIdO4kAAAAAAAAAAAAAAAAAEAAAAZHJzL1BLAwQUAAAACACHTuJA/eubItoAAAAL&#10;AQAADwAAAGRycy9kb3ducmV2LnhtbE2PPU/DMBCGdyT+g3VILBW1Q0NoQ5wOSMBCBwoSHd34SKLE&#10;5zR22vLvOSYY771H70exPrteHHEMrScNyVyBQKq8banW8PH+dLMEEaIha3pPqOEbA6zLy4vC5Naf&#10;6A2P21gLNqGQGw1NjEMuZagadCbM/YDEvy8/OhP5HGtpR3Nic9fLW6Uy6UxLnNCYAR8brLrt5DQc&#10;Xnfj5+55lbmOuns/HaaX2Wam9fVVoh5ARDzHPxh+63N1KLnT3k9kg+g1LNLVglENS5XxKCZYSUHs&#10;WblLUpBlIf9vKH8AUEsDBBQAAAAIAIdO4kAr1AQbBgIAAO0DAAAOAAAAZHJzL2Uyb0RvYy54bWyt&#10;U81uEzEQviPxDpbvZNNAq3SVTQ8NhQOCSMADTGzvriX/yeNmk5fgBZC4wYkj974N5TE69oYUyqUH&#10;9mCNx7PfzPf58+JiZw3bqojau4afTKacKSe81K5r+McPV8/mnGECJ8F4pxq+V8gvlk+fLIZQq5nv&#10;vZEqMgJxWA+h4X1Koa4qFL2ygBMflKPD1kcLibaxq2SEgdCtqWbT6Vk1+ChD9EIhUnY1HvIDYnwM&#10;oG9bLdTKi2urXBpRozKQiBL2OiBflmnbVon0rm1RJWYaTkxTWakJxZu8VssF1F2E0GtxGAEeM8ID&#10;Tha0o6ZHqBUkYNdR/wNltYgefZsmwttqJFIUIRYn0wfavO8hqMKFpMZwFB3/H6x4u11HpmXDT19w&#10;5sDSjd9+/vHz09dfN19ovf3+jdEJyTQErKn60q3jYYdhHTPnXRsta40Or8lPRQXixXZF5P1RZLVL&#10;TFDy7PkpZ4Lys/l8dl5uoBoxMlaImF4pb1kOGm60ywJADds3mKgvlf4uyWnnr7Qx5RKNY0NBp6sV&#10;QMZsyRAU2kDk0HWcgenI8SLFgojeaJn/zjgYu82liWwL2Sfly5yp219lufUKsB/rytHooF6BfOkk&#10;S/tAAjp6OGM+gTb3+RQ1uM4onie1SnJmFE2Uo7GZcdQzCz1Km6ONl/uieMmTC8pUB8dmm/25L3/f&#10;v9L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3rmyLaAAAACwEAAA8AAAAAAAAAAQAgAAAAIgAA&#10;AGRycy9kb3ducmV2LnhtbFBLAQIUABQAAAAIAIdO4kAr1AQbBgIAAO0DAAAOAAAAAAAAAAEAIAAA&#10;ACkBAABkcnMvZTJvRG9jLnhtbFBLBQYAAAAABgAGAFkBAAChBQ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88960" behindDoc="0" locked="0" layoutInCell="1" allowOverlap="1">
                      <wp:simplePos x="0" y="0"/>
                      <wp:positionH relativeFrom="column">
                        <wp:posOffset>2218055</wp:posOffset>
                      </wp:positionH>
                      <wp:positionV relativeFrom="paragraph">
                        <wp:posOffset>4556125</wp:posOffset>
                      </wp:positionV>
                      <wp:extent cx="635" cy="288290"/>
                      <wp:effectExtent l="38100" t="0" r="37465" b="16510"/>
                      <wp:wrapNone/>
                      <wp:docPr id="53" name="直接连接符 53"/>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358.75pt;height:22.7pt;width:0.05pt;z-index:251688960;mso-width-relative:page;mso-height-relative:page;" filled="f" stroked="t" coordsize="21600,21600" o:gfxdata="UEsDBAoAAAAAAIdO4kAAAAAAAAAAAAAAAAAEAAAAZHJzL1BLAwQUAAAACACHTuJA6GlxsNsAAAAL&#10;AQAADwAAAGRycy9kb3ducmV2LnhtbE2PwU7DMAyG70i8Q2QkLhNLu412LU13QAIucGAgbcesMW3V&#10;xumadBtvjznB0b8//f5cbC62FyccfetIQTyPQCBVzrRUK/j8eLpbg/BBk9G9I1TwjR425fVVoXPj&#10;zvSOp22oBZeQz7WCJoQhl9JXDVrt525A4t2XG60OPI61NKM+c7nt5SKKEml1S3yh0QM+Nlh128kq&#10;OL7ux93+OUtsR13qpuP0MnubKXV7E0cPIAJewh8Mv/qsDiU7HdxExotewXKVLRlVkMbpPQgmOFmB&#10;OHCSLDKQZSH//1D+AFBLAwQUAAAACACHTuJAtepeUQYCAADtAwAADgAAAGRycy9lMm9Eb2MueG1s&#10;rVPNbhMxEL4j8Q6W72TTVK3CKpseGgoHBJGAB5h47V1L/pPHzSYvwQsgcYMTR+68TctjMPamaSmX&#10;HtiDNR7PfjPf58+Li501bCsjau8afjKZciad8K12XcM/fbx6MecME7gWjHey4XuJ/GL5/NliCLWc&#10;+d6bVkZGIA7rITS8TynUVYWilxZw4oN0dKh8tJBoG7uqjTAQujXVbDo9rwYf2xC9kIiUXY2H/IAY&#10;nwLoldJCrry4ttKlETVKA4koYa8D8mWZVikp0nulUCZmGk5MU1mpCcWbvFbLBdRdhNBrcRgBnjLC&#10;I04WtKOmR6gVJGDXUf8DZbWIHr1KE+FtNRIpihCLk+kjbT70EGThQlJjOIqO/w9WvNuuI9Ntw89O&#10;OXNg6cZvv/y8+fzt96+vtN7++M7ohGQaAtZUfenW8bDDsI6Z805Fy5TR4Q35qahAvNiuiLw/iix3&#10;iQlKnp+ecSYoP5vPZy/LDVQjRsYKEdNr6S3LQcONdlkAqGH7FhP1pdK7kpx2/kobUy7RODYUdLpa&#10;AWRMRYag0AYih67jDExHjhcpFkT0Rrf574yDsdtcmsi2kH1SvsyZuv1VlluvAPuxrhyNDuoltK9c&#10;y9I+kICOHs6YT6DNfT5FDa4zkudJrWw5M5ImytHYzDjqmYUepc3Rxrf7onjJkwvKVAfHZps93Je/&#10;71/p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oaXGw2wAAAAsBAAAPAAAAAAAAAAEAIAAAACIA&#10;AABkcnMvZG93bnJldi54bWxQSwECFAAUAAAACACHTuJAtepeUQYCAADtAwAADgAAAAAAAAABACAA&#10;AAAqAQAAZHJzL2Uyb0RvYy54bWxQSwUGAAAAAAYABgBZAQAAogU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87936" behindDoc="0" locked="0" layoutInCell="1" allowOverlap="1">
                      <wp:simplePos x="0" y="0"/>
                      <wp:positionH relativeFrom="column">
                        <wp:posOffset>2218055</wp:posOffset>
                      </wp:positionH>
                      <wp:positionV relativeFrom="paragraph">
                        <wp:posOffset>3975100</wp:posOffset>
                      </wp:positionV>
                      <wp:extent cx="635" cy="288290"/>
                      <wp:effectExtent l="38100" t="0" r="37465" b="16510"/>
                      <wp:wrapNone/>
                      <wp:docPr id="52" name="直接连接符 52"/>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313pt;height:22.7pt;width:0.05pt;z-index:251687936;mso-width-relative:page;mso-height-relative:page;" filled="f" stroked="t" coordsize="21600,21600" o:gfxdata="UEsDBAoAAAAAAIdO4kAAAAAAAAAAAAAAAAAEAAAAZHJzL1BLAwQUAAAACACHTuJAvWH1v9oAAAAL&#10;AQAADwAAAGRycy9kb3ducmV2LnhtbE2PPU/DMBCGdyT+g3VILBV10kYpDXE6IAELDC1IdHTjI4kS&#10;n1Pbacu/55hgvPcevR/l5mIHcUIfOkcK0nkCAql2pqNGwcf70909iBA1GT04QgXfGGBTXV+VujDu&#10;TFs87WIj2IRCoRW0MY6FlKFu0eowdyMS/76ctzry6RtpvD6zuR3kIklyaXVHnNDqER9brPvdZBUc&#10;X/f+c/+8zm1P/cpNx+ll9jZT6vYmTR5ARLzEPxh+63N1qLjTwU1kghgULLP1klEF+SLnUUywkoE4&#10;sLJKM5BVKf9vqH4AUEsDBBQAAAAIAIdO4kCc4osMBgIAAO0DAAAOAAAAZHJzL2Uyb0RvYy54bWyt&#10;U0uOEzEQ3SNxB8t70plGMwqtdGYxYWCBIBJwgIrt7rbkn1yedHIJLoDEDlYs2XMbhmNQdocMDJtZ&#10;0AurXK5+Ve/5eXm5t4btVETtXcvPZnPOlBNeate3/P276ycLzjCBk2C8Uy0/KOSXq8ePlmNoVO0H&#10;b6SKjEAcNmNo+ZBSaKoKxaAs4MwH5eiw89FCom3sKxlhJHRrqno+v6hGH2WIXihEyq6nQ35EjA8B&#10;9F2nhVp7cWOVSxNqVAYSUcJBB+SrMm3XKZHedB2qxEzLiWkqKzWheJvXarWEpo8QBi2OI8BDRrjH&#10;yYJ21PQEtYYE7Cbqf6CsFtGj79JMeFtNRIoixOJsfk+btwMEVbiQ1BhOouP/gxWvd5vItGz5ec2Z&#10;A0s3fvvx248Pn39+/0Tr7dcvjE5IpjFgQ9VXbhOPOwybmDnvu2hZZ3R4SX4qKhAvti8iH04iq31i&#10;gpIXT885E5SvF4v6WbmBasLIWCFieqG8ZTloudEuCwAN7F5hor5U+rskp52/1saUSzSOjQWdrlYA&#10;GbMjQ1BoA5FD13MGpifHixQLInqjZf4742Dst1cmsh1kn5Qvc6Zuf5Xl1mvAYaorR5ODBgXyuZMs&#10;HQIJ6OjhTPkE2tzlU9TgeqN4ntQqyZlRNFGOpmbGUc8s9CRtjrZeHoriJU8uKFMdHZtt9ue+/H33&#10;Sle/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1h9b/aAAAACwEAAA8AAAAAAAAAAQAgAAAAIgAA&#10;AGRycy9kb3ducmV2LnhtbFBLAQIUABQAAAAIAIdO4kCc4osMBgIAAO0DAAAOAAAAAAAAAAEAIAAA&#10;ACkBAABkcnMvZTJvRG9jLnhtbFBLBQYAAAAABgAGAFkBAAChBQ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86912" behindDoc="0" locked="0" layoutInCell="1" allowOverlap="1">
                      <wp:simplePos x="0" y="0"/>
                      <wp:positionH relativeFrom="column">
                        <wp:posOffset>2218055</wp:posOffset>
                      </wp:positionH>
                      <wp:positionV relativeFrom="paragraph">
                        <wp:posOffset>3375025</wp:posOffset>
                      </wp:positionV>
                      <wp:extent cx="635" cy="288290"/>
                      <wp:effectExtent l="38100" t="0" r="37465" b="16510"/>
                      <wp:wrapNone/>
                      <wp:docPr id="51" name="直接连接符 51"/>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265.75pt;height:22.7pt;width:0.05pt;z-index:251686912;mso-width-relative:page;mso-height-relative:page;" filled="f" stroked="t" coordsize="21600,21600" o:gfxdata="UEsDBAoAAAAAAIdO4kAAAAAAAAAAAAAAAAAEAAAAZHJzL1BLAwQUAAAACACHTuJA/P0szNsAAAAL&#10;AQAADwAAAGRycy9kb3ducmV2LnhtbE2PwU7DMAyG70i8Q2QkLhNLS7duLU13QAIucGAgbcesNW3V&#10;xumSdBtvjznB0b8//f5cbC5mECd0vrOkIJ5HIJAqW3fUKPj8eLpbg/BBU60HS6jgGz1syuurQue1&#10;PdM7nrahEVxCPtcK2hDGXEpftWi0n9sRiXdf1hkdeHSNrJ0+c7kZ5H0UpdLojvhCq0d8bLHqt5NR&#10;cHzdu93+OUtNT/3KTsfpZfY2U+r2Jo4eQAS8hD8YfvVZHUp2OtiJai8GBckiSxhVsEziJQgmOFmA&#10;OHCySjOQZSH//1D+AFBLAwQUAAAACACHTuJA5/r06gUCAADtAwAADgAAAGRycy9lMm9Eb2MueG1s&#10;rVNLjhMxEN0jcQfLe9JJ0IxCK51ZTBhYIIgEHKDitrst+SeXJ51cggsgsYMVS/bchuEYlN0h82Ez&#10;C3phlcvVr+o9Py8v9tawnYyovWv4bDLlTDrhW+26hn/8cPVswRkmcC0Y72TDDxL5xerpk+UQajn3&#10;vTetjIxAHNZDaHifUqirCkUvLeDEB+noUPloIdE2dlUbYSB0a6r5dHpeDT62IXohESm7Hg/5ETE+&#10;BtArpYVce3FtpUsjapQGElHCXgfkqzKtUlKkd0qhTMw0nJimslITird5rVZLqLsIodfiOAI8ZoQH&#10;nCxoR01PUGtIwK6j/gfKahE9epUmwttqJFIUIRaz6QNt3vcQZOFCUmM4iY7/D1a83W0i023Dz2ac&#10;ObB04zeff/z69PX3zy+03nz/xuiEZBoC1lR96TbxuMOwiZnzXkXLlNHhNfmpqEC82L6IfDiJLPeJ&#10;CUqePz/jTFB+vljMX5QbqEaMjBUiplfSW5aDhhvtsgBQw+4NJupLpX9Lctr5K21MuUTj2FDQ6WoF&#10;kDEVGYJCG4gcuo4zMB05XqRYENEb3ea/Mw7GbntpIttB9kn5Mmfqdq8st14D9mNdORod1EtoX7qW&#10;pUMgAR09nDGfQJvbfIoaXGckz5Na2XJmJE2Uo7GZcdQzCz1Km6Otbw9F8ZInF5Spjo7NNru7L3/f&#10;vtLV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Pz9LMzbAAAACwEAAA8AAAAAAAAAAQAgAAAAIgAA&#10;AGRycy9kb3ducmV2LnhtbFBLAQIUABQAAAAIAIdO4kDn+vTqBQIAAO0DAAAOAAAAAAAAAAEAIAAA&#10;ACoBAABkcnMvZTJvRG9jLnhtbFBLBQYAAAAABgAGAFkBAAChBQ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85888" behindDoc="0" locked="0" layoutInCell="1" allowOverlap="1">
                      <wp:simplePos x="0" y="0"/>
                      <wp:positionH relativeFrom="column">
                        <wp:posOffset>2218055</wp:posOffset>
                      </wp:positionH>
                      <wp:positionV relativeFrom="paragraph">
                        <wp:posOffset>2794000</wp:posOffset>
                      </wp:positionV>
                      <wp:extent cx="635" cy="288290"/>
                      <wp:effectExtent l="38100" t="0" r="37465" b="16510"/>
                      <wp:wrapNone/>
                      <wp:docPr id="50" name="直接连接符 50"/>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220pt;height:22.7pt;width:0.05pt;z-index:251685888;mso-width-relative:page;mso-height-relative:page;" filled="f" stroked="t" coordsize="21600,21600" o:gfxdata="UEsDBAoAAAAAAIdO4kAAAAAAAAAAAAAAAAAEAAAAZHJzL1BLAwQUAAAACACHTuJA/NEy8dkAAAAL&#10;AQAADwAAAGRycy9kb3ducmV2LnhtbE2PPU/DMBCGdyT+g3VILBV1Sk1pQ5wOSMBCBwoSHd34SKLE&#10;59R22vLvOSYY771H70exPrteHDHE1pOG2TQDgVR521Kt4eP96WYJIiZD1vSeUMM3RliXlxeFya0/&#10;0Rset6kWbEIxNxqalIZcylg16Eyc+gGJf18+OJP4DLW0wZzY3PXyNssW0pmWOKExAz42WHXb0Wk4&#10;vO7C5+55tXAddfd+PIwvk81E6+urWfYAIuE5/cHwW5+rQ8md9n4kG0WvYa5Wc0Y1KJXxKCZYUSD2&#10;rCzvFMiykP83lD9QSwMEFAAAAAgAh07iQM7yIbcDAgAA7QMAAA4AAABkcnMvZTJvRG9jLnhtbK1T&#10;S44TMRDdI3EHy3vSmaAZhVY6s5gwsEAQCThAxZ9uS/7J5cnnElwAiR2sWLLnNgzHoOwOGRg2s6AX&#10;VrlcflXv9fPicu8s26qEJviOn02mnCkvgjS+7/j7d9dP5pxhBi/BBq86flDIL5ePHy12sVWzMAQr&#10;VWIE4rHdxY4POce2aVAMygFOQlSeDnVIDjJtU9/IBDtCd7aZTacXzS4kGVMQCpGyq/GQHxHTQwCD&#10;1kaoVRA3Tvk8oiZlIRMlHExEvqzTaq1EfqM1qsxsx4lpris1oXhT1ma5gLZPEAcjjiPAQ0a4x8mB&#10;8dT0BLWCDOwmmX+gnBEpYNB5IoJrRiJVEWJxNr2nzdsBoqpcSGqMJ9Hx/8GK19t1YkZ2/Jwk8eDo&#10;j99+/Pbjw+ef3z/Revv1C6MTkmkXsaXqK79Oxx3GdSqc9zo5pq2JL8lPVQXixfZV5MNJZLXPTFDy&#10;4uk5Z4Lys/l89qxCNyNGwYoJ8wsVHCtBx63xRQBoYfsKM/Wl0t8lJe3DtbG2/kTr2a6iEw8BZExN&#10;hqDQRSKHvucMbE+OFzlVRAzWyHK74GDqN1c2sS0Un9SvcKZuf5WV1ivAYayrR6ODBgXyuZcsHyIJ&#10;6OnhjPkMxt7lczLge6t4mdQpyZlVNFGJxmbWU88i9ChtiTZBHqriNU8uqFMdHVts9ue+3r57pct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NEy8dkAAAALAQAADwAAAAAAAAABACAAAAAiAAAAZHJz&#10;L2Rvd25yZXYueG1sUEsBAhQAFAAAAAgAh07iQM7yIbcDAgAA7QMAAA4AAAAAAAAAAQAgAAAAKAEA&#10;AGRycy9lMm9Eb2MueG1sUEsFBgAAAAAGAAYAWQEAAJ0FA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83840" behindDoc="0" locked="0" layoutInCell="1" allowOverlap="1">
                      <wp:simplePos x="0" y="0"/>
                      <wp:positionH relativeFrom="column">
                        <wp:posOffset>2218055</wp:posOffset>
                      </wp:positionH>
                      <wp:positionV relativeFrom="paragraph">
                        <wp:posOffset>1631950</wp:posOffset>
                      </wp:positionV>
                      <wp:extent cx="635" cy="288290"/>
                      <wp:effectExtent l="38100" t="0" r="37465" b="16510"/>
                      <wp:wrapNone/>
                      <wp:docPr id="48" name="直接连接符 48"/>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128.5pt;height:22.7pt;width:0.05pt;z-index:251683840;mso-width-relative:page;mso-height-relative:page;" filled="f" stroked="t" coordsize="21600,21600" o:gfxdata="UEsDBAoAAAAAAIdO4kAAAAAAAAAAAAAAAAAEAAAAZHJzL1BLAwQUAAAACACHTuJAzNf1XdsAAAAL&#10;AQAADwAAAGRycy9kb3ducmV2LnhtbE2PzU7DMBCE70i8g7VIXCpqNw39CXF6QAIucKAgtUc3XpIo&#10;8TqNnba8PcsJbrs7o9lv8s3FdeKEQ2g8aZhNFQik0tuGKg2fH093KxAhGrKm84QavjHApri+yk1m&#10;/Zne8bSNleAQCpnRUMfYZ1KGskZnwtT3SKx9+cGZyOtQSTuYM4e7TiZKLaQzDfGH2vT4WGPZbken&#10;4fi6H3b75/XCtdQu/XgcXyZvE61vb2bqAUTES/wzwy8+o0PBTAc/kg2i0zBP13O2akjul1yKHXxJ&#10;QRx4UEkKssjl/w7FD1BLAwQUAAAACACHTuJAIfT1dgUCAADtAwAADgAAAGRycy9lMm9Eb2MueG1s&#10;rVNLjhMxEN0jcQfLe9KZAKMQpTOLCQMLBJGAA1T86bbkn1yedHIJLoDEDlYs2XMbhmNQdocMDJtZ&#10;0AurXFX9qt6r8vJi7yzbqYQm+JafTaacKS+CNL5r+ft3V4/mnGEGL8EGr1p+UMgvVg8fLIe4ULPQ&#10;BytVYgTicTHElvc5x0XToOiVA5yEqDwFdUgOMl1T18gEA6E728ym0/NmCEnGFIRCJO96DPIjYroP&#10;YNDaCLUO4topn0fUpCxkooS9ichXtVutlchvtEaVmW05Mc31pCJkb8vZrJaw6BLE3ohjC3CfFu5w&#10;cmA8FT1BrSEDu07mHyhnRAoYdJ6I4JqRSFWEWJxN72jztoeoKheSGuNJdPx/sOL1bpOYkS1/QnP3&#10;4GjiNx+//fjw+ef3T3TefP3CKEIyDREXlH3pN+l4w7hJhfNeJ8e0NfEl7VNVgXixfRX5cBJZ7TMT&#10;5Dx//JQzQf7ZfD57VifQjBgFKybML1RwrBgtt8YXAWABu1eYqS6l/k4pbh+ujLV1iNazoaLTaAXQ&#10;YmpaCDJdJHLoO87AdrTxIqeKiMEaWf4uOJi67aVNbAdlT+pXOFO1v9JK6TVgP+bV0LhBvQL53EuW&#10;D5EE9PRwRn8GY2/9ORnwnVW8dOqU5Mwq6qhYYzHrqWYRepS2WNsgD1Xx6qctqF0dN7as2Z/3+vft&#10;K139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MzX9V3bAAAACwEAAA8AAAAAAAAAAQAgAAAAIgAA&#10;AGRycy9kb3ducmV2LnhtbFBLAQIUABQAAAAIAIdO4kAh9PV2BQIAAO0DAAAOAAAAAAAAAAEAIAAA&#10;ACoBAABkcnMvZTJvRG9jLnhtbFBLBQYAAAAABgAGAFkBAAChBQ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84864" behindDoc="0" locked="0" layoutInCell="1" allowOverlap="1">
                      <wp:simplePos x="0" y="0"/>
                      <wp:positionH relativeFrom="column">
                        <wp:posOffset>2218055</wp:posOffset>
                      </wp:positionH>
                      <wp:positionV relativeFrom="paragraph">
                        <wp:posOffset>2212975</wp:posOffset>
                      </wp:positionV>
                      <wp:extent cx="635" cy="288290"/>
                      <wp:effectExtent l="38100" t="0" r="37465" b="16510"/>
                      <wp:wrapNone/>
                      <wp:docPr id="49" name="直接连接符 49"/>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174.25pt;height:22.7pt;width:0.05pt;z-index:251684864;mso-width-relative:page;mso-height-relative:page;" filled="f" stroked="t" coordsize="21600,21600" o:gfxdata="UEsDBAoAAAAAAIdO4kAAAAAAAAAAAAAAAAAEAAAAZHJzL1BLAwQUAAAACACHTuJAqSnGG9oAAAAL&#10;AQAADwAAAGRycy9kb3ducmV2LnhtbE2PMU/DMBCFdyT+g3VILBV1SkrbhDgdkIAFBgpSO7rxkUSJ&#10;z6nttOXfc51ge3fv6d13xfpse3FEH1pHCmbTBARS5UxLtYKvz+e7FYgQNRndO0IFPxhgXV5fFTo3&#10;7kQfeNzEWnAJhVwraGIccilD1aDVYeoGJPa+nbc68uhrabw+cbnt5X2SLKTVLfGFRg/41GDVbUar&#10;4PC289vdS7awHXVLNx7G18n7RKnbm1nyCCLiOf6F4YLP6FAy096NZILoFaTzLOXoRaweQHCCN3MQ&#10;exZZmoEsC/n/h/IXUEsDBBQAAAAIAIdO4kAI/CArBgIAAO0DAAAOAAAAZHJzL2Uyb0RvYy54bWyt&#10;U81uEzEQviPxDpbvZNMAVbrKpoeGwgFBJOgDTGzvriX/yeNmk5fgBZC4wYkj974N5TE69oYUyqUH&#10;9mCNx7PfzPf58+J8Zw3bqojau4afTKacKSe81K5r+NXHy2dzzjCBk2C8Uw3fK+Tny6dPFkOo1cz3&#10;3kgVGYE4rIfQ8D6lUFcVil5ZwIkPytFh66OFRNvYVTLCQOjWVLPp9LQafJQheqEQKbsaD/kBMT4G&#10;0LetFmrlxbVVLo2oURlIRAl7HZAvy7Rtq0R637aoEjMNJ6aprNSE4k1eq+UC6i5C6LU4jACPGeEB&#10;JwvaUdMj1AoSsOuo/4GyWkSPvk0T4W01EimKEIuT6QNtPvQQVOFCUmM4io7/D1a8264j07LhL844&#10;c2Dpxm8///j56euvmy+03n7/xuiEZBoC1lR94dbxsMOwjpnzro2WtUaHN+SnogLxYrsi8v4ostol&#10;Jih5+vwlZ4Lys/l8dlZuoBoxMlaImF4rb1kOGm60ywJADdu3mKgvlf4uyWnnL7Ux5RKNY0NBp6sV&#10;QMZsyRAU2kDk0HWcgenI8SLFgojeaJn/zjgYu82FiWwL2Sfly5yp219lufUKsB/rytHooF6BfOUk&#10;S/tAAjp6OGM+gTb3+RQ1uM4onie1SnJmFE2Uo7GZcdQzCz1Km6ONl/uieMmTC8pUB8dmm/25L3/f&#10;v9LlH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KkpxhvaAAAACwEAAA8AAAAAAAAAAQAgAAAAIgAA&#10;AGRycy9kb3ducmV2LnhtbFBLAQIUABQAAAAIAIdO4kAI/CArBgIAAO0DAAAOAAAAAAAAAAEAIAAA&#10;ACkBAABkcnMvZTJvRG9jLnhtbFBLBQYAAAAABgAGAFkBAAChBQ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77696" behindDoc="0" locked="0" layoutInCell="1" allowOverlap="1">
                      <wp:simplePos x="0" y="0"/>
                      <wp:positionH relativeFrom="column">
                        <wp:posOffset>1873250</wp:posOffset>
                      </wp:positionH>
                      <wp:positionV relativeFrom="paragraph">
                        <wp:posOffset>1917700</wp:posOffset>
                      </wp:positionV>
                      <wp:extent cx="720090" cy="288290"/>
                      <wp:effectExtent l="4445" t="4445" r="18415" b="12065"/>
                      <wp:wrapNone/>
                      <wp:docPr id="42" name="文本框 42"/>
                      <wp:cNvGraphicFramePr/>
                      <a:graphic xmlns:a="http://schemas.openxmlformats.org/drawingml/2006/main">
                        <a:graphicData uri="http://schemas.microsoft.com/office/word/2010/wordprocessingShape">
                          <wps:wsp>
                            <wps:cNvSpPr txBox="1"/>
                            <wps:spPr>
                              <a:xfrm>
                                <a:off x="0" y="0"/>
                                <a:ext cx="72009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D595191">
                                  <w:pPr>
                                    <w:keepNext w:val="0"/>
                                    <w:keepLines w:val="0"/>
                                    <w:pageBreakBefore w:val="0"/>
                                    <w:widowControl w:val="0"/>
                                    <w:kinsoku/>
                                    <w:wordWrap/>
                                    <w:overflowPunct/>
                                    <w:topLinePunct w:val="0"/>
                                    <w:bidi w:val="0"/>
                                    <w:adjustRightInd/>
                                    <w:snapToGrid/>
                                    <w:jc w:val="center"/>
                                    <w:textAlignment w:val="auto"/>
                                    <w:rPr>
                                      <w:rFonts w:hint="eastAsia" w:eastAsia="宋体"/>
                                      <w:sz w:val="21"/>
                                      <w:szCs w:val="21"/>
                                      <w:lang w:eastAsia="zh-CN"/>
                                    </w:rPr>
                                  </w:pPr>
                                  <w:r>
                                    <w:rPr>
                                      <w:rFonts w:ascii="Times New Roman" w:hAnsi="Times New Roman"/>
                                      <w:kern w:val="0"/>
                                      <w:sz w:val="21"/>
                                      <w:szCs w:val="21"/>
                                    </w:rPr>
                                    <w:t>砻谷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7.5pt;margin-top:151pt;height:22.7pt;width:56.7pt;z-index:251677696;mso-width-relative:page;mso-height-relative:page;" fillcolor="#FFFFFF [3201]" filled="t" stroked="t" coordsize="21600,21600" o:gfxdata="UEsDBAoAAAAAAIdO4kAAAAAAAAAAAAAAAAAEAAAAZHJzL1BLAwQUAAAACACHTuJATJ7/89gAAAAL&#10;AQAADwAAAGRycy9kb3ducmV2LnhtbE2PQU/DMAyF70j8h8iTuLFkbRmjNJ0EEhLixtYLt6zx2mqJ&#10;UzXZOv495gQ32+/p+XvV9uqduOAUh0AaVksFAqkNdqBOQ7N/u9+AiMmQNS4QavjGCNv69qYypQ0z&#10;feJllzrBIRRLo6FPaSyljG2P3sRlGJFYO4bJm8Tr1Ek7mZnDvZOZUmvpzUD8oTcjvvbYnnZnr+F9&#10;/ZK+sLEfNs/yMDeynY4uan23WKlnEAmv6c8Mv/iMDjUzHcKZbBROQ/b0wF2ShlxlPLCjUJsCxIEv&#10;xWMBsq7k/w71D1BLAwQUAAAACACHTuJAu+6QXlcCAAC4BAAADgAAAGRycy9lMm9Eb2MueG1srVTB&#10;bhMxEL0j8Q+W73STkJY0yqYKrYKQKlqpIM6O15u18NrGdrJbPgD+gBMX7nxXv4Nn7yZNWw49kIMz&#10;njd5nnkzk9lZWyuyFc5Lo3M6PBpQIjQ3hdTrnH76uHw1ocQHpgumjBY5vRWens1fvpg1dipGpjKq&#10;EI6ARPtpY3NahWCnWeZ5JWrmj4wVGmBpXM0Crm6dFY41YK9VNhoMTrLGuMI6w4X38F50IO0Z3XMI&#10;TVlKLi4M39RCh47VCcUCSvKVtJ7OU7ZlKXi4KksvAlE5RaUhnXgE9iqe2XzGpmvHbCV5nwJ7TgqP&#10;aqqZ1Hh0T3XBAiMbJ59Q1ZI7400Zjrips66QpAiqGA4eaXNTMStSLZDa273o/v/R8g/ba0dkkdPx&#10;iBLNanT87uePu19/7n5/J/BBoMb6KeJuLCJD+9a0GJud38MZ625LV8dvVESAQ97bvbyiDYTD+Qbt&#10;PwXCAY0mkxFssGf3P7bOh3fC1CQaOXXoXhKVbS996EJ3IfEtb5QsllKpdHHr1blyZMvQ6WX69OwP&#10;wpQmTU5PXh8PEvMDLHLvKVaK8S9PGZCt0kg6atLVHq3QrtpeqJUpbqGTM92oecuXEryXzIdr5jBb&#10;EADbF65wlMogGdNblFTGffuXP8aj5UApaTCrOfVfN8wJStR7jWE4HY7HoA3pMj6GzpS4Q2R1iOhN&#10;fW4g0hB7bnkyY3xQO7N0pv6MJV3EVwExzfF2TsPOPA/dBmHJuVgsUhDG2bJwqW8sj9SxJdosNsGU&#10;MrUuytRp06uHgU7N75cvbszhPUXd/+HM/w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Mnv/z2AAA&#10;AAsBAAAPAAAAAAAAAAEAIAAAACIAAABkcnMvZG93bnJldi54bWxQSwECFAAUAAAACACHTuJAu+6Q&#10;XlcCAAC4BAAADgAAAAAAAAABACAAAAAnAQAAZHJzL2Uyb0RvYy54bWxQSwUGAAAAAAYABgBZAQAA&#10;8AUAAAAA&#10;">
                      <v:fill on="t" focussize="0,0"/>
                      <v:stroke weight="0.5pt" color="#000000 [3204]" joinstyle="round"/>
                      <v:imagedata o:title=""/>
                      <o:lock v:ext="edit" aspectratio="f"/>
                      <v:textbox>
                        <w:txbxContent>
                          <w:p w14:paraId="4D595191">
                            <w:pPr>
                              <w:keepNext w:val="0"/>
                              <w:keepLines w:val="0"/>
                              <w:pageBreakBefore w:val="0"/>
                              <w:widowControl w:val="0"/>
                              <w:kinsoku/>
                              <w:wordWrap/>
                              <w:overflowPunct/>
                              <w:topLinePunct w:val="0"/>
                              <w:bidi w:val="0"/>
                              <w:adjustRightInd/>
                              <w:snapToGrid/>
                              <w:jc w:val="center"/>
                              <w:textAlignment w:val="auto"/>
                              <w:rPr>
                                <w:rFonts w:hint="eastAsia" w:eastAsia="宋体"/>
                                <w:sz w:val="21"/>
                                <w:szCs w:val="21"/>
                                <w:lang w:eastAsia="zh-CN"/>
                              </w:rPr>
                            </w:pPr>
                            <w:r>
                              <w:rPr>
                                <w:rFonts w:ascii="Times New Roman" w:hAnsi="Times New Roman"/>
                                <w:kern w:val="0"/>
                                <w:sz w:val="21"/>
                                <w:szCs w:val="21"/>
                              </w:rPr>
                              <w:t>砻谷</w:t>
                            </w:r>
                          </w:p>
                        </w:txbxContent>
                      </v:textbox>
                    </v:shape>
                  </w:pict>
                </mc:Fallback>
              </mc:AlternateContent>
            </w:r>
            <w:r>
              <w:rPr>
                <w:color w:val="auto"/>
                <w:sz w:val="21"/>
              </w:rPr>
              <mc:AlternateContent>
                <mc:Choice Requires="wps">
                  <w:drawing>
                    <wp:anchor distT="0" distB="0" distL="114300" distR="114300" simplePos="0" relativeHeight="251670528" behindDoc="0" locked="0" layoutInCell="1" allowOverlap="1">
                      <wp:simplePos x="0" y="0"/>
                      <wp:positionH relativeFrom="column">
                        <wp:posOffset>1864360</wp:posOffset>
                      </wp:positionH>
                      <wp:positionV relativeFrom="paragraph">
                        <wp:posOffset>739775</wp:posOffset>
                      </wp:positionV>
                      <wp:extent cx="720090" cy="288290"/>
                      <wp:effectExtent l="4445" t="4445" r="18415" b="12065"/>
                      <wp:wrapNone/>
                      <wp:docPr id="35" name="文本框 35"/>
                      <wp:cNvGraphicFramePr/>
                      <a:graphic xmlns:a="http://schemas.openxmlformats.org/drawingml/2006/main">
                        <a:graphicData uri="http://schemas.microsoft.com/office/word/2010/wordprocessingShape">
                          <wps:wsp>
                            <wps:cNvSpPr txBox="1"/>
                            <wps:spPr>
                              <a:xfrm>
                                <a:off x="0" y="0"/>
                                <a:ext cx="720090"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2ACDAF0">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卸粮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6.8pt;margin-top:58.25pt;height:22.7pt;width:56.7pt;z-index:251670528;mso-width-relative:page;mso-height-relative:page;" fillcolor="#FFFFFF [3201]" filled="t" stroked="t" coordsize="21600,21600" o:gfxdata="UEsDBAoAAAAAAIdO4kAAAAAAAAAAAAAAAAAEAAAAZHJzL1BLAwQUAAAACACHTuJAiZTP2dcAAAAL&#10;AQAADwAAAGRycy9kb3ducmV2LnhtbE2PzU7DMBCE70i8g7VI3KidBAxN41QCCQlxo+TCzY23SVT/&#10;RLbblLdnOcFxZz7NzjTbi7PsjDFNwSsoVgIY+j6YyQ8Kus/XuydgKWtvtA0eFXxjgm17fdXo2oTF&#10;f+B5lwdGIT7VWsGY81xznvoRnU6rMKMn7xCi05nOOHAT9ULhzvJSCMmdnjx9GPWMLyP2x93JKXiT&#10;z/kLO/NuqrIKS8f7eLBJqdubQmyAZbzkPxh+61N1aKnTPpy8ScwqKNeVJJSMQj4AI+JePNK6PSmy&#10;WANvG/5/Q/sDUEsDBBQAAAAIAIdO4kAWwqBhVgIAALgEAAAOAAAAZHJzL2Uyb0RvYy54bWytVM1u&#10;EzEQviPxDpbvdJO0hTbqpgqtgpAqWqkgzo7Xm7XwH7aT3fIA8AacuHDnufocfPZu0j8OPZCDM55v&#10;8nnmm5mcnHZakY3wQVpT0vHeiBJhuK2kWZX008fFqyNKQmSmYsoaUdIbEejp7OWLk9ZNxcQ2VlXC&#10;E5CYMG1dSZsY3bQoAm+EZmHPOmEA1tZrFnH1q6LyrAW7VsVkNHpdtNZXzlsuQoD3vAfpwOifQ2jr&#10;WnJxbvlaCxN7Vi8UiygpNNIFOsvZ1rXg8bKug4hElRSVxnziEdjLdBazEzZdeeYayYcU2HNSeFST&#10;ZtLg0R3VOYuMrL18QqUl9zbYOu5xq4u+kKwIqhiPHmlz3TAnci2QOrid6OH/0fIPmytPZFXS/UNK&#10;DNPo+O3PH7e//tz+/k7gg0CtC1PEXTtExu6t7TA2W3+AM9Xd1V6nb1REgEPem528oouEw/kG7T8G&#10;wgFNjo4msMFe3P3Y+RDfCatJMkrq0b0sKttchNiHbkPSW8EqWS2kUvniV8sz5cmGodOL/BnYH4Qp&#10;Q9qSvt4/HGXmB1ji3lEsFeNfnjIgW2WQdNKkrz1ZsVt2g1BLW91AJ2/7UQuOLyR4L1iIV8xjtiAA&#10;ti9e4qiVRTJ2sChprP/2L3+KR8uBUtJiVksavq6ZF5So9wbDcDw+OABtzJeDQ+hMib+PLO8jZq3P&#10;LEQaY88dz2aKj2pr1t7qz1jSeXoVEDMcb5c0bs2z2G8QlpyL+TwHYZwdixfm2vFEnVpi7HwdbS1z&#10;65JMvTaDehjo3Pxh+dLG3L/nqLs/nNl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iZTP2dcAAAAL&#10;AQAADwAAAAAAAAABACAAAAAiAAAAZHJzL2Rvd25yZXYueG1sUEsBAhQAFAAAAAgAh07iQBbCoGFW&#10;AgAAuAQAAA4AAAAAAAAAAQAgAAAAJgEAAGRycy9lMm9Eb2MueG1sUEsFBgAAAAAGAAYAWQEAAO4F&#10;AAAAAA==&#10;">
                      <v:fill on="t" focussize="0,0"/>
                      <v:stroke weight="0.5pt" color="#000000 [3204]" joinstyle="round"/>
                      <v:imagedata o:title=""/>
                      <o:lock v:ext="edit" aspectratio="f"/>
                      <v:textbox>
                        <w:txbxContent>
                          <w:p w14:paraId="22ACDAF0">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卸粮</w:t>
                            </w:r>
                          </w:p>
                        </w:txbxContent>
                      </v:textbox>
                    </v:shape>
                  </w:pict>
                </mc:Fallback>
              </mc:AlternateContent>
            </w:r>
            <w:r>
              <w:rPr>
                <w:color w:val="auto"/>
                <w:sz w:val="21"/>
              </w:rPr>
              <mc:AlternateContent>
                <mc:Choice Requires="wps">
                  <w:drawing>
                    <wp:anchor distT="0" distB="0" distL="114300" distR="114300" simplePos="0" relativeHeight="251671552" behindDoc="0" locked="0" layoutInCell="1" allowOverlap="1">
                      <wp:simplePos x="0" y="0"/>
                      <wp:positionH relativeFrom="column">
                        <wp:posOffset>1562100</wp:posOffset>
                      </wp:positionH>
                      <wp:positionV relativeFrom="paragraph">
                        <wp:posOffset>1330960</wp:posOffset>
                      </wp:positionV>
                      <wp:extent cx="1306195" cy="288290"/>
                      <wp:effectExtent l="4445" t="4445" r="22860" b="12065"/>
                      <wp:wrapNone/>
                      <wp:docPr id="36" name="文本框 36"/>
                      <wp:cNvGraphicFramePr/>
                      <a:graphic xmlns:a="http://schemas.openxmlformats.org/drawingml/2006/main">
                        <a:graphicData uri="http://schemas.microsoft.com/office/word/2010/wordprocessingShape">
                          <wps:wsp>
                            <wps:cNvSpPr txBox="1"/>
                            <wps:spPr>
                              <a:xfrm>
                                <a:off x="0" y="0"/>
                                <a:ext cx="1306195" cy="2882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5162D87">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清理、除杂、去石</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3pt;margin-top:104.8pt;height:22.7pt;width:102.85pt;z-index:251671552;mso-width-relative:page;mso-height-relative:page;" fillcolor="#FFFFFF [3201]" filled="t" stroked="t" coordsize="21600,21600" o:gfxdata="UEsDBAoAAAAAAIdO4kAAAAAAAAAAAAAAAAAEAAAAZHJzL1BLAwQUAAAACACHTuJAIUJB/dgAAAAL&#10;AQAADwAAAGRycy9kb3ducmV2LnhtbE2PQU/DMAyF70j8h8hI3FjSbi1Qmk4CCQlxY+uFW9Z4bUXi&#10;VE22jn+POcHN9nt6/l69vXgnzjjHMZCGbKVAIHXBjtRraPevdw8gYjJkjQuEGr4xwra5vqpNZcNC&#10;H3jepV5wCMXKaBhSmiopYzegN3EVJiTWjmH2JvE699LOZuFw72SuVCm9GYk/DGbClwG7r93Ja3gr&#10;n9MntvbdrvN1WFrZzUcXtb69ydQTiISX9GeGX3xGh4aZDuFENgqnId+U3CXxoB5LEOzYFNk9iANf&#10;ikKBbGr5v0PzA1BLAwQUAAAACACHTuJAG9bu010CAAC5BAAADgAAAGRycy9lMm9Eb2MueG1srVTN&#10;btswDL4P2DsIuq/OX7M2qFNkLTIMCNYC2bCzIsuxMEnUJCV29gDrG+y0y+57rj7HKNlJ03aHHpaD&#10;QorUR/Ij6YvLRiuyFc5LMDntn/QoEYZDIc06p58/zd+cUeIDMwVTYEROd8LTy+nrVxe1nYgBVKAK&#10;4QiCGD+pbU6rEOwkyzyvhGb+BKwwaCzBaRZQdeuscKxGdK2yQa83zmpwhXXAhfd4e90aaYfoXgII&#10;ZSm5uAa+0cKEFtUJxQKW5CtpPZ2mbMtS8HBTll4EonKKlYZ0YhCUV/HMphdssnbMVpJ3KbCXpPCk&#10;Js2kwaAHqGsWGNk4+QxKS+7AQxlOOOisLSQxglX0e0+4WVbMilQLUu3tgXT//2D5x+2tI7LI6XBM&#10;iWEaO37/8+7+15/73z8I3iFBtfUT9Fta9AzNO2hwbPb3Hi9j3U3pdPzHigjakd7dgV7RBMLjo2Fv&#10;3D8/pYSjbXB2NjhP/GcPr63z4b0ATaKQU4ftS6yy7cIHzARd9y4xmAcli7lUKiluvbpSjmwZtnqe&#10;fjFJfPLITRlS53Q8PO0l5Ee2iH2AWCnGvz5HQDxlEDaS0hYfpdCsmo6pFRQ7JMpBO2ve8rlE3AXz&#10;4ZY5HC7kBtcv3OBRKsBkoJMoqcB9/9d99Meeo5WSGoc1p/7bhjlBifpgcBrO+6NRnO6kjE7fDlBx&#10;x5bVscVs9BUgSX1cdMuTGP2D2oulA/0Ft3QWo6KJGY6xcxr24lVoVwi3nIvZLDnhPFsWFmZpeYSO&#10;LTEw2wQoZWpdpKnlpmMPJzq1p9u+uDLHevJ6+OJM/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Ah&#10;QkH92AAAAAsBAAAPAAAAAAAAAAEAIAAAACIAAABkcnMvZG93bnJldi54bWxQSwECFAAUAAAACACH&#10;TuJAG9bu010CAAC5BAAADgAAAAAAAAABACAAAAAnAQAAZHJzL2Uyb0RvYy54bWxQSwUGAAAAAAYA&#10;BgBZAQAA9gUAAAAA&#10;">
                      <v:fill on="t" focussize="0,0"/>
                      <v:stroke weight="0.5pt" color="#000000 [3204]" joinstyle="round"/>
                      <v:imagedata o:title=""/>
                      <o:lock v:ext="edit" aspectratio="f"/>
                      <v:textbox>
                        <w:txbxContent>
                          <w:p w14:paraId="25162D87">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清理、除杂、去石</w:t>
                            </w:r>
                          </w:p>
                        </w:txbxContent>
                      </v:textbox>
                    </v:shape>
                  </w:pict>
                </mc:Fallback>
              </mc:AlternateContent>
            </w:r>
            <w:r>
              <w:rPr>
                <w:color w:val="auto"/>
                <w:sz w:val="21"/>
              </w:rPr>
              <mc:AlternateContent>
                <mc:Choice Requires="wps">
                  <w:drawing>
                    <wp:anchor distT="0" distB="0" distL="114300" distR="114300" simplePos="0" relativeHeight="251682816" behindDoc="0" locked="0" layoutInCell="1" allowOverlap="1">
                      <wp:simplePos x="0" y="0"/>
                      <wp:positionH relativeFrom="column">
                        <wp:posOffset>2222500</wp:posOffset>
                      </wp:positionH>
                      <wp:positionV relativeFrom="paragraph">
                        <wp:posOffset>1046480</wp:posOffset>
                      </wp:positionV>
                      <wp:extent cx="635" cy="288290"/>
                      <wp:effectExtent l="38100" t="0" r="37465" b="16510"/>
                      <wp:wrapNone/>
                      <wp:docPr id="47" name="直接连接符 47"/>
                      <wp:cNvGraphicFramePr/>
                      <a:graphic xmlns:a="http://schemas.openxmlformats.org/drawingml/2006/main">
                        <a:graphicData uri="http://schemas.microsoft.com/office/word/2010/wordprocessingShape">
                          <wps:wsp>
                            <wps:cNvCnPr/>
                            <wps:spPr>
                              <a:xfrm flipH="1">
                                <a:off x="0" y="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5pt;margin-top:82.4pt;height:22.7pt;width:0.05pt;z-index:251682816;mso-width-relative:page;mso-height-relative:page;" filled="f" stroked="t" coordsize="21600,21600" o:gfxdata="UEsDBAoAAAAAAIdO4kAAAAAAAAAAAAAAAAAEAAAAZHJzL1BLAwQUAAAACACHTuJAJqYdNdkAAAAL&#10;AQAADwAAAGRycy9kb3ducmV2LnhtbE2PwU7DMBBE70j8g7VIXCpqJ0CAEKcHJOACBwoSPbrxkkSJ&#10;16nttOXvWU5w3JnR7LxqdXSj2GOIvScN2VKBQGq87anV8PH+eHELIiZD1oyeUMM3RljVpyeVKa0/&#10;0Bvu16kVXEKxNBq6lKZSyth06Exc+gmJvS8fnEl8hlbaYA5c7kaZK1VIZ3riD52Z8KHDZljPTsPu&#10;ZRM+N093hRtouPHzbn5evC60Pj/L1D2IhMf0F4bf+Twdat609TPZKEYNl9eKWRIbxRUzcIKVDMRW&#10;Q56pHGRdyf8M9Q9QSwMEFAAAAAgAh07iQDSBlL8GAgAA7QMAAA4AAABkcnMvZTJvRG9jLnhtbK1T&#10;zW4TMRC+I/EOlu9k0wAlrLLpoaFwQBCJ8gATr71ryX/yuNnkJXgBJG5w4tg7b0N5jI69IYVy6YE9&#10;WOPx7Dfzff68ONtZw7Yyovau4SeTKWfSCd9q1zX84+XFkzlnmMC1YLyTDd9L5GfLx48WQ6jlzPfe&#10;tDIyAnFYD6HhfUqhrioUvbSAEx+ko0Plo4VE29hVbYSB0K2pZtPpaTX42IbohUSk7Go85AfE+BBA&#10;r5QWcuXFlZUujahRGkhECXsdkC/LtEpJkd4rhTIx03BimspKTSje5LVaLqDuIoRei8MI8JAR7nGy&#10;oB01PUKtIAG7ivofKKtF9OhVmghvq5FIUYRYnEzvafOhhyALF5Iaw1F0/H+w4t12HZluG/7sBWcO&#10;LN34zefrn5++/vrxhdab798YnZBMQ8Caqs/dOh52GNYxc96paJkyOrwhPxUViBfbFZH3R5HlLjFB&#10;ydOnzzkTlJ/N57OX5QaqESNjhYjptfSW5aDhRrssANSwfYuJ+lLp75Kcdv5CG1Mu0Tg2FHS6WgFk&#10;TEWGoNAGIoeu4wxMR44XKRZE9Ea3+e+Mg7HbnJvItpB9Ur7Mmbr9VZZbrwD7sa4cjQ7qJbSvXMvS&#10;PpCAjh7OmE+gzV0+RQ2uM5LnSa1sOTOSJsrR2Mw46pmFHqXN0ca3+6J4yZMLylQHx2ab/bkvf9+9&#10;0u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JqYdNdkAAAALAQAADwAAAAAAAAABACAAAAAiAAAA&#10;ZHJzL2Rvd25yZXYueG1sUEsBAhQAFAAAAAgAh07iQDSBlL8GAgAA7QMAAA4AAAAAAAAAAQAgAAAA&#10;KAEAAGRycy9lMm9Eb2MueG1sUEsFBgAAAAAGAAYAWQEAAKAFA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81792" behindDoc="0" locked="0" layoutInCell="1" allowOverlap="1">
                      <wp:simplePos x="0" y="0"/>
                      <wp:positionH relativeFrom="column">
                        <wp:posOffset>2218055</wp:posOffset>
                      </wp:positionH>
                      <wp:positionV relativeFrom="paragraph">
                        <wp:posOffset>460375</wp:posOffset>
                      </wp:positionV>
                      <wp:extent cx="635" cy="288290"/>
                      <wp:effectExtent l="38100" t="0" r="37465" b="16510"/>
                      <wp:wrapNone/>
                      <wp:docPr id="46" name="直接连接符 46"/>
                      <wp:cNvGraphicFramePr/>
                      <a:graphic xmlns:a="http://schemas.openxmlformats.org/drawingml/2006/main">
                        <a:graphicData uri="http://schemas.microsoft.com/office/word/2010/wordprocessingShape">
                          <wps:wsp>
                            <wps:cNvCnPr/>
                            <wps:spPr>
                              <a:xfrm flipH="1">
                                <a:off x="4857750" y="2166620"/>
                                <a:ext cx="635" cy="288290"/>
                              </a:xfrm>
                              <a:prstGeom prst="line">
                                <a:avLst/>
                              </a:prstGeom>
                              <a:ln w="6350">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x;margin-left:174.65pt;margin-top:36.25pt;height:22.7pt;width:0.05pt;z-index:251681792;mso-width-relative:page;mso-height-relative:page;" filled="f" stroked="t" coordsize="21600,21600" o:gfxdata="UEsDBAoAAAAAAIdO4kAAAAAAAAAAAAAAAAAEAAAAZHJzL1BLAwQUAAAACACHTuJAw0HbI9oAAAAK&#10;AQAADwAAAGRycy9kb3ducmV2LnhtbE2PwU7DMAyG70i8Q2QkLhNLu42VlqY7IAEXODCQ2DFrTFu1&#10;cbok3cbbY05wtP3p9/eXm7MdxBF96BwpSOcJCKTamY4aBR/vjzd3IELUZPTgCBV8Y4BNdXlR6sK4&#10;E73hcRsbwSEUCq2gjXEspAx1i1aHuRuR+PblvNWRR99I4/WJw+0gF0myllZ3xB9aPeJDi3W/nayC&#10;w8vOf+6e8rXtqc/cdJieZ68zpa6v0uQeRMRz/IPhV5/VoWKnvZvIBDEoWK7yJaMKssUtCAZ4sQKx&#10;ZzLNcpBVKf9XqH4AUEsDBBQAAAAIAIdO4kBbOmafEQIAAPkDAAAOAAAAZHJzL2Uyb0RvYy54bWyt&#10;U0uOEzEQ3SNxB8t70kkgPaGVziwmDCwQRAIOUPGn25J/sj3p5BJcAIkdrFjOntswHIOyO8zAsJkF&#10;vbDKVdWv6r1+vTo/GE32IkTlbEtnkyklwjLHle1a+uH95ZMlJTGB5aCdFS09ikjP148frQbfiLnr&#10;neYiEASxsRl8S/uUfFNVkfXCQJw4LywWpQsGEl5DV/EAA6IbXc2n07oaXOA+OCZixOxmLNITYngI&#10;oJNSMbFx7MoIm0bUIDQkpBR75SNdl22lFCy9lTKKRHRLkWkqJw7BeJfPar2Cpgvge8VOK8BDVrjH&#10;yYCyOPQWagMJyFVQ/0AZxYKLTqYJc6YaiRRFkMVsek+bdz14Ubig1NHfih7/Hyx7s98GonhLn9WU&#10;WDD4xW8+Xf/4+OXn98943nz7SrCCMg0+Nth9YbfhdIt+GzLngwyGSK38K/RTUQF5kQNCLhdnZwuU&#10;+tjS+ayu6/lJcHFIhGFD/XRBCcvV5XL+vBSrES/j+hDTS+EMyUFLtbJZDGhg/zom3AFbf7fktHWX&#10;SuvyQbUlQ0HH2QzQpBLNgaHxSDTajhLQHbqfpVAQo9OK57czTgzd7kIHsofsmfJk/jjtr7Y8egOx&#10;H/tKaXRTL4C/sJyko0cxLf5EYz6B0nf5FBTYTguaNzWCU6IFbpSjcZi2ODOLPsqco53jx6J+yaMj&#10;ylYn92bL/Xkvb9/9set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0HbI9oAAAAKAQAADwAAAAAA&#10;AAABACAAAAAiAAAAZHJzL2Rvd25yZXYueG1sUEsBAhQAFAAAAAgAh07iQFs6Zp8RAgAA+QMAAA4A&#10;AAAAAAAAAQAgAAAAKQEAAGRycy9lMm9Eb2MueG1sUEsFBgAAAAAGAAYAWQEAAKwFAAAAAA==&#10;">
                      <v:fill on="f" focussize="0,0"/>
                      <v:stroke weight="0.5pt" color="#000000 [3213]" joinstyle="round" endarrow="block"/>
                      <v:imagedata o:title=""/>
                      <o:lock v:ext="edit" aspectratio="f"/>
                    </v:line>
                  </w:pict>
                </mc:Fallback>
              </mc:AlternateContent>
            </w:r>
            <w:r>
              <w:rPr>
                <w:color w:val="auto"/>
                <w:sz w:val="21"/>
              </w:rPr>
              <mc:AlternateContent>
                <mc:Choice Requires="wps">
                  <w:drawing>
                    <wp:anchor distT="0" distB="0" distL="114300" distR="114300" simplePos="0" relativeHeight="251669504" behindDoc="0" locked="0" layoutInCell="1" allowOverlap="1">
                      <wp:simplePos x="0" y="0"/>
                      <wp:positionH relativeFrom="column">
                        <wp:posOffset>1667510</wp:posOffset>
                      </wp:positionH>
                      <wp:positionV relativeFrom="paragraph">
                        <wp:posOffset>227965</wp:posOffset>
                      </wp:positionV>
                      <wp:extent cx="1115695" cy="288290"/>
                      <wp:effectExtent l="0" t="0" r="8255" b="16510"/>
                      <wp:wrapNone/>
                      <wp:docPr id="26" name="文本框 26"/>
                      <wp:cNvGraphicFramePr/>
                      <a:graphic xmlns:a="http://schemas.openxmlformats.org/drawingml/2006/main">
                        <a:graphicData uri="http://schemas.microsoft.com/office/word/2010/wordprocessingShape">
                          <wps:wsp>
                            <wps:cNvSpPr txBox="1"/>
                            <wps:spPr>
                              <a:xfrm>
                                <a:off x="2941955" y="1691005"/>
                                <a:ext cx="1115695" cy="2882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C9120EB">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稻谷</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1.3pt;margin-top:17.95pt;height:22.7pt;width:87.85pt;z-index:251669504;mso-width-relative:page;mso-height-relative:page;" fillcolor="#FFFFFF [3201]" filled="t" stroked="f" coordsize="21600,21600" o:gfxdata="UEsDBAoAAAAAAIdO4kAAAAAAAAAAAAAAAAAEAAAAZHJzL1BLAwQUAAAACACHTuJAWTCoO9UAAAAJ&#10;AQAADwAAAGRycy9kb3ducmV2LnhtbE2Pu07EMBBFeyT+wRokOtZ5LFEImWyBRIvEvmpvPMQR9jiK&#10;vc+vx1RQju7RvWfa1cVZcaI5jJ4R8kUGgrj3euQBYbt5f6pBhKhYK+uZEK4UYNXd37Wq0f7Mn3Ra&#10;x0GkEg6NQjAxTo2UoTfkVFj4iThlX352KqZzHqSe1TmVOyuLLKukUyOnBaMmejPUf6+PDmE/uNt+&#10;l0+z0c4u+eN23Wz9iPj4kGevICJd4h8Mv/pJHbrkdPBH1kFYhKIqqoQilM8vIBKwLOsSxAGhzkuQ&#10;XSv/f9D9AFBLAwQUAAAACACHTuJAWEV6/V4CAACdBAAADgAAAGRycy9lMm9Eb2MueG1srVTNbhMx&#10;EL4j8Q6W73R/SEITdVOFVEFIFa1UEGfH681asj3GdrJbHgDeoCcu3HmuPgdjb9KGwqEH9uAde779&#10;xvPNzJ6d91qRnXBegqlocZJTIgyHWppNRT99XL06pcQHZmqmwIiK3gpPz+cvX5x1diZKaEHVwhEk&#10;MX7W2Yq2IdhZlnneCs38CVhh0NmA0yzg1m2y2rEO2bXKyjyfZB242jrgwns8vRicdM/onkMITSO5&#10;uAC+1cKEgdUJxQKm5FtpPZ2n2zaN4OGqabwIRFUUMw1pxSBor+Oazc/YbOOYbSXfX4E95wpPctJM&#10;Ggz6QHXBAiNbJ/+i0pI78NCEEw46GxJJimAWRf5Em5uWWZFyQam9fRDd/z9a/mF37YisK1pOKDFM&#10;Y8Xv777f//h1//MbwTMUqLN+hrgbi8jQv4Ue2+Zw7vEw5t03Tsc3ZkTQX05HxXQ8puQWsZNpkefj&#10;QWrRB8IjQVGMJ1MEcESUp6flNNUie2Syzod3AjSJRkUdljIpzHaXPuCtEHqAxMAelKxXUqm0cZv1&#10;UjmyY1j2VXpiePzkD5gypKvo5PU4T8wG4vcDThmEx8SHBKMV+nW/V2MN9S2K4WDoJ2/5SuItL5kP&#10;18xhA2F74YiFK1waBRgE9hYlLbiv/zqPeKwreinpsCEr6r9smROUqPcGKz4tRqPYwWkzGr8pceOO&#10;Petjj9nqJWDyBQ6z5cmM+KAOZuNAf8ZJXMSo6GKGY+yKhoO5DMOY4CRzsVgkEPasZeHS3FgeqaPU&#10;BhbbAI1MJYkyDdrs1cOuTbLvJyyOxfE+oR7/KvP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WTCo&#10;O9UAAAAJAQAADwAAAAAAAAABACAAAAAiAAAAZHJzL2Rvd25yZXYueG1sUEsBAhQAFAAAAAgAh07i&#10;QFhFev1eAgAAnQQAAA4AAAAAAAAAAQAgAAAAJAEAAGRycy9lMm9Eb2MueG1sUEsFBgAAAAAGAAYA&#10;WQEAAPQFAAAAAA==&#10;">
                      <v:fill on="t" focussize="0,0"/>
                      <v:stroke on="f" weight="0.5pt"/>
                      <v:imagedata o:title=""/>
                      <o:lock v:ext="edit" aspectratio="f"/>
                      <v:textbox>
                        <w:txbxContent>
                          <w:p w14:paraId="6C9120EB">
                            <w:pPr>
                              <w:keepNext w:val="0"/>
                              <w:keepLines w:val="0"/>
                              <w:pageBreakBefore w:val="0"/>
                              <w:widowControl w:val="0"/>
                              <w:kinsoku/>
                              <w:wordWrap/>
                              <w:overflowPunct/>
                              <w:topLinePunct w:val="0"/>
                              <w:bidi w:val="0"/>
                              <w:adjustRightInd/>
                              <w:snapToGrid/>
                              <w:jc w:val="center"/>
                              <w:textAlignment w:val="auto"/>
                              <w:rPr>
                                <w:rFonts w:hint="eastAsia" w:eastAsia="宋体"/>
                                <w:lang w:eastAsia="zh-CN"/>
                              </w:rPr>
                            </w:pPr>
                            <w:r>
                              <w:rPr>
                                <w:rFonts w:hint="eastAsia"/>
                                <w:lang w:eastAsia="zh-CN"/>
                              </w:rPr>
                              <w:t>稻谷</w:t>
                            </w:r>
                          </w:p>
                        </w:txbxContent>
                      </v:textbox>
                    </v:shape>
                  </w:pict>
                </mc:Fallback>
              </mc:AlternateContent>
            </w:r>
          </w:p>
          <w:p w14:paraId="70AD5396">
            <w:pPr>
              <w:tabs>
                <w:tab w:val="left" w:pos="2001"/>
              </w:tabs>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图</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rPr>
              <w:t>-</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rPr>
              <w:t xml:space="preserve">  </w:t>
            </w:r>
            <w:r>
              <w:rPr>
                <w:rFonts w:hint="eastAsia" w:ascii="Times New Roman" w:hAnsi="Times New Roman" w:cs="Times New Roman"/>
                <w:b/>
                <w:bCs/>
                <w:color w:val="auto"/>
                <w:sz w:val="21"/>
                <w:szCs w:val="21"/>
                <w:lang w:val="en-US" w:eastAsia="zh-CN"/>
              </w:rPr>
              <w:t>大米加工</w:t>
            </w:r>
            <w:r>
              <w:rPr>
                <w:rFonts w:hint="default" w:ascii="Times New Roman" w:hAnsi="Times New Roman" w:cs="Times New Roman"/>
                <w:b/>
                <w:bCs/>
                <w:color w:val="auto"/>
                <w:sz w:val="21"/>
                <w:szCs w:val="21"/>
              </w:rPr>
              <w:t>生产工艺流程图及产污环节</w:t>
            </w:r>
          </w:p>
          <w:p w14:paraId="5B8C4CC5">
            <w:pPr>
              <w:spacing w:line="360" w:lineRule="auto"/>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（G—</w:t>
            </w:r>
            <w:r>
              <w:rPr>
                <w:rFonts w:hint="eastAsia" w:ascii="Times New Roman" w:hAnsi="Times New Roman" w:cs="Times New Roman"/>
                <w:b/>
                <w:color w:val="auto"/>
                <w:sz w:val="21"/>
                <w:szCs w:val="21"/>
                <w:lang w:val="en-US" w:eastAsia="zh-CN"/>
              </w:rPr>
              <w:t>废气</w:t>
            </w:r>
            <w:r>
              <w:rPr>
                <w:rFonts w:hint="default" w:ascii="Times New Roman" w:hAnsi="Times New Roman" w:cs="Times New Roman"/>
                <w:b/>
                <w:color w:val="auto"/>
                <w:sz w:val="21"/>
                <w:szCs w:val="21"/>
              </w:rPr>
              <w:t>、N—噪声</w:t>
            </w:r>
            <w:r>
              <w:rPr>
                <w:rFonts w:hint="eastAsia" w:cs="Times New Roman"/>
                <w:b/>
                <w:color w:val="auto"/>
                <w:sz w:val="21"/>
                <w:szCs w:val="21"/>
                <w:lang w:eastAsia="zh-CN"/>
              </w:rPr>
              <w:t>、</w:t>
            </w:r>
            <w:r>
              <w:rPr>
                <w:rFonts w:hint="eastAsia" w:cs="Times New Roman"/>
                <w:b/>
                <w:color w:val="auto"/>
                <w:sz w:val="21"/>
                <w:szCs w:val="21"/>
                <w:lang w:val="en-US" w:eastAsia="zh-CN"/>
              </w:rPr>
              <w:t>S</w:t>
            </w:r>
            <w:r>
              <w:rPr>
                <w:rFonts w:hint="default" w:ascii="Times New Roman" w:hAnsi="Times New Roman" w:cs="Times New Roman"/>
                <w:b/>
                <w:color w:val="auto"/>
                <w:sz w:val="21"/>
                <w:szCs w:val="21"/>
              </w:rPr>
              <w:t>—</w:t>
            </w:r>
            <w:r>
              <w:rPr>
                <w:rFonts w:hint="eastAsia" w:ascii="Times New Roman" w:hAnsi="Times New Roman" w:cs="Times New Roman"/>
                <w:b/>
                <w:color w:val="auto"/>
                <w:sz w:val="21"/>
                <w:szCs w:val="21"/>
                <w:lang w:val="en-US" w:eastAsia="zh-CN"/>
              </w:rPr>
              <w:t>固废</w:t>
            </w:r>
            <w:r>
              <w:rPr>
                <w:rFonts w:hint="default" w:ascii="Times New Roman" w:hAnsi="Times New Roman" w:cs="Times New Roman"/>
                <w:b/>
                <w:color w:val="auto"/>
                <w:sz w:val="21"/>
                <w:szCs w:val="21"/>
              </w:rPr>
              <w:t>）</w:t>
            </w:r>
          </w:p>
          <w:p w14:paraId="6527879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color w:val="auto"/>
                <w:sz w:val="24"/>
                <w:lang w:val="en-US" w:eastAsia="zh-CN"/>
              </w:rPr>
            </w:pPr>
            <w:r>
              <w:rPr>
                <w:rFonts w:hint="default" w:ascii="Times New Roman" w:hAnsi="Times New Roman" w:cs="Times New Roman"/>
                <w:b/>
                <w:color w:val="auto"/>
                <w:sz w:val="24"/>
                <w:lang w:val="en-US" w:eastAsia="zh-CN"/>
              </w:rPr>
              <w:t>大米加工生产工艺流程：</w:t>
            </w:r>
          </w:p>
          <w:p w14:paraId="52F68D9B">
            <w:pPr>
              <w:keepNext w:val="0"/>
              <w:keepLines w:val="0"/>
              <w:pageBreakBefore w:val="0"/>
              <w:widowControl w:val="0"/>
              <w:kinsoku/>
              <w:wordWrap/>
              <w:overflowPunct/>
              <w:topLinePunct w:val="0"/>
              <w:bidi w:val="0"/>
              <w:snapToGrid w:val="0"/>
              <w:spacing w:line="360" w:lineRule="auto"/>
              <w:ind w:firstLine="482" w:firstLineChars="200"/>
              <w:textAlignment w:val="auto"/>
              <w:rPr>
                <w:rFonts w:ascii="Times New Roman" w:hAnsi="Times New Roman"/>
                <w:b/>
                <w:bCs/>
                <w:color w:val="auto"/>
                <w:sz w:val="24"/>
              </w:rPr>
            </w:pPr>
            <w:r>
              <w:rPr>
                <w:rFonts w:ascii="Times New Roman" w:hAnsi="Times New Roman"/>
                <w:b/>
                <w:bCs/>
                <w:color w:val="auto"/>
                <w:sz w:val="24"/>
              </w:rPr>
              <w:t>（1）</w:t>
            </w:r>
            <w:r>
              <w:rPr>
                <w:rFonts w:hint="eastAsia"/>
                <w:b/>
                <w:bCs/>
                <w:color w:val="auto"/>
                <w:sz w:val="24"/>
                <w:lang w:eastAsia="zh-CN"/>
              </w:rPr>
              <w:t>卸粮、清理</w:t>
            </w:r>
            <w:r>
              <w:rPr>
                <w:rFonts w:ascii="Times New Roman" w:hAnsi="Times New Roman"/>
                <w:b/>
                <w:bCs/>
                <w:color w:val="auto"/>
                <w:sz w:val="24"/>
              </w:rPr>
              <w:t>：</w:t>
            </w:r>
          </w:p>
          <w:p w14:paraId="5CD4D0EE">
            <w:pPr>
              <w:keepNext w:val="0"/>
              <w:keepLines w:val="0"/>
              <w:pageBreakBefore w:val="0"/>
              <w:widowControl w:val="0"/>
              <w:kinsoku/>
              <w:wordWrap/>
              <w:overflowPunct/>
              <w:topLinePunct w:val="0"/>
              <w:bidi w:val="0"/>
              <w:snapToGrid w:val="0"/>
              <w:spacing w:line="360" w:lineRule="auto"/>
              <w:ind w:firstLine="480"/>
              <w:textAlignment w:val="auto"/>
              <w:rPr>
                <w:rFonts w:hint="eastAsia"/>
                <w:snapToGrid w:val="0"/>
                <w:color w:val="auto"/>
                <w:kern w:val="0"/>
                <w:sz w:val="24"/>
                <w:lang w:val="en-US" w:eastAsia="zh-CN"/>
              </w:rPr>
            </w:pPr>
            <w:r>
              <w:rPr>
                <w:rFonts w:hint="eastAsia"/>
                <w:snapToGrid w:val="0"/>
                <w:color w:val="auto"/>
                <w:kern w:val="0"/>
                <w:sz w:val="24"/>
                <w:lang w:val="en-US" w:eastAsia="zh-CN"/>
              </w:rPr>
              <w:t>将稻谷送入粮坑，经提升送入振动清理筛除去大杂，计量后经提升机将原料送毛谷仓贮存</w:t>
            </w:r>
            <w:r>
              <w:rPr>
                <w:rFonts w:hint="eastAsia" w:ascii="Times New Roman" w:hAnsi="Times New Roman"/>
                <w:snapToGrid w:val="0"/>
                <w:color w:val="auto"/>
                <w:kern w:val="0"/>
                <w:sz w:val="24"/>
                <w:lang w:val="en-US" w:eastAsia="zh-CN"/>
              </w:rPr>
              <w:t>。</w:t>
            </w:r>
            <w:r>
              <w:rPr>
                <w:rFonts w:hint="eastAsia"/>
                <w:snapToGrid w:val="0"/>
                <w:color w:val="auto"/>
                <w:kern w:val="0"/>
                <w:sz w:val="24"/>
                <w:lang w:val="en-US" w:eastAsia="zh-CN"/>
              </w:rPr>
              <w:t>仓中稻谷经提升机，由清理筛除去大、中、小、轻杂。再根据石子和稻谷的比重不同筛分出与稻谷大小相似的石子。石子杂质去除后，最后计量送入砻谷工段。</w:t>
            </w:r>
          </w:p>
          <w:p w14:paraId="34A09FCF">
            <w:pPr>
              <w:keepNext w:val="0"/>
              <w:keepLines w:val="0"/>
              <w:pageBreakBefore w:val="0"/>
              <w:widowControl w:val="0"/>
              <w:kinsoku/>
              <w:wordWrap/>
              <w:overflowPunct/>
              <w:topLinePunct w:val="0"/>
              <w:bidi w:val="0"/>
              <w:snapToGrid w:val="0"/>
              <w:spacing w:line="360" w:lineRule="auto"/>
              <w:ind w:firstLine="480"/>
              <w:textAlignment w:val="auto"/>
              <w:rPr>
                <w:rFonts w:hint="default" w:ascii="Times New Roman" w:hAnsi="Times New Roman"/>
                <w:snapToGrid w:val="0"/>
                <w:color w:val="auto"/>
                <w:kern w:val="0"/>
                <w:sz w:val="24"/>
                <w:lang w:val="en-US" w:eastAsia="zh-CN"/>
              </w:rPr>
            </w:pPr>
            <w:r>
              <w:rPr>
                <w:rFonts w:hint="eastAsia"/>
                <w:snapToGrid w:val="0"/>
                <w:color w:val="auto"/>
                <w:kern w:val="0"/>
                <w:sz w:val="24"/>
                <w:lang w:val="en-US" w:eastAsia="zh-CN"/>
              </w:rPr>
              <w:t>该工段产污主要为卸粮废气G</w:t>
            </w:r>
            <w:r>
              <w:rPr>
                <w:rFonts w:hint="eastAsia"/>
                <w:snapToGrid w:val="0"/>
                <w:color w:val="auto"/>
                <w:kern w:val="0"/>
                <w:sz w:val="24"/>
                <w:vertAlign w:val="subscript"/>
                <w:lang w:val="en-US" w:eastAsia="zh-CN"/>
              </w:rPr>
              <w:t>1</w:t>
            </w:r>
            <w:r>
              <w:rPr>
                <w:rFonts w:hint="eastAsia"/>
                <w:snapToGrid w:val="0"/>
                <w:color w:val="auto"/>
                <w:kern w:val="0"/>
                <w:sz w:val="24"/>
                <w:lang w:val="en-US" w:eastAsia="zh-CN"/>
              </w:rPr>
              <w:t>、清理废气G</w:t>
            </w:r>
            <w:r>
              <w:rPr>
                <w:rFonts w:hint="eastAsia"/>
                <w:snapToGrid w:val="0"/>
                <w:color w:val="auto"/>
                <w:kern w:val="0"/>
                <w:sz w:val="24"/>
                <w:vertAlign w:val="subscript"/>
                <w:lang w:val="en-US" w:eastAsia="zh-CN"/>
              </w:rPr>
              <w:t>2</w:t>
            </w:r>
            <w:r>
              <w:rPr>
                <w:rFonts w:hint="eastAsia"/>
                <w:snapToGrid w:val="0"/>
                <w:color w:val="auto"/>
                <w:kern w:val="0"/>
                <w:sz w:val="24"/>
                <w:lang w:val="en-US" w:eastAsia="zh-CN"/>
              </w:rPr>
              <w:t>、秸秆、砂石S</w:t>
            </w:r>
            <w:r>
              <w:rPr>
                <w:rFonts w:hint="eastAsia"/>
                <w:snapToGrid w:val="0"/>
                <w:color w:val="auto"/>
                <w:kern w:val="0"/>
                <w:sz w:val="24"/>
                <w:vertAlign w:val="subscript"/>
                <w:lang w:val="en-US" w:eastAsia="zh-CN"/>
              </w:rPr>
              <w:t>1</w:t>
            </w:r>
            <w:r>
              <w:rPr>
                <w:rFonts w:hint="eastAsia"/>
                <w:snapToGrid w:val="0"/>
                <w:color w:val="auto"/>
                <w:kern w:val="0"/>
                <w:sz w:val="24"/>
                <w:lang w:val="en-US" w:eastAsia="zh-CN"/>
              </w:rPr>
              <w:t>、和设备噪声N。</w:t>
            </w:r>
          </w:p>
          <w:p w14:paraId="0E95A38C">
            <w:pPr>
              <w:keepNext w:val="0"/>
              <w:keepLines w:val="0"/>
              <w:pageBreakBefore w:val="0"/>
              <w:widowControl w:val="0"/>
              <w:kinsoku/>
              <w:wordWrap/>
              <w:overflowPunct/>
              <w:topLinePunct w:val="0"/>
              <w:bidi w:val="0"/>
              <w:snapToGrid w:val="0"/>
              <w:spacing w:line="360" w:lineRule="auto"/>
              <w:ind w:firstLine="482" w:firstLineChars="200"/>
              <w:textAlignment w:val="auto"/>
              <w:rPr>
                <w:rFonts w:ascii="Times New Roman" w:hAnsi="Times New Roman"/>
                <w:b/>
                <w:bCs/>
                <w:color w:val="auto"/>
                <w:sz w:val="24"/>
              </w:rPr>
            </w:pPr>
            <w:r>
              <w:rPr>
                <w:rFonts w:ascii="Times New Roman" w:hAnsi="Times New Roman"/>
                <w:b/>
                <w:bCs/>
                <w:color w:val="auto"/>
                <w:sz w:val="24"/>
              </w:rPr>
              <w:t>（2）砻谷及谷糙分离：</w:t>
            </w:r>
          </w:p>
          <w:p w14:paraId="29501C3E">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ascii="Times New Roman" w:hAnsi="Times New Roman"/>
                <w:color w:val="auto"/>
                <w:kern w:val="0"/>
                <w:sz w:val="24"/>
              </w:rPr>
            </w:pPr>
            <w:r>
              <w:rPr>
                <w:rFonts w:ascii="Times New Roman" w:hAnsi="Times New Roman"/>
                <w:color w:val="auto"/>
                <w:kern w:val="0"/>
                <w:sz w:val="24"/>
              </w:rPr>
              <w:t>谷剥掉谷壳过程称</w:t>
            </w:r>
            <w:r>
              <w:rPr>
                <w:rFonts w:hint="eastAsia" w:ascii="宋体" w:hAnsi="宋体" w:eastAsia="宋体" w:cs="宋体"/>
                <w:color w:val="auto"/>
                <w:kern w:val="0"/>
                <w:sz w:val="24"/>
              </w:rPr>
              <w:t>为“砻谷”</w:t>
            </w:r>
            <w:r>
              <w:rPr>
                <w:rFonts w:ascii="Times New Roman" w:hAnsi="Times New Roman"/>
                <w:color w:val="auto"/>
                <w:kern w:val="0"/>
                <w:sz w:val="24"/>
              </w:rPr>
              <w:t>，由砻谷机对稻谷进行剥壳。稻谷剥开谷壳的米粒叫</w:t>
            </w:r>
            <w:r>
              <w:rPr>
                <w:rFonts w:hint="eastAsia" w:ascii="宋体" w:hAnsi="宋体" w:eastAsia="宋体" w:cs="宋体"/>
                <w:color w:val="auto"/>
                <w:kern w:val="0"/>
                <w:sz w:val="24"/>
              </w:rPr>
              <w:t>“糙米”</w:t>
            </w:r>
            <w:r>
              <w:rPr>
                <w:rFonts w:ascii="Times New Roman" w:hAnsi="Times New Roman"/>
                <w:color w:val="auto"/>
                <w:kern w:val="0"/>
                <w:sz w:val="24"/>
              </w:rPr>
              <w:t>，糙米为淡棕色，砻谷过程不可能</w:t>
            </w:r>
            <w:r>
              <w:rPr>
                <w:rFonts w:hint="eastAsia"/>
                <w:color w:val="auto"/>
                <w:kern w:val="0"/>
                <w:sz w:val="24"/>
                <w:lang w:val="en-US" w:eastAsia="zh-CN"/>
              </w:rPr>
              <w:t>100%</w:t>
            </w:r>
            <w:r>
              <w:rPr>
                <w:rFonts w:ascii="Times New Roman" w:hAnsi="Times New Roman"/>
                <w:color w:val="auto"/>
                <w:kern w:val="0"/>
                <w:sz w:val="24"/>
              </w:rPr>
              <w:t>获得糙米，谷粒和糙米混合在一起为</w:t>
            </w:r>
            <w:r>
              <w:rPr>
                <w:rFonts w:hint="eastAsia" w:ascii="宋体" w:hAnsi="宋体" w:eastAsia="宋体" w:cs="宋体"/>
                <w:color w:val="auto"/>
                <w:kern w:val="0"/>
                <w:sz w:val="24"/>
              </w:rPr>
              <w:t>“谷糙混合物”</w:t>
            </w:r>
            <w:r>
              <w:rPr>
                <w:rFonts w:ascii="Times New Roman" w:hAnsi="Times New Roman"/>
                <w:color w:val="auto"/>
                <w:kern w:val="0"/>
                <w:sz w:val="24"/>
              </w:rPr>
              <w:t>。</w:t>
            </w:r>
            <w:r>
              <w:rPr>
                <w:rFonts w:ascii="Times New Roman" w:hAnsi="Times New Roman"/>
                <w:snapToGrid w:val="0"/>
                <w:color w:val="auto"/>
                <w:kern w:val="0"/>
                <w:sz w:val="24"/>
              </w:rPr>
              <w:t>糙米稻谷混合物进入谷糙分离机，分离出米的稻谷送回砻谷机，糙米混合物返回谷糙分离筛分离，进入糙米仓进行调质处理。</w:t>
            </w:r>
          </w:p>
          <w:p w14:paraId="1FFF076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color w:val="auto"/>
                <w:kern w:val="0"/>
                <w:sz w:val="24"/>
                <w:lang w:val="en-US" w:eastAsia="zh-CN"/>
              </w:rPr>
            </w:pPr>
            <w:r>
              <w:rPr>
                <w:rFonts w:ascii="Times New Roman" w:hAnsi="Times New Roman"/>
                <w:color w:val="auto"/>
                <w:kern w:val="0"/>
                <w:sz w:val="24"/>
              </w:rPr>
              <w:t>去除杂质后的稻谷通过砻谷机剥壳，形成的谷糙混合物进入谷糙分离机进行分离，分离出的谷粒返回至砻谷机重新剥壳，分离出的糙米则进入</w:t>
            </w:r>
            <w:r>
              <w:rPr>
                <w:rFonts w:hint="eastAsia" w:ascii="Times New Roman" w:hAnsi="Times New Roman"/>
                <w:color w:val="auto"/>
                <w:kern w:val="0"/>
                <w:sz w:val="24"/>
                <w:lang w:val="en-US" w:eastAsia="zh-CN"/>
              </w:rPr>
              <w:t>中转仓</w:t>
            </w:r>
            <w:r>
              <w:rPr>
                <w:rFonts w:ascii="Times New Roman" w:hAnsi="Times New Roman"/>
                <w:color w:val="auto"/>
                <w:kern w:val="0"/>
                <w:sz w:val="24"/>
              </w:rPr>
              <w:t>。</w:t>
            </w:r>
            <w:r>
              <w:rPr>
                <w:rFonts w:hint="eastAsia" w:ascii="Times New Roman" w:hAnsi="Times New Roman"/>
                <w:color w:val="auto"/>
                <w:kern w:val="0"/>
                <w:sz w:val="24"/>
                <w:lang w:val="en-US" w:eastAsia="zh-CN"/>
              </w:rPr>
              <w:t>中转仓贮存转运工序产生的废气经仓顶脉冲除尘装置处理后仓顶排放。</w:t>
            </w:r>
          </w:p>
          <w:p w14:paraId="289D167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left"/>
              <w:textAlignment w:val="auto"/>
              <w:rPr>
                <w:rFonts w:hint="default" w:ascii="Times New Roman" w:hAnsi="Times New Roman" w:eastAsia="宋体"/>
                <w:color w:val="auto"/>
                <w:kern w:val="0"/>
                <w:sz w:val="24"/>
                <w:lang w:val="en-US" w:eastAsia="zh-CN"/>
              </w:rPr>
            </w:pPr>
            <w:r>
              <w:rPr>
                <w:rFonts w:hint="eastAsia" w:ascii="Times New Roman" w:hAnsi="Times New Roman"/>
                <w:color w:val="auto"/>
                <w:kern w:val="0"/>
                <w:sz w:val="24"/>
                <w:lang w:val="en-US" w:eastAsia="zh-CN"/>
              </w:rPr>
              <w:t>砻谷、谷糙分离工序会产生粉尘、设备噪声及副产品稻壳等。</w:t>
            </w:r>
          </w:p>
          <w:p w14:paraId="57EC74EF">
            <w:pPr>
              <w:snapToGrid w:val="0"/>
              <w:spacing w:line="360" w:lineRule="auto"/>
              <w:ind w:firstLine="480"/>
              <w:rPr>
                <w:rFonts w:ascii="Times New Roman" w:hAnsi="Times New Roman"/>
                <w:color w:val="auto"/>
                <w:kern w:val="0"/>
                <w:sz w:val="24"/>
              </w:rPr>
            </w:pPr>
            <w:r>
              <w:rPr>
                <w:rFonts w:ascii="Times New Roman" w:hAnsi="Times New Roman"/>
                <w:color w:val="auto"/>
                <w:kern w:val="0"/>
                <w:sz w:val="24"/>
              </w:rPr>
              <w:t>砻谷过程中米的表面或多或少会有划痕，糠粉很容易塞在里面，时间稍长即酸败，从而影响米的贮存期，因此应定期检查、清理设备。</w:t>
            </w:r>
          </w:p>
          <w:p w14:paraId="0D833B0D">
            <w:pPr>
              <w:snapToGrid w:val="0"/>
              <w:spacing w:line="360" w:lineRule="auto"/>
              <w:ind w:firstLine="480"/>
              <w:rPr>
                <w:rFonts w:hint="eastAsia"/>
                <w:color w:val="auto"/>
                <w:kern w:val="0"/>
                <w:sz w:val="24"/>
                <w:lang w:eastAsia="zh-CN"/>
              </w:rPr>
            </w:pPr>
            <w:r>
              <w:rPr>
                <w:rFonts w:hint="eastAsia"/>
                <w:color w:val="auto"/>
                <w:kern w:val="0"/>
                <w:sz w:val="24"/>
                <w:lang w:eastAsia="zh-CN"/>
              </w:rPr>
              <w:t>稻谷经过砻谷机进行米粒与稻壳的分离，分离的稻壳运送至仓库贮存后再外售。</w:t>
            </w:r>
          </w:p>
          <w:p w14:paraId="3E6AC846">
            <w:pPr>
              <w:snapToGrid w:val="0"/>
              <w:spacing w:line="360" w:lineRule="auto"/>
              <w:ind w:firstLine="480"/>
              <w:rPr>
                <w:rFonts w:hint="default" w:ascii="Times New Roman" w:hAnsi="Times New Roman" w:eastAsia="宋体"/>
                <w:color w:val="auto"/>
                <w:kern w:val="0"/>
                <w:sz w:val="24"/>
                <w:lang w:val="en-US" w:eastAsia="zh-CN"/>
              </w:rPr>
            </w:pPr>
            <w:r>
              <w:rPr>
                <w:rFonts w:hint="eastAsia"/>
                <w:color w:val="auto"/>
                <w:kern w:val="0"/>
                <w:sz w:val="24"/>
                <w:lang w:eastAsia="zh-CN"/>
              </w:rPr>
              <w:t>该工段产污主要为砻谷脱壳的粉尘</w:t>
            </w:r>
            <w:r>
              <w:rPr>
                <w:rFonts w:hint="eastAsia"/>
                <w:color w:val="auto"/>
                <w:kern w:val="0"/>
                <w:sz w:val="24"/>
                <w:lang w:val="en-US" w:eastAsia="zh-CN"/>
              </w:rPr>
              <w:t>G</w:t>
            </w:r>
            <w:r>
              <w:rPr>
                <w:rFonts w:hint="eastAsia"/>
                <w:color w:val="auto"/>
                <w:kern w:val="0"/>
                <w:sz w:val="24"/>
                <w:vertAlign w:val="subscript"/>
                <w:lang w:val="en-US" w:eastAsia="zh-CN"/>
              </w:rPr>
              <w:t>3</w:t>
            </w:r>
            <w:r>
              <w:rPr>
                <w:rFonts w:hint="eastAsia"/>
                <w:color w:val="auto"/>
                <w:kern w:val="0"/>
                <w:sz w:val="24"/>
                <w:lang w:eastAsia="zh-CN"/>
              </w:rPr>
              <w:t>、谷糙分离过程的粉尘</w:t>
            </w:r>
            <w:r>
              <w:rPr>
                <w:rFonts w:hint="eastAsia"/>
                <w:color w:val="auto"/>
                <w:kern w:val="0"/>
                <w:sz w:val="24"/>
                <w:lang w:val="en-US" w:eastAsia="zh-CN"/>
              </w:rPr>
              <w:t>G</w:t>
            </w:r>
            <w:r>
              <w:rPr>
                <w:rFonts w:hint="eastAsia"/>
                <w:color w:val="auto"/>
                <w:kern w:val="0"/>
                <w:sz w:val="24"/>
                <w:vertAlign w:val="subscript"/>
                <w:lang w:val="en-US" w:eastAsia="zh-CN"/>
              </w:rPr>
              <w:t>4</w:t>
            </w:r>
            <w:r>
              <w:rPr>
                <w:rFonts w:hint="eastAsia"/>
                <w:color w:val="auto"/>
                <w:kern w:val="0"/>
                <w:sz w:val="24"/>
                <w:lang w:val="en-US" w:eastAsia="zh-CN"/>
              </w:rPr>
              <w:t>，稻壳S</w:t>
            </w:r>
            <w:r>
              <w:rPr>
                <w:rFonts w:hint="eastAsia"/>
                <w:color w:val="auto"/>
                <w:kern w:val="0"/>
                <w:sz w:val="24"/>
                <w:vertAlign w:val="subscript"/>
                <w:lang w:val="en-US" w:eastAsia="zh-CN"/>
              </w:rPr>
              <w:t>3</w:t>
            </w:r>
            <w:r>
              <w:rPr>
                <w:rFonts w:hint="eastAsia"/>
                <w:color w:val="auto"/>
                <w:kern w:val="0"/>
                <w:sz w:val="24"/>
                <w:lang w:val="en-US" w:eastAsia="zh-CN"/>
              </w:rPr>
              <w:t>、稻糠S</w:t>
            </w:r>
            <w:r>
              <w:rPr>
                <w:rFonts w:hint="eastAsia"/>
                <w:color w:val="auto"/>
                <w:kern w:val="0"/>
                <w:sz w:val="24"/>
                <w:vertAlign w:val="subscript"/>
                <w:lang w:val="en-US" w:eastAsia="zh-CN"/>
              </w:rPr>
              <w:t>4</w:t>
            </w:r>
            <w:r>
              <w:rPr>
                <w:rFonts w:hint="eastAsia"/>
                <w:color w:val="auto"/>
                <w:kern w:val="0"/>
                <w:sz w:val="24"/>
                <w:lang w:val="en-US" w:eastAsia="zh-CN"/>
              </w:rPr>
              <w:t>等固体废物以及设备噪声N。</w:t>
            </w:r>
          </w:p>
          <w:p w14:paraId="09822F99">
            <w:pPr>
              <w:snapToGrid w:val="0"/>
              <w:spacing w:line="360" w:lineRule="auto"/>
              <w:ind w:firstLine="482" w:firstLineChars="200"/>
              <w:rPr>
                <w:rFonts w:ascii="Times New Roman" w:hAnsi="Times New Roman"/>
                <w:b/>
                <w:bCs/>
                <w:color w:val="auto"/>
                <w:sz w:val="24"/>
              </w:rPr>
            </w:pPr>
            <w:r>
              <w:rPr>
                <w:rFonts w:ascii="Times New Roman" w:hAnsi="Times New Roman"/>
                <w:b/>
                <w:bCs/>
                <w:color w:val="auto"/>
                <w:sz w:val="24"/>
              </w:rPr>
              <w:t>（3）碾米、</w:t>
            </w:r>
            <w:r>
              <w:rPr>
                <w:rFonts w:hint="eastAsia"/>
                <w:b/>
                <w:bCs/>
                <w:color w:val="auto"/>
                <w:sz w:val="24"/>
                <w:lang w:eastAsia="zh-CN"/>
              </w:rPr>
              <w:t>初次</w:t>
            </w:r>
            <w:r>
              <w:rPr>
                <w:rFonts w:ascii="Times New Roman" w:hAnsi="Times New Roman"/>
                <w:b/>
                <w:bCs/>
                <w:color w:val="auto"/>
                <w:sz w:val="24"/>
              </w:rPr>
              <w:t>抛光、分级：</w:t>
            </w:r>
          </w:p>
          <w:p w14:paraId="0FB3CFC1">
            <w:pPr>
              <w:snapToGrid w:val="0"/>
              <w:spacing w:line="360" w:lineRule="auto"/>
              <w:ind w:firstLine="480" w:firstLineChars="200"/>
              <w:rPr>
                <w:rFonts w:ascii="Times New Roman" w:hAnsi="Times New Roman"/>
                <w:color w:val="auto"/>
                <w:kern w:val="0"/>
                <w:sz w:val="24"/>
              </w:rPr>
            </w:pPr>
            <w:r>
              <w:rPr>
                <w:rFonts w:ascii="Times New Roman" w:hAnsi="Times New Roman"/>
                <w:color w:val="auto"/>
                <w:sz w:val="24"/>
              </w:rPr>
              <w:t>碾米：</w:t>
            </w:r>
            <w:r>
              <w:rPr>
                <w:rFonts w:ascii="Times New Roman" w:hAnsi="Times New Roman"/>
                <w:color w:val="auto"/>
                <w:kern w:val="0"/>
                <w:sz w:val="24"/>
              </w:rPr>
              <w:t>碾米就是借助旋转的砂辊使米粒与碾白室构件及米粒与米粒之间产生相互碰撞、摩擦及翻滚等运动，通过碾削及摩擦擦</w:t>
            </w:r>
            <w:r>
              <w:rPr>
                <w:rFonts w:hint="eastAsia" w:ascii="宋体" w:hAnsi="宋体" w:eastAsia="宋体" w:cs="宋体"/>
                <w:color w:val="auto"/>
                <w:kern w:val="0"/>
                <w:sz w:val="24"/>
              </w:rPr>
              <w:t>离等作用将米粒表皮部分或全部去除，除去淡棕色层</w:t>
            </w:r>
            <w:r>
              <w:rPr>
                <w:rFonts w:hint="eastAsia" w:ascii="宋体" w:hAnsi="宋体" w:cs="宋体"/>
                <w:color w:val="auto"/>
                <w:kern w:val="0"/>
                <w:sz w:val="24"/>
                <w:lang w:eastAsia="zh-CN"/>
              </w:rPr>
              <w:t>（</w:t>
            </w:r>
            <w:r>
              <w:rPr>
                <w:rFonts w:hint="eastAsia" w:ascii="宋体" w:hAnsi="宋体" w:eastAsia="宋体" w:cs="宋体"/>
                <w:color w:val="auto"/>
                <w:kern w:val="0"/>
                <w:sz w:val="24"/>
              </w:rPr>
              <w:t>皮层和胚芽</w:t>
            </w:r>
            <w:r>
              <w:rPr>
                <w:rFonts w:hint="eastAsia" w:ascii="宋体" w:hAnsi="宋体" w:cs="宋体"/>
                <w:color w:val="auto"/>
                <w:kern w:val="0"/>
                <w:sz w:val="24"/>
                <w:lang w:eastAsia="zh-CN"/>
              </w:rPr>
              <w:t>）</w:t>
            </w:r>
            <w:r>
              <w:rPr>
                <w:rFonts w:hint="eastAsia" w:ascii="宋体" w:hAnsi="宋体" w:eastAsia="宋体" w:cs="宋体"/>
                <w:color w:val="auto"/>
                <w:kern w:val="0"/>
                <w:sz w:val="24"/>
              </w:rPr>
              <w:t>后糙米变成白色的米粒“白米”，碾下的淡棕色的米皮“糠粉”。</w:t>
            </w:r>
            <w:r>
              <w:rPr>
                <w:rFonts w:hint="eastAsia" w:ascii="宋体" w:hAnsi="宋体" w:eastAsia="宋体" w:cs="宋体"/>
                <w:color w:val="auto"/>
                <w:kern w:val="0"/>
                <w:sz w:val="24"/>
                <w:lang w:val="en-US" w:eastAsia="zh-CN"/>
              </w:rPr>
              <w:t>碾米工序会产生粉尘、设备噪声及副产品</w:t>
            </w:r>
            <w:r>
              <w:rPr>
                <w:rFonts w:hint="eastAsia" w:ascii="Times New Roman" w:hAnsi="Times New Roman"/>
                <w:color w:val="auto"/>
                <w:kern w:val="0"/>
                <w:sz w:val="24"/>
                <w:lang w:val="en-US" w:eastAsia="zh-CN"/>
              </w:rPr>
              <w:t>米糠等。</w:t>
            </w:r>
          </w:p>
          <w:p w14:paraId="4684FD53">
            <w:pPr>
              <w:snapToGrid w:val="0"/>
              <w:spacing w:line="360" w:lineRule="auto"/>
              <w:ind w:firstLine="480" w:firstLineChars="200"/>
              <w:rPr>
                <w:rFonts w:ascii="Times New Roman" w:hAnsi="Times New Roman"/>
                <w:color w:val="auto"/>
                <w:kern w:val="0"/>
                <w:sz w:val="24"/>
              </w:rPr>
            </w:pPr>
            <w:r>
              <w:rPr>
                <w:rFonts w:ascii="Times New Roman" w:hAnsi="Times New Roman"/>
                <w:color w:val="auto"/>
                <w:sz w:val="24"/>
              </w:rPr>
              <w:t>分级：</w:t>
            </w:r>
            <w:r>
              <w:rPr>
                <w:rFonts w:ascii="Times New Roman" w:hAnsi="Times New Roman"/>
                <w:snapToGrid w:val="0"/>
                <w:color w:val="auto"/>
                <w:kern w:val="0"/>
                <w:sz w:val="24"/>
              </w:rPr>
              <w:t>利用碎米和整米立型差异，利用白米分级筛在平面回转的筛面上进行自动分级，经过适当配备的四层筛面的连续筛理，</w:t>
            </w:r>
            <w:r>
              <w:rPr>
                <w:rFonts w:hint="eastAsia"/>
                <w:snapToGrid w:val="0"/>
                <w:color w:val="auto"/>
                <w:kern w:val="0"/>
                <w:sz w:val="24"/>
                <w:lang w:eastAsia="zh-CN"/>
              </w:rPr>
              <w:t>分离</w:t>
            </w:r>
            <w:r>
              <w:rPr>
                <w:rFonts w:ascii="Times New Roman" w:hAnsi="Times New Roman"/>
                <w:snapToGrid w:val="0"/>
                <w:color w:val="auto"/>
                <w:kern w:val="0"/>
                <w:sz w:val="24"/>
              </w:rPr>
              <w:t>出整米、大碎米、中碎米、小碎米四个等级，分离出来整米由提升机经计量送入</w:t>
            </w:r>
            <w:r>
              <w:rPr>
                <w:rFonts w:hint="eastAsia" w:ascii="Times New Roman" w:hAnsi="Times New Roman"/>
                <w:snapToGrid w:val="0"/>
                <w:color w:val="auto"/>
                <w:kern w:val="0"/>
                <w:sz w:val="24"/>
                <w:lang w:val="en-US" w:eastAsia="zh-CN"/>
              </w:rPr>
              <w:t>凉</w:t>
            </w:r>
            <w:r>
              <w:rPr>
                <w:rFonts w:ascii="Times New Roman" w:hAnsi="Times New Roman"/>
                <w:snapToGrid w:val="0"/>
                <w:color w:val="auto"/>
                <w:kern w:val="0"/>
                <w:sz w:val="24"/>
              </w:rPr>
              <w:t>米仓；碎米分离出来后，进入碎米仓。</w:t>
            </w:r>
            <w:r>
              <w:rPr>
                <w:rFonts w:hint="eastAsia" w:ascii="Times New Roman" w:hAnsi="Times New Roman"/>
                <w:snapToGrid w:val="0"/>
                <w:color w:val="auto"/>
                <w:kern w:val="0"/>
                <w:sz w:val="24"/>
                <w:lang w:val="en-US" w:eastAsia="zh-CN"/>
              </w:rPr>
              <w:t>白米分级</w:t>
            </w:r>
            <w:r>
              <w:rPr>
                <w:rFonts w:hint="eastAsia" w:ascii="Times New Roman" w:hAnsi="Times New Roman"/>
                <w:color w:val="auto"/>
                <w:kern w:val="0"/>
                <w:sz w:val="24"/>
                <w:lang w:val="en-US" w:eastAsia="zh-CN"/>
              </w:rPr>
              <w:t>工序会产生粉尘、设备噪声及副产品碎米等。</w:t>
            </w:r>
          </w:p>
          <w:p w14:paraId="2DA794B2">
            <w:pPr>
              <w:snapToGrid w:val="0"/>
              <w:spacing w:line="360" w:lineRule="auto"/>
              <w:ind w:firstLine="480"/>
              <w:rPr>
                <w:rFonts w:ascii="Times New Roman" w:hAnsi="Times New Roman"/>
                <w:snapToGrid w:val="0"/>
                <w:color w:val="auto"/>
                <w:kern w:val="0"/>
                <w:sz w:val="24"/>
              </w:rPr>
            </w:pPr>
            <w:r>
              <w:rPr>
                <w:rFonts w:ascii="Times New Roman" w:hAnsi="Times New Roman"/>
                <w:color w:val="auto"/>
                <w:sz w:val="24"/>
              </w:rPr>
              <w:t>抛光</w:t>
            </w:r>
            <w:r>
              <w:rPr>
                <w:rFonts w:ascii="Times New Roman" w:hAnsi="Times New Roman"/>
                <w:snapToGrid w:val="0"/>
                <w:color w:val="auto"/>
                <w:kern w:val="0"/>
                <w:sz w:val="24"/>
              </w:rPr>
              <w:t>：大米抛光是加工精制米、精制米时必不可少的工序。抛光借助</w:t>
            </w:r>
            <w:r>
              <w:rPr>
                <w:rFonts w:hint="eastAsia"/>
                <w:snapToGrid w:val="0"/>
                <w:color w:val="auto"/>
                <w:kern w:val="0"/>
                <w:sz w:val="24"/>
                <w:lang w:eastAsia="zh-CN"/>
              </w:rPr>
              <w:t>摩擦</w:t>
            </w:r>
            <w:r>
              <w:rPr>
                <w:rFonts w:ascii="Times New Roman" w:hAnsi="Times New Roman"/>
                <w:snapToGrid w:val="0"/>
                <w:color w:val="auto"/>
                <w:kern w:val="0"/>
                <w:sz w:val="24"/>
              </w:rPr>
              <w:t>作用将米粒表面浮糠擦除，提高米粒表面的光洁度，同时有助于大米保鲜。</w:t>
            </w:r>
          </w:p>
          <w:p w14:paraId="4E7172D7">
            <w:pPr>
              <w:snapToGrid w:val="0"/>
              <w:spacing w:line="360" w:lineRule="auto"/>
              <w:ind w:firstLine="480"/>
              <w:rPr>
                <w:rFonts w:hint="default" w:ascii="Times New Roman" w:hAnsi="Times New Roman" w:eastAsia="宋体"/>
                <w:snapToGrid w:val="0"/>
                <w:color w:val="auto"/>
                <w:kern w:val="0"/>
                <w:sz w:val="24"/>
                <w:lang w:val="en-US" w:eastAsia="zh-CN"/>
              </w:rPr>
            </w:pPr>
            <w:r>
              <w:rPr>
                <w:rFonts w:hint="eastAsia"/>
                <w:snapToGrid w:val="0"/>
                <w:color w:val="auto"/>
                <w:kern w:val="0"/>
                <w:sz w:val="24"/>
                <w:lang w:eastAsia="zh-CN"/>
              </w:rPr>
              <w:t>该工段</w:t>
            </w:r>
            <w:r>
              <w:rPr>
                <w:rFonts w:ascii="Times New Roman" w:hAnsi="Times New Roman"/>
                <w:snapToGrid w:val="0"/>
                <w:color w:val="auto"/>
                <w:kern w:val="0"/>
                <w:sz w:val="24"/>
              </w:rPr>
              <w:t>主要</w:t>
            </w:r>
            <w:r>
              <w:rPr>
                <w:rFonts w:hint="eastAsia"/>
                <w:snapToGrid w:val="0"/>
                <w:color w:val="auto"/>
                <w:kern w:val="0"/>
                <w:sz w:val="24"/>
                <w:lang w:eastAsia="zh-CN"/>
              </w:rPr>
              <w:t>产</w:t>
            </w:r>
            <w:r>
              <w:rPr>
                <w:rFonts w:ascii="Times New Roman" w:hAnsi="Times New Roman"/>
                <w:snapToGrid w:val="0"/>
                <w:color w:val="auto"/>
                <w:kern w:val="0"/>
                <w:sz w:val="24"/>
              </w:rPr>
              <w:t>污为</w:t>
            </w:r>
            <w:r>
              <w:rPr>
                <w:rFonts w:hint="eastAsia"/>
                <w:snapToGrid w:val="0"/>
                <w:color w:val="auto"/>
                <w:kern w:val="0"/>
                <w:sz w:val="24"/>
                <w:lang w:eastAsia="zh-CN"/>
              </w:rPr>
              <w:t>碾米粉尘</w:t>
            </w:r>
            <w:r>
              <w:rPr>
                <w:rFonts w:hint="eastAsia"/>
                <w:snapToGrid w:val="0"/>
                <w:color w:val="auto"/>
                <w:kern w:val="0"/>
                <w:sz w:val="24"/>
                <w:lang w:val="en-US" w:eastAsia="zh-CN"/>
              </w:rPr>
              <w:t>G</w:t>
            </w:r>
            <w:r>
              <w:rPr>
                <w:rFonts w:hint="eastAsia"/>
                <w:snapToGrid w:val="0"/>
                <w:color w:val="auto"/>
                <w:kern w:val="0"/>
                <w:sz w:val="24"/>
                <w:vertAlign w:val="subscript"/>
                <w:lang w:val="en-US" w:eastAsia="zh-CN"/>
              </w:rPr>
              <w:t>5</w:t>
            </w:r>
            <w:r>
              <w:rPr>
                <w:rFonts w:hint="eastAsia"/>
                <w:snapToGrid w:val="0"/>
                <w:color w:val="auto"/>
                <w:kern w:val="0"/>
                <w:sz w:val="24"/>
                <w:lang w:val="en-US" w:eastAsia="zh-CN"/>
              </w:rPr>
              <w:t>、白米分级粉尘G</w:t>
            </w:r>
            <w:r>
              <w:rPr>
                <w:rFonts w:hint="eastAsia"/>
                <w:snapToGrid w:val="0"/>
                <w:color w:val="auto"/>
                <w:kern w:val="0"/>
                <w:sz w:val="24"/>
                <w:vertAlign w:val="subscript"/>
                <w:lang w:val="en-US" w:eastAsia="zh-CN"/>
              </w:rPr>
              <w:t>6</w:t>
            </w:r>
            <w:r>
              <w:rPr>
                <w:rFonts w:hint="eastAsia"/>
                <w:snapToGrid w:val="0"/>
                <w:color w:val="auto"/>
                <w:kern w:val="0"/>
                <w:sz w:val="24"/>
                <w:lang w:val="en-US" w:eastAsia="zh-CN"/>
              </w:rPr>
              <w:t>、大米抛光粉尘G</w:t>
            </w:r>
            <w:r>
              <w:rPr>
                <w:rFonts w:hint="eastAsia"/>
                <w:snapToGrid w:val="0"/>
                <w:color w:val="auto"/>
                <w:kern w:val="0"/>
                <w:sz w:val="24"/>
                <w:vertAlign w:val="subscript"/>
                <w:lang w:val="en-US" w:eastAsia="zh-CN"/>
              </w:rPr>
              <w:t>7</w:t>
            </w:r>
            <w:r>
              <w:rPr>
                <w:rFonts w:hint="eastAsia"/>
                <w:snapToGrid w:val="0"/>
                <w:color w:val="auto"/>
                <w:kern w:val="0"/>
                <w:sz w:val="24"/>
                <w:lang w:val="en-US" w:eastAsia="zh-CN"/>
              </w:rPr>
              <w:t>和设备噪声N。</w:t>
            </w:r>
          </w:p>
          <w:p w14:paraId="138BDDE4">
            <w:pPr>
              <w:snapToGrid w:val="0"/>
              <w:spacing w:line="360" w:lineRule="auto"/>
              <w:ind w:firstLine="482" w:firstLineChars="200"/>
              <w:rPr>
                <w:rFonts w:ascii="Times New Roman" w:hAnsi="Times New Roman"/>
                <w:snapToGrid w:val="0"/>
                <w:color w:val="auto"/>
                <w:kern w:val="0"/>
                <w:sz w:val="24"/>
              </w:rPr>
            </w:pPr>
            <w:r>
              <w:rPr>
                <w:rFonts w:ascii="Times New Roman" w:hAnsi="Times New Roman"/>
                <w:b/>
                <w:bCs/>
                <w:snapToGrid w:val="0"/>
                <w:color w:val="auto"/>
                <w:kern w:val="0"/>
                <w:sz w:val="24"/>
              </w:rPr>
              <w:t>说明：</w:t>
            </w:r>
            <w:r>
              <w:rPr>
                <w:rFonts w:ascii="Times New Roman" w:hAnsi="Times New Roman"/>
                <w:snapToGrid w:val="0"/>
                <w:color w:val="auto"/>
                <w:kern w:val="0"/>
                <w:sz w:val="24"/>
              </w:rPr>
              <w:t>抛光工序新鲜水的用量较少，约为600t/a，用途为抛光机加水抛光，新鲜水经蒸发全部消耗，整个生产流程不产生工艺性废水外排。</w:t>
            </w:r>
          </w:p>
          <w:p w14:paraId="4180491D">
            <w:pPr>
              <w:numPr>
                <w:ilvl w:val="0"/>
                <w:numId w:val="4"/>
              </w:numPr>
              <w:snapToGrid w:val="0"/>
              <w:spacing w:line="360" w:lineRule="auto"/>
              <w:ind w:firstLine="482" w:firstLineChars="200"/>
              <w:rPr>
                <w:rFonts w:ascii="Times New Roman" w:hAnsi="Times New Roman"/>
                <w:b/>
                <w:bCs/>
                <w:snapToGrid w:val="0"/>
                <w:color w:val="auto"/>
                <w:kern w:val="0"/>
                <w:sz w:val="24"/>
              </w:rPr>
            </w:pPr>
            <w:r>
              <w:rPr>
                <w:rFonts w:ascii="Times New Roman" w:hAnsi="Times New Roman"/>
                <w:b/>
                <w:bCs/>
                <w:color w:val="auto"/>
                <w:sz w:val="24"/>
              </w:rPr>
              <w:t>色选</w:t>
            </w:r>
            <w:r>
              <w:rPr>
                <w:rFonts w:hint="eastAsia"/>
                <w:b/>
                <w:bCs/>
                <w:color w:val="auto"/>
                <w:sz w:val="24"/>
                <w:lang w:eastAsia="zh-CN"/>
              </w:rPr>
              <w:t>、二次抛光</w:t>
            </w:r>
            <w:r>
              <w:rPr>
                <w:rFonts w:ascii="Times New Roman" w:hAnsi="Times New Roman"/>
                <w:b/>
                <w:bCs/>
                <w:snapToGrid w:val="0"/>
                <w:color w:val="auto"/>
                <w:kern w:val="0"/>
                <w:sz w:val="24"/>
              </w:rPr>
              <w:t>：</w:t>
            </w:r>
          </w:p>
          <w:p w14:paraId="665B7853">
            <w:pPr>
              <w:snapToGrid w:val="0"/>
              <w:spacing w:line="360" w:lineRule="auto"/>
              <w:ind w:firstLine="480" w:firstLineChars="200"/>
              <w:rPr>
                <w:rFonts w:hint="eastAsia" w:ascii="Times New Roman" w:hAnsi="Times New Roman" w:eastAsia="宋体"/>
                <w:color w:val="auto"/>
                <w:kern w:val="0"/>
                <w:sz w:val="24"/>
                <w:lang w:eastAsia="zh-CN"/>
              </w:rPr>
            </w:pPr>
            <w:r>
              <w:rPr>
                <w:rFonts w:ascii="Times New Roman" w:hAnsi="Times New Roman"/>
                <w:snapToGrid w:val="0"/>
                <w:color w:val="auto"/>
                <w:kern w:val="0"/>
                <w:sz w:val="24"/>
              </w:rPr>
              <w:t>经抛光后提升送至色选机，</w:t>
            </w:r>
            <w:r>
              <w:rPr>
                <w:rFonts w:ascii="Times New Roman" w:hAnsi="Times New Roman"/>
                <w:color w:val="auto"/>
                <w:kern w:val="0"/>
                <w:sz w:val="24"/>
              </w:rPr>
              <w:t>色选主要是去除黄粒米和异色米等。</w:t>
            </w:r>
            <w:r>
              <w:rPr>
                <w:rFonts w:hint="eastAsia"/>
                <w:color w:val="auto"/>
                <w:kern w:val="0"/>
                <w:sz w:val="24"/>
                <w:lang w:eastAsia="zh-CN"/>
              </w:rPr>
              <w:t>流经二次色选机色选，异色粒直接称量打包，再制品则送回头道色选机色选，选出的成米则进行二次抛光，抛光后的成品计量称重。</w:t>
            </w:r>
          </w:p>
          <w:p w14:paraId="46A8F51F">
            <w:pPr>
              <w:snapToGrid w:val="0"/>
              <w:spacing w:line="360" w:lineRule="auto"/>
              <w:ind w:firstLine="480" w:firstLineChars="200"/>
              <w:rPr>
                <w:rFonts w:hint="default" w:ascii="Times New Roman" w:hAnsi="Times New Roman" w:eastAsia="宋体"/>
                <w:color w:val="auto"/>
                <w:kern w:val="0"/>
                <w:sz w:val="24"/>
                <w:lang w:val="en-US" w:eastAsia="zh-CN"/>
              </w:rPr>
            </w:pPr>
            <w:r>
              <w:rPr>
                <w:rFonts w:hint="eastAsia"/>
                <w:color w:val="auto"/>
                <w:kern w:val="0"/>
                <w:sz w:val="24"/>
                <w:lang w:eastAsia="zh-CN"/>
              </w:rPr>
              <w:t>该工段产污主要为色选粉尘</w:t>
            </w:r>
            <w:r>
              <w:rPr>
                <w:rFonts w:hint="eastAsia"/>
                <w:color w:val="auto"/>
                <w:kern w:val="0"/>
                <w:sz w:val="24"/>
                <w:lang w:val="en-US" w:eastAsia="zh-CN"/>
              </w:rPr>
              <w:t>G</w:t>
            </w:r>
            <w:r>
              <w:rPr>
                <w:rFonts w:hint="eastAsia"/>
                <w:color w:val="auto"/>
                <w:kern w:val="0"/>
                <w:sz w:val="24"/>
                <w:vertAlign w:val="subscript"/>
                <w:lang w:val="en-US" w:eastAsia="zh-CN"/>
              </w:rPr>
              <w:t>8</w:t>
            </w:r>
            <w:r>
              <w:rPr>
                <w:rFonts w:hint="eastAsia"/>
                <w:color w:val="auto"/>
                <w:kern w:val="0"/>
                <w:sz w:val="24"/>
                <w:lang w:val="en-US" w:eastAsia="zh-CN"/>
              </w:rPr>
              <w:t>、二次抛光粉尘G</w:t>
            </w:r>
            <w:r>
              <w:rPr>
                <w:rFonts w:hint="eastAsia"/>
                <w:color w:val="auto"/>
                <w:kern w:val="0"/>
                <w:sz w:val="24"/>
                <w:vertAlign w:val="subscript"/>
                <w:lang w:val="en-US" w:eastAsia="zh-CN"/>
              </w:rPr>
              <w:t>9</w:t>
            </w:r>
            <w:r>
              <w:rPr>
                <w:rFonts w:hint="eastAsia"/>
                <w:color w:val="auto"/>
                <w:kern w:val="0"/>
                <w:sz w:val="24"/>
                <w:lang w:val="en-US" w:eastAsia="zh-CN"/>
              </w:rPr>
              <w:t>和设备噪声N。</w:t>
            </w:r>
          </w:p>
          <w:p w14:paraId="02C693C8">
            <w:pPr>
              <w:snapToGrid w:val="0"/>
              <w:spacing w:line="360" w:lineRule="auto"/>
              <w:ind w:firstLine="482" w:firstLineChars="200"/>
              <w:rPr>
                <w:rFonts w:ascii="Times New Roman" w:hAnsi="Times New Roman"/>
                <w:b/>
                <w:bCs/>
                <w:color w:val="auto"/>
                <w:sz w:val="24"/>
              </w:rPr>
            </w:pPr>
            <w:r>
              <w:rPr>
                <w:rFonts w:ascii="Times New Roman" w:hAnsi="Times New Roman"/>
                <w:b/>
                <w:bCs/>
                <w:color w:val="auto"/>
                <w:sz w:val="24"/>
              </w:rPr>
              <w:t>（5）包装：</w:t>
            </w:r>
          </w:p>
          <w:p w14:paraId="0CB6831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color w:val="auto"/>
                <w:kern w:val="0"/>
                <w:sz w:val="24"/>
                <w:lang w:val="en-US" w:eastAsia="zh-CN"/>
              </w:rPr>
            </w:pPr>
            <w:r>
              <w:rPr>
                <w:rFonts w:hint="eastAsia"/>
                <w:color w:val="auto"/>
                <w:kern w:val="0"/>
                <w:sz w:val="24"/>
                <w:lang w:val="en-GB" w:eastAsia="zh-CN"/>
              </w:rPr>
              <w:t>成品米经提升机运至成品仓暂存，由计量秤计量，再由打包机打包缝口，成品进入小包装机进行打包（大米包装规格为</w:t>
            </w:r>
            <w:r>
              <w:rPr>
                <w:rFonts w:hint="eastAsia"/>
                <w:color w:val="auto"/>
                <w:kern w:val="0"/>
                <w:sz w:val="24"/>
                <w:lang w:val="en-US" w:eastAsia="zh-CN"/>
              </w:rPr>
              <w:t>5kg、10kg、25kg、30kg</w:t>
            </w:r>
            <w:r>
              <w:rPr>
                <w:rFonts w:hint="eastAsia"/>
                <w:color w:val="auto"/>
                <w:kern w:val="0"/>
                <w:sz w:val="24"/>
                <w:lang w:val="en-GB" w:eastAsia="zh-CN"/>
              </w:rPr>
              <w:t>），成品米在前端抛光色选工段时已将粉尘去除，因此成品米打包工序无废气产生；</w:t>
            </w:r>
            <w:r>
              <w:rPr>
                <w:rFonts w:hint="eastAsia" w:ascii="Times New Roman" w:hAnsi="Times New Roman"/>
                <w:color w:val="auto"/>
                <w:kern w:val="0"/>
                <w:sz w:val="24"/>
                <w:lang w:val="en-US" w:eastAsia="zh-CN"/>
              </w:rPr>
              <w:t>米糠及稻壳、碎米等副产品进入副产品仓暂存</w:t>
            </w:r>
          </w:p>
          <w:p w14:paraId="5F05C1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textAlignment w:val="auto"/>
              <w:rPr>
                <w:rFonts w:hint="default" w:cs="Times New Roman"/>
                <w:b w:val="0"/>
                <w:bCs/>
                <w:color w:val="auto"/>
                <w:sz w:val="24"/>
                <w:lang w:val="en-US" w:eastAsia="zh-CN"/>
              </w:rPr>
            </w:pPr>
            <w:r>
              <w:rPr>
                <w:rFonts w:hint="eastAsia"/>
                <w:color w:val="auto"/>
                <w:kern w:val="0"/>
                <w:sz w:val="24"/>
                <w:lang w:val="en-US" w:eastAsia="zh-CN"/>
              </w:rPr>
              <w:t>该工段产污主要为设备噪声N</w:t>
            </w:r>
            <w:r>
              <w:rPr>
                <w:rFonts w:hint="eastAsia" w:ascii="Times New Roman" w:hAnsi="Times New Roman"/>
                <w:color w:val="auto"/>
                <w:kern w:val="0"/>
                <w:sz w:val="24"/>
                <w:lang w:val="en-US" w:eastAsia="zh-CN"/>
              </w:rPr>
              <w:t>。</w:t>
            </w:r>
          </w:p>
          <w:p w14:paraId="39749C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b/>
                <w:bCs/>
                <w:color w:val="auto"/>
                <w:szCs w:val="21"/>
              </w:rPr>
            </w:pPr>
            <w:r>
              <w:rPr>
                <w:rFonts w:hint="default" w:ascii="Times New Roman" w:hAnsi="Times New Roman" w:cs="Times New Roman"/>
                <w:b/>
                <w:bCs/>
                <w:color w:val="auto"/>
                <w:szCs w:val="21"/>
              </w:rPr>
              <w:t>表</w:t>
            </w:r>
            <w:r>
              <w:rPr>
                <w:rFonts w:hint="eastAsia" w:ascii="Times New Roman" w:hAnsi="Times New Roman" w:cs="Times New Roman"/>
                <w:b/>
                <w:bCs/>
                <w:color w:val="auto"/>
                <w:szCs w:val="21"/>
                <w:lang w:val="en-US" w:eastAsia="zh-CN"/>
              </w:rPr>
              <w:t>2-</w:t>
            </w:r>
            <w:r>
              <w:rPr>
                <w:rFonts w:hint="eastAsia" w:cs="Times New Roman"/>
                <w:b/>
                <w:bCs/>
                <w:color w:val="auto"/>
                <w:szCs w:val="21"/>
                <w:lang w:val="en-US" w:eastAsia="zh-CN"/>
              </w:rPr>
              <w:t>7</w:t>
            </w:r>
            <w:r>
              <w:rPr>
                <w:rFonts w:hint="default" w:ascii="Times New Roman" w:hAnsi="Times New Roman" w:cs="Times New Roman"/>
                <w:b/>
                <w:bCs/>
                <w:color w:val="auto"/>
                <w:szCs w:val="21"/>
              </w:rPr>
              <w:t xml:space="preserve">  工艺、厂区产污环节及处理措施</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720"/>
              <w:gridCol w:w="610"/>
              <w:gridCol w:w="1837"/>
              <w:gridCol w:w="1602"/>
              <w:gridCol w:w="3032"/>
            </w:tblGrid>
            <w:tr w14:paraId="74863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noWrap w:val="0"/>
                  <w:vAlign w:val="center"/>
                </w:tcPr>
                <w:p w14:paraId="2700F47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1874" w:type="pct"/>
                  <w:gridSpan w:val="3"/>
                  <w:noWrap w:val="0"/>
                  <w:vAlign w:val="center"/>
                </w:tcPr>
                <w:p w14:paraId="61F3B5A7">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污染源</w:t>
                  </w:r>
                </w:p>
              </w:tc>
              <w:tc>
                <w:tcPr>
                  <w:tcW w:w="948" w:type="pct"/>
                  <w:noWrap w:val="0"/>
                  <w:vAlign w:val="center"/>
                </w:tcPr>
                <w:p w14:paraId="208B0D98">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794" w:type="pct"/>
                  <w:noWrap w:val="0"/>
                  <w:vAlign w:val="center"/>
                </w:tcPr>
                <w:p w14:paraId="7F5B63CC">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处理措施</w:t>
                  </w:r>
                </w:p>
              </w:tc>
            </w:tr>
            <w:tr w14:paraId="6865A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382" w:type="pct"/>
                  <w:noWrap w:val="0"/>
                  <w:vAlign w:val="center"/>
                </w:tcPr>
                <w:p w14:paraId="6431FDB5">
                  <w:pPr>
                    <w:jc w:val="center"/>
                    <w:rPr>
                      <w:rFonts w:hint="default" w:ascii="Times New Roman" w:hAnsi="Times New Roman" w:cs="Times New Roman"/>
                      <w:color w:val="auto"/>
                      <w:szCs w:val="21"/>
                    </w:rPr>
                  </w:pPr>
                  <w:r>
                    <w:rPr>
                      <w:rFonts w:hint="default" w:ascii="Times New Roman" w:hAnsi="Times New Roman" w:cs="Times New Roman"/>
                      <w:color w:val="auto"/>
                      <w:szCs w:val="21"/>
                    </w:rPr>
                    <w:t>废水</w:t>
                  </w:r>
                </w:p>
              </w:tc>
              <w:tc>
                <w:tcPr>
                  <w:tcW w:w="426" w:type="pct"/>
                  <w:noWrap w:val="0"/>
                  <w:vAlign w:val="center"/>
                </w:tcPr>
                <w:p w14:paraId="753C8B2E">
                  <w:pPr>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办公生活</w:t>
                  </w:r>
                </w:p>
              </w:tc>
              <w:tc>
                <w:tcPr>
                  <w:tcW w:w="1448" w:type="pct"/>
                  <w:gridSpan w:val="2"/>
                  <w:noWrap w:val="0"/>
                  <w:vAlign w:val="center"/>
                </w:tcPr>
                <w:p w14:paraId="528169E7">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生活污水</w:t>
                  </w:r>
                </w:p>
              </w:tc>
              <w:tc>
                <w:tcPr>
                  <w:tcW w:w="948" w:type="pct"/>
                  <w:noWrap w:val="0"/>
                  <w:vAlign w:val="center"/>
                </w:tcPr>
                <w:p w14:paraId="1A1AE91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COD、BOD</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、SS、NH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1794" w:type="pct"/>
                  <w:noWrap w:val="0"/>
                  <w:vAlign w:val="center"/>
                </w:tcPr>
                <w:p w14:paraId="11F98362">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经厂区化粪池处理后定期清掏农用</w:t>
                  </w:r>
                </w:p>
              </w:tc>
            </w:tr>
            <w:tr w14:paraId="3E88E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82" w:type="pct"/>
                  <w:vMerge w:val="restart"/>
                  <w:noWrap w:val="0"/>
                  <w:vAlign w:val="center"/>
                </w:tcPr>
                <w:p w14:paraId="2D8E123C">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废气</w:t>
                  </w:r>
                </w:p>
              </w:tc>
              <w:tc>
                <w:tcPr>
                  <w:tcW w:w="426" w:type="pct"/>
                  <w:vMerge w:val="restart"/>
                  <w:noWrap w:val="0"/>
                  <w:vAlign w:val="center"/>
                </w:tcPr>
                <w:p w14:paraId="1FBB1766">
                  <w:pPr>
                    <w:jc w:val="center"/>
                    <w:rPr>
                      <w:rFonts w:hint="default" w:ascii="Times New Roman" w:hAnsi="Times New Roman" w:cs="Times New Roman"/>
                      <w:color w:val="auto"/>
                      <w:szCs w:val="21"/>
                    </w:rPr>
                  </w:pPr>
                  <w:r>
                    <w:rPr>
                      <w:rFonts w:hint="default" w:ascii="Times New Roman" w:hAnsi="Times New Roman" w:cs="Times New Roman"/>
                      <w:color w:val="auto"/>
                      <w:szCs w:val="21"/>
                    </w:rPr>
                    <w:t>生产车间</w:t>
                  </w:r>
                </w:p>
              </w:tc>
              <w:tc>
                <w:tcPr>
                  <w:tcW w:w="1448" w:type="pct"/>
                  <w:gridSpan w:val="2"/>
                  <w:noWrap w:val="0"/>
                  <w:vAlign w:val="center"/>
                </w:tcPr>
                <w:p w14:paraId="6CC0A1F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lang w:val="en-US" w:eastAsia="zh-CN"/>
                    </w:rPr>
                  </w:pPr>
                  <w:r>
                    <w:rPr>
                      <w:rFonts w:hint="eastAsia" w:cs="Times New Roman"/>
                      <w:color w:val="auto"/>
                      <w:kern w:val="0"/>
                      <w:sz w:val="21"/>
                      <w:szCs w:val="21"/>
                      <w:lang w:val="en-US" w:eastAsia="zh-CN"/>
                    </w:rPr>
                    <w:t>卸粮废气G</w:t>
                  </w:r>
                  <w:r>
                    <w:rPr>
                      <w:rFonts w:hint="eastAsia" w:cs="Times New Roman"/>
                      <w:color w:val="auto"/>
                      <w:kern w:val="0"/>
                      <w:sz w:val="21"/>
                      <w:szCs w:val="21"/>
                      <w:vertAlign w:val="subscript"/>
                      <w:lang w:val="en-US" w:eastAsia="zh-CN"/>
                    </w:rPr>
                    <w:t>1</w:t>
                  </w:r>
                </w:p>
              </w:tc>
              <w:tc>
                <w:tcPr>
                  <w:tcW w:w="948" w:type="pct"/>
                  <w:noWrap w:val="0"/>
                  <w:vAlign w:val="center"/>
                </w:tcPr>
                <w:p w14:paraId="4B89226C">
                  <w:pPr>
                    <w:jc w:val="center"/>
                    <w:rPr>
                      <w:rFonts w:hint="default" w:cs="Times New Roman"/>
                      <w:color w:val="auto"/>
                      <w:szCs w:val="21"/>
                      <w:lang w:val="en-US" w:eastAsia="zh-CN"/>
                    </w:rPr>
                  </w:pPr>
                  <w:r>
                    <w:rPr>
                      <w:rFonts w:hint="eastAsia" w:cs="Times New Roman"/>
                      <w:color w:val="auto"/>
                      <w:szCs w:val="21"/>
                      <w:lang w:val="en-US" w:eastAsia="zh-CN"/>
                    </w:rPr>
                    <w:t>颗粒物</w:t>
                  </w:r>
                </w:p>
              </w:tc>
              <w:tc>
                <w:tcPr>
                  <w:tcW w:w="1794" w:type="pct"/>
                  <w:vMerge w:val="restart"/>
                  <w:noWrap w:val="0"/>
                  <w:vAlign w:val="center"/>
                </w:tcPr>
                <w:p w14:paraId="7ECDC198">
                  <w:pPr>
                    <w:jc w:val="center"/>
                    <w:rPr>
                      <w:rFonts w:hint="default" w:ascii="Times New Roman" w:hAnsi="Times New Roman" w:eastAsia="宋体"/>
                      <w:color w:val="auto"/>
                      <w:lang w:val="en-US" w:eastAsia="zh-CN"/>
                    </w:rPr>
                  </w:pPr>
                  <w:r>
                    <w:rPr>
                      <w:rFonts w:hint="eastAsia"/>
                      <w:color w:val="auto"/>
                      <w:lang w:eastAsia="zh-CN"/>
                    </w:rPr>
                    <w:t>通过集气罩收集；通过</w:t>
                  </w:r>
                  <w:r>
                    <w:rPr>
                      <w:rFonts w:hint="eastAsia"/>
                      <w:color w:val="auto"/>
                      <w:lang w:val="en-US" w:eastAsia="zh-CN"/>
                    </w:rPr>
                    <w:t>2套旋风除尘器+布袋除尘器处理后合并至1根15m高排气筒（DA001）排放。</w:t>
                  </w:r>
                </w:p>
              </w:tc>
            </w:tr>
            <w:tr w14:paraId="19BEC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382" w:type="pct"/>
                  <w:vMerge w:val="continue"/>
                  <w:noWrap w:val="0"/>
                  <w:vAlign w:val="center"/>
                </w:tcPr>
                <w:p w14:paraId="09F4960C">
                  <w:pPr>
                    <w:jc w:val="center"/>
                    <w:rPr>
                      <w:rFonts w:hint="eastAsia" w:cs="Times New Roman"/>
                      <w:color w:val="auto"/>
                      <w:szCs w:val="21"/>
                      <w:lang w:val="en-US" w:eastAsia="zh-CN"/>
                    </w:rPr>
                  </w:pPr>
                </w:p>
              </w:tc>
              <w:tc>
                <w:tcPr>
                  <w:tcW w:w="426" w:type="pct"/>
                  <w:vMerge w:val="continue"/>
                  <w:noWrap w:val="0"/>
                  <w:vAlign w:val="center"/>
                </w:tcPr>
                <w:p w14:paraId="57AF3520">
                  <w:pPr>
                    <w:jc w:val="center"/>
                    <w:rPr>
                      <w:rFonts w:hint="default" w:ascii="Times New Roman" w:hAnsi="Times New Roman" w:cs="Times New Roman"/>
                      <w:color w:val="auto"/>
                      <w:szCs w:val="21"/>
                    </w:rPr>
                  </w:pPr>
                </w:p>
              </w:tc>
              <w:tc>
                <w:tcPr>
                  <w:tcW w:w="1448" w:type="pct"/>
                  <w:gridSpan w:val="2"/>
                  <w:noWrap w:val="0"/>
                  <w:vAlign w:val="center"/>
                </w:tcPr>
                <w:p w14:paraId="467B76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lang w:val="en-US" w:eastAsia="zh-CN"/>
                    </w:rPr>
                  </w:pPr>
                  <w:r>
                    <w:rPr>
                      <w:rFonts w:hint="eastAsia" w:cs="Times New Roman"/>
                      <w:color w:val="auto"/>
                      <w:kern w:val="0"/>
                      <w:sz w:val="21"/>
                      <w:szCs w:val="21"/>
                      <w:lang w:val="en-US" w:eastAsia="zh-CN"/>
                    </w:rPr>
                    <w:t>清理废气G</w:t>
                  </w:r>
                  <w:r>
                    <w:rPr>
                      <w:rFonts w:hint="eastAsia" w:cs="Times New Roman"/>
                      <w:color w:val="auto"/>
                      <w:kern w:val="0"/>
                      <w:sz w:val="21"/>
                      <w:szCs w:val="21"/>
                      <w:vertAlign w:val="subscript"/>
                      <w:lang w:val="en-US" w:eastAsia="zh-CN"/>
                    </w:rPr>
                    <w:t>2</w:t>
                  </w:r>
                </w:p>
              </w:tc>
              <w:tc>
                <w:tcPr>
                  <w:tcW w:w="948" w:type="pct"/>
                  <w:noWrap w:val="0"/>
                  <w:vAlign w:val="center"/>
                </w:tcPr>
                <w:p w14:paraId="0F70ACB4">
                  <w:pPr>
                    <w:jc w:val="center"/>
                    <w:rPr>
                      <w:rFonts w:hint="default" w:cs="Times New Roman"/>
                      <w:color w:val="auto"/>
                      <w:szCs w:val="21"/>
                      <w:lang w:val="en-US" w:eastAsia="zh-CN"/>
                    </w:rPr>
                  </w:pPr>
                  <w:r>
                    <w:rPr>
                      <w:rFonts w:hint="eastAsia" w:cs="Times New Roman"/>
                      <w:color w:val="auto"/>
                      <w:szCs w:val="21"/>
                      <w:lang w:val="en-US" w:eastAsia="zh-CN"/>
                    </w:rPr>
                    <w:t>颗粒物</w:t>
                  </w:r>
                </w:p>
              </w:tc>
              <w:tc>
                <w:tcPr>
                  <w:tcW w:w="1794" w:type="pct"/>
                  <w:vMerge w:val="continue"/>
                  <w:noWrap w:val="0"/>
                  <w:vAlign w:val="center"/>
                </w:tcPr>
                <w:p w14:paraId="4507E80C">
                  <w:pPr>
                    <w:jc w:val="center"/>
                    <w:rPr>
                      <w:rFonts w:hint="eastAsia" w:cs="Times New Roman"/>
                      <w:color w:val="auto"/>
                      <w:sz w:val="21"/>
                      <w:szCs w:val="21"/>
                      <w:lang w:val="en-US" w:eastAsia="zh-CN"/>
                    </w:rPr>
                  </w:pPr>
                </w:p>
              </w:tc>
            </w:tr>
            <w:tr w14:paraId="7AD7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2" w:type="pct"/>
                  <w:vMerge w:val="continue"/>
                  <w:noWrap w:val="0"/>
                  <w:vAlign w:val="center"/>
                </w:tcPr>
                <w:p w14:paraId="560CC9DA">
                  <w:pPr>
                    <w:jc w:val="center"/>
                    <w:rPr>
                      <w:rFonts w:hint="eastAsia" w:cs="Times New Roman"/>
                      <w:color w:val="auto"/>
                      <w:szCs w:val="21"/>
                      <w:lang w:val="en-US" w:eastAsia="zh-CN"/>
                    </w:rPr>
                  </w:pPr>
                </w:p>
              </w:tc>
              <w:tc>
                <w:tcPr>
                  <w:tcW w:w="426" w:type="pct"/>
                  <w:vMerge w:val="continue"/>
                  <w:noWrap w:val="0"/>
                  <w:vAlign w:val="center"/>
                </w:tcPr>
                <w:p w14:paraId="3AC3F51A">
                  <w:pPr>
                    <w:jc w:val="center"/>
                    <w:rPr>
                      <w:rFonts w:hint="default" w:ascii="Times New Roman" w:hAnsi="Times New Roman" w:cs="Times New Roman"/>
                      <w:color w:val="auto"/>
                      <w:szCs w:val="21"/>
                    </w:rPr>
                  </w:pPr>
                </w:p>
              </w:tc>
              <w:tc>
                <w:tcPr>
                  <w:tcW w:w="361" w:type="pct"/>
                  <w:vMerge w:val="restart"/>
                  <w:noWrap w:val="0"/>
                  <w:vAlign w:val="center"/>
                </w:tcPr>
                <w:p w14:paraId="5F0ECF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cs="Times New Roman"/>
                      <w:color w:val="auto"/>
                      <w:szCs w:val="21"/>
                      <w:lang w:val="en-US" w:eastAsia="zh-CN"/>
                    </w:rPr>
                  </w:pPr>
                  <w:r>
                    <w:rPr>
                      <w:rFonts w:hint="eastAsia" w:cs="Times New Roman"/>
                      <w:color w:val="auto"/>
                      <w:szCs w:val="21"/>
                      <w:lang w:val="en-US" w:eastAsia="zh-CN"/>
                    </w:rPr>
                    <w:t>大米加工废气</w:t>
                  </w:r>
                </w:p>
              </w:tc>
              <w:tc>
                <w:tcPr>
                  <w:tcW w:w="1087" w:type="pct"/>
                  <w:noWrap w:val="0"/>
                  <w:vAlign w:val="center"/>
                </w:tcPr>
                <w:p w14:paraId="05D3D4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cs="Times New Roman"/>
                      <w:color w:val="auto"/>
                      <w:szCs w:val="21"/>
                      <w:lang w:val="en-US" w:eastAsia="zh-CN"/>
                    </w:rPr>
                  </w:pPr>
                  <w:r>
                    <w:rPr>
                      <w:rFonts w:hint="eastAsia" w:ascii="Times New Roman" w:hAnsi="Times New Roman"/>
                      <w:color w:val="auto"/>
                      <w:lang w:val="en-US" w:eastAsia="zh-CN"/>
                    </w:rPr>
                    <w:t>砻谷废气G</w:t>
                  </w:r>
                  <w:r>
                    <w:rPr>
                      <w:rFonts w:hint="eastAsia" w:ascii="Times New Roman" w:hAnsi="Times New Roman"/>
                      <w:color w:val="auto"/>
                      <w:vertAlign w:val="subscript"/>
                      <w:lang w:val="en-US" w:eastAsia="zh-CN"/>
                    </w:rPr>
                    <w:t>3</w:t>
                  </w:r>
                </w:p>
              </w:tc>
              <w:tc>
                <w:tcPr>
                  <w:tcW w:w="948" w:type="pct"/>
                  <w:vMerge w:val="restart"/>
                  <w:noWrap w:val="0"/>
                  <w:vAlign w:val="center"/>
                </w:tcPr>
                <w:p w14:paraId="71B268FE">
                  <w:pPr>
                    <w:jc w:val="center"/>
                    <w:rPr>
                      <w:rFonts w:hint="eastAsia" w:cs="Times New Roman"/>
                      <w:color w:val="auto"/>
                      <w:szCs w:val="21"/>
                      <w:lang w:val="en-US" w:eastAsia="zh-CN"/>
                    </w:rPr>
                  </w:pPr>
                  <w:r>
                    <w:rPr>
                      <w:rFonts w:hint="eastAsia" w:cs="Times New Roman"/>
                      <w:color w:val="auto"/>
                      <w:szCs w:val="21"/>
                      <w:lang w:val="en-US" w:eastAsia="zh-CN"/>
                    </w:rPr>
                    <w:t>颗粒物</w:t>
                  </w:r>
                </w:p>
              </w:tc>
              <w:tc>
                <w:tcPr>
                  <w:tcW w:w="1794" w:type="pct"/>
                  <w:vMerge w:val="restart"/>
                  <w:noWrap w:val="0"/>
                  <w:vAlign w:val="center"/>
                </w:tcPr>
                <w:p w14:paraId="6C23673A">
                  <w:pPr>
                    <w:jc w:val="center"/>
                    <w:rPr>
                      <w:rFonts w:hint="eastAsia" w:ascii="Times New Roman" w:hAnsi="Times New Roman"/>
                      <w:color w:val="auto"/>
                    </w:rPr>
                  </w:pPr>
                  <w:r>
                    <w:rPr>
                      <w:rFonts w:hint="eastAsia"/>
                      <w:color w:val="auto"/>
                      <w:lang w:eastAsia="zh-CN"/>
                    </w:rPr>
                    <w:t>分别通过</w:t>
                  </w:r>
                  <w:r>
                    <w:rPr>
                      <w:rFonts w:hint="eastAsia" w:ascii="Times New Roman" w:hAnsi="Times New Roman"/>
                      <w:color w:val="auto"/>
                      <w:lang w:val="en-US" w:eastAsia="zh-CN"/>
                    </w:rPr>
                    <w:t>除尘风网</w:t>
                  </w:r>
                  <w:r>
                    <w:rPr>
                      <w:rFonts w:hint="eastAsia"/>
                      <w:color w:val="auto"/>
                      <w:lang w:val="en-US" w:eastAsia="zh-CN"/>
                    </w:rPr>
                    <w:t>密闭</w:t>
                  </w:r>
                  <w:r>
                    <w:rPr>
                      <w:rFonts w:hint="eastAsia" w:ascii="Times New Roman" w:hAnsi="Times New Roman"/>
                      <w:color w:val="auto"/>
                      <w:lang w:val="en-US" w:eastAsia="zh-CN"/>
                    </w:rPr>
                    <w:t>收集；</w:t>
                  </w:r>
                  <w:r>
                    <w:rPr>
                      <w:rFonts w:hint="eastAsia"/>
                      <w:color w:val="auto"/>
                      <w:lang w:val="en-US" w:eastAsia="zh-CN"/>
                    </w:rPr>
                    <w:t>通过6套</w:t>
                  </w:r>
                  <w:r>
                    <w:rPr>
                      <w:rFonts w:hint="eastAsia"/>
                      <w:color w:val="auto"/>
                      <w:lang w:eastAsia="zh-CN"/>
                    </w:rPr>
                    <w:t>旋风除尘器</w:t>
                  </w:r>
                  <w:r>
                    <w:rPr>
                      <w:rFonts w:hint="eastAsia"/>
                      <w:color w:val="auto"/>
                      <w:lang w:val="en-US" w:eastAsia="zh-CN"/>
                    </w:rPr>
                    <w:t>+</w:t>
                  </w:r>
                  <w:r>
                    <w:rPr>
                      <w:rFonts w:hint="eastAsia"/>
                      <w:color w:val="auto"/>
                      <w:lang w:eastAsia="zh-CN"/>
                    </w:rPr>
                    <w:t>袋式</w:t>
                  </w:r>
                  <w:r>
                    <w:rPr>
                      <w:rFonts w:hint="eastAsia" w:ascii="Times New Roman" w:hAnsi="Times New Roman"/>
                      <w:color w:val="auto"/>
                    </w:rPr>
                    <w:t>除尘器处理后</w:t>
                  </w:r>
                  <w:r>
                    <w:rPr>
                      <w:rFonts w:hint="eastAsia"/>
                      <w:color w:val="auto"/>
                      <w:lang w:eastAsia="zh-CN"/>
                    </w:rPr>
                    <w:t>合并至一根</w:t>
                  </w:r>
                  <w:r>
                    <w:rPr>
                      <w:rFonts w:hint="eastAsia" w:ascii="Times New Roman" w:hAnsi="Times New Roman"/>
                      <w:color w:val="auto"/>
                    </w:rPr>
                    <w:t>15m高排气筒（DA00</w:t>
                  </w:r>
                  <w:r>
                    <w:rPr>
                      <w:rFonts w:hint="eastAsia"/>
                      <w:color w:val="auto"/>
                      <w:lang w:val="en-US" w:eastAsia="zh-CN"/>
                    </w:rPr>
                    <w:t>2</w:t>
                  </w:r>
                  <w:r>
                    <w:rPr>
                      <w:rFonts w:hint="eastAsia" w:ascii="Times New Roman" w:hAnsi="Times New Roman"/>
                      <w:color w:val="auto"/>
                    </w:rPr>
                    <w:t>）排放</w:t>
                  </w:r>
                  <w:r>
                    <w:rPr>
                      <w:rFonts w:hint="eastAsia" w:ascii="Times New Roman" w:hAnsi="Times New Roman"/>
                      <w:color w:val="auto"/>
                      <w:lang w:eastAsia="zh-CN"/>
                    </w:rPr>
                    <w:t>。</w:t>
                  </w:r>
                </w:p>
              </w:tc>
            </w:tr>
            <w:tr w14:paraId="42994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2" w:type="pct"/>
                  <w:vMerge w:val="continue"/>
                  <w:noWrap w:val="0"/>
                  <w:vAlign w:val="center"/>
                </w:tcPr>
                <w:p w14:paraId="0DAD64B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rPr>
                  </w:pPr>
                </w:p>
              </w:tc>
              <w:tc>
                <w:tcPr>
                  <w:tcW w:w="426" w:type="pct"/>
                  <w:vMerge w:val="continue"/>
                  <w:noWrap w:val="0"/>
                  <w:vAlign w:val="center"/>
                </w:tcPr>
                <w:p w14:paraId="6E3073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rPr>
                  </w:pPr>
                </w:p>
              </w:tc>
              <w:tc>
                <w:tcPr>
                  <w:tcW w:w="361" w:type="pct"/>
                  <w:vMerge w:val="continue"/>
                  <w:noWrap w:val="0"/>
                  <w:vAlign w:val="center"/>
                </w:tcPr>
                <w:p w14:paraId="05935317">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color w:val="auto"/>
                    </w:rPr>
                  </w:pPr>
                </w:p>
              </w:tc>
              <w:tc>
                <w:tcPr>
                  <w:tcW w:w="1087" w:type="pct"/>
                  <w:noWrap w:val="0"/>
                  <w:vAlign w:val="center"/>
                </w:tcPr>
                <w:p w14:paraId="140A98F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r>
                    <w:rPr>
                      <w:rFonts w:hint="eastAsia" w:ascii="Times New Roman" w:hAnsi="Times New Roman"/>
                      <w:color w:val="auto"/>
                      <w:lang w:val="en-US" w:eastAsia="zh-CN"/>
                    </w:rPr>
                    <w:t>谷糙分离废气G</w:t>
                  </w:r>
                  <w:r>
                    <w:rPr>
                      <w:rFonts w:hint="eastAsia" w:ascii="Times New Roman" w:hAnsi="Times New Roman"/>
                      <w:color w:val="auto"/>
                      <w:vertAlign w:val="subscript"/>
                      <w:lang w:val="en-US" w:eastAsia="zh-CN"/>
                    </w:rPr>
                    <w:t>4</w:t>
                  </w:r>
                </w:p>
              </w:tc>
              <w:tc>
                <w:tcPr>
                  <w:tcW w:w="948" w:type="pct"/>
                  <w:vMerge w:val="continue"/>
                  <w:noWrap w:val="0"/>
                  <w:vAlign w:val="center"/>
                </w:tcPr>
                <w:p w14:paraId="27D3683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794" w:type="pct"/>
                  <w:vMerge w:val="continue"/>
                  <w:noWrap w:val="0"/>
                  <w:vAlign w:val="center"/>
                </w:tcPr>
                <w:p w14:paraId="2434A42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1CA8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2" w:type="pct"/>
                  <w:vMerge w:val="continue"/>
                  <w:noWrap w:val="0"/>
                  <w:vAlign w:val="center"/>
                </w:tcPr>
                <w:p w14:paraId="02BDD87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426" w:type="pct"/>
                  <w:vMerge w:val="continue"/>
                  <w:noWrap w:val="0"/>
                  <w:vAlign w:val="center"/>
                </w:tcPr>
                <w:p w14:paraId="2107BCD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361" w:type="pct"/>
                  <w:vMerge w:val="continue"/>
                  <w:noWrap w:val="0"/>
                  <w:vAlign w:val="center"/>
                </w:tcPr>
                <w:p w14:paraId="3D5B97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087" w:type="pct"/>
                  <w:noWrap w:val="0"/>
                  <w:vAlign w:val="center"/>
                </w:tcPr>
                <w:p w14:paraId="19A3DEA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r>
                    <w:rPr>
                      <w:rFonts w:hint="eastAsia" w:ascii="Times New Roman" w:hAnsi="Times New Roman"/>
                      <w:color w:val="auto"/>
                      <w:lang w:val="en-US" w:eastAsia="zh-CN"/>
                    </w:rPr>
                    <w:t>碾米废气G</w:t>
                  </w:r>
                  <w:r>
                    <w:rPr>
                      <w:rFonts w:hint="eastAsia" w:ascii="Times New Roman" w:hAnsi="Times New Roman"/>
                      <w:color w:val="auto"/>
                      <w:vertAlign w:val="subscript"/>
                      <w:lang w:val="en-US" w:eastAsia="zh-CN"/>
                    </w:rPr>
                    <w:t>5</w:t>
                  </w:r>
                </w:p>
              </w:tc>
              <w:tc>
                <w:tcPr>
                  <w:tcW w:w="948" w:type="pct"/>
                  <w:vMerge w:val="continue"/>
                  <w:noWrap w:val="0"/>
                  <w:vAlign w:val="center"/>
                </w:tcPr>
                <w:p w14:paraId="754AA0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794" w:type="pct"/>
                  <w:vMerge w:val="continue"/>
                  <w:noWrap w:val="0"/>
                  <w:vAlign w:val="center"/>
                </w:tcPr>
                <w:p w14:paraId="5595FF2C">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73ACE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2" w:type="pct"/>
                  <w:vMerge w:val="continue"/>
                  <w:noWrap w:val="0"/>
                  <w:vAlign w:val="center"/>
                </w:tcPr>
                <w:p w14:paraId="153115E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426" w:type="pct"/>
                  <w:vMerge w:val="continue"/>
                  <w:noWrap w:val="0"/>
                  <w:vAlign w:val="center"/>
                </w:tcPr>
                <w:p w14:paraId="19FDADB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361" w:type="pct"/>
                  <w:vMerge w:val="continue"/>
                  <w:noWrap w:val="0"/>
                  <w:vAlign w:val="center"/>
                </w:tcPr>
                <w:p w14:paraId="415FBB8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087" w:type="pct"/>
                  <w:noWrap w:val="0"/>
                  <w:vAlign w:val="center"/>
                </w:tcPr>
                <w:p w14:paraId="5EADBA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r>
                    <w:rPr>
                      <w:rFonts w:hint="eastAsia" w:ascii="Times New Roman" w:hAnsi="Times New Roman"/>
                      <w:color w:val="auto"/>
                      <w:lang w:val="en-US" w:eastAsia="zh-CN"/>
                    </w:rPr>
                    <w:t>白米分级废气G</w:t>
                  </w:r>
                  <w:r>
                    <w:rPr>
                      <w:rFonts w:hint="eastAsia" w:ascii="Times New Roman" w:hAnsi="Times New Roman"/>
                      <w:color w:val="auto"/>
                      <w:vertAlign w:val="subscript"/>
                      <w:lang w:val="en-US" w:eastAsia="zh-CN"/>
                    </w:rPr>
                    <w:t>6</w:t>
                  </w:r>
                </w:p>
              </w:tc>
              <w:tc>
                <w:tcPr>
                  <w:tcW w:w="948" w:type="pct"/>
                  <w:vMerge w:val="continue"/>
                  <w:noWrap w:val="0"/>
                  <w:vAlign w:val="center"/>
                </w:tcPr>
                <w:p w14:paraId="52127A5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794" w:type="pct"/>
                  <w:vMerge w:val="continue"/>
                  <w:noWrap w:val="0"/>
                  <w:vAlign w:val="center"/>
                </w:tcPr>
                <w:p w14:paraId="67D291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5A0C4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2" w:type="pct"/>
                  <w:vMerge w:val="continue"/>
                  <w:noWrap w:val="0"/>
                  <w:vAlign w:val="center"/>
                </w:tcPr>
                <w:p w14:paraId="6733C78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426" w:type="pct"/>
                  <w:vMerge w:val="continue"/>
                  <w:noWrap w:val="0"/>
                  <w:vAlign w:val="center"/>
                </w:tcPr>
                <w:p w14:paraId="7727116D">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361" w:type="pct"/>
                  <w:vMerge w:val="continue"/>
                  <w:noWrap w:val="0"/>
                  <w:vAlign w:val="center"/>
                </w:tcPr>
                <w:p w14:paraId="113820D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087" w:type="pct"/>
                  <w:noWrap w:val="0"/>
                  <w:vAlign w:val="center"/>
                </w:tcPr>
                <w:p w14:paraId="56E46B0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r>
                    <w:rPr>
                      <w:rFonts w:hint="eastAsia" w:ascii="Times New Roman" w:hAnsi="Times New Roman"/>
                      <w:color w:val="auto"/>
                      <w:lang w:val="en-US" w:eastAsia="zh-CN"/>
                    </w:rPr>
                    <w:t>抛光废气G</w:t>
                  </w:r>
                  <w:r>
                    <w:rPr>
                      <w:rFonts w:hint="eastAsia" w:ascii="Times New Roman" w:hAnsi="Times New Roman"/>
                      <w:color w:val="auto"/>
                      <w:vertAlign w:val="subscript"/>
                      <w:lang w:val="en-US" w:eastAsia="zh-CN"/>
                    </w:rPr>
                    <w:t>7</w:t>
                  </w:r>
                </w:p>
              </w:tc>
              <w:tc>
                <w:tcPr>
                  <w:tcW w:w="948" w:type="pct"/>
                  <w:vMerge w:val="continue"/>
                  <w:noWrap w:val="0"/>
                  <w:vAlign w:val="center"/>
                </w:tcPr>
                <w:p w14:paraId="073D4A4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794" w:type="pct"/>
                  <w:vMerge w:val="continue"/>
                  <w:noWrap w:val="0"/>
                  <w:vAlign w:val="center"/>
                </w:tcPr>
                <w:p w14:paraId="4F679500">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5CA58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2" w:type="pct"/>
                  <w:vMerge w:val="continue"/>
                  <w:noWrap w:val="0"/>
                  <w:vAlign w:val="center"/>
                </w:tcPr>
                <w:p w14:paraId="2D91A61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426" w:type="pct"/>
                  <w:vMerge w:val="continue"/>
                  <w:noWrap w:val="0"/>
                  <w:vAlign w:val="center"/>
                </w:tcPr>
                <w:p w14:paraId="4C1118F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361" w:type="pct"/>
                  <w:vMerge w:val="continue"/>
                  <w:noWrap w:val="0"/>
                  <w:vAlign w:val="center"/>
                </w:tcPr>
                <w:p w14:paraId="258C5E0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087" w:type="pct"/>
                  <w:noWrap w:val="0"/>
                  <w:vAlign w:val="center"/>
                </w:tcPr>
                <w:p w14:paraId="6E4C6DD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r>
                    <w:rPr>
                      <w:rFonts w:hint="eastAsia" w:ascii="Times New Roman" w:hAnsi="Times New Roman"/>
                      <w:color w:val="auto"/>
                      <w:lang w:val="en-US" w:eastAsia="zh-CN"/>
                    </w:rPr>
                    <w:t>色选废气G</w:t>
                  </w:r>
                  <w:r>
                    <w:rPr>
                      <w:rFonts w:hint="eastAsia" w:ascii="Times New Roman" w:hAnsi="Times New Roman"/>
                      <w:color w:val="auto"/>
                      <w:vertAlign w:val="subscript"/>
                      <w:lang w:val="en-US" w:eastAsia="zh-CN"/>
                    </w:rPr>
                    <w:t>8</w:t>
                  </w:r>
                </w:p>
              </w:tc>
              <w:tc>
                <w:tcPr>
                  <w:tcW w:w="948" w:type="pct"/>
                  <w:vMerge w:val="continue"/>
                  <w:noWrap w:val="0"/>
                  <w:vAlign w:val="center"/>
                </w:tcPr>
                <w:p w14:paraId="2CA3AD33">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794" w:type="pct"/>
                  <w:vMerge w:val="continue"/>
                  <w:noWrap w:val="0"/>
                  <w:vAlign w:val="center"/>
                </w:tcPr>
                <w:p w14:paraId="24511AF8">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4136B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 w:hRule="atLeast"/>
                <w:jc w:val="center"/>
              </w:trPr>
              <w:tc>
                <w:tcPr>
                  <w:tcW w:w="382" w:type="pct"/>
                  <w:vMerge w:val="continue"/>
                  <w:noWrap w:val="0"/>
                  <w:vAlign w:val="center"/>
                </w:tcPr>
                <w:p w14:paraId="329E10AA">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426" w:type="pct"/>
                  <w:vMerge w:val="continue"/>
                  <w:noWrap w:val="0"/>
                  <w:vAlign w:val="center"/>
                </w:tcPr>
                <w:p w14:paraId="16A4B349">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361" w:type="pct"/>
                  <w:vMerge w:val="continue"/>
                  <w:noWrap w:val="0"/>
                  <w:vAlign w:val="center"/>
                </w:tcPr>
                <w:p w14:paraId="07D832E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087" w:type="pct"/>
                  <w:noWrap w:val="0"/>
                  <w:vAlign w:val="center"/>
                </w:tcPr>
                <w:p w14:paraId="51DAF78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ascii="Times New Roman" w:hAnsi="Times New Roman"/>
                      <w:color w:val="auto"/>
                      <w:lang w:val="en-US" w:eastAsia="zh-CN"/>
                    </w:rPr>
                  </w:pPr>
                  <w:r>
                    <w:rPr>
                      <w:rFonts w:hint="eastAsia" w:ascii="Times New Roman" w:hAnsi="Times New Roman"/>
                      <w:color w:val="auto"/>
                      <w:lang w:val="en-US" w:eastAsia="zh-CN"/>
                    </w:rPr>
                    <w:t>二次抛光废气G</w:t>
                  </w:r>
                  <w:r>
                    <w:rPr>
                      <w:rFonts w:hint="eastAsia" w:ascii="Times New Roman" w:hAnsi="Times New Roman"/>
                      <w:color w:val="auto"/>
                      <w:vertAlign w:val="subscript"/>
                      <w:lang w:val="en-US" w:eastAsia="zh-CN"/>
                    </w:rPr>
                    <w:t>9</w:t>
                  </w:r>
                </w:p>
              </w:tc>
              <w:tc>
                <w:tcPr>
                  <w:tcW w:w="948" w:type="pct"/>
                  <w:vMerge w:val="continue"/>
                  <w:noWrap w:val="0"/>
                  <w:vAlign w:val="center"/>
                </w:tcPr>
                <w:p w14:paraId="2037F2AE">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c>
                <w:tcPr>
                  <w:tcW w:w="1794" w:type="pct"/>
                  <w:vMerge w:val="continue"/>
                  <w:noWrap w:val="0"/>
                  <w:vAlign w:val="center"/>
                </w:tcPr>
                <w:p w14:paraId="65973F2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p>
              </w:tc>
            </w:tr>
            <w:tr w14:paraId="38F29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continue"/>
                  <w:noWrap w:val="0"/>
                  <w:vAlign w:val="center"/>
                </w:tcPr>
                <w:p w14:paraId="3A1D17E6">
                  <w:pPr>
                    <w:jc w:val="center"/>
                    <w:rPr>
                      <w:rFonts w:hint="eastAsia" w:cs="Times New Roman"/>
                      <w:color w:val="auto"/>
                      <w:szCs w:val="21"/>
                      <w:lang w:val="en-US" w:eastAsia="zh-CN"/>
                    </w:rPr>
                  </w:pPr>
                </w:p>
              </w:tc>
              <w:tc>
                <w:tcPr>
                  <w:tcW w:w="426" w:type="pct"/>
                  <w:vMerge w:val="continue"/>
                  <w:noWrap w:val="0"/>
                  <w:vAlign w:val="center"/>
                </w:tcPr>
                <w:p w14:paraId="5D62A858">
                  <w:pPr>
                    <w:jc w:val="center"/>
                    <w:rPr>
                      <w:rFonts w:hint="default" w:ascii="Times New Roman" w:hAnsi="Times New Roman" w:cs="Times New Roman"/>
                      <w:color w:val="auto"/>
                      <w:szCs w:val="21"/>
                    </w:rPr>
                  </w:pPr>
                </w:p>
              </w:tc>
              <w:tc>
                <w:tcPr>
                  <w:tcW w:w="1448" w:type="pct"/>
                  <w:gridSpan w:val="2"/>
                  <w:noWrap w:val="0"/>
                  <w:vAlign w:val="center"/>
                </w:tcPr>
                <w:p w14:paraId="38B72AEF">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eastAsia" w:ascii="Times New Roman" w:hAnsi="Times New Roman"/>
                      <w:color w:val="auto"/>
                      <w:lang w:val="en-US" w:eastAsia="zh-CN"/>
                    </w:rPr>
                  </w:pPr>
                  <w:r>
                    <w:rPr>
                      <w:rFonts w:hint="eastAsia" w:ascii="Times New Roman" w:hAnsi="Times New Roman"/>
                      <w:color w:val="auto"/>
                      <w:lang w:val="en-US" w:eastAsia="zh-CN"/>
                    </w:rPr>
                    <w:t>原料仓、中转仓及副产品仓物料贮存转运工序废气</w:t>
                  </w:r>
                </w:p>
              </w:tc>
              <w:tc>
                <w:tcPr>
                  <w:tcW w:w="948" w:type="pct"/>
                  <w:noWrap w:val="0"/>
                  <w:vAlign w:val="center"/>
                </w:tcPr>
                <w:p w14:paraId="247709D6">
                  <w:pPr>
                    <w:jc w:val="center"/>
                    <w:rPr>
                      <w:rFonts w:hint="eastAsia" w:cs="Times New Roman"/>
                      <w:color w:val="auto"/>
                      <w:szCs w:val="21"/>
                      <w:lang w:val="en-US" w:eastAsia="zh-CN"/>
                    </w:rPr>
                  </w:pPr>
                  <w:r>
                    <w:rPr>
                      <w:rFonts w:hint="eastAsia" w:cs="Times New Roman"/>
                      <w:color w:val="auto"/>
                      <w:szCs w:val="21"/>
                      <w:lang w:val="en-US" w:eastAsia="zh-CN"/>
                    </w:rPr>
                    <w:t>颗粒物</w:t>
                  </w:r>
                </w:p>
              </w:tc>
              <w:tc>
                <w:tcPr>
                  <w:tcW w:w="1794" w:type="pct"/>
                  <w:noWrap w:val="0"/>
                  <w:vAlign w:val="center"/>
                </w:tcPr>
                <w:p w14:paraId="4BF57127">
                  <w:pPr>
                    <w:jc w:val="center"/>
                    <w:rPr>
                      <w:rFonts w:hint="eastAsia" w:ascii="Times New Roman" w:hAnsi="Times New Roman"/>
                      <w:color w:val="auto"/>
                      <w:lang w:val="en-US" w:eastAsia="zh-CN"/>
                    </w:rPr>
                  </w:pPr>
                  <w:r>
                    <w:rPr>
                      <w:rFonts w:hint="eastAsia" w:ascii="Times New Roman" w:hAnsi="Times New Roman"/>
                      <w:color w:val="auto"/>
                      <w:lang w:val="en-US" w:eastAsia="zh-CN"/>
                    </w:rPr>
                    <w:t>项目原料仓、中转仓及副产品仓仓顶上方均自带脉冲除尘装置；原料仓、中转仓及副产品仓物料贮存转运工序产生的废气经脉冲除尘装置处理达标后仓顶排放。</w:t>
                  </w:r>
                </w:p>
              </w:tc>
            </w:tr>
            <w:tr w14:paraId="31B33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382" w:type="pct"/>
                  <w:noWrap w:val="0"/>
                  <w:vAlign w:val="center"/>
                </w:tcPr>
                <w:p w14:paraId="101584C2">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426" w:type="pct"/>
                  <w:noWrap w:val="0"/>
                  <w:vAlign w:val="center"/>
                </w:tcPr>
                <w:p w14:paraId="6945EA54">
                  <w:pPr>
                    <w:jc w:val="center"/>
                    <w:rPr>
                      <w:rFonts w:hint="default" w:ascii="Times New Roman" w:hAnsi="Times New Roman" w:cs="Times New Roman"/>
                      <w:color w:val="auto"/>
                      <w:szCs w:val="21"/>
                    </w:rPr>
                  </w:pPr>
                  <w:r>
                    <w:rPr>
                      <w:rFonts w:hint="default" w:ascii="Times New Roman" w:hAnsi="Times New Roman" w:cs="Times New Roman"/>
                      <w:color w:val="auto"/>
                      <w:szCs w:val="21"/>
                    </w:rPr>
                    <w:t>车间</w:t>
                  </w:r>
                </w:p>
              </w:tc>
              <w:tc>
                <w:tcPr>
                  <w:tcW w:w="1448" w:type="pct"/>
                  <w:gridSpan w:val="2"/>
                  <w:noWrap w:val="0"/>
                  <w:vAlign w:val="center"/>
                </w:tcPr>
                <w:p w14:paraId="337EA326">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生产</w:t>
                  </w:r>
                  <w:r>
                    <w:rPr>
                      <w:rFonts w:hint="default" w:ascii="Times New Roman" w:hAnsi="Times New Roman" w:cs="Times New Roman"/>
                      <w:color w:val="auto"/>
                      <w:szCs w:val="21"/>
                    </w:rPr>
                    <w:t>设备</w:t>
                  </w:r>
                </w:p>
              </w:tc>
              <w:tc>
                <w:tcPr>
                  <w:tcW w:w="948" w:type="pct"/>
                  <w:noWrap w:val="0"/>
                  <w:vAlign w:val="center"/>
                </w:tcPr>
                <w:p w14:paraId="59D7991F">
                  <w:pPr>
                    <w:jc w:val="center"/>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1794" w:type="pct"/>
                  <w:noWrap w:val="0"/>
                  <w:vAlign w:val="center"/>
                </w:tcPr>
                <w:p w14:paraId="449C2974">
                  <w:pPr>
                    <w:jc w:val="center"/>
                    <w:rPr>
                      <w:rFonts w:hint="default" w:ascii="Times New Roman" w:hAnsi="Times New Roman" w:cs="Times New Roman"/>
                      <w:color w:val="auto"/>
                      <w:szCs w:val="21"/>
                    </w:rPr>
                  </w:pPr>
                  <w:r>
                    <w:rPr>
                      <w:rFonts w:hint="default" w:ascii="Times New Roman" w:hAnsi="Times New Roman" w:cs="Times New Roman"/>
                      <w:color w:val="auto"/>
                      <w:szCs w:val="21"/>
                    </w:rPr>
                    <w:t>减振、厂房隔声</w:t>
                  </w:r>
                </w:p>
              </w:tc>
            </w:tr>
            <w:tr w14:paraId="613EC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2" w:type="pct"/>
                  <w:vMerge w:val="restart"/>
                  <w:noWrap w:val="0"/>
                  <w:vAlign w:val="center"/>
                </w:tcPr>
                <w:p w14:paraId="0115344D">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固废</w:t>
                  </w:r>
                </w:p>
              </w:tc>
              <w:tc>
                <w:tcPr>
                  <w:tcW w:w="1874" w:type="pct"/>
                  <w:gridSpan w:val="3"/>
                  <w:vMerge w:val="restart"/>
                  <w:noWrap w:val="0"/>
                  <w:vAlign w:val="center"/>
                </w:tcPr>
                <w:p w14:paraId="2BB95449">
                  <w:pPr>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生产车间</w:t>
                  </w:r>
                </w:p>
              </w:tc>
              <w:tc>
                <w:tcPr>
                  <w:tcW w:w="948" w:type="pct"/>
                  <w:noWrap w:val="0"/>
                  <w:vAlign w:val="center"/>
                </w:tcPr>
                <w:p w14:paraId="271F0059">
                  <w:pPr>
                    <w:spacing w:line="340" w:lineRule="exact"/>
                    <w:jc w:val="center"/>
                    <w:rPr>
                      <w:rFonts w:hint="default" w:ascii="Times New Roman" w:hAnsi="Times New Roman" w:cs="Times New Roman"/>
                      <w:color w:val="auto"/>
                      <w:szCs w:val="21"/>
                      <w:lang w:val="en-US" w:eastAsia="zh-CN"/>
                    </w:rPr>
                  </w:pPr>
                  <w:r>
                    <w:rPr>
                      <w:rFonts w:ascii="Times New Roman" w:hAnsi="Times New Roman"/>
                      <w:color w:val="auto"/>
                      <w:szCs w:val="21"/>
                    </w:rPr>
                    <w:t>砂石杂质</w:t>
                  </w:r>
                </w:p>
              </w:tc>
              <w:tc>
                <w:tcPr>
                  <w:tcW w:w="1794" w:type="pct"/>
                  <w:noWrap w:val="0"/>
                  <w:vAlign w:val="center"/>
                </w:tcPr>
                <w:p w14:paraId="309AE376">
                  <w:pPr>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由环卫部门定期清运</w:t>
                  </w:r>
                </w:p>
              </w:tc>
            </w:tr>
            <w:tr w14:paraId="694D5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82" w:type="pct"/>
                  <w:vMerge w:val="continue"/>
                  <w:noWrap w:val="0"/>
                  <w:vAlign w:val="center"/>
                </w:tcPr>
                <w:p w14:paraId="1EDF859F">
                  <w:pPr>
                    <w:jc w:val="center"/>
                    <w:rPr>
                      <w:rFonts w:hint="default" w:ascii="Times New Roman" w:hAnsi="Times New Roman" w:cs="Times New Roman"/>
                      <w:color w:val="auto"/>
                      <w:szCs w:val="21"/>
                    </w:rPr>
                  </w:pPr>
                </w:p>
              </w:tc>
              <w:tc>
                <w:tcPr>
                  <w:tcW w:w="1874" w:type="pct"/>
                  <w:gridSpan w:val="3"/>
                  <w:vMerge w:val="continue"/>
                  <w:noWrap w:val="0"/>
                  <w:vAlign w:val="center"/>
                </w:tcPr>
                <w:p w14:paraId="6DF32F4B">
                  <w:pPr>
                    <w:jc w:val="center"/>
                    <w:rPr>
                      <w:rFonts w:hint="default" w:ascii="Times New Roman" w:hAnsi="Times New Roman" w:cs="Times New Roman"/>
                      <w:color w:val="auto"/>
                      <w:szCs w:val="21"/>
                    </w:rPr>
                  </w:pPr>
                </w:p>
              </w:tc>
              <w:tc>
                <w:tcPr>
                  <w:tcW w:w="948" w:type="pct"/>
                  <w:noWrap w:val="0"/>
                  <w:vAlign w:val="center"/>
                </w:tcPr>
                <w:p w14:paraId="38CA7C1F">
                  <w:pPr>
                    <w:spacing w:line="340" w:lineRule="exact"/>
                    <w:jc w:val="center"/>
                    <w:rPr>
                      <w:rFonts w:hint="default" w:cs="Times New Roman"/>
                      <w:color w:val="auto"/>
                      <w:szCs w:val="21"/>
                      <w:lang w:val="en-US" w:eastAsia="zh-CN"/>
                    </w:rPr>
                  </w:pPr>
                  <w:r>
                    <w:rPr>
                      <w:rFonts w:ascii="Times New Roman" w:hAnsi="Times New Roman"/>
                      <w:color w:val="auto"/>
                      <w:szCs w:val="21"/>
                    </w:rPr>
                    <w:t>除尘器收集粉尘</w:t>
                  </w:r>
                </w:p>
              </w:tc>
              <w:tc>
                <w:tcPr>
                  <w:tcW w:w="1794" w:type="pct"/>
                  <w:vMerge w:val="restart"/>
                  <w:noWrap w:val="0"/>
                  <w:vAlign w:val="center"/>
                </w:tcPr>
                <w:p w14:paraId="691B8A47">
                  <w:pPr>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集中收集后外售综合利用</w:t>
                  </w:r>
                </w:p>
              </w:tc>
            </w:tr>
            <w:tr w14:paraId="58F1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382" w:type="pct"/>
                  <w:vMerge w:val="continue"/>
                  <w:noWrap w:val="0"/>
                  <w:vAlign w:val="center"/>
                </w:tcPr>
                <w:p w14:paraId="7D0E326E">
                  <w:pPr>
                    <w:jc w:val="center"/>
                    <w:rPr>
                      <w:rFonts w:hint="default" w:ascii="Times New Roman" w:hAnsi="Times New Roman" w:cs="Times New Roman"/>
                      <w:color w:val="auto"/>
                      <w:szCs w:val="21"/>
                    </w:rPr>
                  </w:pPr>
                </w:p>
              </w:tc>
              <w:tc>
                <w:tcPr>
                  <w:tcW w:w="1874" w:type="pct"/>
                  <w:gridSpan w:val="3"/>
                  <w:vMerge w:val="continue"/>
                  <w:noWrap w:val="0"/>
                  <w:vAlign w:val="center"/>
                </w:tcPr>
                <w:p w14:paraId="6F3E7778">
                  <w:pPr>
                    <w:jc w:val="center"/>
                    <w:rPr>
                      <w:rFonts w:hint="default" w:ascii="Times New Roman" w:hAnsi="Times New Roman" w:cs="Times New Roman"/>
                      <w:color w:val="auto"/>
                      <w:szCs w:val="21"/>
                    </w:rPr>
                  </w:pPr>
                </w:p>
              </w:tc>
              <w:tc>
                <w:tcPr>
                  <w:tcW w:w="948" w:type="pct"/>
                  <w:noWrap w:val="0"/>
                  <w:vAlign w:val="center"/>
                </w:tcPr>
                <w:p w14:paraId="2A91ECFF">
                  <w:pPr>
                    <w:spacing w:line="340" w:lineRule="exact"/>
                    <w:jc w:val="center"/>
                    <w:rPr>
                      <w:rFonts w:hint="default" w:cs="Times New Roman"/>
                      <w:color w:val="auto"/>
                      <w:szCs w:val="21"/>
                      <w:lang w:val="en-US" w:eastAsia="zh-CN"/>
                    </w:rPr>
                  </w:pPr>
                  <w:r>
                    <w:rPr>
                      <w:rFonts w:ascii="Times New Roman" w:hAnsi="Times New Roman"/>
                      <w:color w:val="auto"/>
                      <w:szCs w:val="21"/>
                    </w:rPr>
                    <w:t>废包装袋</w:t>
                  </w:r>
                </w:p>
              </w:tc>
              <w:tc>
                <w:tcPr>
                  <w:tcW w:w="1794" w:type="pct"/>
                  <w:vMerge w:val="continue"/>
                  <w:noWrap w:val="0"/>
                  <w:vAlign w:val="center"/>
                </w:tcPr>
                <w:p w14:paraId="7AD67C58">
                  <w:pPr>
                    <w:jc w:val="center"/>
                    <w:rPr>
                      <w:rFonts w:hint="eastAsia" w:cs="Times New Roman"/>
                      <w:color w:val="auto"/>
                      <w:szCs w:val="21"/>
                      <w:lang w:val="en-US" w:eastAsia="zh-CN"/>
                    </w:rPr>
                  </w:pPr>
                </w:p>
              </w:tc>
            </w:tr>
            <w:tr w14:paraId="263FF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82" w:type="pct"/>
                  <w:vMerge w:val="continue"/>
                  <w:noWrap w:val="0"/>
                  <w:vAlign w:val="center"/>
                </w:tcPr>
                <w:p w14:paraId="532B8D33">
                  <w:pPr>
                    <w:jc w:val="center"/>
                    <w:rPr>
                      <w:rFonts w:hint="default" w:ascii="Times New Roman" w:hAnsi="Times New Roman" w:cs="Times New Roman"/>
                      <w:color w:val="auto"/>
                      <w:szCs w:val="21"/>
                    </w:rPr>
                  </w:pPr>
                </w:p>
              </w:tc>
              <w:tc>
                <w:tcPr>
                  <w:tcW w:w="1874" w:type="pct"/>
                  <w:gridSpan w:val="3"/>
                  <w:vMerge w:val="continue"/>
                  <w:noWrap w:val="0"/>
                  <w:vAlign w:val="center"/>
                </w:tcPr>
                <w:p w14:paraId="6310A6F3">
                  <w:pPr>
                    <w:jc w:val="center"/>
                    <w:rPr>
                      <w:rFonts w:hint="default" w:ascii="Times New Roman" w:hAnsi="Times New Roman" w:cs="Times New Roman"/>
                      <w:color w:val="auto"/>
                      <w:szCs w:val="21"/>
                    </w:rPr>
                  </w:pPr>
                </w:p>
              </w:tc>
              <w:tc>
                <w:tcPr>
                  <w:tcW w:w="1602" w:type="dxa"/>
                  <w:noWrap w:val="0"/>
                  <w:vAlign w:val="center"/>
                </w:tcPr>
                <w:p w14:paraId="50BE2327">
                  <w:pPr>
                    <w:jc w:val="center"/>
                    <w:rPr>
                      <w:rFonts w:ascii="Times New Roman" w:hAnsi="Times New Roman"/>
                      <w:color w:val="auto"/>
                      <w:szCs w:val="21"/>
                    </w:rPr>
                  </w:pPr>
                  <w:r>
                    <w:rPr>
                      <w:rFonts w:hint="eastAsia"/>
                      <w:snapToGrid w:val="0"/>
                      <w:color w:val="auto"/>
                      <w:kern w:val="21"/>
                      <w:szCs w:val="21"/>
                    </w:rPr>
                    <w:t>废润滑油</w:t>
                  </w:r>
                </w:p>
              </w:tc>
              <w:tc>
                <w:tcPr>
                  <w:tcW w:w="1794" w:type="pct"/>
                  <w:vMerge w:val="restart"/>
                  <w:noWrap w:val="0"/>
                  <w:vAlign w:val="center"/>
                </w:tcPr>
                <w:p w14:paraId="1C7DC360">
                  <w:pPr>
                    <w:jc w:val="center"/>
                    <w:rPr>
                      <w:rFonts w:hint="eastAsia" w:cs="Times New Roman"/>
                      <w:color w:val="auto"/>
                      <w:szCs w:val="21"/>
                      <w:lang w:val="en-US" w:eastAsia="zh-CN"/>
                    </w:rPr>
                  </w:pPr>
                  <w:r>
                    <w:rPr>
                      <w:rFonts w:hint="eastAsia" w:cs="Times New Roman"/>
                      <w:color w:val="auto"/>
                      <w:szCs w:val="21"/>
                      <w:lang w:val="en-US" w:eastAsia="zh-CN"/>
                    </w:rPr>
                    <w:t>集中收集后委托有资质单位处置</w:t>
                  </w:r>
                </w:p>
              </w:tc>
            </w:tr>
            <w:tr w14:paraId="7A377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82" w:type="pct"/>
                  <w:vMerge w:val="continue"/>
                  <w:noWrap w:val="0"/>
                  <w:vAlign w:val="center"/>
                </w:tcPr>
                <w:p w14:paraId="18085411">
                  <w:pPr>
                    <w:spacing w:line="340" w:lineRule="exact"/>
                    <w:jc w:val="center"/>
                    <w:rPr>
                      <w:color w:val="auto"/>
                    </w:rPr>
                  </w:pPr>
                </w:p>
              </w:tc>
              <w:tc>
                <w:tcPr>
                  <w:tcW w:w="1874" w:type="pct"/>
                  <w:gridSpan w:val="3"/>
                  <w:vMerge w:val="continue"/>
                  <w:noWrap w:val="0"/>
                  <w:vAlign w:val="center"/>
                </w:tcPr>
                <w:p w14:paraId="2946D78E">
                  <w:pPr>
                    <w:spacing w:line="340" w:lineRule="exact"/>
                    <w:jc w:val="center"/>
                    <w:rPr>
                      <w:color w:val="auto"/>
                    </w:rPr>
                  </w:pPr>
                </w:p>
              </w:tc>
              <w:tc>
                <w:tcPr>
                  <w:tcW w:w="1602" w:type="dxa"/>
                  <w:noWrap w:val="0"/>
                  <w:vAlign w:val="center"/>
                </w:tcPr>
                <w:p w14:paraId="73150AFC">
                  <w:pPr>
                    <w:jc w:val="center"/>
                    <w:rPr>
                      <w:rFonts w:ascii="Times New Roman" w:hAnsi="Times New Roman"/>
                      <w:color w:val="auto"/>
                      <w:szCs w:val="21"/>
                    </w:rPr>
                  </w:pPr>
                  <w:r>
                    <w:rPr>
                      <w:rFonts w:hint="eastAsia"/>
                      <w:snapToGrid w:val="0"/>
                      <w:color w:val="auto"/>
                      <w:kern w:val="21"/>
                      <w:szCs w:val="21"/>
                    </w:rPr>
                    <w:t>废油桶</w:t>
                  </w:r>
                </w:p>
              </w:tc>
              <w:tc>
                <w:tcPr>
                  <w:tcW w:w="1794" w:type="pct"/>
                  <w:vMerge w:val="continue"/>
                  <w:noWrap w:val="0"/>
                  <w:vAlign w:val="center"/>
                </w:tcPr>
                <w:p w14:paraId="2D730471">
                  <w:pPr>
                    <w:spacing w:line="340" w:lineRule="exact"/>
                    <w:jc w:val="center"/>
                    <w:rPr>
                      <w:rFonts w:ascii="Times New Roman" w:hAnsi="Times New Roman"/>
                      <w:color w:val="auto"/>
                      <w:szCs w:val="21"/>
                    </w:rPr>
                  </w:pPr>
                </w:p>
              </w:tc>
            </w:tr>
            <w:tr w14:paraId="023CF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 w:hRule="atLeast"/>
                <w:jc w:val="center"/>
              </w:trPr>
              <w:tc>
                <w:tcPr>
                  <w:tcW w:w="382" w:type="pct"/>
                  <w:vMerge w:val="continue"/>
                  <w:noWrap w:val="0"/>
                  <w:vAlign w:val="center"/>
                </w:tcPr>
                <w:p w14:paraId="2C4FBF86">
                  <w:pPr>
                    <w:spacing w:line="340" w:lineRule="exact"/>
                    <w:jc w:val="center"/>
                    <w:rPr>
                      <w:rFonts w:ascii="Times New Roman" w:hAnsi="Times New Roman"/>
                      <w:color w:val="auto"/>
                      <w:szCs w:val="21"/>
                    </w:rPr>
                  </w:pPr>
                </w:p>
              </w:tc>
              <w:tc>
                <w:tcPr>
                  <w:tcW w:w="1874" w:type="pct"/>
                  <w:gridSpan w:val="3"/>
                  <w:vMerge w:val="continue"/>
                  <w:noWrap w:val="0"/>
                  <w:vAlign w:val="center"/>
                </w:tcPr>
                <w:p w14:paraId="031E2D68">
                  <w:pPr>
                    <w:spacing w:line="340" w:lineRule="exact"/>
                    <w:jc w:val="center"/>
                    <w:rPr>
                      <w:rFonts w:ascii="Times New Roman" w:hAnsi="Times New Roman"/>
                      <w:color w:val="auto"/>
                      <w:szCs w:val="21"/>
                    </w:rPr>
                  </w:pPr>
                </w:p>
              </w:tc>
              <w:tc>
                <w:tcPr>
                  <w:tcW w:w="1602" w:type="dxa"/>
                  <w:noWrap w:val="0"/>
                  <w:vAlign w:val="center"/>
                </w:tcPr>
                <w:p w14:paraId="45CB052E">
                  <w:pPr>
                    <w:jc w:val="center"/>
                    <w:rPr>
                      <w:rFonts w:ascii="Times New Roman" w:hAnsi="Times New Roman"/>
                      <w:color w:val="auto"/>
                      <w:szCs w:val="21"/>
                    </w:rPr>
                  </w:pPr>
                  <w:r>
                    <w:rPr>
                      <w:rFonts w:hint="eastAsia"/>
                      <w:snapToGrid w:val="0"/>
                      <w:color w:val="auto"/>
                      <w:kern w:val="21"/>
                      <w:szCs w:val="21"/>
                    </w:rPr>
                    <w:t>含油抹布、</w:t>
                  </w:r>
                  <w:r>
                    <w:rPr>
                      <w:rFonts w:hint="eastAsia"/>
                      <w:snapToGrid w:val="0"/>
                      <w:color w:val="auto"/>
                      <w:kern w:val="21"/>
                      <w:szCs w:val="21"/>
                      <w:lang w:eastAsia="zh-CN"/>
                    </w:rPr>
                    <w:t>废</w:t>
                  </w:r>
                  <w:r>
                    <w:rPr>
                      <w:rFonts w:hint="eastAsia"/>
                      <w:snapToGrid w:val="0"/>
                      <w:color w:val="auto"/>
                      <w:kern w:val="21"/>
                      <w:szCs w:val="21"/>
                    </w:rPr>
                    <w:t>手套</w:t>
                  </w:r>
                </w:p>
              </w:tc>
              <w:tc>
                <w:tcPr>
                  <w:tcW w:w="1794" w:type="pct"/>
                  <w:vMerge w:val="continue"/>
                  <w:noWrap w:val="0"/>
                  <w:vAlign w:val="center"/>
                </w:tcPr>
                <w:p w14:paraId="441A3DCB">
                  <w:pPr>
                    <w:spacing w:line="340" w:lineRule="exact"/>
                    <w:jc w:val="center"/>
                    <w:rPr>
                      <w:rFonts w:ascii="Times New Roman" w:hAnsi="Times New Roman"/>
                      <w:color w:val="auto"/>
                      <w:szCs w:val="21"/>
                    </w:rPr>
                  </w:pPr>
                </w:p>
              </w:tc>
            </w:tr>
            <w:tr w14:paraId="39A63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82" w:type="pct"/>
                  <w:vMerge w:val="continue"/>
                  <w:noWrap w:val="0"/>
                  <w:vAlign w:val="center"/>
                </w:tcPr>
                <w:p w14:paraId="4780A7F8">
                  <w:pPr>
                    <w:jc w:val="center"/>
                    <w:rPr>
                      <w:rFonts w:hint="default" w:ascii="Times New Roman" w:hAnsi="Times New Roman" w:cs="Times New Roman"/>
                      <w:color w:val="auto"/>
                      <w:szCs w:val="21"/>
                    </w:rPr>
                  </w:pPr>
                </w:p>
              </w:tc>
              <w:tc>
                <w:tcPr>
                  <w:tcW w:w="1874" w:type="pct"/>
                  <w:gridSpan w:val="3"/>
                  <w:noWrap w:val="0"/>
                  <w:vAlign w:val="center"/>
                </w:tcPr>
                <w:p w14:paraId="7B47582D">
                  <w:pPr>
                    <w:jc w:val="center"/>
                    <w:rPr>
                      <w:rFonts w:hint="default" w:ascii="Times New Roman" w:hAnsi="Times New Roman" w:eastAsia="宋体" w:cs="Times New Roman"/>
                      <w:color w:val="auto"/>
                      <w:szCs w:val="21"/>
                      <w:lang w:eastAsia="zh-CN"/>
                    </w:rPr>
                  </w:pPr>
                  <w:r>
                    <w:rPr>
                      <w:rFonts w:hint="default" w:ascii="Times New Roman" w:hAnsi="Times New Roman" w:cs="Times New Roman"/>
                      <w:color w:val="auto"/>
                      <w:szCs w:val="21"/>
                      <w:lang w:val="en-US" w:eastAsia="zh-CN"/>
                    </w:rPr>
                    <w:t>厂区办公生活</w:t>
                  </w:r>
                </w:p>
              </w:tc>
              <w:tc>
                <w:tcPr>
                  <w:tcW w:w="948" w:type="pct"/>
                  <w:noWrap w:val="0"/>
                  <w:vAlign w:val="center"/>
                </w:tcPr>
                <w:p w14:paraId="6437AA06">
                  <w:pPr>
                    <w:spacing w:line="340" w:lineRule="exact"/>
                    <w:jc w:val="center"/>
                    <w:rPr>
                      <w:rFonts w:hint="default" w:ascii="Times New Roman" w:hAnsi="Times New Roman" w:cs="Times New Roman"/>
                      <w:color w:val="auto"/>
                      <w:szCs w:val="21"/>
                    </w:rPr>
                  </w:pPr>
                  <w:r>
                    <w:rPr>
                      <w:rFonts w:ascii="Times New Roman" w:hAnsi="Times New Roman"/>
                      <w:color w:val="auto"/>
                      <w:szCs w:val="21"/>
                    </w:rPr>
                    <w:t>生活垃圾</w:t>
                  </w:r>
                </w:p>
              </w:tc>
              <w:tc>
                <w:tcPr>
                  <w:tcW w:w="1794" w:type="pct"/>
                  <w:noWrap w:val="0"/>
                  <w:vAlign w:val="center"/>
                </w:tcPr>
                <w:p w14:paraId="69538239">
                  <w:pPr>
                    <w:jc w:val="center"/>
                    <w:rPr>
                      <w:rFonts w:hint="default" w:ascii="Times New Roman" w:hAnsi="Times New Roman" w:cs="Times New Roman"/>
                      <w:color w:val="auto"/>
                      <w:szCs w:val="21"/>
                    </w:rPr>
                  </w:pPr>
                  <w:r>
                    <w:rPr>
                      <w:rFonts w:hint="default" w:ascii="Times New Roman" w:hAnsi="Times New Roman" w:cs="Times New Roman"/>
                      <w:color w:val="auto"/>
                      <w:szCs w:val="21"/>
                    </w:rPr>
                    <w:t>由环卫部门定期清运</w:t>
                  </w:r>
                </w:p>
              </w:tc>
            </w:tr>
          </w:tbl>
          <w:p w14:paraId="5E4CFAE0">
            <w:pPr>
              <w:spacing w:line="360" w:lineRule="auto"/>
              <w:ind w:firstLine="480" w:firstLineChars="200"/>
              <w:rPr>
                <w:color w:val="auto"/>
                <w:sz w:val="24"/>
                <w:szCs w:val="24"/>
              </w:rPr>
            </w:pPr>
          </w:p>
        </w:tc>
      </w:tr>
      <w:tr w14:paraId="655D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77C10295">
            <w:pPr>
              <w:widowControl/>
              <w:spacing w:line="276" w:lineRule="auto"/>
              <w:jc w:val="center"/>
              <w:rPr>
                <w:bCs/>
                <w:color w:val="auto"/>
                <w:szCs w:val="21"/>
              </w:rPr>
            </w:pPr>
            <w:r>
              <w:rPr>
                <w:rFonts w:hint="eastAsia"/>
                <w:bCs/>
                <w:color w:val="auto"/>
                <w:szCs w:val="21"/>
              </w:rPr>
              <w:t>与项目有关的原有环境污染问题</w:t>
            </w:r>
          </w:p>
        </w:tc>
        <w:tc>
          <w:tcPr>
            <w:tcW w:w="8567" w:type="dxa"/>
            <w:vAlign w:val="center"/>
          </w:tcPr>
          <w:p w14:paraId="1C660916">
            <w:pPr>
              <w:widowControl/>
              <w:ind w:firstLine="482" w:firstLineChars="200"/>
              <w:jc w:val="left"/>
              <w:rPr>
                <w:b/>
                <w:color w:val="auto"/>
                <w:sz w:val="24"/>
                <w:szCs w:val="24"/>
              </w:rPr>
            </w:pPr>
          </w:p>
          <w:p w14:paraId="67B07961">
            <w:pPr>
              <w:widowControl/>
              <w:spacing w:line="360" w:lineRule="auto"/>
              <w:ind w:firstLine="482" w:firstLineChars="200"/>
              <w:jc w:val="left"/>
              <w:rPr>
                <w:b/>
                <w:color w:val="auto"/>
                <w:sz w:val="24"/>
                <w:szCs w:val="24"/>
              </w:rPr>
            </w:pPr>
          </w:p>
          <w:p w14:paraId="6A0D7CA2">
            <w:pPr>
              <w:widowControl/>
              <w:spacing w:line="360" w:lineRule="auto"/>
              <w:ind w:firstLine="482" w:firstLineChars="200"/>
              <w:jc w:val="left"/>
              <w:rPr>
                <w:b/>
                <w:color w:val="auto"/>
                <w:sz w:val="24"/>
                <w:szCs w:val="24"/>
              </w:rPr>
            </w:pPr>
          </w:p>
          <w:p w14:paraId="230DC831">
            <w:pPr>
              <w:widowControl/>
              <w:spacing w:line="360" w:lineRule="auto"/>
              <w:ind w:firstLine="480" w:firstLineChars="200"/>
              <w:jc w:val="left"/>
              <w:rPr>
                <w:color w:val="auto"/>
                <w:kern w:val="0"/>
                <w:sz w:val="24"/>
                <w:szCs w:val="24"/>
              </w:rPr>
            </w:pPr>
            <w:r>
              <w:rPr>
                <w:rFonts w:hint="eastAsia"/>
                <w:color w:val="auto"/>
                <w:kern w:val="0"/>
                <w:sz w:val="24"/>
                <w:szCs w:val="24"/>
              </w:rPr>
              <w:t>本项目为新建项目，位于</w:t>
            </w:r>
            <w:r>
              <w:rPr>
                <w:rFonts w:hint="eastAsia"/>
                <w:color w:val="auto"/>
                <w:kern w:val="0"/>
                <w:sz w:val="24"/>
                <w:szCs w:val="24"/>
                <w:lang w:eastAsia="zh-CN"/>
              </w:rPr>
              <w:t>淮南市潘集区平圩镇邵圩村，项目用地为工业用地，之前未进行任何生产和建设活动，无原有污染源，故</w:t>
            </w:r>
            <w:r>
              <w:rPr>
                <w:rFonts w:hint="eastAsia"/>
                <w:color w:val="auto"/>
                <w:kern w:val="0"/>
                <w:sz w:val="24"/>
                <w:szCs w:val="24"/>
              </w:rPr>
              <w:t>无与项目有关的原有污染情况和环境问题。</w:t>
            </w:r>
          </w:p>
          <w:p w14:paraId="3AC4CAA3">
            <w:pPr>
              <w:widowControl/>
              <w:ind w:firstLine="480" w:firstLineChars="200"/>
              <w:jc w:val="left"/>
              <w:rPr>
                <w:color w:val="auto"/>
                <w:kern w:val="0"/>
                <w:sz w:val="24"/>
                <w:szCs w:val="24"/>
              </w:rPr>
            </w:pPr>
          </w:p>
          <w:p w14:paraId="5BC9A865">
            <w:pPr>
              <w:widowControl/>
              <w:spacing w:line="360" w:lineRule="auto"/>
              <w:ind w:firstLine="480" w:firstLineChars="200"/>
              <w:jc w:val="left"/>
              <w:rPr>
                <w:color w:val="auto"/>
                <w:kern w:val="0"/>
                <w:sz w:val="24"/>
                <w:szCs w:val="24"/>
              </w:rPr>
            </w:pPr>
          </w:p>
          <w:p w14:paraId="38767D11">
            <w:pPr>
              <w:widowControl/>
              <w:spacing w:line="360" w:lineRule="auto"/>
              <w:ind w:firstLine="482" w:firstLineChars="200"/>
              <w:jc w:val="left"/>
              <w:rPr>
                <w:b/>
                <w:color w:val="auto"/>
                <w:sz w:val="24"/>
                <w:szCs w:val="24"/>
              </w:rPr>
            </w:pPr>
          </w:p>
          <w:p w14:paraId="7BF6B1B9">
            <w:pPr>
              <w:widowControl/>
              <w:spacing w:line="360" w:lineRule="auto"/>
              <w:ind w:firstLine="482" w:firstLineChars="200"/>
              <w:jc w:val="left"/>
              <w:rPr>
                <w:b/>
                <w:color w:val="auto"/>
                <w:sz w:val="24"/>
                <w:szCs w:val="24"/>
              </w:rPr>
            </w:pPr>
          </w:p>
          <w:p w14:paraId="3226D8F9">
            <w:pPr>
              <w:widowControl/>
              <w:spacing w:line="360" w:lineRule="auto"/>
              <w:ind w:firstLine="482" w:firstLineChars="200"/>
              <w:jc w:val="left"/>
              <w:rPr>
                <w:b/>
                <w:color w:val="auto"/>
                <w:sz w:val="24"/>
                <w:szCs w:val="24"/>
              </w:rPr>
            </w:pPr>
          </w:p>
          <w:p w14:paraId="7375C8F3">
            <w:pPr>
              <w:widowControl/>
              <w:spacing w:line="360" w:lineRule="auto"/>
              <w:ind w:firstLine="482" w:firstLineChars="200"/>
              <w:jc w:val="left"/>
              <w:rPr>
                <w:b/>
                <w:color w:val="auto"/>
                <w:sz w:val="24"/>
                <w:szCs w:val="24"/>
              </w:rPr>
            </w:pPr>
          </w:p>
          <w:p w14:paraId="7FDE5730">
            <w:pPr>
              <w:widowControl/>
              <w:spacing w:line="360" w:lineRule="auto"/>
              <w:ind w:firstLine="482" w:firstLineChars="200"/>
              <w:jc w:val="left"/>
              <w:rPr>
                <w:b/>
                <w:color w:val="auto"/>
                <w:sz w:val="24"/>
                <w:szCs w:val="24"/>
              </w:rPr>
            </w:pPr>
          </w:p>
          <w:p w14:paraId="04C864DC">
            <w:pPr>
              <w:widowControl/>
              <w:spacing w:line="360" w:lineRule="auto"/>
              <w:ind w:firstLine="482" w:firstLineChars="200"/>
              <w:jc w:val="left"/>
              <w:rPr>
                <w:b/>
                <w:color w:val="auto"/>
                <w:sz w:val="24"/>
                <w:szCs w:val="24"/>
              </w:rPr>
            </w:pPr>
          </w:p>
          <w:p w14:paraId="6172FF13">
            <w:pPr>
              <w:widowControl/>
              <w:spacing w:line="360" w:lineRule="auto"/>
              <w:ind w:firstLine="482" w:firstLineChars="200"/>
              <w:jc w:val="left"/>
              <w:rPr>
                <w:b/>
                <w:color w:val="auto"/>
                <w:sz w:val="24"/>
                <w:szCs w:val="24"/>
              </w:rPr>
            </w:pPr>
          </w:p>
          <w:p w14:paraId="40F06DD4">
            <w:pPr>
              <w:widowControl/>
              <w:spacing w:line="360" w:lineRule="auto"/>
              <w:ind w:firstLine="482" w:firstLineChars="200"/>
              <w:jc w:val="left"/>
              <w:rPr>
                <w:b/>
                <w:color w:val="auto"/>
                <w:sz w:val="24"/>
                <w:szCs w:val="24"/>
              </w:rPr>
            </w:pPr>
          </w:p>
          <w:p w14:paraId="3BEE1B02">
            <w:pPr>
              <w:widowControl/>
              <w:spacing w:line="360" w:lineRule="auto"/>
              <w:ind w:firstLine="482" w:firstLineChars="200"/>
              <w:jc w:val="left"/>
              <w:rPr>
                <w:b/>
                <w:color w:val="auto"/>
                <w:sz w:val="24"/>
                <w:szCs w:val="24"/>
              </w:rPr>
            </w:pPr>
          </w:p>
          <w:p w14:paraId="215DB239">
            <w:pPr>
              <w:widowControl/>
              <w:spacing w:line="360" w:lineRule="auto"/>
              <w:ind w:firstLine="482" w:firstLineChars="200"/>
              <w:jc w:val="left"/>
              <w:rPr>
                <w:b/>
                <w:color w:val="auto"/>
                <w:sz w:val="24"/>
                <w:szCs w:val="24"/>
              </w:rPr>
            </w:pPr>
          </w:p>
          <w:p w14:paraId="223F027F">
            <w:pPr>
              <w:widowControl/>
              <w:spacing w:line="360" w:lineRule="auto"/>
              <w:ind w:firstLine="482" w:firstLineChars="200"/>
              <w:jc w:val="left"/>
              <w:rPr>
                <w:b/>
                <w:color w:val="auto"/>
                <w:sz w:val="24"/>
                <w:szCs w:val="24"/>
              </w:rPr>
            </w:pPr>
          </w:p>
          <w:p w14:paraId="0DC203BD">
            <w:pPr>
              <w:widowControl/>
              <w:spacing w:line="360" w:lineRule="auto"/>
              <w:ind w:firstLine="482" w:firstLineChars="200"/>
              <w:jc w:val="left"/>
              <w:rPr>
                <w:b/>
                <w:color w:val="auto"/>
                <w:sz w:val="24"/>
                <w:szCs w:val="24"/>
              </w:rPr>
            </w:pPr>
          </w:p>
          <w:p w14:paraId="089BE1AF">
            <w:pPr>
              <w:widowControl/>
              <w:spacing w:line="360" w:lineRule="auto"/>
              <w:ind w:firstLine="482" w:firstLineChars="200"/>
              <w:jc w:val="left"/>
              <w:rPr>
                <w:b/>
                <w:color w:val="auto"/>
                <w:sz w:val="24"/>
                <w:szCs w:val="24"/>
              </w:rPr>
            </w:pPr>
          </w:p>
          <w:p w14:paraId="3FF24168">
            <w:pPr>
              <w:widowControl/>
              <w:spacing w:line="360" w:lineRule="auto"/>
              <w:ind w:firstLine="482" w:firstLineChars="200"/>
              <w:jc w:val="left"/>
              <w:rPr>
                <w:b/>
                <w:color w:val="auto"/>
                <w:sz w:val="24"/>
                <w:szCs w:val="24"/>
              </w:rPr>
            </w:pPr>
          </w:p>
          <w:p w14:paraId="1B581690">
            <w:pPr>
              <w:widowControl/>
              <w:spacing w:line="360" w:lineRule="auto"/>
              <w:ind w:firstLine="482" w:firstLineChars="200"/>
              <w:jc w:val="left"/>
              <w:rPr>
                <w:b/>
                <w:color w:val="auto"/>
                <w:sz w:val="24"/>
                <w:szCs w:val="24"/>
              </w:rPr>
            </w:pPr>
          </w:p>
          <w:p w14:paraId="1A5A018A">
            <w:pPr>
              <w:widowControl/>
              <w:spacing w:line="360" w:lineRule="auto"/>
              <w:ind w:firstLine="482" w:firstLineChars="200"/>
              <w:jc w:val="left"/>
              <w:rPr>
                <w:b/>
                <w:color w:val="auto"/>
                <w:sz w:val="24"/>
                <w:szCs w:val="24"/>
              </w:rPr>
            </w:pPr>
          </w:p>
          <w:p w14:paraId="64F72ACA">
            <w:pPr>
              <w:widowControl/>
              <w:spacing w:line="360" w:lineRule="auto"/>
              <w:ind w:firstLine="482" w:firstLineChars="200"/>
              <w:jc w:val="left"/>
              <w:rPr>
                <w:b/>
                <w:color w:val="auto"/>
                <w:sz w:val="24"/>
                <w:szCs w:val="24"/>
              </w:rPr>
            </w:pPr>
          </w:p>
          <w:p w14:paraId="76AA8A0A">
            <w:pPr>
              <w:widowControl/>
              <w:spacing w:line="360" w:lineRule="auto"/>
              <w:ind w:firstLine="482" w:firstLineChars="200"/>
              <w:jc w:val="left"/>
              <w:rPr>
                <w:b/>
                <w:color w:val="auto"/>
                <w:sz w:val="24"/>
                <w:szCs w:val="24"/>
              </w:rPr>
            </w:pPr>
          </w:p>
          <w:p w14:paraId="763F4731">
            <w:pPr>
              <w:widowControl/>
              <w:spacing w:line="360" w:lineRule="auto"/>
              <w:ind w:firstLine="482" w:firstLineChars="200"/>
              <w:jc w:val="left"/>
              <w:rPr>
                <w:b/>
                <w:color w:val="auto"/>
                <w:sz w:val="24"/>
                <w:szCs w:val="24"/>
              </w:rPr>
            </w:pPr>
          </w:p>
          <w:p w14:paraId="165713B0">
            <w:pPr>
              <w:widowControl/>
              <w:spacing w:line="360" w:lineRule="auto"/>
              <w:ind w:firstLine="482" w:firstLineChars="200"/>
              <w:jc w:val="left"/>
              <w:rPr>
                <w:b/>
                <w:color w:val="auto"/>
                <w:sz w:val="24"/>
                <w:szCs w:val="24"/>
              </w:rPr>
            </w:pPr>
          </w:p>
        </w:tc>
      </w:tr>
    </w:tbl>
    <w:p w14:paraId="404172F7">
      <w:pPr>
        <w:rPr>
          <w:color w:val="auto"/>
        </w:rPr>
        <w:sectPr>
          <w:pgSz w:w="11906" w:h="16838"/>
          <w:pgMar w:top="1361" w:right="1701" w:bottom="1361" w:left="1701" w:header="851" w:footer="992" w:gutter="0"/>
          <w:pgBorders>
            <w:top w:val="none" w:sz="0" w:space="0"/>
            <w:left w:val="none" w:sz="0" w:space="0"/>
            <w:bottom w:val="none" w:sz="0" w:space="0"/>
            <w:right w:val="none" w:sz="0" w:space="0"/>
          </w:pgBorders>
          <w:pgNumType w:fmt="decimal"/>
          <w:cols w:space="720" w:num="1"/>
          <w:docGrid w:linePitch="312" w:charSpace="0"/>
        </w:sectPr>
      </w:pPr>
    </w:p>
    <w:p w14:paraId="0927E7AF">
      <w:pPr>
        <w:spacing w:line="360" w:lineRule="auto"/>
        <w:jc w:val="center"/>
        <w:outlineLvl w:val="0"/>
        <w:rPr>
          <w:rFonts w:eastAsia="黑体"/>
          <w:b/>
          <w:bCs/>
          <w:color w:val="auto"/>
          <w:sz w:val="30"/>
          <w:szCs w:val="24"/>
        </w:rPr>
      </w:pPr>
      <w:bookmarkStart w:id="7" w:name="_Toc26979"/>
      <w:r>
        <w:rPr>
          <w:rFonts w:hint="eastAsia" w:eastAsia="黑体"/>
          <w:b/>
          <w:bCs/>
          <w:color w:val="auto"/>
          <w:sz w:val="30"/>
          <w:szCs w:val="24"/>
        </w:rPr>
        <w:t>三、区域环境质量现状、环境保护目标及评价标准</w:t>
      </w:r>
      <w:bookmarkEnd w:id="7"/>
    </w:p>
    <w:tbl>
      <w:tblPr>
        <w:tblStyle w:val="4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904"/>
      </w:tblGrid>
      <w:tr w14:paraId="7118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3C2B44B">
            <w:pPr>
              <w:autoSpaceDE w:val="0"/>
              <w:autoSpaceDN w:val="0"/>
              <w:jc w:val="center"/>
              <w:rPr>
                <w:rFonts w:hAnsi="宋体"/>
                <w:color w:val="auto"/>
                <w:szCs w:val="21"/>
              </w:rPr>
            </w:pPr>
            <w:r>
              <w:rPr>
                <w:rFonts w:hint="eastAsia" w:hAnsi="宋体"/>
                <w:color w:val="auto"/>
                <w:szCs w:val="21"/>
              </w:rPr>
              <w:t>区域环境质量现状</w:t>
            </w:r>
          </w:p>
        </w:tc>
        <w:tc>
          <w:tcPr>
            <w:tcW w:w="8611" w:type="dxa"/>
            <w:vAlign w:val="center"/>
          </w:tcPr>
          <w:p w14:paraId="1C2BFCA0">
            <w:pPr>
              <w:spacing w:line="360" w:lineRule="auto"/>
              <w:rPr>
                <w:b/>
                <w:color w:val="auto"/>
                <w:sz w:val="24"/>
                <w:szCs w:val="24"/>
              </w:rPr>
            </w:pPr>
            <w:r>
              <w:rPr>
                <w:rFonts w:hint="eastAsia"/>
                <w:b/>
                <w:color w:val="auto"/>
                <w:sz w:val="24"/>
                <w:szCs w:val="24"/>
              </w:rPr>
              <w:t>1、</w:t>
            </w:r>
            <w:r>
              <w:rPr>
                <w:b/>
                <w:bCs/>
                <w:color w:val="auto"/>
                <w:sz w:val="24"/>
                <w:szCs w:val="24"/>
              </w:rPr>
              <w:t>空气环境</w:t>
            </w:r>
          </w:p>
          <w:p w14:paraId="1888B4DE">
            <w:pPr>
              <w:spacing w:line="360" w:lineRule="auto"/>
              <w:ind w:firstLine="480" w:firstLineChars="200"/>
              <w:rPr>
                <w:color w:val="auto"/>
                <w:sz w:val="24"/>
              </w:rPr>
            </w:pPr>
            <w:r>
              <w:rPr>
                <w:rFonts w:hint="eastAsia"/>
                <w:color w:val="auto"/>
                <w:sz w:val="24"/>
              </w:rPr>
              <w:t>（1）环境空气质量标准</w:t>
            </w:r>
          </w:p>
          <w:p w14:paraId="407231A3">
            <w:pPr>
              <w:spacing w:line="360" w:lineRule="auto"/>
              <w:ind w:firstLine="480" w:firstLineChars="200"/>
              <w:rPr>
                <w:color w:val="auto"/>
                <w:sz w:val="24"/>
              </w:rPr>
            </w:pPr>
            <w:r>
              <w:rPr>
                <w:color w:val="auto"/>
                <w:sz w:val="24"/>
              </w:rPr>
              <w:t>评价区为环境空气二类功能区，SO</w:t>
            </w:r>
            <w:r>
              <w:rPr>
                <w:color w:val="auto"/>
                <w:sz w:val="24"/>
                <w:vertAlign w:val="subscript"/>
              </w:rPr>
              <w:t>2</w:t>
            </w:r>
            <w:r>
              <w:rPr>
                <w:color w:val="auto"/>
                <w:sz w:val="24"/>
              </w:rPr>
              <w:t>、NO</w:t>
            </w:r>
            <w:r>
              <w:rPr>
                <w:color w:val="auto"/>
                <w:sz w:val="24"/>
                <w:vertAlign w:val="subscript"/>
              </w:rPr>
              <w:t>2</w:t>
            </w:r>
            <w:r>
              <w:rPr>
                <w:color w:val="auto"/>
                <w:sz w:val="24"/>
              </w:rPr>
              <w:t>、PM</w:t>
            </w:r>
            <w:r>
              <w:rPr>
                <w:color w:val="auto"/>
                <w:sz w:val="24"/>
                <w:vertAlign w:val="subscript"/>
              </w:rPr>
              <w:t>10</w:t>
            </w:r>
            <w:r>
              <w:rPr>
                <w:color w:val="auto"/>
                <w:sz w:val="24"/>
              </w:rPr>
              <w:t>、PM</w:t>
            </w:r>
            <w:r>
              <w:rPr>
                <w:color w:val="auto"/>
                <w:sz w:val="24"/>
                <w:vertAlign w:val="subscript"/>
              </w:rPr>
              <w:t>2.5</w:t>
            </w:r>
            <w:r>
              <w:rPr>
                <w:color w:val="auto"/>
                <w:sz w:val="24"/>
              </w:rPr>
              <w:t>、CO、O</w:t>
            </w:r>
            <w:r>
              <w:rPr>
                <w:color w:val="auto"/>
                <w:sz w:val="24"/>
                <w:vertAlign w:val="subscript"/>
              </w:rPr>
              <w:t>3</w:t>
            </w:r>
            <w:r>
              <w:rPr>
                <w:color w:val="auto"/>
                <w:sz w:val="24"/>
              </w:rPr>
              <w:t>、TSP执行《环境空气质量标准》（GB3095-2012）</w:t>
            </w:r>
            <w:r>
              <w:rPr>
                <w:bCs/>
                <w:color w:val="auto"/>
                <w:sz w:val="24"/>
                <w:szCs w:val="24"/>
              </w:rPr>
              <w:t>中的二级标准</w:t>
            </w:r>
            <w:r>
              <w:rPr>
                <w:color w:val="auto"/>
                <w:sz w:val="24"/>
              </w:rPr>
              <w:t>，具体标准值见表</w:t>
            </w:r>
            <w:r>
              <w:rPr>
                <w:rFonts w:hint="eastAsia"/>
                <w:color w:val="auto"/>
                <w:sz w:val="24"/>
              </w:rPr>
              <w:t>3-1</w:t>
            </w:r>
            <w:r>
              <w:rPr>
                <w:color w:val="auto"/>
                <w:sz w:val="24"/>
              </w:rPr>
              <w:t>。</w:t>
            </w:r>
          </w:p>
          <w:p w14:paraId="3353559B">
            <w:pPr>
              <w:snapToGrid w:val="0"/>
              <w:spacing w:line="360" w:lineRule="auto"/>
              <w:jc w:val="center"/>
              <w:rPr>
                <w:b/>
                <w:color w:val="auto"/>
                <w:szCs w:val="21"/>
              </w:rPr>
            </w:pPr>
            <w:r>
              <w:rPr>
                <w:rFonts w:hAnsi="宋体"/>
                <w:b/>
                <w:color w:val="auto"/>
                <w:szCs w:val="21"/>
              </w:rPr>
              <w:t>表</w:t>
            </w:r>
            <w:r>
              <w:rPr>
                <w:rFonts w:hint="eastAsia"/>
                <w:b/>
                <w:color w:val="auto"/>
                <w:szCs w:val="21"/>
              </w:rPr>
              <w:t>3-1</w:t>
            </w:r>
            <w:r>
              <w:rPr>
                <w:b/>
                <w:color w:val="auto"/>
                <w:szCs w:val="21"/>
              </w:rPr>
              <w:t xml:space="preserve">  </w:t>
            </w:r>
            <w:r>
              <w:rPr>
                <w:rFonts w:hAnsi="宋体"/>
                <w:b/>
                <w:color w:val="auto"/>
                <w:szCs w:val="21"/>
              </w:rPr>
              <w:t>环境空气质量标准污染物浓度限值</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13" w:type="dxa"/>
                <w:bottom w:w="0" w:type="dxa"/>
                <w:right w:w="113" w:type="dxa"/>
              </w:tblCellMar>
            </w:tblPr>
            <w:tblGrid>
              <w:gridCol w:w="1374"/>
              <w:gridCol w:w="2471"/>
              <w:gridCol w:w="2346"/>
              <w:gridCol w:w="2487"/>
            </w:tblGrid>
            <w:tr w14:paraId="546BC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Align w:val="center"/>
                </w:tcPr>
                <w:p w14:paraId="03FBE822">
                  <w:pPr>
                    <w:autoSpaceDE w:val="0"/>
                    <w:autoSpaceDN w:val="0"/>
                    <w:jc w:val="center"/>
                    <w:rPr>
                      <w:b/>
                      <w:color w:val="auto"/>
                      <w:szCs w:val="21"/>
                    </w:rPr>
                  </w:pPr>
                  <w:r>
                    <w:rPr>
                      <w:rFonts w:hAnsi="宋体"/>
                      <w:b/>
                      <w:color w:val="auto"/>
                      <w:szCs w:val="21"/>
                    </w:rPr>
                    <w:t>污染物</w:t>
                  </w:r>
                </w:p>
              </w:tc>
              <w:tc>
                <w:tcPr>
                  <w:tcW w:w="1423" w:type="pct"/>
                  <w:vAlign w:val="center"/>
                </w:tcPr>
                <w:p w14:paraId="5AB1DCEC">
                  <w:pPr>
                    <w:autoSpaceDE w:val="0"/>
                    <w:autoSpaceDN w:val="0"/>
                    <w:jc w:val="center"/>
                    <w:rPr>
                      <w:b/>
                      <w:color w:val="auto"/>
                      <w:szCs w:val="21"/>
                    </w:rPr>
                  </w:pPr>
                  <w:r>
                    <w:rPr>
                      <w:rFonts w:hAnsi="宋体"/>
                      <w:b/>
                      <w:color w:val="auto"/>
                      <w:szCs w:val="21"/>
                    </w:rPr>
                    <w:t>取值时间</w:t>
                  </w:r>
                </w:p>
              </w:tc>
              <w:tc>
                <w:tcPr>
                  <w:tcW w:w="1351" w:type="pct"/>
                  <w:vAlign w:val="center"/>
                </w:tcPr>
                <w:p w14:paraId="2AEC5FF7">
                  <w:pPr>
                    <w:autoSpaceDE w:val="0"/>
                    <w:autoSpaceDN w:val="0"/>
                    <w:jc w:val="center"/>
                    <w:rPr>
                      <w:b/>
                      <w:color w:val="auto"/>
                      <w:szCs w:val="21"/>
                    </w:rPr>
                  </w:pPr>
                  <w:r>
                    <w:rPr>
                      <w:rFonts w:hAnsi="宋体"/>
                      <w:b/>
                      <w:color w:val="auto"/>
                      <w:szCs w:val="21"/>
                    </w:rPr>
                    <w:t>二级标准浓度限值</w:t>
                  </w:r>
                  <w:r>
                    <w:rPr>
                      <w:rFonts w:hint="eastAsia"/>
                      <w:b/>
                      <w:color w:val="auto"/>
                      <w:szCs w:val="21"/>
                    </w:rPr>
                    <w:t>（</w:t>
                  </w:r>
                  <w:r>
                    <w:rPr>
                      <w:b/>
                      <w:color w:val="auto"/>
                      <w:szCs w:val="21"/>
                    </w:rPr>
                    <w:t>μg/Nm</w:t>
                  </w:r>
                  <w:r>
                    <w:rPr>
                      <w:b/>
                      <w:color w:val="auto"/>
                      <w:szCs w:val="21"/>
                      <w:vertAlign w:val="superscript"/>
                    </w:rPr>
                    <w:t>3</w:t>
                  </w:r>
                  <w:r>
                    <w:rPr>
                      <w:rFonts w:hint="eastAsia"/>
                      <w:b/>
                      <w:color w:val="auto"/>
                      <w:szCs w:val="21"/>
                    </w:rPr>
                    <w:t>）</w:t>
                  </w:r>
                </w:p>
              </w:tc>
              <w:tc>
                <w:tcPr>
                  <w:tcW w:w="1432" w:type="pct"/>
                  <w:vAlign w:val="center"/>
                </w:tcPr>
                <w:p w14:paraId="1579D82C">
                  <w:pPr>
                    <w:autoSpaceDE w:val="0"/>
                    <w:autoSpaceDN w:val="0"/>
                    <w:jc w:val="center"/>
                    <w:rPr>
                      <w:b/>
                      <w:color w:val="auto"/>
                      <w:szCs w:val="21"/>
                    </w:rPr>
                  </w:pPr>
                  <w:r>
                    <w:rPr>
                      <w:rFonts w:hAnsi="宋体"/>
                      <w:b/>
                      <w:color w:val="auto"/>
                      <w:szCs w:val="21"/>
                    </w:rPr>
                    <w:t>标准来源</w:t>
                  </w:r>
                </w:p>
              </w:tc>
            </w:tr>
            <w:tr w14:paraId="02B2B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restart"/>
                  <w:vAlign w:val="center"/>
                </w:tcPr>
                <w:p w14:paraId="6BCA8B29">
                  <w:pPr>
                    <w:autoSpaceDE w:val="0"/>
                    <w:autoSpaceDN w:val="0"/>
                    <w:jc w:val="center"/>
                    <w:rPr>
                      <w:color w:val="auto"/>
                      <w:szCs w:val="21"/>
                      <w:vertAlign w:val="subscript"/>
                    </w:rPr>
                  </w:pPr>
                  <w:r>
                    <w:rPr>
                      <w:color w:val="auto"/>
                      <w:szCs w:val="21"/>
                    </w:rPr>
                    <w:t>SO</w:t>
                  </w:r>
                  <w:r>
                    <w:rPr>
                      <w:color w:val="auto"/>
                      <w:szCs w:val="21"/>
                      <w:vertAlign w:val="subscript"/>
                    </w:rPr>
                    <w:t>2</w:t>
                  </w:r>
                </w:p>
              </w:tc>
              <w:tc>
                <w:tcPr>
                  <w:tcW w:w="1423" w:type="pct"/>
                  <w:vAlign w:val="center"/>
                </w:tcPr>
                <w:p w14:paraId="3738FAA9">
                  <w:pPr>
                    <w:autoSpaceDE w:val="0"/>
                    <w:autoSpaceDN w:val="0"/>
                    <w:jc w:val="center"/>
                    <w:rPr>
                      <w:color w:val="auto"/>
                      <w:szCs w:val="21"/>
                    </w:rPr>
                  </w:pPr>
                  <w:r>
                    <w:rPr>
                      <w:rFonts w:hAnsi="宋体"/>
                      <w:color w:val="auto"/>
                      <w:szCs w:val="21"/>
                    </w:rPr>
                    <w:t>年平均</w:t>
                  </w:r>
                </w:p>
              </w:tc>
              <w:tc>
                <w:tcPr>
                  <w:tcW w:w="1351" w:type="pct"/>
                  <w:vAlign w:val="center"/>
                </w:tcPr>
                <w:p w14:paraId="237DE036">
                  <w:pPr>
                    <w:autoSpaceDE w:val="0"/>
                    <w:autoSpaceDN w:val="0"/>
                    <w:jc w:val="center"/>
                    <w:rPr>
                      <w:color w:val="auto"/>
                      <w:szCs w:val="21"/>
                    </w:rPr>
                  </w:pPr>
                  <w:r>
                    <w:rPr>
                      <w:rFonts w:hint="eastAsia"/>
                      <w:color w:val="auto"/>
                      <w:szCs w:val="21"/>
                    </w:rPr>
                    <w:t>60</w:t>
                  </w:r>
                </w:p>
              </w:tc>
              <w:tc>
                <w:tcPr>
                  <w:tcW w:w="1432" w:type="pct"/>
                  <w:vMerge w:val="restart"/>
                  <w:vAlign w:val="center"/>
                </w:tcPr>
                <w:p w14:paraId="45EBD401">
                  <w:pPr>
                    <w:autoSpaceDE w:val="0"/>
                    <w:autoSpaceDN w:val="0"/>
                    <w:jc w:val="center"/>
                    <w:rPr>
                      <w:color w:val="auto"/>
                      <w:szCs w:val="21"/>
                    </w:rPr>
                  </w:pPr>
                  <w:r>
                    <w:rPr>
                      <w:rFonts w:hAnsi="宋体"/>
                      <w:color w:val="auto"/>
                      <w:szCs w:val="21"/>
                    </w:rPr>
                    <w:t>《环境空气质量标准》（</w:t>
                  </w:r>
                  <w:r>
                    <w:rPr>
                      <w:color w:val="auto"/>
                      <w:szCs w:val="21"/>
                    </w:rPr>
                    <w:t>GB3095</w:t>
                  </w:r>
                  <w:r>
                    <w:rPr>
                      <w:rFonts w:hint="eastAsia" w:hAnsi="宋体"/>
                      <w:color w:val="auto"/>
                      <w:szCs w:val="21"/>
                    </w:rPr>
                    <w:t>-</w:t>
                  </w:r>
                  <w:r>
                    <w:rPr>
                      <w:color w:val="auto"/>
                      <w:szCs w:val="21"/>
                    </w:rPr>
                    <w:t>2012</w:t>
                  </w:r>
                  <w:r>
                    <w:rPr>
                      <w:rFonts w:hAnsi="宋体"/>
                      <w:color w:val="auto"/>
                      <w:szCs w:val="21"/>
                    </w:rPr>
                    <w:t>）</w:t>
                  </w:r>
                </w:p>
              </w:tc>
            </w:tr>
            <w:tr w14:paraId="78C9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continue"/>
                  <w:vAlign w:val="center"/>
                </w:tcPr>
                <w:p w14:paraId="7E0DEDF5">
                  <w:pPr>
                    <w:autoSpaceDE w:val="0"/>
                    <w:autoSpaceDN w:val="0"/>
                    <w:jc w:val="center"/>
                    <w:rPr>
                      <w:color w:val="auto"/>
                      <w:szCs w:val="21"/>
                    </w:rPr>
                  </w:pPr>
                </w:p>
              </w:tc>
              <w:tc>
                <w:tcPr>
                  <w:tcW w:w="1423" w:type="pct"/>
                  <w:vAlign w:val="center"/>
                </w:tcPr>
                <w:p w14:paraId="584525E0">
                  <w:pPr>
                    <w:autoSpaceDE w:val="0"/>
                    <w:autoSpaceDN w:val="0"/>
                    <w:jc w:val="center"/>
                    <w:rPr>
                      <w:color w:val="auto"/>
                      <w:szCs w:val="21"/>
                    </w:rPr>
                  </w:pPr>
                  <w:r>
                    <w:rPr>
                      <w:rFonts w:hint="eastAsia" w:hAnsi="宋体"/>
                      <w:color w:val="auto"/>
                      <w:szCs w:val="21"/>
                    </w:rPr>
                    <w:t>24小时平均</w:t>
                  </w:r>
                </w:p>
              </w:tc>
              <w:tc>
                <w:tcPr>
                  <w:tcW w:w="1351" w:type="pct"/>
                  <w:vAlign w:val="center"/>
                </w:tcPr>
                <w:p w14:paraId="3AA817A9">
                  <w:pPr>
                    <w:autoSpaceDE w:val="0"/>
                    <w:autoSpaceDN w:val="0"/>
                    <w:jc w:val="center"/>
                    <w:rPr>
                      <w:color w:val="auto"/>
                      <w:szCs w:val="21"/>
                    </w:rPr>
                  </w:pPr>
                  <w:r>
                    <w:rPr>
                      <w:rFonts w:hint="eastAsia"/>
                      <w:color w:val="auto"/>
                      <w:szCs w:val="21"/>
                    </w:rPr>
                    <w:t>150</w:t>
                  </w:r>
                </w:p>
              </w:tc>
              <w:tc>
                <w:tcPr>
                  <w:tcW w:w="1432" w:type="pct"/>
                  <w:vMerge w:val="continue"/>
                  <w:vAlign w:val="center"/>
                </w:tcPr>
                <w:p w14:paraId="562478D8">
                  <w:pPr>
                    <w:autoSpaceDE w:val="0"/>
                    <w:autoSpaceDN w:val="0"/>
                    <w:jc w:val="center"/>
                    <w:rPr>
                      <w:color w:val="auto"/>
                      <w:szCs w:val="21"/>
                    </w:rPr>
                  </w:pPr>
                </w:p>
              </w:tc>
            </w:tr>
            <w:tr w14:paraId="0C2C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continue"/>
                  <w:vAlign w:val="center"/>
                </w:tcPr>
                <w:p w14:paraId="0E89BBA5">
                  <w:pPr>
                    <w:autoSpaceDE w:val="0"/>
                    <w:autoSpaceDN w:val="0"/>
                    <w:jc w:val="center"/>
                    <w:rPr>
                      <w:color w:val="auto"/>
                      <w:szCs w:val="21"/>
                    </w:rPr>
                  </w:pPr>
                </w:p>
              </w:tc>
              <w:tc>
                <w:tcPr>
                  <w:tcW w:w="1423" w:type="pct"/>
                  <w:vAlign w:val="center"/>
                </w:tcPr>
                <w:p w14:paraId="5D38DB74">
                  <w:pPr>
                    <w:autoSpaceDE w:val="0"/>
                    <w:autoSpaceDN w:val="0"/>
                    <w:jc w:val="center"/>
                    <w:rPr>
                      <w:color w:val="auto"/>
                      <w:szCs w:val="21"/>
                    </w:rPr>
                  </w:pPr>
                  <w:r>
                    <w:rPr>
                      <w:color w:val="auto"/>
                      <w:szCs w:val="21"/>
                    </w:rPr>
                    <w:t>1</w:t>
                  </w:r>
                  <w:r>
                    <w:rPr>
                      <w:rFonts w:hAnsi="宋体"/>
                      <w:color w:val="auto"/>
                      <w:szCs w:val="21"/>
                    </w:rPr>
                    <w:t>小时平均</w:t>
                  </w:r>
                </w:p>
              </w:tc>
              <w:tc>
                <w:tcPr>
                  <w:tcW w:w="1351" w:type="pct"/>
                  <w:vAlign w:val="center"/>
                </w:tcPr>
                <w:p w14:paraId="06A7BE81">
                  <w:pPr>
                    <w:autoSpaceDE w:val="0"/>
                    <w:autoSpaceDN w:val="0"/>
                    <w:jc w:val="center"/>
                    <w:rPr>
                      <w:color w:val="auto"/>
                      <w:szCs w:val="21"/>
                    </w:rPr>
                  </w:pPr>
                  <w:r>
                    <w:rPr>
                      <w:rFonts w:hint="eastAsia"/>
                      <w:color w:val="auto"/>
                      <w:szCs w:val="21"/>
                    </w:rPr>
                    <w:t>500</w:t>
                  </w:r>
                </w:p>
              </w:tc>
              <w:tc>
                <w:tcPr>
                  <w:tcW w:w="1432" w:type="pct"/>
                  <w:vMerge w:val="continue"/>
                  <w:vAlign w:val="center"/>
                </w:tcPr>
                <w:p w14:paraId="3650BA4F">
                  <w:pPr>
                    <w:autoSpaceDE w:val="0"/>
                    <w:autoSpaceDN w:val="0"/>
                    <w:jc w:val="center"/>
                    <w:rPr>
                      <w:color w:val="auto"/>
                      <w:szCs w:val="21"/>
                    </w:rPr>
                  </w:pPr>
                </w:p>
              </w:tc>
            </w:tr>
            <w:tr w14:paraId="4C98D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restart"/>
                  <w:vAlign w:val="center"/>
                </w:tcPr>
                <w:p w14:paraId="4F21C9F3">
                  <w:pPr>
                    <w:autoSpaceDE w:val="0"/>
                    <w:autoSpaceDN w:val="0"/>
                    <w:jc w:val="center"/>
                    <w:rPr>
                      <w:color w:val="auto"/>
                      <w:szCs w:val="21"/>
                      <w:vertAlign w:val="subscript"/>
                    </w:rPr>
                  </w:pPr>
                  <w:r>
                    <w:rPr>
                      <w:color w:val="auto"/>
                      <w:szCs w:val="21"/>
                    </w:rPr>
                    <w:t>NO</w:t>
                  </w:r>
                  <w:r>
                    <w:rPr>
                      <w:color w:val="auto"/>
                      <w:szCs w:val="21"/>
                      <w:vertAlign w:val="subscript"/>
                    </w:rPr>
                    <w:t>2</w:t>
                  </w:r>
                </w:p>
              </w:tc>
              <w:tc>
                <w:tcPr>
                  <w:tcW w:w="1423" w:type="pct"/>
                  <w:vAlign w:val="center"/>
                </w:tcPr>
                <w:p w14:paraId="7FDADF86">
                  <w:pPr>
                    <w:autoSpaceDE w:val="0"/>
                    <w:autoSpaceDN w:val="0"/>
                    <w:jc w:val="center"/>
                    <w:rPr>
                      <w:color w:val="auto"/>
                      <w:szCs w:val="21"/>
                    </w:rPr>
                  </w:pPr>
                  <w:r>
                    <w:rPr>
                      <w:rFonts w:hAnsi="宋体"/>
                      <w:color w:val="auto"/>
                      <w:szCs w:val="21"/>
                    </w:rPr>
                    <w:t>年平均</w:t>
                  </w:r>
                </w:p>
              </w:tc>
              <w:tc>
                <w:tcPr>
                  <w:tcW w:w="1351" w:type="pct"/>
                  <w:vAlign w:val="center"/>
                </w:tcPr>
                <w:p w14:paraId="62432C9B">
                  <w:pPr>
                    <w:autoSpaceDE w:val="0"/>
                    <w:autoSpaceDN w:val="0"/>
                    <w:jc w:val="center"/>
                    <w:rPr>
                      <w:color w:val="auto"/>
                      <w:szCs w:val="21"/>
                    </w:rPr>
                  </w:pPr>
                  <w:r>
                    <w:rPr>
                      <w:rFonts w:hint="eastAsia"/>
                      <w:color w:val="auto"/>
                      <w:szCs w:val="21"/>
                    </w:rPr>
                    <w:t>40</w:t>
                  </w:r>
                </w:p>
              </w:tc>
              <w:tc>
                <w:tcPr>
                  <w:tcW w:w="1432" w:type="pct"/>
                  <w:vMerge w:val="continue"/>
                  <w:vAlign w:val="center"/>
                </w:tcPr>
                <w:p w14:paraId="1F1D289A">
                  <w:pPr>
                    <w:autoSpaceDE w:val="0"/>
                    <w:autoSpaceDN w:val="0"/>
                    <w:jc w:val="center"/>
                    <w:rPr>
                      <w:color w:val="auto"/>
                      <w:szCs w:val="21"/>
                    </w:rPr>
                  </w:pPr>
                </w:p>
              </w:tc>
            </w:tr>
            <w:tr w14:paraId="208D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continue"/>
                  <w:vAlign w:val="center"/>
                </w:tcPr>
                <w:p w14:paraId="668181AF">
                  <w:pPr>
                    <w:autoSpaceDE w:val="0"/>
                    <w:autoSpaceDN w:val="0"/>
                    <w:jc w:val="center"/>
                    <w:rPr>
                      <w:color w:val="auto"/>
                      <w:szCs w:val="21"/>
                    </w:rPr>
                  </w:pPr>
                </w:p>
              </w:tc>
              <w:tc>
                <w:tcPr>
                  <w:tcW w:w="1423" w:type="pct"/>
                  <w:vAlign w:val="center"/>
                </w:tcPr>
                <w:p w14:paraId="0FF7F99D">
                  <w:pPr>
                    <w:autoSpaceDE w:val="0"/>
                    <w:autoSpaceDN w:val="0"/>
                    <w:jc w:val="center"/>
                    <w:rPr>
                      <w:color w:val="auto"/>
                      <w:szCs w:val="21"/>
                    </w:rPr>
                  </w:pPr>
                  <w:r>
                    <w:rPr>
                      <w:rFonts w:hint="eastAsia" w:hAnsi="宋体"/>
                      <w:color w:val="auto"/>
                      <w:szCs w:val="21"/>
                    </w:rPr>
                    <w:t>24小时平均</w:t>
                  </w:r>
                </w:p>
              </w:tc>
              <w:tc>
                <w:tcPr>
                  <w:tcW w:w="1351" w:type="pct"/>
                  <w:vAlign w:val="center"/>
                </w:tcPr>
                <w:p w14:paraId="05A287B1">
                  <w:pPr>
                    <w:autoSpaceDE w:val="0"/>
                    <w:autoSpaceDN w:val="0"/>
                    <w:jc w:val="center"/>
                    <w:rPr>
                      <w:color w:val="auto"/>
                      <w:szCs w:val="21"/>
                    </w:rPr>
                  </w:pPr>
                  <w:r>
                    <w:rPr>
                      <w:rFonts w:hint="eastAsia"/>
                      <w:color w:val="auto"/>
                      <w:szCs w:val="21"/>
                    </w:rPr>
                    <w:t>80</w:t>
                  </w:r>
                </w:p>
              </w:tc>
              <w:tc>
                <w:tcPr>
                  <w:tcW w:w="1432" w:type="pct"/>
                  <w:vMerge w:val="continue"/>
                  <w:vAlign w:val="center"/>
                </w:tcPr>
                <w:p w14:paraId="18C9ACEC">
                  <w:pPr>
                    <w:autoSpaceDE w:val="0"/>
                    <w:autoSpaceDN w:val="0"/>
                    <w:jc w:val="center"/>
                    <w:rPr>
                      <w:color w:val="auto"/>
                      <w:szCs w:val="21"/>
                    </w:rPr>
                  </w:pPr>
                </w:p>
              </w:tc>
            </w:tr>
            <w:tr w14:paraId="1D7E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continue"/>
                  <w:vAlign w:val="center"/>
                </w:tcPr>
                <w:p w14:paraId="006C742D">
                  <w:pPr>
                    <w:autoSpaceDE w:val="0"/>
                    <w:autoSpaceDN w:val="0"/>
                    <w:jc w:val="center"/>
                    <w:rPr>
                      <w:color w:val="auto"/>
                      <w:szCs w:val="21"/>
                    </w:rPr>
                  </w:pPr>
                </w:p>
              </w:tc>
              <w:tc>
                <w:tcPr>
                  <w:tcW w:w="1423" w:type="pct"/>
                  <w:vAlign w:val="center"/>
                </w:tcPr>
                <w:p w14:paraId="2AB1A098">
                  <w:pPr>
                    <w:autoSpaceDE w:val="0"/>
                    <w:autoSpaceDN w:val="0"/>
                    <w:jc w:val="center"/>
                    <w:rPr>
                      <w:color w:val="auto"/>
                      <w:szCs w:val="21"/>
                    </w:rPr>
                  </w:pPr>
                  <w:r>
                    <w:rPr>
                      <w:color w:val="auto"/>
                      <w:szCs w:val="21"/>
                    </w:rPr>
                    <w:t>1</w:t>
                  </w:r>
                  <w:r>
                    <w:rPr>
                      <w:rFonts w:hAnsi="宋体"/>
                      <w:color w:val="auto"/>
                      <w:szCs w:val="21"/>
                    </w:rPr>
                    <w:t>小时平均</w:t>
                  </w:r>
                </w:p>
              </w:tc>
              <w:tc>
                <w:tcPr>
                  <w:tcW w:w="1351" w:type="pct"/>
                  <w:vAlign w:val="center"/>
                </w:tcPr>
                <w:p w14:paraId="09CEBE85">
                  <w:pPr>
                    <w:autoSpaceDE w:val="0"/>
                    <w:autoSpaceDN w:val="0"/>
                    <w:jc w:val="center"/>
                    <w:rPr>
                      <w:color w:val="auto"/>
                      <w:szCs w:val="21"/>
                    </w:rPr>
                  </w:pPr>
                  <w:r>
                    <w:rPr>
                      <w:rFonts w:hint="eastAsia"/>
                      <w:color w:val="auto"/>
                      <w:szCs w:val="21"/>
                    </w:rPr>
                    <w:t>200</w:t>
                  </w:r>
                </w:p>
              </w:tc>
              <w:tc>
                <w:tcPr>
                  <w:tcW w:w="1432" w:type="pct"/>
                  <w:vMerge w:val="continue"/>
                  <w:vAlign w:val="center"/>
                </w:tcPr>
                <w:p w14:paraId="608DEF16">
                  <w:pPr>
                    <w:autoSpaceDE w:val="0"/>
                    <w:autoSpaceDN w:val="0"/>
                    <w:jc w:val="center"/>
                    <w:rPr>
                      <w:color w:val="auto"/>
                      <w:szCs w:val="21"/>
                    </w:rPr>
                  </w:pPr>
                </w:p>
              </w:tc>
            </w:tr>
            <w:tr w14:paraId="3396E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restart"/>
                  <w:vAlign w:val="center"/>
                </w:tcPr>
                <w:p w14:paraId="159B31A6">
                  <w:pPr>
                    <w:autoSpaceDE w:val="0"/>
                    <w:autoSpaceDN w:val="0"/>
                    <w:jc w:val="center"/>
                    <w:rPr>
                      <w:color w:val="auto"/>
                      <w:szCs w:val="21"/>
                      <w:vertAlign w:val="subscript"/>
                    </w:rPr>
                  </w:pPr>
                  <w:r>
                    <w:rPr>
                      <w:color w:val="auto"/>
                      <w:szCs w:val="21"/>
                    </w:rPr>
                    <w:t>PM</w:t>
                  </w:r>
                  <w:r>
                    <w:rPr>
                      <w:color w:val="auto"/>
                      <w:szCs w:val="21"/>
                      <w:vertAlign w:val="subscript"/>
                    </w:rPr>
                    <w:t>10</w:t>
                  </w:r>
                </w:p>
              </w:tc>
              <w:tc>
                <w:tcPr>
                  <w:tcW w:w="1423" w:type="pct"/>
                  <w:vAlign w:val="center"/>
                </w:tcPr>
                <w:p w14:paraId="735F58E0">
                  <w:pPr>
                    <w:autoSpaceDE w:val="0"/>
                    <w:autoSpaceDN w:val="0"/>
                    <w:jc w:val="center"/>
                    <w:rPr>
                      <w:color w:val="auto"/>
                      <w:szCs w:val="21"/>
                    </w:rPr>
                  </w:pPr>
                  <w:r>
                    <w:rPr>
                      <w:rFonts w:hAnsi="宋体"/>
                      <w:color w:val="auto"/>
                      <w:szCs w:val="21"/>
                    </w:rPr>
                    <w:t>年平均</w:t>
                  </w:r>
                </w:p>
              </w:tc>
              <w:tc>
                <w:tcPr>
                  <w:tcW w:w="1351" w:type="pct"/>
                  <w:vAlign w:val="center"/>
                </w:tcPr>
                <w:p w14:paraId="57E8B3B1">
                  <w:pPr>
                    <w:autoSpaceDE w:val="0"/>
                    <w:autoSpaceDN w:val="0"/>
                    <w:jc w:val="center"/>
                    <w:rPr>
                      <w:color w:val="auto"/>
                      <w:szCs w:val="21"/>
                    </w:rPr>
                  </w:pPr>
                  <w:r>
                    <w:rPr>
                      <w:rFonts w:hint="eastAsia"/>
                      <w:color w:val="auto"/>
                      <w:szCs w:val="21"/>
                    </w:rPr>
                    <w:t>70</w:t>
                  </w:r>
                </w:p>
              </w:tc>
              <w:tc>
                <w:tcPr>
                  <w:tcW w:w="1432" w:type="pct"/>
                  <w:vMerge w:val="continue"/>
                  <w:vAlign w:val="center"/>
                </w:tcPr>
                <w:p w14:paraId="6AEC07DD">
                  <w:pPr>
                    <w:autoSpaceDE w:val="0"/>
                    <w:autoSpaceDN w:val="0"/>
                    <w:jc w:val="center"/>
                    <w:rPr>
                      <w:color w:val="auto"/>
                      <w:szCs w:val="21"/>
                    </w:rPr>
                  </w:pPr>
                </w:p>
              </w:tc>
            </w:tr>
            <w:tr w14:paraId="3E7B2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continue"/>
                  <w:vAlign w:val="center"/>
                </w:tcPr>
                <w:p w14:paraId="4F997DD0">
                  <w:pPr>
                    <w:autoSpaceDE w:val="0"/>
                    <w:autoSpaceDN w:val="0"/>
                    <w:jc w:val="center"/>
                    <w:rPr>
                      <w:color w:val="auto"/>
                      <w:szCs w:val="21"/>
                    </w:rPr>
                  </w:pPr>
                </w:p>
              </w:tc>
              <w:tc>
                <w:tcPr>
                  <w:tcW w:w="1423" w:type="pct"/>
                  <w:vAlign w:val="center"/>
                </w:tcPr>
                <w:p w14:paraId="28C6C01C">
                  <w:pPr>
                    <w:autoSpaceDE w:val="0"/>
                    <w:autoSpaceDN w:val="0"/>
                    <w:jc w:val="center"/>
                    <w:rPr>
                      <w:color w:val="auto"/>
                      <w:szCs w:val="21"/>
                    </w:rPr>
                  </w:pPr>
                  <w:r>
                    <w:rPr>
                      <w:rFonts w:hint="eastAsia" w:hAnsi="宋体"/>
                      <w:color w:val="auto"/>
                      <w:szCs w:val="21"/>
                    </w:rPr>
                    <w:t>24小时平均</w:t>
                  </w:r>
                </w:p>
              </w:tc>
              <w:tc>
                <w:tcPr>
                  <w:tcW w:w="1351" w:type="pct"/>
                  <w:vAlign w:val="center"/>
                </w:tcPr>
                <w:p w14:paraId="70D7CF34">
                  <w:pPr>
                    <w:autoSpaceDE w:val="0"/>
                    <w:autoSpaceDN w:val="0"/>
                    <w:jc w:val="center"/>
                    <w:rPr>
                      <w:color w:val="auto"/>
                      <w:szCs w:val="21"/>
                    </w:rPr>
                  </w:pPr>
                  <w:r>
                    <w:rPr>
                      <w:rFonts w:hint="eastAsia"/>
                      <w:color w:val="auto"/>
                      <w:szCs w:val="21"/>
                    </w:rPr>
                    <w:t>150</w:t>
                  </w:r>
                </w:p>
              </w:tc>
              <w:tc>
                <w:tcPr>
                  <w:tcW w:w="1432" w:type="pct"/>
                  <w:vMerge w:val="continue"/>
                  <w:vAlign w:val="center"/>
                </w:tcPr>
                <w:p w14:paraId="21697E8D">
                  <w:pPr>
                    <w:autoSpaceDE w:val="0"/>
                    <w:autoSpaceDN w:val="0"/>
                    <w:jc w:val="center"/>
                    <w:rPr>
                      <w:color w:val="auto"/>
                      <w:szCs w:val="21"/>
                    </w:rPr>
                  </w:pPr>
                </w:p>
              </w:tc>
            </w:tr>
            <w:tr w14:paraId="06D99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restart"/>
                  <w:vAlign w:val="center"/>
                </w:tcPr>
                <w:p w14:paraId="5017609D">
                  <w:pPr>
                    <w:autoSpaceDE w:val="0"/>
                    <w:autoSpaceDN w:val="0"/>
                    <w:jc w:val="center"/>
                    <w:rPr>
                      <w:color w:val="auto"/>
                      <w:szCs w:val="21"/>
                    </w:rPr>
                  </w:pPr>
                  <w:r>
                    <w:rPr>
                      <w:rFonts w:hint="eastAsia"/>
                      <w:color w:val="auto"/>
                      <w:szCs w:val="21"/>
                    </w:rPr>
                    <w:t>PM</w:t>
                  </w:r>
                  <w:r>
                    <w:rPr>
                      <w:rFonts w:hint="eastAsia"/>
                      <w:color w:val="auto"/>
                      <w:szCs w:val="21"/>
                      <w:vertAlign w:val="subscript"/>
                    </w:rPr>
                    <w:t>2.5</w:t>
                  </w:r>
                </w:p>
              </w:tc>
              <w:tc>
                <w:tcPr>
                  <w:tcW w:w="1423" w:type="pct"/>
                  <w:vAlign w:val="center"/>
                </w:tcPr>
                <w:p w14:paraId="66E8528D">
                  <w:pPr>
                    <w:autoSpaceDE w:val="0"/>
                    <w:autoSpaceDN w:val="0"/>
                    <w:jc w:val="center"/>
                    <w:rPr>
                      <w:rFonts w:hAnsi="宋体"/>
                      <w:color w:val="auto"/>
                      <w:szCs w:val="21"/>
                    </w:rPr>
                  </w:pPr>
                  <w:r>
                    <w:rPr>
                      <w:rFonts w:hint="eastAsia" w:hAnsi="宋体"/>
                      <w:color w:val="auto"/>
                      <w:szCs w:val="21"/>
                    </w:rPr>
                    <w:t>年平均</w:t>
                  </w:r>
                </w:p>
              </w:tc>
              <w:tc>
                <w:tcPr>
                  <w:tcW w:w="1351" w:type="pct"/>
                  <w:vAlign w:val="center"/>
                </w:tcPr>
                <w:p w14:paraId="5C7BF555">
                  <w:pPr>
                    <w:autoSpaceDE w:val="0"/>
                    <w:autoSpaceDN w:val="0"/>
                    <w:jc w:val="center"/>
                    <w:rPr>
                      <w:color w:val="auto"/>
                      <w:szCs w:val="21"/>
                    </w:rPr>
                  </w:pPr>
                  <w:r>
                    <w:rPr>
                      <w:rFonts w:hint="eastAsia"/>
                      <w:color w:val="auto"/>
                      <w:szCs w:val="21"/>
                    </w:rPr>
                    <w:t>35</w:t>
                  </w:r>
                </w:p>
              </w:tc>
              <w:tc>
                <w:tcPr>
                  <w:tcW w:w="1432" w:type="pct"/>
                  <w:vMerge w:val="continue"/>
                  <w:vAlign w:val="center"/>
                </w:tcPr>
                <w:p w14:paraId="343232F4">
                  <w:pPr>
                    <w:autoSpaceDE w:val="0"/>
                    <w:autoSpaceDN w:val="0"/>
                    <w:jc w:val="center"/>
                    <w:rPr>
                      <w:color w:val="auto"/>
                      <w:szCs w:val="21"/>
                    </w:rPr>
                  </w:pPr>
                </w:p>
              </w:tc>
            </w:tr>
            <w:tr w14:paraId="1CCF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continue"/>
                  <w:vAlign w:val="center"/>
                </w:tcPr>
                <w:p w14:paraId="0A253CF9">
                  <w:pPr>
                    <w:autoSpaceDE w:val="0"/>
                    <w:autoSpaceDN w:val="0"/>
                    <w:jc w:val="center"/>
                    <w:rPr>
                      <w:color w:val="auto"/>
                      <w:szCs w:val="21"/>
                    </w:rPr>
                  </w:pPr>
                </w:p>
              </w:tc>
              <w:tc>
                <w:tcPr>
                  <w:tcW w:w="1423" w:type="pct"/>
                  <w:vAlign w:val="center"/>
                </w:tcPr>
                <w:p w14:paraId="390ABA70">
                  <w:pPr>
                    <w:autoSpaceDE w:val="0"/>
                    <w:autoSpaceDN w:val="0"/>
                    <w:jc w:val="center"/>
                    <w:rPr>
                      <w:rFonts w:hAnsi="宋体"/>
                      <w:color w:val="auto"/>
                      <w:szCs w:val="21"/>
                    </w:rPr>
                  </w:pPr>
                  <w:r>
                    <w:rPr>
                      <w:rFonts w:hint="eastAsia" w:hAnsi="宋体"/>
                      <w:color w:val="auto"/>
                      <w:szCs w:val="21"/>
                    </w:rPr>
                    <w:t>24小时平均</w:t>
                  </w:r>
                </w:p>
              </w:tc>
              <w:tc>
                <w:tcPr>
                  <w:tcW w:w="1351" w:type="pct"/>
                  <w:vAlign w:val="center"/>
                </w:tcPr>
                <w:p w14:paraId="22E7EA4B">
                  <w:pPr>
                    <w:autoSpaceDE w:val="0"/>
                    <w:autoSpaceDN w:val="0"/>
                    <w:jc w:val="center"/>
                    <w:rPr>
                      <w:color w:val="auto"/>
                      <w:szCs w:val="21"/>
                    </w:rPr>
                  </w:pPr>
                  <w:r>
                    <w:rPr>
                      <w:rFonts w:hint="eastAsia"/>
                      <w:color w:val="auto"/>
                      <w:szCs w:val="21"/>
                    </w:rPr>
                    <w:t>75</w:t>
                  </w:r>
                </w:p>
              </w:tc>
              <w:tc>
                <w:tcPr>
                  <w:tcW w:w="1432" w:type="pct"/>
                  <w:vMerge w:val="continue"/>
                  <w:vAlign w:val="center"/>
                </w:tcPr>
                <w:p w14:paraId="1FD46572">
                  <w:pPr>
                    <w:autoSpaceDE w:val="0"/>
                    <w:autoSpaceDN w:val="0"/>
                    <w:jc w:val="center"/>
                    <w:rPr>
                      <w:color w:val="auto"/>
                      <w:szCs w:val="21"/>
                    </w:rPr>
                  </w:pPr>
                </w:p>
              </w:tc>
            </w:tr>
            <w:tr w14:paraId="65C5B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restart"/>
                  <w:vAlign w:val="center"/>
                </w:tcPr>
                <w:p w14:paraId="1BF535EE">
                  <w:pPr>
                    <w:autoSpaceDE w:val="0"/>
                    <w:autoSpaceDN w:val="0"/>
                    <w:jc w:val="center"/>
                    <w:rPr>
                      <w:color w:val="auto"/>
                      <w:szCs w:val="21"/>
                    </w:rPr>
                  </w:pPr>
                  <w:r>
                    <w:rPr>
                      <w:rFonts w:hint="eastAsia"/>
                      <w:color w:val="auto"/>
                      <w:szCs w:val="21"/>
                    </w:rPr>
                    <w:t>CO</w:t>
                  </w:r>
                </w:p>
              </w:tc>
              <w:tc>
                <w:tcPr>
                  <w:tcW w:w="1423" w:type="pct"/>
                  <w:vAlign w:val="center"/>
                </w:tcPr>
                <w:p w14:paraId="510C31F4">
                  <w:pPr>
                    <w:autoSpaceDE w:val="0"/>
                    <w:autoSpaceDN w:val="0"/>
                    <w:jc w:val="center"/>
                    <w:rPr>
                      <w:rFonts w:hAnsi="宋体"/>
                      <w:color w:val="auto"/>
                      <w:szCs w:val="21"/>
                    </w:rPr>
                  </w:pPr>
                  <w:r>
                    <w:rPr>
                      <w:rFonts w:hint="eastAsia" w:hAnsi="宋体"/>
                      <w:color w:val="auto"/>
                      <w:szCs w:val="21"/>
                    </w:rPr>
                    <w:t>24小时平均</w:t>
                  </w:r>
                </w:p>
              </w:tc>
              <w:tc>
                <w:tcPr>
                  <w:tcW w:w="1351" w:type="pct"/>
                  <w:vAlign w:val="center"/>
                </w:tcPr>
                <w:p w14:paraId="5F393AE8">
                  <w:pPr>
                    <w:autoSpaceDE w:val="0"/>
                    <w:autoSpaceDN w:val="0"/>
                    <w:jc w:val="center"/>
                    <w:rPr>
                      <w:color w:val="auto"/>
                      <w:szCs w:val="21"/>
                    </w:rPr>
                  </w:pPr>
                  <w:r>
                    <w:rPr>
                      <w:rFonts w:hint="eastAsia"/>
                      <w:color w:val="auto"/>
                      <w:szCs w:val="21"/>
                    </w:rPr>
                    <w:t>4000</w:t>
                  </w:r>
                </w:p>
              </w:tc>
              <w:tc>
                <w:tcPr>
                  <w:tcW w:w="1432" w:type="pct"/>
                  <w:vMerge w:val="continue"/>
                  <w:vAlign w:val="center"/>
                </w:tcPr>
                <w:p w14:paraId="4421CB13">
                  <w:pPr>
                    <w:autoSpaceDE w:val="0"/>
                    <w:autoSpaceDN w:val="0"/>
                    <w:jc w:val="center"/>
                    <w:rPr>
                      <w:color w:val="auto"/>
                      <w:szCs w:val="21"/>
                    </w:rPr>
                  </w:pPr>
                </w:p>
              </w:tc>
            </w:tr>
            <w:tr w14:paraId="5451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continue"/>
                  <w:vAlign w:val="center"/>
                </w:tcPr>
                <w:p w14:paraId="067F1512">
                  <w:pPr>
                    <w:autoSpaceDE w:val="0"/>
                    <w:autoSpaceDN w:val="0"/>
                    <w:jc w:val="center"/>
                    <w:rPr>
                      <w:color w:val="auto"/>
                      <w:szCs w:val="21"/>
                    </w:rPr>
                  </w:pPr>
                </w:p>
              </w:tc>
              <w:tc>
                <w:tcPr>
                  <w:tcW w:w="1423" w:type="pct"/>
                  <w:vAlign w:val="center"/>
                </w:tcPr>
                <w:p w14:paraId="7F70102F">
                  <w:pPr>
                    <w:autoSpaceDE w:val="0"/>
                    <w:autoSpaceDN w:val="0"/>
                    <w:jc w:val="center"/>
                    <w:rPr>
                      <w:rFonts w:hAnsi="宋体"/>
                      <w:color w:val="auto"/>
                      <w:szCs w:val="21"/>
                    </w:rPr>
                  </w:pPr>
                  <w:r>
                    <w:rPr>
                      <w:rFonts w:hint="eastAsia" w:hAnsi="宋体"/>
                      <w:color w:val="auto"/>
                      <w:szCs w:val="21"/>
                    </w:rPr>
                    <w:t>1小时平均</w:t>
                  </w:r>
                </w:p>
              </w:tc>
              <w:tc>
                <w:tcPr>
                  <w:tcW w:w="1351" w:type="pct"/>
                  <w:vAlign w:val="center"/>
                </w:tcPr>
                <w:p w14:paraId="549F6DAB">
                  <w:pPr>
                    <w:autoSpaceDE w:val="0"/>
                    <w:autoSpaceDN w:val="0"/>
                    <w:jc w:val="center"/>
                    <w:rPr>
                      <w:color w:val="auto"/>
                      <w:szCs w:val="21"/>
                    </w:rPr>
                  </w:pPr>
                  <w:r>
                    <w:rPr>
                      <w:rFonts w:hint="eastAsia"/>
                      <w:color w:val="auto"/>
                      <w:szCs w:val="21"/>
                    </w:rPr>
                    <w:t>10000</w:t>
                  </w:r>
                </w:p>
              </w:tc>
              <w:tc>
                <w:tcPr>
                  <w:tcW w:w="1432" w:type="pct"/>
                  <w:vMerge w:val="continue"/>
                  <w:vAlign w:val="center"/>
                </w:tcPr>
                <w:p w14:paraId="1B7BC1D6">
                  <w:pPr>
                    <w:autoSpaceDE w:val="0"/>
                    <w:autoSpaceDN w:val="0"/>
                    <w:jc w:val="center"/>
                    <w:rPr>
                      <w:color w:val="auto"/>
                      <w:szCs w:val="21"/>
                    </w:rPr>
                  </w:pPr>
                </w:p>
              </w:tc>
            </w:tr>
            <w:tr w14:paraId="44082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restart"/>
                  <w:vAlign w:val="center"/>
                </w:tcPr>
                <w:p w14:paraId="5E99E731">
                  <w:pPr>
                    <w:autoSpaceDE w:val="0"/>
                    <w:autoSpaceDN w:val="0"/>
                    <w:jc w:val="center"/>
                    <w:rPr>
                      <w:color w:val="auto"/>
                      <w:szCs w:val="21"/>
                    </w:rPr>
                  </w:pPr>
                  <w:r>
                    <w:rPr>
                      <w:rFonts w:hint="eastAsia"/>
                      <w:color w:val="auto"/>
                      <w:szCs w:val="21"/>
                    </w:rPr>
                    <w:t>O</w:t>
                  </w:r>
                  <w:r>
                    <w:rPr>
                      <w:rFonts w:hint="eastAsia"/>
                      <w:color w:val="auto"/>
                      <w:szCs w:val="21"/>
                      <w:vertAlign w:val="subscript"/>
                    </w:rPr>
                    <w:t>3</w:t>
                  </w:r>
                </w:p>
              </w:tc>
              <w:tc>
                <w:tcPr>
                  <w:tcW w:w="1423" w:type="pct"/>
                  <w:vAlign w:val="center"/>
                </w:tcPr>
                <w:p w14:paraId="030F9610">
                  <w:pPr>
                    <w:autoSpaceDE w:val="0"/>
                    <w:autoSpaceDN w:val="0"/>
                    <w:jc w:val="center"/>
                    <w:rPr>
                      <w:rFonts w:hAnsi="宋体"/>
                      <w:color w:val="auto"/>
                      <w:szCs w:val="21"/>
                    </w:rPr>
                  </w:pPr>
                  <w:r>
                    <w:rPr>
                      <w:rFonts w:hint="eastAsia" w:hAnsi="宋体"/>
                      <w:color w:val="auto"/>
                      <w:szCs w:val="21"/>
                    </w:rPr>
                    <w:t>日最大8小时平均</w:t>
                  </w:r>
                </w:p>
              </w:tc>
              <w:tc>
                <w:tcPr>
                  <w:tcW w:w="1351" w:type="pct"/>
                  <w:vAlign w:val="center"/>
                </w:tcPr>
                <w:p w14:paraId="72007674">
                  <w:pPr>
                    <w:autoSpaceDE w:val="0"/>
                    <w:autoSpaceDN w:val="0"/>
                    <w:jc w:val="center"/>
                    <w:rPr>
                      <w:color w:val="auto"/>
                      <w:szCs w:val="21"/>
                    </w:rPr>
                  </w:pPr>
                  <w:r>
                    <w:rPr>
                      <w:rFonts w:hint="eastAsia"/>
                      <w:color w:val="auto"/>
                      <w:szCs w:val="21"/>
                    </w:rPr>
                    <w:t>160</w:t>
                  </w:r>
                </w:p>
              </w:tc>
              <w:tc>
                <w:tcPr>
                  <w:tcW w:w="1432" w:type="pct"/>
                  <w:vMerge w:val="continue"/>
                  <w:vAlign w:val="center"/>
                </w:tcPr>
                <w:p w14:paraId="36C4AEB8">
                  <w:pPr>
                    <w:autoSpaceDE w:val="0"/>
                    <w:autoSpaceDN w:val="0"/>
                    <w:jc w:val="center"/>
                    <w:rPr>
                      <w:color w:val="auto"/>
                      <w:szCs w:val="21"/>
                    </w:rPr>
                  </w:pPr>
                </w:p>
              </w:tc>
            </w:tr>
            <w:tr w14:paraId="2451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continue"/>
                  <w:vAlign w:val="center"/>
                </w:tcPr>
                <w:p w14:paraId="70EFF6E0">
                  <w:pPr>
                    <w:autoSpaceDE w:val="0"/>
                    <w:autoSpaceDN w:val="0"/>
                    <w:jc w:val="center"/>
                    <w:rPr>
                      <w:color w:val="auto"/>
                      <w:szCs w:val="21"/>
                    </w:rPr>
                  </w:pPr>
                </w:p>
              </w:tc>
              <w:tc>
                <w:tcPr>
                  <w:tcW w:w="1423" w:type="pct"/>
                  <w:vAlign w:val="center"/>
                </w:tcPr>
                <w:p w14:paraId="430E4CB9">
                  <w:pPr>
                    <w:autoSpaceDE w:val="0"/>
                    <w:autoSpaceDN w:val="0"/>
                    <w:jc w:val="center"/>
                    <w:rPr>
                      <w:rFonts w:hAnsi="宋体"/>
                      <w:color w:val="auto"/>
                      <w:szCs w:val="21"/>
                    </w:rPr>
                  </w:pPr>
                  <w:r>
                    <w:rPr>
                      <w:rFonts w:hint="eastAsia" w:hAnsi="宋体"/>
                      <w:color w:val="auto"/>
                      <w:szCs w:val="21"/>
                    </w:rPr>
                    <w:t>1小时平均</w:t>
                  </w:r>
                </w:p>
              </w:tc>
              <w:tc>
                <w:tcPr>
                  <w:tcW w:w="1351" w:type="pct"/>
                  <w:vAlign w:val="center"/>
                </w:tcPr>
                <w:p w14:paraId="401B8130">
                  <w:pPr>
                    <w:autoSpaceDE w:val="0"/>
                    <w:autoSpaceDN w:val="0"/>
                    <w:jc w:val="center"/>
                    <w:rPr>
                      <w:color w:val="auto"/>
                      <w:szCs w:val="21"/>
                    </w:rPr>
                  </w:pPr>
                  <w:r>
                    <w:rPr>
                      <w:rFonts w:hint="eastAsia"/>
                      <w:color w:val="auto"/>
                      <w:szCs w:val="21"/>
                    </w:rPr>
                    <w:t>200</w:t>
                  </w:r>
                </w:p>
              </w:tc>
              <w:tc>
                <w:tcPr>
                  <w:tcW w:w="1432" w:type="pct"/>
                  <w:vMerge w:val="continue"/>
                  <w:vAlign w:val="center"/>
                </w:tcPr>
                <w:p w14:paraId="47A0CDFB">
                  <w:pPr>
                    <w:autoSpaceDE w:val="0"/>
                    <w:autoSpaceDN w:val="0"/>
                    <w:jc w:val="center"/>
                    <w:rPr>
                      <w:color w:val="auto"/>
                      <w:szCs w:val="21"/>
                    </w:rPr>
                  </w:pPr>
                </w:p>
              </w:tc>
            </w:tr>
            <w:tr w14:paraId="5BAE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restart"/>
                  <w:vAlign w:val="center"/>
                </w:tcPr>
                <w:p w14:paraId="2972B440">
                  <w:pPr>
                    <w:autoSpaceDE w:val="0"/>
                    <w:autoSpaceDN w:val="0"/>
                    <w:jc w:val="center"/>
                    <w:rPr>
                      <w:color w:val="auto"/>
                      <w:szCs w:val="21"/>
                    </w:rPr>
                  </w:pPr>
                  <w:r>
                    <w:rPr>
                      <w:color w:val="auto"/>
                      <w:szCs w:val="21"/>
                    </w:rPr>
                    <w:t>TSP</w:t>
                  </w:r>
                </w:p>
              </w:tc>
              <w:tc>
                <w:tcPr>
                  <w:tcW w:w="1423" w:type="pct"/>
                  <w:vAlign w:val="center"/>
                </w:tcPr>
                <w:p w14:paraId="5EEE2E08">
                  <w:pPr>
                    <w:autoSpaceDE w:val="0"/>
                    <w:autoSpaceDN w:val="0"/>
                    <w:jc w:val="center"/>
                    <w:rPr>
                      <w:color w:val="auto"/>
                      <w:szCs w:val="21"/>
                    </w:rPr>
                  </w:pPr>
                  <w:r>
                    <w:rPr>
                      <w:color w:val="auto"/>
                      <w:szCs w:val="21"/>
                    </w:rPr>
                    <w:t>年平均</w:t>
                  </w:r>
                </w:p>
              </w:tc>
              <w:tc>
                <w:tcPr>
                  <w:tcW w:w="1351" w:type="pct"/>
                  <w:vAlign w:val="center"/>
                </w:tcPr>
                <w:p w14:paraId="020C0C5A">
                  <w:pPr>
                    <w:autoSpaceDE w:val="0"/>
                    <w:autoSpaceDN w:val="0"/>
                    <w:jc w:val="center"/>
                    <w:rPr>
                      <w:color w:val="auto"/>
                      <w:szCs w:val="21"/>
                    </w:rPr>
                  </w:pPr>
                  <w:r>
                    <w:rPr>
                      <w:color w:val="auto"/>
                      <w:szCs w:val="21"/>
                    </w:rPr>
                    <w:t>200</w:t>
                  </w:r>
                </w:p>
              </w:tc>
              <w:tc>
                <w:tcPr>
                  <w:tcW w:w="1432" w:type="pct"/>
                  <w:vMerge w:val="continue"/>
                  <w:vAlign w:val="center"/>
                </w:tcPr>
                <w:p w14:paraId="5744BF17">
                  <w:pPr>
                    <w:autoSpaceDE w:val="0"/>
                    <w:autoSpaceDN w:val="0"/>
                    <w:jc w:val="center"/>
                    <w:rPr>
                      <w:color w:val="auto"/>
                      <w:szCs w:val="21"/>
                    </w:rPr>
                  </w:pPr>
                </w:p>
              </w:tc>
            </w:tr>
            <w:tr w14:paraId="6E6E7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3" w:type="dxa"/>
                  <w:bottom w:w="0" w:type="dxa"/>
                  <w:right w:w="113" w:type="dxa"/>
                </w:tblCellMar>
              </w:tblPrEx>
              <w:trPr>
                <w:cantSplit/>
                <w:trHeight w:val="397" w:hRule="atLeast"/>
                <w:jc w:val="center"/>
              </w:trPr>
              <w:tc>
                <w:tcPr>
                  <w:tcW w:w="791" w:type="pct"/>
                  <w:vMerge w:val="continue"/>
                  <w:vAlign w:val="center"/>
                </w:tcPr>
                <w:p w14:paraId="604F3DAD">
                  <w:pPr>
                    <w:autoSpaceDE w:val="0"/>
                    <w:autoSpaceDN w:val="0"/>
                    <w:jc w:val="center"/>
                    <w:rPr>
                      <w:color w:val="auto"/>
                      <w:szCs w:val="21"/>
                    </w:rPr>
                  </w:pPr>
                </w:p>
              </w:tc>
              <w:tc>
                <w:tcPr>
                  <w:tcW w:w="1423" w:type="pct"/>
                  <w:vAlign w:val="center"/>
                </w:tcPr>
                <w:p w14:paraId="585FD9BD">
                  <w:pPr>
                    <w:autoSpaceDE w:val="0"/>
                    <w:autoSpaceDN w:val="0"/>
                    <w:jc w:val="center"/>
                    <w:rPr>
                      <w:color w:val="auto"/>
                      <w:szCs w:val="21"/>
                    </w:rPr>
                  </w:pPr>
                  <w:r>
                    <w:rPr>
                      <w:color w:val="auto"/>
                      <w:szCs w:val="21"/>
                    </w:rPr>
                    <w:t>24小时平均</w:t>
                  </w:r>
                </w:p>
              </w:tc>
              <w:tc>
                <w:tcPr>
                  <w:tcW w:w="1351" w:type="pct"/>
                  <w:vAlign w:val="center"/>
                </w:tcPr>
                <w:p w14:paraId="60052379">
                  <w:pPr>
                    <w:autoSpaceDE w:val="0"/>
                    <w:autoSpaceDN w:val="0"/>
                    <w:jc w:val="center"/>
                    <w:rPr>
                      <w:color w:val="auto"/>
                      <w:szCs w:val="21"/>
                    </w:rPr>
                  </w:pPr>
                  <w:r>
                    <w:rPr>
                      <w:color w:val="auto"/>
                      <w:szCs w:val="21"/>
                    </w:rPr>
                    <w:t>300</w:t>
                  </w:r>
                </w:p>
              </w:tc>
              <w:tc>
                <w:tcPr>
                  <w:tcW w:w="1432" w:type="pct"/>
                  <w:vMerge w:val="continue"/>
                  <w:vAlign w:val="center"/>
                </w:tcPr>
                <w:p w14:paraId="5C6F1478">
                  <w:pPr>
                    <w:autoSpaceDE w:val="0"/>
                    <w:autoSpaceDN w:val="0"/>
                    <w:jc w:val="center"/>
                    <w:rPr>
                      <w:color w:val="auto"/>
                      <w:szCs w:val="21"/>
                    </w:rPr>
                  </w:pPr>
                </w:p>
              </w:tc>
            </w:tr>
          </w:tbl>
          <w:p w14:paraId="756E8CB6">
            <w:pPr>
              <w:spacing w:line="360" w:lineRule="auto"/>
              <w:ind w:firstLine="480" w:firstLineChars="200"/>
              <w:rPr>
                <w:color w:val="auto"/>
                <w:sz w:val="24"/>
              </w:rPr>
            </w:pPr>
            <w:r>
              <w:rPr>
                <w:rFonts w:hint="eastAsia"/>
                <w:color w:val="auto"/>
                <w:sz w:val="24"/>
              </w:rPr>
              <w:t>（2）区域环境质量达标情况</w:t>
            </w:r>
          </w:p>
          <w:p w14:paraId="67F0DA10">
            <w:pPr>
              <w:spacing w:line="360" w:lineRule="auto"/>
              <w:ind w:firstLine="480" w:firstLineChars="200"/>
              <w:rPr>
                <w:color w:val="auto"/>
                <w:sz w:val="24"/>
              </w:rPr>
            </w:pPr>
            <w:r>
              <w:rPr>
                <w:color w:val="auto"/>
                <w:sz w:val="24"/>
              </w:rPr>
              <w:t>项目所在区域环境空气质量属于二类功能区。根据《</w:t>
            </w:r>
            <w:r>
              <w:rPr>
                <w:rFonts w:hint="eastAsia"/>
                <w:color w:val="auto"/>
                <w:sz w:val="24"/>
                <w:lang w:val="en-US" w:eastAsia="zh-CN"/>
              </w:rPr>
              <w:t>2024年</w:t>
            </w:r>
            <w:r>
              <w:rPr>
                <w:rFonts w:hint="eastAsia"/>
                <w:color w:val="auto"/>
                <w:sz w:val="24"/>
                <w:lang w:eastAsia="zh-CN"/>
              </w:rPr>
              <w:t>淮南</w:t>
            </w:r>
            <w:r>
              <w:rPr>
                <w:color w:val="auto"/>
                <w:sz w:val="24"/>
              </w:rPr>
              <w:t>市环境质量概要》，</w:t>
            </w:r>
            <w:r>
              <w:rPr>
                <w:rFonts w:hint="eastAsia"/>
                <w:color w:val="auto"/>
                <w:sz w:val="24"/>
                <w:lang w:val="en-US" w:eastAsia="zh-CN"/>
              </w:rPr>
              <w:t>淮南市</w:t>
            </w:r>
            <w:r>
              <w:rPr>
                <w:color w:val="auto"/>
                <w:sz w:val="24"/>
              </w:rPr>
              <w:t>环境空气质量情况见下表</w:t>
            </w:r>
            <w:r>
              <w:rPr>
                <w:rStyle w:val="138"/>
                <w:rFonts w:hint="eastAsia" w:ascii="Times New Roman" w:hAnsi="Times New Roman"/>
                <w:color w:val="auto"/>
              </w:rPr>
              <w:t>3</w:t>
            </w:r>
            <w:r>
              <w:rPr>
                <w:rStyle w:val="138"/>
                <w:rFonts w:ascii="Times New Roman" w:hAnsi="Times New Roman"/>
                <w:color w:val="auto"/>
              </w:rPr>
              <w:t>-2</w:t>
            </w:r>
            <w:r>
              <w:rPr>
                <w:rStyle w:val="130"/>
                <w:rFonts w:hint="default" w:ascii="Times New Roman" w:hAnsi="Times New Roman"/>
                <w:color w:val="auto"/>
              </w:rPr>
              <w:t>。</w:t>
            </w:r>
          </w:p>
          <w:p w14:paraId="114DDEA1">
            <w:pPr>
              <w:pStyle w:val="14"/>
              <w:widowControl w:val="0"/>
              <w:spacing w:before="0" w:after="0" w:line="360" w:lineRule="auto"/>
              <w:ind w:right="0"/>
              <w:jc w:val="center"/>
              <w:textAlignment w:val="center"/>
              <w:rPr>
                <w:b/>
                <w:bCs/>
                <w:color w:val="auto"/>
                <w:sz w:val="21"/>
                <w:szCs w:val="21"/>
              </w:rPr>
            </w:pPr>
            <w:r>
              <w:rPr>
                <w:b/>
                <w:bCs/>
                <w:color w:val="auto"/>
                <w:sz w:val="21"/>
                <w:szCs w:val="21"/>
              </w:rPr>
              <w:t>表</w:t>
            </w:r>
            <w:r>
              <w:rPr>
                <w:rFonts w:hint="eastAsia"/>
                <w:b/>
                <w:bCs/>
                <w:color w:val="auto"/>
                <w:sz w:val="21"/>
                <w:szCs w:val="21"/>
              </w:rPr>
              <w:t>3</w:t>
            </w:r>
            <w:r>
              <w:rPr>
                <w:b/>
                <w:bCs/>
                <w:color w:val="auto"/>
                <w:sz w:val="21"/>
                <w:szCs w:val="21"/>
              </w:rPr>
              <w:t xml:space="preserve">-2 </w:t>
            </w:r>
            <w:r>
              <w:rPr>
                <w:rFonts w:hint="eastAsia"/>
                <w:b/>
                <w:bCs/>
                <w:color w:val="auto"/>
                <w:sz w:val="21"/>
                <w:szCs w:val="21"/>
                <w:lang w:eastAsia="zh-CN"/>
              </w:rPr>
              <w:t>淮南</w:t>
            </w:r>
            <w:r>
              <w:rPr>
                <w:rFonts w:hint="eastAsia"/>
                <w:b/>
                <w:bCs/>
                <w:color w:val="auto"/>
                <w:sz w:val="21"/>
                <w:szCs w:val="21"/>
                <w:lang w:val="en-US" w:eastAsia="zh-CN"/>
              </w:rPr>
              <w:t>市</w:t>
            </w:r>
            <w:r>
              <w:rPr>
                <w:b/>
                <w:bCs/>
                <w:color w:val="auto"/>
                <w:sz w:val="21"/>
                <w:szCs w:val="21"/>
              </w:rPr>
              <w:t>环境空气质量现状评价表</w:t>
            </w:r>
          </w:p>
          <w:tbl>
            <w:tblPr>
              <w:tblStyle w:val="45"/>
              <w:tblW w:w="86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8"/>
              <w:gridCol w:w="2234"/>
              <w:gridCol w:w="1597"/>
              <w:gridCol w:w="1282"/>
              <w:gridCol w:w="1319"/>
              <w:gridCol w:w="1208"/>
            </w:tblGrid>
            <w:tr w14:paraId="62C37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38" w:type="dxa"/>
                  <w:noWrap w:val="0"/>
                  <w:vAlign w:val="center"/>
                </w:tcPr>
                <w:p w14:paraId="533D760C">
                  <w:pPr>
                    <w:pStyle w:val="14"/>
                    <w:spacing w:before="0" w:after="0"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w:t>
                  </w:r>
                </w:p>
              </w:tc>
              <w:tc>
                <w:tcPr>
                  <w:tcW w:w="2234" w:type="dxa"/>
                  <w:noWrap w:val="0"/>
                  <w:vAlign w:val="center"/>
                </w:tcPr>
                <w:p w14:paraId="5D0BB9C8">
                  <w:pPr>
                    <w:pStyle w:val="14"/>
                    <w:spacing w:before="0" w:after="0"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评价指标</w:t>
                  </w:r>
                </w:p>
              </w:tc>
              <w:tc>
                <w:tcPr>
                  <w:tcW w:w="1597" w:type="dxa"/>
                  <w:noWrap w:val="0"/>
                  <w:vAlign w:val="center"/>
                </w:tcPr>
                <w:p w14:paraId="581691B8">
                  <w:pPr>
                    <w:pStyle w:val="14"/>
                    <w:spacing w:before="0" w:after="0"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现状浓度</w:t>
                  </w:r>
                  <w:r>
                    <w:rPr>
                      <w:rFonts w:hint="default" w:ascii="Times New Roman" w:hAnsi="Times New Roman" w:cs="Times New Roman"/>
                      <w:b/>
                      <w:bCs/>
                      <w:color w:val="auto"/>
                      <w:sz w:val="21"/>
                      <w:szCs w:val="21"/>
                      <w:lang w:val="en-US" w:eastAsia="zh-CN"/>
                    </w:rPr>
                    <w:t>均值</w:t>
                  </w:r>
                  <w:r>
                    <w:rPr>
                      <w:rFonts w:hint="eastAsia" w:ascii="Times New Roman" w:hAnsi="Times New Roman" w:cs="Times New Roman"/>
                      <w:b/>
                      <w:bCs/>
                      <w:color w:val="auto"/>
                      <w:sz w:val="21"/>
                      <w:szCs w:val="21"/>
                      <w:lang w:val="en-US" w:eastAsia="zh-CN"/>
                    </w:rPr>
                    <w:t>（</w:t>
                  </w:r>
                  <w:r>
                    <w:rPr>
                      <w:rFonts w:hint="default" w:ascii="Times New Roman" w:hAnsi="Times New Roman" w:cs="Times New Roman"/>
                      <w:b/>
                      <w:bCs/>
                      <w:color w:val="auto"/>
                      <w:sz w:val="21"/>
                      <w:szCs w:val="21"/>
                    </w:rPr>
                    <w:t>μg/m</w:t>
                  </w:r>
                  <w:r>
                    <w:rPr>
                      <w:rFonts w:hint="default" w:ascii="Times New Roman" w:hAnsi="Times New Roman" w:cs="Times New Roman"/>
                      <w:b/>
                      <w:bCs/>
                      <w:color w:val="auto"/>
                      <w:sz w:val="21"/>
                      <w:szCs w:val="21"/>
                      <w:vertAlign w:val="superscript"/>
                    </w:rPr>
                    <w:t>3</w:t>
                  </w:r>
                  <w:r>
                    <w:rPr>
                      <w:rFonts w:hint="eastAsia" w:ascii="Times New Roman" w:hAnsi="Times New Roman" w:cs="Times New Roman"/>
                      <w:b/>
                      <w:bCs/>
                      <w:color w:val="auto"/>
                      <w:sz w:val="21"/>
                      <w:szCs w:val="21"/>
                      <w:vertAlign w:val="superscript"/>
                      <w:lang w:eastAsia="zh-CN"/>
                    </w:rPr>
                    <w:t>）</w:t>
                  </w:r>
                </w:p>
              </w:tc>
              <w:tc>
                <w:tcPr>
                  <w:tcW w:w="1282" w:type="dxa"/>
                  <w:noWrap w:val="0"/>
                  <w:vAlign w:val="center"/>
                </w:tcPr>
                <w:p w14:paraId="7043819D">
                  <w:pPr>
                    <w:pStyle w:val="14"/>
                    <w:spacing w:before="0" w:after="0"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标准值</w:t>
                  </w:r>
                  <w:r>
                    <w:rPr>
                      <w:rFonts w:hint="eastAsia" w:ascii="Times New Roman" w:hAnsi="Times New Roman" w:cs="Times New Roman"/>
                      <w:b/>
                      <w:bCs/>
                      <w:color w:val="auto"/>
                      <w:sz w:val="21"/>
                      <w:szCs w:val="21"/>
                      <w:lang w:eastAsia="zh-CN"/>
                    </w:rPr>
                    <w:t>（</w:t>
                  </w:r>
                  <w:r>
                    <w:rPr>
                      <w:rFonts w:hint="default" w:ascii="Times New Roman" w:hAnsi="Times New Roman" w:cs="Times New Roman"/>
                      <w:b/>
                      <w:bCs/>
                      <w:color w:val="auto"/>
                      <w:sz w:val="21"/>
                      <w:szCs w:val="21"/>
                    </w:rPr>
                    <w:t>μg/m</w:t>
                  </w:r>
                  <w:r>
                    <w:rPr>
                      <w:rFonts w:hint="default" w:ascii="Times New Roman" w:hAnsi="Times New Roman" w:cs="Times New Roman"/>
                      <w:b/>
                      <w:bCs/>
                      <w:color w:val="auto"/>
                      <w:sz w:val="21"/>
                      <w:szCs w:val="21"/>
                      <w:vertAlign w:val="superscript"/>
                    </w:rPr>
                    <w:t>3</w:t>
                  </w:r>
                  <w:r>
                    <w:rPr>
                      <w:rFonts w:hint="eastAsia" w:ascii="Times New Roman" w:hAnsi="Times New Roman" w:cs="Times New Roman"/>
                      <w:b/>
                      <w:bCs/>
                      <w:color w:val="auto"/>
                      <w:sz w:val="21"/>
                      <w:szCs w:val="21"/>
                      <w:vertAlign w:val="superscript"/>
                      <w:lang w:eastAsia="zh-CN"/>
                    </w:rPr>
                    <w:t>）</w:t>
                  </w:r>
                </w:p>
              </w:tc>
              <w:tc>
                <w:tcPr>
                  <w:tcW w:w="1319" w:type="dxa"/>
                  <w:noWrap w:val="0"/>
                  <w:vAlign w:val="center"/>
                </w:tcPr>
                <w:p w14:paraId="75A145B4">
                  <w:pPr>
                    <w:pStyle w:val="14"/>
                    <w:spacing w:before="0" w:after="0"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占标率（%）</w:t>
                  </w:r>
                </w:p>
              </w:tc>
              <w:tc>
                <w:tcPr>
                  <w:tcW w:w="1208" w:type="dxa"/>
                  <w:noWrap w:val="0"/>
                  <w:vAlign w:val="center"/>
                </w:tcPr>
                <w:p w14:paraId="6D52CB75">
                  <w:pPr>
                    <w:pStyle w:val="14"/>
                    <w:spacing w:before="0" w:after="0" w:line="240" w:lineRule="auto"/>
                    <w:ind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达标情况</w:t>
                  </w:r>
                </w:p>
              </w:tc>
            </w:tr>
            <w:tr w14:paraId="0B48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38" w:type="dxa"/>
                  <w:noWrap w:val="0"/>
                  <w:vAlign w:val="center"/>
                </w:tcPr>
                <w:p w14:paraId="21B55119">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2.5</w:t>
                  </w:r>
                </w:p>
              </w:tc>
              <w:tc>
                <w:tcPr>
                  <w:tcW w:w="2234" w:type="dxa"/>
                  <w:vMerge w:val="restart"/>
                  <w:noWrap w:val="0"/>
                  <w:vAlign w:val="center"/>
                </w:tcPr>
                <w:p w14:paraId="350738A2">
                  <w:pPr>
                    <w:pStyle w:val="14"/>
                    <w:spacing w:before="0" w:after="0" w:line="240" w:lineRule="auto"/>
                    <w:ind w:right="0"/>
                    <w:jc w:val="center"/>
                    <w:rPr>
                      <w:rFonts w:hint="default" w:ascii="Times New Roman" w:hAnsi="Times New Roman" w:cs="Times New Roman"/>
                      <w:color w:val="auto"/>
                    </w:rPr>
                  </w:pPr>
                  <w:r>
                    <w:rPr>
                      <w:rFonts w:hint="default" w:ascii="Times New Roman" w:hAnsi="Times New Roman" w:cs="Times New Roman"/>
                      <w:color w:val="auto"/>
                      <w:sz w:val="21"/>
                      <w:szCs w:val="21"/>
                    </w:rPr>
                    <w:t>年平均质量浓度</w:t>
                  </w:r>
                </w:p>
              </w:tc>
              <w:tc>
                <w:tcPr>
                  <w:tcW w:w="1597" w:type="dxa"/>
                  <w:noWrap w:val="0"/>
                  <w:vAlign w:val="center"/>
                </w:tcPr>
                <w:p w14:paraId="086433A6">
                  <w:pPr>
                    <w:pStyle w:val="14"/>
                    <w:spacing w:before="0" w:after="0" w:line="240" w:lineRule="auto"/>
                    <w:ind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40</w:t>
                  </w:r>
                </w:p>
              </w:tc>
              <w:tc>
                <w:tcPr>
                  <w:tcW w:w="1282" w:type="dxa"/>
                  <w:noWrap w:val="0"/>
                  <w:vAlign w:val="center"/>
                </w:tcPr>
                <w:p w14:paraId="18FA8DF9">
                  <w:pPr>
                    <w:pStyle w:val="14"/>
                    <w:spacing w:before="0" w:after="0" w:line="240" w:lineRule="auto"/>
                    <w:ind w:right="0" w:right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35</w:t>
                  </w:r>
                </w:p>
              </w:tc>
              <w:tc>
                <w:tcPr>
                  <w:tcW w:w="1319" w:type="dxa"/>
                  <w:noWrap w:val="0"/>
                  <w:vAlign w:val="center"/>
                </w:tcPr>
                <w:p w14:paraId="349CF154">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114.29</w:t>
                  </w:r>
                </w:p>
              </w:tc>
              <w:tc>
                <w:tcPr>
                  <w:tcW w:w="1208" w:type="dxa"/>
                  <w:noWrap w:val="0"/>
                  <w:vAlign w:val="center"/>
                </w:tcPr>
                <w:p w14:paraId="44B3EE25">
                  <w:pPr>
                    <w:pStyle w:val="14"/>
                    <w:spacing w:before="0" w:after="0" w:line="240" w:lineRule="auto"/>
                    <w:ind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不</w:t>
                  </w:r>
                  <w:r>
                    <w:rPr>
                      <w:rFonts w:hint="default" w:ascii="Times New Roman" w:hAnsi="Times New Roman" w:cs="Times New Roman"/>
                      <w:color w:val="auto"/>
                      <w:sz w:val="21"/>
                      <w:szCs w:val="21"/>
                    </w:rPr>
                    <w:t>达标</w:t>
                  </w:r>
                </w:p>
              </w:tc>
            </w:tr>
            <w:tr w14:paraId="71F62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38" w:type="dxa"/>
                  <w:noWrap w:val="0"/>
                  <w:vAlign w:val="center"/>
                </w:tcPr>
                <w:p w14:paraId="543E3218">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PM</w:t>
                  </w:r>
                  <w:r>
                    <w:rPr>
                      <w:rFonts w:hint="default" w:ascii="Times New Roman" w:hAnsi="Times New Roman" w:cs="Times New Roman"/>
                      <w:color w:val="auto"/>
                      <w:sz w:val="21"/>
                      <w:szCs w:val="21"/>
                      <w:vertAlign w:val="subscript"/>
                    </w:rPr>
                    <w:t>10</w:t>
                  </w:r>
                </w:p>
              </w:tc>
              <w:tc>
                <w:tcPr>
                  <w:tcW w:w="2234" w:type="dxa"/>
                  <w:vMerge w:val="continue"/>
                  <w:noWrap w:val="0"/>
                  <w:vAlign w:val="top"/>
                </w:tcPr>
                <w:p w14:paraId="046FFE34">
                  <w:pPr>
                    <w:rPr>
                      <w:rFonts w:hint="default" w:ascii="Times New Roman" w:hAnsi="Times New Roman" w:cs="Times New Roman"/>
                      <w:color w:val="auto"/>
                    </w:rPr>
                  </w:pPr>
                </w:p>
              </w:tc>
              <w:tc>
                <w:tcPr>
                  <w:tcW w:w="1597" w:type="dxa"/>
                  <w:noWrap w:val="0"/>
                  <w:vAlign w:val="center"/>
                </w:tcPr>
                <w:p w14:paraId="149A4D47">
                  <w:pPr>
                    <w:pStyle w:val="14"/>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kern w:val="0"/>
                      <w:sz w:val="21"/>
                      <w:szCs w:val="21"/>
                      <w:lang w:val="en-US" w:eastAsia="zh-CN" w:bidi="ar-SA"/>
                    </w:rPr>
                    <w:t>65</w:t>
                  </w:r>
                </w:p>
              </w:tc>
              <w:tc>
                <w:tcPr>
                  <w:tcW w:w="1282" w:type="dxa"/>
                  <w:noWrap w:val="0"/>
                  <w:vAlign w:val="center"/>
                </w:tcPr>
                <w:p w14:paraId="538F7277">
                  <w:pPr>
                    <w:pStyle w:val="14"/>
                    <w:spacing w:before="0" w:after="0" w:line="240" w:lineRule="auto"/>
                    <w:ind w:right="0" w:rightChars="0"/>
                    <w:jc w:val="center"/>
                    <w:rPr>
                      <w:rFonts w:hint="default" w:ascii="Times New Roman" w:hAnsi="Times New Roman" w:eastAsia="宋体" w:cs="Times New Roman"/>
                      <w:color w:val="auto"/>
                      <w:kern w:val="0"/>
                      <w:sz w:val="21"/>
                      <w:szCs w:val="21"/>
                      <w:lang w:val="en-US" w:eastAsia="zh-CN" w:bidi="ar-SA"/>
                    </w:rPr>
                  </w:pPr>
                  <w:r>
                    <w:rPr>
                      <w:rFonts w:hint="eastAsia" w:ascii="Times New Roman" w:hAnsi="Times New Roman" w:cs="Times New Roman"/>
                      <w:color w:val="auto"/>
                      <w:sz w:val="21"/>
                      <w:szCs w:val="21"/>
                      <w:lang w:val="en-US" w:eastAsia="zh-CN"/>
                    </w:rPr>
                    <w:t>70</w:t>
                  </w:r>
                </w:p>
              </w:tc>
              <w:tc>
                <w:tcPr>
                  <w:tcW w:w="1319" w:type="dxa"/>
                  <w:noWrap w:val="0"/>
                  <w:vAlign w:val="center"/>
                </w:tcPr>
                <w:p w14:paraId="245778AD">
                  <w:pPr>
                    <w:keepNext w:val="0"/>
                    <w:keepLines w:val="0"/>
                    <w:widowControl/>
                    <w:suppressLineNumbers w:val="0"/>
                    <w:jc w:val="center"/>
                    <w:textAlignment w:val="center"/>
                    <w:rPr>
                      <w:rFonts w:hint="default" w:ascii="Times New Roman" w:hAnsi="Times New Roman" w:cs="Times New Roman"/>
                      <w:color w:val="auto"/>
                      <w:kern w:val="2"/>
                      <w:sz w:val="21"/>
                      <w:szCs w:val="21"/>
                      <w:lang w:val="en-US" w:eastAsia="zh-CN" w:bidi="ar-SA"/>
                    </w:rPr>
                  </w:pPr>
                  <w:r>
                    <w:rPr>
                      <w:rFonts w:hint="eastAsia" w:cs="Times New Roman"/>
                      <w:i w:val="0"/>
                      <w:iCs w:val="0"/>
                      <w:color w:val="auto"/>
                      <w:kern w:val="0"/>
                      <w:sz w:val="21"/>
                      <w:szCs w:val="21"/>
                      <w:u w:val="none"/>
                      <w:lang w:val="en-US" w:eastAsia="zh-CN" w:bidi="ar"/>
                    </w:rPr>
                    <w:t>92.86</w:t>
                  </w:r>
                </w:p>
              </w:tc>
              <w:tc>
                <w:tcPr>
                  <w:tcW w:w="1208" w:type="dxa"/>
                  <w:noWrap w:val="0"/>
                  <w:vAlign w:val="center"/>
                </w:tcPr>
                <w:p w14:paraId="682E8C00">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380E0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38" w:type="dxa"/>
                  <w:noWrap w:val="0"/>
                  <w:vAlign w:val="center"/>
                </w:tcPr>
                <w:p w14:paraId="2FDC65AB">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SO</w:t>
                  </w:r>
                  <w:r>
                    <w:rPr>
                      <w:rFonts w:hint="default" w:ascii="Times New Roman" w:hAnsi="Times New Roman" w:cs="Times New Roman"/>
                      <w:color w:val="auto"/>
                      <w:sz w:val="21"/>
                      <w:szCs w:val="21"/>
                      <w:vertAlign w:val="subscript"/>
                    </w:rPr>
                    <w:t>2</w:t>
                  </w:r>
                </w:p>
              </w:tc>
              <w:tc>
                <w:tcPr>
                  <w:tcW w:w="2234" w:type="dxa"/>
                  <w:vMerge w:val="continue"/>
                  <w:noWrap w:val="0"/>
                  <w:vAlign w:val="top"/>
                </w:tcPr>
                <w:p w14:paraId="6EB4CE20">
                  <w:pPr>
                    <w:rPr>
                      <w:rFonts w:hint="default" w:ascii="Times New Roman" w:hAnsi="Times New Roman" w:cs="Times New Roman"/>
                      <w:color w:val="auto"/>
                    </w:rPr>
                  </w:pPr>
                </w:p>
              </w:tc>
              <w:tc>
                <w:tcPr>
                  <w:tcW w:w="1597" w:type="dxa"/>
                  <w:noWrap w:val="0"/>
                  <w:vAlign w:val="center"/>
                </w:tcPr>
                <w:p w14:paraId="61E69E2C">
                  <w:pPr>
                    <w:pStyle w:val="14"/>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7</w:t>
                  </w:r>
                </w:p>
              </w:tc>
              <w:tc>
                <w:tcPr>
                  <w:tcW w:w="1282" w:type="dxa"/>
                  <w:noWrap w:val="0"/>
                  <w:vAlign w:val="center"/>
                </w:tcPr>
                <w:p w14:paraId="4888495A">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60</w:t>
                  </w:r>
                </w:p>
              </w:tc>
              <w:tc>
                <w:tcPr>
                  <w:tcW w:w="1319" w:type="dxa"/>
                  <w:noWrap w:val="0"/>
                  <w:vAlign w:val="center"/>
                </w:tcPr>
                <w:p w14:paraId="2313744C">
                  <w:pPr>
                    <w:keepNext w:val="0"/>
                    <w:keepLines w:val="0"/>
                    <w:widowControl/>
                    <w:suppressLineNumbers w:val="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11.67</w:t>
                  </w:r>
                </w:p>
              </w:tc>
              <w:tc>
                <w:tcPr>
                  <w:tcW w:w="1208" w:type="dxa"/>
                  <w:noWrap w:val="0"/>
                  <w:vAlign w:val="center"/>
                </w:tcPr>
                <w:p w14:paraId="5D5AA3FF">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22B48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038" w:type="dxa"/>
                  <w:noWrap w:val="0"/>
                  <w:vAlign w:val="center"/>
                </w:tcPr>
                <w:p w14:paraId="3D3CC663">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NO</w:t>
                  </w:r>
                  <w:r>
                    <w:rPr>
                      <w:rFonts w:hint="default" w:ascii="Times New Roman" w:hAnsi="Times New Roman" w:cs="Times New Roman"/>
                      <w:color w:val="auto"/>
                      <w:sz w:val="21"/>
                      <w:szCs w:val="21"/>
                      <w:vertAlign w:val="subscript"/>
                    </w:rPr>
                    <w:t>2</w:t>
                  </w:r>
                </w:p>
              </w:tc>
              <w:tc>
                <w:tcPr>
                  <w:tcW w:w="2234" w:type="dxa"/>
                  <w:vMerge w:val="continue"/>
                  <w:noWrap w:val="0"/>
                  <w:vAlign w:val="top"/>
                </w:tcPr>
                <w:p w14:paraId="09F27BD8">
                  <w:pPr>
                    <w:rPr>
                      <w:rFonts w:hint="default" w:ascii="Times New Roman" w:hAnsi="Times New Roman" w:cs="Times New Roman"/>
                      <w:color w:val="auto"/>
                    </w:rPr>
                  </w:pPr>
                </w:p>
              </w:tc>
              <w:tc>
                <w:tcPr>
                  <w:tcW w:w="1597" w:type="dxa"/>
                  <w:noWrap w:val="0"/>
                  <w:vAlign w:val="center"/>
                </w:tcPr>
                <w:p w14:paraId="29DAEEB6">
                  <w:pPr>
                    <w:pStyle w:val="14"/>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19</w:t>
                  </w:r>
                </w:p>
              </w:tc>
              <w:tc>
                <w:tcPr>
                  <w:tcW w:w="1282" w:type="dxa"/>
                  <w:noWrap w:val="0"/>
                  <w:vAlign w:val="center"/>
                </w:tcPr>
                <w:p w14:paraId="0BB4F7A6">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w:t>
                  </w:r>
                </w:p>
              </w:tc>
              <w:tc>
                <w:tcPr>
                  <w:tcW w:w="1319" w:type="dxa"/>
                  <w:noWrap w:val="0"/>
                  <w:vAlign w:val="center"/>
                </w:tcPr>
                <w:p w14:paraId="548E26AE">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47.5</w:t>
                  </w:r>
                </w:p>
              </w:tc>
              <w:tc>
                <w:tcPr>
                  <w:tcW w:w="1208" w:type="dxa"/>
                  <w:noWrap w:val="0"/>
                  <w:vAlign w:val="center"/>
                </w:tcPr>
                <w:p w14:paraId="5AD01D66">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4EA86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1038" w:type="dxa"/>
                  <w:noWrap w:val="0"/>
                  <w:vAlign w:val="center"/>
                </w:tcPr>
                <w:p w14:paraId="7B5B9D4C">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w:t>
                  </w:r>
                </w:p>
              </w:tc>
              <w:tc>
                <w:tcPr>
                  <w:tcW w:w="2234" w:type="dxa"/>
                  <w:noWrap w:val="0"/>
                  <w:vAlign w:val="center"/>
                </w:tcPr>
                <w:p w14:paraId="5AA8E79C">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24小时平均第95百分位数</w:t>
                  </w:r>
                </w:p>
              </w:tc>
              <w:tc>
                <w:tcPr>
                  <w:tcW w:w="1597" w:type="dxa"/>
                  <w:noWrap w:val="0"/>
                  <w:vAlign w:val="center"/>
                </w:tcPr>
                <w:p w14:paraId="72B81B12">
                  <w:pPr>
                    <w:pStyle w:val="14"/>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800</w:t>
                  </w:r>
                </w:p>
              </w:tc>
              <w:tc>
                <w:tcPr>
                  <w:tcW w:w="1282" w:type="dxa"/>
                  <w:noWrap w:val="0"/>
                  <w:vAlign w:val="center"/>
                </w:tcPr>
                <w:p w14:paraId="2BD6FD08">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4000</w:t>
                  </w:r>
                </w:p>
              </w:tc>
              <w:tc>
                <w:tcPr>
                  <w:tcW w:w="1319" w:type="dxa"/>
                  <w:noWrap w:val="0"/>
                  <w:vAlign w:val="center"/>
                </w:tcPr>
                <w:p w14:paraId="261CFE73">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20</w:t>
                  </w:r>
                </w:p>
              </w:tc>
              <w:tc>
                <w:tcPr>
                  <w:tcW w:w="1208" w:type="dxa"/>
                  <w:noWrap w:val="0"/>
                  <w:vAlign w:val="center"/>
                </w:tcPr>
                <w:p w14:paraId="2A45361B">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r w14:paraId="17FBF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038" w:type="dxa"/>
                  <w:noWrap w:val="0"/>
                  <w:vAlign w:val="center"/>
                </w:tcPr>
                <w:p w14:paraId="255C7F0A">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O</w:t>
                  </w:r>
                  <w:r>
                    <w:rPr>
                      <w:rFonts w:hint="default" w:ascii="Times New Roman" w:hAnsi="Times New Roman" w:cs="Times New Roman"/>
                      <w:color w:val="auto"/>
                      <w:sz w:val="21"/>
                      <w:szCs w:val="21"/>
                      <w:vertAlign w:val="subscript"/>
                    </w:rPr>
                    <w:t>3</w:t>
                  </w:r>
                </w:p>
              </w:tc>
              <w:tc>
                <w:tcPr>
                  <w:tcW w:w="2234" w:type="dxa"/>
                  <w:noWrap w:val="0"/>
                  <w:vAlign w:val="center"/>
                </w:tcPr>
                <w:p w14:paraId="5C985A0F">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日最大8小时滑动平均值的第90分位数</w:t>
                  </w:r>
                </w:p>
              </w:tc>
              <w:tc>
                <w:tcPr>
                  <w:tcW w:w="1597" w:type="dxa"/>
                  <w:noWrap w:val="0"/>
                  <w:vAlign w:val="center"/>
                </w:tcPr>
                <w:p w14:paraId="06E5EEF1">
                  <w:pPr>
                    <w:pStyle w:val="14"/>
                    <w:spacing w:before="0" w:after="0" w:line="240" w:lineRule="auto"/>
                    <w:ind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160</w:t>
                  </w:r>
                </w:p>
              </w:tc>
              <w:tc>
                <w:tcPr>
                  <w:tcW w:w="1282" w:type="dxa"/>
                  <w:noWrap w:val="0"/>
                  <w:vAlign w:val="center"/>
                </w:tcPr>
                <w:p w14:paraId="594863AA">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160</w:t>
                  </w:r>
                </w:p>
              </w:tc>
              <w:tc>
                <w:tcPr>
                  <w:tcW w:w="1319" w:type="dxa"/>
                  <w:noWrap w:val="0"/>
                  <w:vAlign w:val="center"/>
                </w:tcPr>
                <w:p w14:paraId="66CF7239">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100</w:t>
                  </w:r>
                </w:p>
              </w:tc>
              <w:tc>
                <w:tcPr>
                  <w:tcW w:w="1208" w:type="dxa"/>
                  <w:noWrap w:val="0"/>
                  <w:vAlign w:val="center"/>
                </w:tcPr>
                <w:p w14:paraId="285D7CB4">
                  <w:pPr>
                    <w:pStyle w:val="14"/>
                    <w:spacing w:before="0" w:after="0" w:line="240" w:lineRule="auto"/>
                    <w:ind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达标</w:t>
                  </w:r>
                </w:p>
              </w:tc>
            </w:tr>
          </w:tbl>
          <w:p w14:paraId="3A6F9D0C">
            <w:pPr>
              <w:spacing w:line="360" w:lineRule="auto"/>
              <w:ind w:firstLine="480" w:firstLineChars="200"/>
              <w:jc w:val="left"/>
              <w:rPr>
                <w:b/>
                <w:bCs/>
                <w:color w:val="auto"/>
                <w:sz w:val="24"/>
              </w:rPr>
            </w:pPr>
            <w:r>
              <w:rPr>
                <w:color w:val="auto"/>
                <w:sz w:val="24"/>
              </w:rPr>
              <w:t>项目所在地</w:t>
            </w:r>
            <w:r>
              <w:rPr>
                <w:rFonts w:hint="eastAsia"/>
                <w:color w:val="auto"/>
                <w:sz w:val="24"/>
              </w:rPr>
              <w:t>除</w:t>
            </w:r>
            <w:r>
              <w:rPr>
                <w:rFonts w:hint="eastAsia"/>
                <w:color w:val="auto"/>
                <w:sz w:val="24"/>
                <w:lang w:val="en-US" w:eastAsia="zh-CN"/>
              </w:rPr>
              <w:t>PM</w:t>
            </w:r>
            <w:r>
              <w:rPr>
                <w:rFonts w:hint="eastAsia"/>
                <w:color w:val="auto"/>
                <w:sz w:val="24"/>
                <w:vertAlign w:val="subscript"/>
                <w:lang w:val="en-US" w:eastAsia="zh-CN"/>
              </w:rPr>
              <w:t>2.5</w:t>
            </w:r>
            <w:r>
              <w:rPr>
                <w:rFonts w:hint="eastAsia"/>
                <w:color w:val="auto"/>
                <w:sz w:val="24"/>
              </w:rPr>
              <w:t>年均浓度值超过空气环境质量二级标准</w:t>
            </w:r>
            <w:r>
              <w:rPr>
                <w:rFonts w:hint="eastAsia"/>
                <w:color w:val="auto"/>
                <w:sz w:val="24"/>
                <w:lang w:val="en-US" w:eastAsia="zh-CN"/>
              </w:rPr>
              <w:t>外，其余污染物浓度均值均</w:t>
            </w:r>
            <w:r>
              <w:rPr>
                <w:color w:val="auto"/>
                <w:sz w:val="24"/>
              </w:rPr>
              <w:t>满足《环境空气质量标准》（GB3095-2012）二级标准要求。因此，判定项目所在区域为不达标区。</w:t>
            </w:r>
          </w:p>
          <w:p w14:paraId="5B82B68B">
            <w:pPr>
              <w:spacing w:line="360" w:lineRule="auto"/>
              <w:ind w:firstLine="480" w:firstLineChars="200"/>
              <w:jc w:val="left"/>
              <w:rPr>
                <w:rFonts w:hint="eastAsia"/>
                <w:color w:val="auto"/>
                <w:sz w:val="24"/>
              </w:rPr>
            </w:pPr>
            <w:r>
              <w:rPr>
                <w:rFonts w:hint="eastAsia"/>
                <w:color w:val="auto"/>
                <w:sz w:val="24"/>
              </w:rPr>
              <w:t>为实现大气污染物减排，促进环境空气质量持续改善，</w:t>
            </w:r>
            <w:r>
              <w:rPr>
                <w:rFonts w:hint="eastAsia"/>
                <w:color w:val="auto"/>
                <w:sz w:val="24"/>
                <w:lang w:eastAsia="zh-CN"/>
              </w:rPr>
              <w:t>淮南</w:t>
            </w:r>
            <w:r>
              <w:rPr>
                <w:rFonts w:hint="eastAsia"/>
                <w:color w:val="auto"/>
                <w:sz w:val="24"/>
              </w:rPr>
              <w:t>市制定《</w:t>
            </w:r>
            <w:r>
              <w:rPr>
                <w:rFonts w:hint="eastAsia"/>
                <w:color w:val="auto"/>
                <w:sz w:val="24"/>
                <w:lang w:eastAsia="zh-CN"/>
              </w:rPr>
              <w:t>淮南</w:t>
            </w:r>
            <w:r>
              <w:rPr>
                <w:rFonts w:hint="eastAsia"/>
                <w:color w:val="auto"/>
                <w:sz w:val="24"/>
              </w:rPr>
              <w:t>市大气环境质量限期达标规划》，明确主要大气污染防治任务：</w:t>
            </w:r>
          </w:p>
          <w:p w14:paraId="6561D566">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①煤炭消费总量控制；</w:t>
            </w:r>
          </w:p>
          <w:p w14:paraId="065BE8E0">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②调整电力行业结构；</w:t>
            </w:r>
          </w:p>
          <w:p w14:paraId="4A4DC469">
            <w:pPr>
              <w:spacing w:line="360" w:lineRule="auto"/>
              <w:ind w:firstLine="480" w:firstLineChars="200"/>
              <w:jc w:val="left"/>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③大力推动车船结构升级；</w:t>
            </w:r>
          </w:p>
          <w:p w14:paraId="3792CF5E">
            <w:pPr>
              <w:spacing w:line="360" w:lineRule="auto"/>
              <w:ind w:firstLine="480" w:firstLineChars="200"/>
              <w:jc w:val="left"/>
              <w:rPr>
                <w:rFonts w:hint="eastAsia"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rPr>
              <w:t>③强化道路扬尘整治</w:t>
            </w:r>
            <w:r>
              <w:rPr>
                <w:rFonts w:hint="eastAsia" w:ascii="Times New Roman" w:hAnsi="Times New Roman" w:eastAsia="宋体" w:cs="Times New Roman"/>
                <w:color w:val="auto"/>
                <w:sz w:val="24"/>
                <w:lang w:eastAsia="zh-CN"/>
              </w:rPr>
              <w:t>。</w:t>
            </w:r>
          </w:p>
          <w:p w14:paraId="2504E606">
            <w:pPr>
              <w:spacing w:line="360" w:lineRule="auto"/>
              <w:ind w:firstLine="480" w:firstLineChars="200"/>
              <w:jc w:val="left"/>
              <w:rPr>
                <w:rFonts w:hint="eastAsia"/>
                <w:color w:val="auto"/>
                <w:sz w:val="24"/>
              </w:rPr>
            </w:pPr>
            <w:r>
              <w:rPr>
                <w:rFonts w:hint="eastAsia"/>
                <w:color w:val="auto"/>
                <w:sz w:val="24"/>
              </w:rPr>
              <w:t>通过采取上述措施，区域环境空气质量状况可得到持续改善。</w:t>
            </w:r>
          </w:p>
          <w:p w14:paraId="12F529F3">
            <w:pPr>
              <w:spacing w:line="360" w:lineRule="auto"/>
              <w:ind w:firstLine="480" w:firstLineChars="200"/>
              <w:rPr>
                <w:color w:val="auto"/>
                <w:sz w:val="24"/>
                <w:szCs w:val="24"/>
              </w:rPr>
            </w:pPr>
            <w:r>
              <w:rPr>
                <w:rFonts w:hint="eastAsia"/>
                <w:color w:val="auto"/>
                <w:sz w:val="24"/>
                <w:szCs w:val="24"/>
              </w:rPr>
              <w:t>（2）其他污染物环境质量现状</w:t>
            </w:r>
          </w:p>
          <w:p w14:paraId="2B6E863C">
            <w:pPr>
              <w:pStyle w:val="40"/>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firstLine="480" w:firstLineChars="200"/>
              <w:textAlignment w:val="auto"/>
              <w:outlineLvl w:val="9"/>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lang w:val="en-US" w:eastAsia="zh-CN"/>
              </w:rPr>
              <w:t>项目特征污染物为</w:t>
            </w:r>
            <w:r>
              <w:rPr>
                <w:rFonts w:hint="eastAsia" w:ascii="Times New Roman" w:hAnsi="Times New Roman" w:cs="Times New Roman"/>
                <w:color w:val="auto"/>
                <w:sz w:val="24"/>
                <w:szCs w:val="24"/>
                <w:lang w:val="en-US" w:eastAsia="zh-CN"/>
              </w:rPr>
              <w:t>TSP</w:t>
            </w:r>
            <w:r>
              <w:rPr>
                <w:rFonts w:hint="default" w:ascii="Times New Roman" w:hAnsi="Times New Roman" w:eastAsia="宋体" w:cs="Times New Roman"/>
                <w:color w:val="auto"/>
                <w:sz w:val="24"/>
                <w:szCs w:val="24"/>
                <w:lang w:val="en-US" w:eastAsia="zh-CN"/>
              </w:rPr>
              <w:t>，根据《建设项目环境影响报告表编制技术指南（污 染影响类）（试行）》，排放国家、地方环境空气质量标准中有标准限值要求的特征污</w:t>
            </w:r>
            <w:r>
              <w:rPr>
                <w:rFonts w:hint="default" w:ascii="Times New Roman" w:hAnsi="Times New Roman" w:eastAsia="宋体" w:cs="Times New Roman"/>
                <w:color w:val="auto"/>
                <w:sz w:val="24"/>
                <w:szCs w:val="24"/>
              </w:rPr>
              <w:t>染时，引用建设项目周边5千米范围内近3年的现有监测数据。本项目引用《安徽博普纳米新材料有限公司年产6000立方陶粒纳米新材料、年产5000立方特种离子交换树脂新材料、年产3300吨纳米孔吸附树脂项目（一期）环境影响评价报告书》中环境空气现状监测数据，安徽博普纳米新材料有限公司项目距离本项目</w:t>
            </w:r>
            <w:r>
              <w:rPr>
                <w:rFonts w:hint="eastAsia" w:ascii="Times New Roman" w:hAnsi="Times New Roman" w:eastAsia="宋体" w:cs="Times New Roman"/>
                <w:color w:val="auto"/>
                <w:sz w:val="24"/>
                <w:szCs w:val="24"/>
                <w:lang w:val="en-US" w:eastAsia="zh-CN"/>
              </w:rPr>
              <w:t>3521</w:t>
            </w:r>
            <w:r>
              <w:rPr>
                <w:rFonts w:hint="default" w:ascii="Times New Roman" w:hAnsi="Times New Roman" w:eastAsia="宋体" w:cs="Times New Roman"/>
                <w:color w:val="auto"/>
                <w:sz w:val="24"/>
                <w:szCs w:val="24"/>
              </w:rPr>
              <w:t>m（西南），属于本项目5公里范围内，监测项目包含</w:t>
            </w:r>
            <w:r>
              <w:rPr>
                <w:rFonts w:hint="default" w:ascii="Times New Roman" w:hAnsi="Times New Roman" w:eastAsia="宋体" w:cs="Times New Roman"/>
                <w:color w:val="auto"/>
                <w:sz w:val="24"/>
                <w:szCs w:val="24"/>
                <w:lang w:val="en-US" w:eastAsia="zh-CN"/>
              </w:rPr>
              <w:t>TSP</w:t>
            </w:r>
            <w:r>
              <w:rPr>
                <w:rFonts w:hint="default" w:ascii="Times New Roman" w:hAnsi="Times New Roman" w:eastAsia="宋体" w:cs="Times New Roman"/>
                <w:color w:val="auto"/>
                <w:sz w:val="24"/>
                <w:szCs w:val="24"/>
              </w:rPr>
              <w:t>，监测时间为2022年12月9日-15日，监测单位为安徽信科检测有限公司，监测点位为安徽博普纳米新材料有限公司区域内，因此监测数据引用有效</w:t>
            </w:r>
            <w:r>
              <w:rPr>
                <w:rFonts w:hint="eastAsia" w:ascii="Times New Roman" w:hAnsi="Times New Roman" w:eastAsia="宋体" w:cs="Times New Roman"/>
                <w:color w:val="auto"/>
                <w:sz w:val="24"/>
                <w:szCs w:val="24"/>
                <w:lang w:eastAsia="zh-CN"/>
              </w:rPr>
              <w:t>。</w:t>
            </w:r>
          </w:p>
          <w:p w14:paraId="2C183E99">
            <w:pPr>
              <w:spacing w:line="360" w:lineRule="auto"/>
              <w:ind w:firstLine="480" w:firstLineChars="200"/>
              <w:rPr>
                <w:color w:val="auto"/>
                <w:sz w:val="24"/>
              </w:rPr>
            </w:pPr>
            <w:r>
              <w:rPr>
                <w:rFonts w:hint="eastAsia"/>
                <w:color w:val="auto"/>
                <w:sz w:val="24"/>
              </w:rPr>
              <w:t>具体监测数据如下：</w:t>
            </w:r>
          </w:p>
          <w:p w14:paraId="38271D15">
            <w:pPr>
              <w:spacing w:line="360" w:lineRule="auto"/>
              <w:ind w:firstLine="480" w:firstLineChars="200"/>
              <w:rPr>
                <w:color w:val="auto"/>
                <w:sz w:val="24"/>
              </w:rPr>
            </w:pPr>
            <w:r>
              <w:rPr>
                <w:color w:val="auto"/>
                <w:sz w:val="24"/>
              </w:rPr>
              <w:t>①监测布点：</w:t>
            </w:r>
          </w:p>
          <w:p w14:paraId="3DBF9E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b/>
                <w:color w:val="auto"/>
                <w:sz w:val="21"/>
                <w:szCs w:val="21"/>
              </w:rPr>
            </w:pPr>
            <w:r>
              <w:rPr>
                <w:rFonts w:hint="eastAsia"/>
                <w:b/>
                <w:color w:val="auto"/>
                <w:sz w:val="21"/>
                <w:szCs w:val="21"/>
              </w:rPr>
              <w:t>表</w:t>
            </w:r>
            <w:r>
              <w:rPr>
                <w:rFonts w:hint="eastAsia"/>
                <w:b/>
                <w:color w:val="auto"/>
                <w:sz w:val="21"/>
                <w:szCs w:val="21"/>
                <w:lang w:val="en-US" w:eastAsia="zh-CN"/>
              </w:rPr>
              <w:t>3-3</w:t>
            </w:r>
            <w:r>
              <w:rPr>
                <w:b/>
                <w:color w:val="auto"/>
                <w:sz w:val="21"/>
                <w:szCs w:val="21"/>
              </w:rPr>
              <w:t xml:space="preserve">  环境空气监测点位一览表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440"/>
              <w:gridCol w:w="5416"/>
            </w:tblGrid>
            <w:tr w14:paraId="46ED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472" w:type="pct"/>
                  <w:noWrap w:val="0"/>
                  <w:vAlign w:val="center"/>
                </w:tcPr>
                <w:p w14:paraId="004C3408">
                  <w:pPr>
                    <w:widowControl/>
                    <w:jc w:val="center"/>
                    <w:rPr>
                      <w:b/>
                      <w:bCs/>
                      <w:color w:val="auto"/>
                      <w:sz w:val="21"/>
                      <w:szCs w:val="21"/>
                    </w:rPr>
                  </w:pPr>
                  <w:r>
                    <w:rPr>
                      <w:b/>
                      <w:bCs/>
                      <w:color w:val="auto"/>
                      <w:sz w:val="21"/>
                      <w:szCs w:val="21"/>
                    </w:rPr>
                    <w:t>编号</w:t>
                  </w:r>
                </w:p>
              </w:tc>
              <w:tc>
                <w:tcPr>
                  <w:tcW w:w="1406" w:type="pct"/>
                  <w:noWrap w:val="0"/>
                  <w:vAlign w:val="center"/>
                </w:tcPr>
                <w:p w14:paraId="56EBEB24">
                  <w:pPr>
                    <w:spacing w:line="320" w:lineRule="exact"/>
                    <w:jc w:val="center"/>
                    <w:rPr>
                      <w:b/>
                      <w:bCs/>
                      <w:color w:val="auto"/>
                      <w:sz w:val="21"/>
                      <w:szCs w:val="21"/>
                    </w:rPr>
                  </w:pPr>
                  <w:r>
                    <w:rPr>
                      <w:b/>
                      <w:bCs/>
                      <w:color w:val="auto"/>
                      <w:sz w:val="21"/>
                      <w:szCs w:val="21"/>
                    </w:rPr>
                    <w:t>监测点位名称</w:t>
                  </w:r>
                </w:p>
              </w:tc>
              <w:tc>
                <w:tcPr>
                  <w:tcW w:w="3121" w:type="pct"/>
                  <w:noWrap w:val="0"/>
                  <w:vAlign w:val="center"/>
                </w:tcPr>
                <w:p w14:paraId="08A06F6E">
                  <w:pPr>
                    <w:spacing w:line="320" w:lineRule="exact"/>
                    <w:jc w:val="center"/>
                    <w:rPr>
                      <w:b/>
                      <w:bCs/>
                      <w:color w:val="auto"/>
                      <w:sz w:val="21"/>
                      <w:szCs w:val="21"/>
                    </w:rPr>
                  </w:pPr>
                  <w:r>
                    <w:rPr>
                      <w:rFonts w:hint="eastAsia"/>
                      <w:b/>
                      <w:bCs/>
                      <w:color w:val="auto"/>
                      <w:sz w:val="21"/>
                      <w:szCs w:val="21"/>
                    </w:rPr>
                    <w:t>备注</w:t>
                  </w:r>
                </w:p>
              </w:tc>
            </w:tr>
            <w:tr w14:paraId="01B70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472" w:type="pct"/>
                  <w:noWrap w:val="0"/>
                  <w:vAlign w:val="center"/>
                </w:tcPr>
                <w:p w14:paraId="6CA90BCF">
                  <w:pPr>
                    <w:widowControl/>
                    <w:jc w:val="center"/>
                    <w:rPr>
                      <w:rFonts w:hint="default" w:eastAsia="宋体"/>
                      <w:color w:val="auto"/>
                      <w:sz w:val="21"/>
                      <w:szCs w:val="21"/>
                      <w:lang w:val="en-US" w:eastAsia="zh-CN"/>
                    </w:rPr>
                  </w:pPr>
                  <w:r>
                    <w:rPr>
                      <w:rFonts w:hint="eastAsia"/>
                      <w:color w:val="auto"/>
                      <w:sz w:val="21"/>
                      <w:szCs w:val="21"/>
                      <w:lang w:val="en-US" w:eastAsia="zh-CN"/>
                    </w:rPr>
                    <w:t>G1</w:t>
                  </w:r>
                </w:p>
              </w:tc>
              <w:tc>
                <w:tcPr>
                  <w:tcW w:w="1406" w:type="pct"/>
                  <w:noWrap w:val="0"/>
                  <w:vAlign w:val="center"/>
                </w:tcPr>
                <w:p w14:paraId="2B9DA688">
                  <w:pPr>
                    <w:spacing w:line="320" w:lineRule="exact"/>
                    <w:jc w:val="center"/>
                    <w:rPr>
                      <w:rFonts w:hint="eastAsia" w:eastAsia="宋体"/>
                      <w:color w:val="auto"/>
                      <w:sz w:val="21"/>
                      <w:szCs w:val="21"/>
                      <w:lang w:eastAsia="zh-CN"/>
                    </w:rPr>
                  </w:pPr>
                  <w:r>
                    <w:rPr>
                      <w:rFonts w:hint="eastAsia" w:eastAsia="宋体"/>
                      <w:color w:val="auto"/>
                      <w:sz w:val="21"/>
                      <w:szCs w:val="21"/>
                      <w:lang w:eastAsia="zh-CN"/>
                    </w:rPr>
                    <w:t>安徽博普纳米新材料有限公司</w:t>
                  </w:r>
                </w:p>
              </w:tc>
              <w:tc>
                <w:tcPr>
                  <w:tcW w:w="3121" w:type="pct"/>
                  <w:noWrap w:val="0"/>
                  <w:vAlign w:val="center"/>
                </w:tcPr>
                <w:p w14:paraId="67A89E4B">
                  <w:pPr>
                    <w:spacing w:line="320" w:lineRule="exact"/>
                    <w:jc w:val="center"/>
                    <w:rPr>
                      <w:color w:val="auto"/>
                      <w:sz w:val="21"/>
                      <w:szCs w:val="21"/>
                    </w:rPr>
                  </w:pPr>
                  <w:r>
                    <w:rPr>
                      <w:rFonts w:hint="eastAsia"/>
                      <w:color w:val="auto"/>
                      <w:sz w:val="21"/>
                      <w:szCs w:val="21"/>
                      <w:lang w:val="en-US" w:eastAsia="zh-CN"/>
                    </w:rPr>
                    <w:t>TSP</w:t>
                  </w:r>
                  <w:r>
                    <w:rPr>
                      <w:rFonts w:hint="eastAsia"/>
                      <w:color w:val="auto"/>
                      <w:sz w:val="21"/>
                      <w:szCs w:val="21"/>
                    </w:rPr>
                    <w:t>特征因子环境质量现状</w:t>
                  </w:r>
                </w:p>
              </w:tc>
            </w:tr>
          </w:tbl>
          <w:p w14:paraId="6968C6D6">
            <w:pPr>
              <w:spacing w:line="360" w:lineRule="auto"/>
              <w:ind w:firstLine="480" w:firstLineChars="200"/>
              <w:rPr>
                <w:color w:val="auto"/>
                <w:sz w:val="24"/>
              </w:rPr>
            </w:pPr>
          </w:p>
          <w:p w14:paraId="6ABE9224">
            <w:pPr>
              <w:spacing w:line="360" w:lineRule="auto"/>
              <w:ind w:firstLine="480" w:firstLineChars="200"/>
              <w:rPr>
                <w:color w:val="auto"/>
                <w:sz w:val="24"/>
              </w:rPr>
            </w:pPr>
          </w:p>
          <w:p w14:paraId="5487E737">
            <w:pPr>
              <w:spacing w:line="360" w:lineRule="auto"/>
              <w:ind w:firstLine="480" w:firstLineChars="200"/>
              <w:rPr>
                <w:color w:val="auto"/>
                <w:sz w:val="24"/>
              </w:rPr>
            </w:pPr>
            <w:r>
              <w:rPr>
                <w:color w:val="auto"/>
                <w:sz w:val="24"/>
              </w:rPr>
              <w:t>②监测</w:t>
            </w:r>
            <w:r>
              <w:rPr>
                <w:rFonts w:hint="eastAsia"/>
                <w:color w:val="auto"/>
                <w:sz w:val="24"/>
                <w:lang w:val="en-US" w:eastAsia="zh-CN"/>
              </w:rPr>
              <w:t>结果</w:t>
            </w:r>
            <w:r>
              <w:rPr>
                <w:rFonts w:hint="eastAsia"/>
                <w:color w:val="auto"/>
                <w:sz w:val="24"/>
              </w:rPr>
              <w:t>：</w:t>
            </w:r>
          </w:p>
          <w:p w14:paraId="7577DD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bCs/>
                <w:color w:val="auto"/>
                <w:sz w:val="21"/>
                <w:szCs w:val="21"/>
              </w:rPr>
            </w:pPr>
            <w:r>
              <w:rPr>
                <w:rFonts w:hint="eastAsia"/>
                <w:b/>
                <w:bCs/>
                <w:color w:val="auto"/>
                <w:sz w:val="21"/>
                <w:szCs w:val="21"/>
              </w:rPr>
              <w:t>表</w:t>
            </w:r>
            <w:r>
              <w:rPr>
                <w:rFonts w:hint="eastAsia"/>
                <w:b/>
                <w:bCs/>
                <w:color w:val="auto"/>
                <w:sz w:val="21"/>
                <w:szCs w:val="21"/>
                <w:lang w:val="en-US" w:eastAsia="zh-CN"/>
              </w:rPr>
              <w:t>3-4</w:t>
            </w:r>
            <w:r>
              <w:rPr>
                <w:b/>
                <w:bCs/>
                <w:color w:val="auto"/>
                <w:sz w:val="21"/>
                <w:szCs w:val="21"/>
              </w:rPr>
              <w:t xml:space="preserve">  单因子浓度监测结果表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3"/>
              <w:gridCol w:w="1148"/>
              <w:gridCol w:w="1529"/>
              <w:gridCol w:w="1275"/>
              <w:gridCol w:w="1150"/>
              <w:gridCol w:w="848"/>
              <w:gridCol w:w="975"/>
              <w:gridCol w:w="997"/>
            </w:tblGrid>
            <w:tr w14:paraId="30890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2" w:type="pct"/>
                  <w:noWrap w:val="0"/>
                  <w:vAlign w:val="center"/>
                </w:tcPr>
                <w:p w14:paraId="5C94A465">
                  <w:pPr>
                    <w:spacing w:line="300" w:lineRule="exact"/>
                    <w:jc w:val="center"/>
                    <w:rPr>
                      <w:rFonts w:hint="eastAsia" w:eastAsia="宋体"/>
                      <w:b/>
                      <w:bCs w:val="0"/>
                      <w:color w:val="auto"/>
                      <w:szCs w:val="21"/>
                      <w:lang w:val="en-US" w:eastAsia="zh-CN"/>
                    </w:rPr>
                  </w:pPr>
                  <w:r>
                    <w:rPr>
                      <w:rFonts w:hint="eastAsia"/>
                      <w:b/>
                      <w:bCs w:val="0"/>
                      <w:color w:val="auto"/>
                      <w:szCs w:val="21"/>
                      <w:lang w:val="en-US" w:eastAsia="zh-CN"/>
                    </w:rPr>
                    <w:t>污染物</w:t>
                  </w:r>
                </w:p>
              </w:tc>
              <w:tc>
                <w:tcPr>
                  <w:tcW w:w="669" w:type="pct"/>
                  <w:noWrap w:val="0"/>
                  <w:vAlign w:val="center"/>
                </w:tcPr>
                <w:p w14:paraId="5F4EFC84">
                  <w:pPr>
                    <w:spacing w:line="300" w:lineRule="exact"/>
                    <w:jc w:val="center"/>
                    <w:rPr>
                      <w:rFonts w:hint="default" w:eastAsia="宋体"/>
                      <w:b/>
                      <w:bCs w:val="0"/>
                      <w:color w:val="auto"/>
                      <w:szCs w:val="21"/>
                      <w:lang w:val="en-US" w:eastAsia="zh-CN"/>
                    </w:rPr>
                  </w:pPr>
                  <w:r>
                    <w:rPr>
                      <w:rFonts w:hint="eastAsia"/>
                      <w:b/>
                      <w:bCs w:val="0"/>
                      <w:color w:val="auto"/>
                      <w:szCs w:val="21"/>
                      <w:lang w:val="en-US" w:eastAsia="zh-CN"/>
                    </w:rPr>
                    <w:t>监测时间</w:t>
                  </w:r>
                </w:p>
              </w:tc>
              <w:tc>
                <w:tcPr>
                  <w:tcW w:w="888" w:type="pct"/>
                  <w:noWrap w:val="0"/>
                  <w:vAlign w:val="center"/>
                </w:tcPr>
                <w:p w14:paraId="162E4042">
                  <w:pPr>
                    <w:spacing w:line="300" w:lineRule="exact"/>
                    <w:jc w:val="center"/>
                    <w:rPr>
                      <w:b/>
                      <w:bCs w:val="0"/>
                      <w:color w:val="auto"/>
                      <w:szCs w:val="21"/>
                    </w:rPr>
                  </w:pPr>
                  <w:r>
                    <w:rPr>
                      <w:rFonts w:hint="eastAsia"/>
                      <w:b/>
                      <w:bCs w:val="0"/>
                      <w:color w:val="auto"/>
                      <w:szCs w:val="21"/>
                      <w:lang w:val="en-US" w:eastAsia="zh-CN"/>
                    </w:rPr>
                    <w:t>监测点</w:t>
                  </w:r>
                </w:p>
              </w:tc>
              <w:tc>
                <w:tcPr>
                  <w:tcW w:w="723" w:type="pct"/>
                  <w:noWrap w:val="0"/>
                  <w:vAlign w:val="center"/>
                </w:tcPr>
                <w:p w14:paraId="61F5A3ED">
                  <w:pPr>
                    <w:spacing w:line="300" w:lineRule="exact"/>
                    <w:jc w:val="center"/>
                    <w:rPr>
                      <w:rFonts w:hint="eastAsia" w:eastAsia="宋体"/>
                      <w:b/>
                      <w:bCs w:val="0"/>
                      <w:color w:val="auto"/>
                      <w:szCs w:val="21"/>
                      <w:lang w:val="en-US" w:eastAsia="zh-CN"/>
                    </w:rPr>
                  </w:pPr>
                  <w:r>
                    <w:rPr>
                      <w:rFonts w:hint="eastAsia"/>
                      <w:b/>
                      <w:bCs w:val="0"/>
                      <w:color w:val="auto"/>
                      <w:szCs w:val="21"/>
                      <w:lang w:val="en-US" w:eastAsia="zh-CN"/>
                    </w:rPr>
                    <w:t>监测结果浓度范围m</w:t>
                  </w:r>
                  <w:r>
                    <w:rPr>
                      <w:b/>
                      <w:bCs w:val="0"/>
                      <w:color w:val="auto"/>
                      <w:szCs w:val="21"/>
                    </w:rPr>
                    <w:t>g/m</w:t>
                  </w:r>
                  <w:r>
                    <w:rPr>
                      <w:b/>
                      <w:bCs w:val="0"/>
                      <w:color w:val="auto"/>
                      <w:szCs w:val="21"/>
                      <w:vertAlign w:val="superscript"/>
                    </w:rPr>
                    <w:t>3</w:t>
                  </w:r>
                </w:p>
              </w:tc>
              <w:tc>
                <w:tcPr>
                  <w:tcW w:w="670" w:type="pct"/>
                  <w:noWrap w:val="0"/>
                  <w:vAlign w:val="center"/>
                </w:tcPr>
                <w:p w14:paraId="046F4B4B">
                  <w:pPr>
                    <w:spacing w:line="300" w:lineRule="exact"/>
                    <w:jc w:val="center"/>
                    <w:rPr>
                      <w:rFonts w:hint="eastAsia" w:eastAsia="宋体"/>
                      <w:b/>
                      <w:bCs w:val="0"/>
                      <w:color w:val="auto"/>
                      <w:szCs w:val="21"/>
                      <w:lang w:val="en-US" w:eastAsia="zh-CN"/>
                    </w:rPr>
                  </w:pPr>
                  <w:r>
                    <w:rPr>
                      <w:rFonts w:hint="eastAsia"/>
                      <w:b/>
                      <w:bCs w:val="0"/>
                      <w:color w:val="auto"/>
                      <w:szCs w:val="21"/>
                      <w:lang w:val="en-US" w:eastAsia="zh-CN"/>
                    </w:rPr>
                    <w:t>最大占标率（</w:t>
                  </w:r>
                  <w:r>
                    <w:rPr>
                      <w:b/>
                      <w:bCs w:val="0"/>
                      <w:color w:val="auto"/>
                      <w:szCs w:val="21"/>
                    </w:rPr>
                    <w:t>%</w:t>
                  </w:r>
                  <w:r>
                    <w:rPr>
                      <w:rFonts w:hint="eastAsia"/>
                      <w:b/>
                      <w:bCs w:val="0"/>
                      <w:color w:val="auto"/>
                      <w:szCs w:val="21"/>
                      <w:lang w:eastAsia="zh-CN"/>
                    </w:rPr>
                    <w:t>）</w:t>
                  </w:r>
                </w:p>
              </w:tc>
              <w:tc>
                <w:tcPr>
                  <w:tcW w:w="454" w:type="pct"/>
                  <w:noWrap w:val="0"/>
                  <w:vAlign w:val="center"/>
                </w:tcPr>
                <w:p w14:paraId="5A27E32D">
                  <w:pPr>
                    <w:spacing w:line="300" w:lineRule="exact"/>
                    <w:jc w:val="center"/>
                    <w:rPr>
                      <w:b/>
                      <w:bCs w:val="0"/>
                      <w:color w:val="auto"/>
                      <w:szCs w:val="21"/>
                    </w:rPr>
                  </w:pPr>
                  <w:r>
                    <w:rPr>
                      <w:rFonts w:hint="eastAsia"/>
                      <w:b/>
                      <w:bCs w:val="0"/>
                      <w:color w:val="auto"/>
                      <w:szCs w:val="21"/>
                      <w:lang w:val="en-US" w:eastAsia="zh-CN"/>
                    </w:rPr>
                    <w:t>超标率（</w:t>
                  </w:r>
                  <w:r>
                    <w:rPr>
                      <w:b/>
                      <w:bCs w:val="0"/>
                      <w:color w:val="auto"/>
                      <w:szCs w:val="21"/>
                    </w:rPr>
                    <w:t>%</w:t>
                  </w:r>
                  <w:r>
                    <w:rPr>
                      <w:rFonts w:hint="eastAsia"/>
                      <w:b/>
                      <w:bCs w:val="0"/>
                      <w:color w:val="auto"/>
                      <w:szCs w:val="21"/>
                      <w:lang w:eastAsia="zh-CN"/>
                    </w:rPr>
                    <w:t>）</w:t>
                  </w:r>
                </w:p>
              </w:tc>
              <w:tc>
                <w:tcPr>
                  <w:tcW w:w="569" w:type="pct"/>
                  <w:noWrap w:val="0"/>
                  <w:vAlign w:val="center"/>
                </w:tcPr>
                <w:p w14:paraId="3ADE3236">
                  <w:pPr>
                    <w:spacing w:line="300" w:lineRule="exact"/>
                    <w:jc w:val="center"/>
                    <w:rPr>
                      <w:b/>
                      <w:bCs w:val="0"/>
                      <w:color w:val="auto"/>
                      <w:szCs w:val="21"/>
                    </w:rPr>
                  </w:pPr>
                  <w:r>
                    <w:rPr>
                      <w:b/>
                      <w:bCs w:val="0"/>
                      <w:color w:val="auto"/>
                      <w:szCs w:val="21"/>
                    </w:rPr>
                    <w:t>标准指数</w:t>
                  </w:r>
                </w:p>
              </w:tc>
              <w:tc>
                <w:tcPr>
                  <w:tcW w:w="582" w:type="pct"/>
                  <w:noWrap w:val="0"/>
                  <w:vAlign w:val="center"/>
                </w:tcPr>
                <w:p w14:paraId="00187BBD">
                  <w:pPr>
                    <w:spacing w:line="300" w:lineRule="exact"/>
                    <w:jc w:val="center"/>
                    <w:rPr>
                      <w:rFonts w:hint="eastAsia" w:eastAsia="宋体"/>
                      <w:b/>
                      <w:bCs w:val="0"/>
                      <w:color w:val="auto"/>
                      <w:szCs w:val="21"/>
                      <w:lang w:eastAsia="zh-CN"/>
                    </w:rPr>
                  </w:pPr>
                  <w:r>
                    <w:rPr>
                      <w:rFonts w:hint="eastAsia"/>
                      <w:b/>
                      <w:bCs w:val="0"/>
                      <w:color w:val="auto"/>
                      <w:szCs w:val="21"/>
                      <w:lang w:val="en-US" w:eastAsia="zh-CN"/>
                    </w:rPr>
                    <w:t>达标情况</w:t>
                  </w:r>
                </w:p>
              </w:tc>
            </w:tr>
            <w:tr w14:paraId="4D6D7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442" w:type="pct"/>
                  <w:noWrap w:val="0"/>
                  <w:vAlign w:val="center"/>
                </w:tcPr>
                <w:p w14:paraId="49F545B3">
                  <w:pPr>
                    <w:jc w:val="center"/>
                    <w:rPr>
                      <w:rFonts w:hint="default" w:eastAsia="宋体"/>
                      <w:bCs/>
                      <w:color w:val="auto"/>
                      <w:szCs w:val="21"/>
                      <w:lang w:val="en-US" w:eastAsia="zh-CN"/>
                    </w:rPr>
                  </w:pPr>
                  <w:r>
                    <w:rPr>
                      <w:rFonts w:hint="eastAsia"/>
                      <w:bCs/>
                      <w:color w:val="auto"/>
                      <w:szCs w:val="21"/>
                      <w:lang w:val="en-US" w:eastAsia="zh-CN"/>
                    </w:rPr>
                    <w:t>TSP</w:t>
                  </w:r>
                </w:p>
              </w:tc>
              <w:tc>
                <w:tcPr>
                  <w:tcW w:w="669" w:type="pct"/>
                  <w:noWrap w:val="0"/>
                  <w:vAlign w:val="center"/>
                </w:tcPr>
                <w:p w14:paraId="43079EC0">
                  <w:pPr>
                    <w:spacing w:line="300" w:lineRule="exact"/>
                    <w:jc w:val="center"/>
                    <w:rPr>
                      <w:bCs/>
                      <w:color w:val="auto"/>
                      <w:szCs w:val="21"/>
                    </w:rPr>
                  </w:pPr>
                  <w:r>
                    <w:rPr>
                      <w:rFonts w:hint="default"/>
                      <w:bCs/>
                      <w:color w:val="auto"/>
                      <w:szCs w:val="21"/>
                    </w:rPr>
                    <w:t>2022年12月9日-15日</w:t>
                  </w:r>
                </w:p>
              </w:tc>
              <w:tc>
                <w:tcPr>
                  <w:tcW w:w="888" w:type="pct"/>
                  <w:noWrap w:val="0"/>
                  <w:vAlign w:val="center"/>
                </w:tcPr>
                <w:p w14:paraId="308C94D1">
                  <w:pPr>
                    <w:spacing w:line="300" w:lineRule="exact"/>
                    <w:jc w:val="center"/>
                    <w:rPr>
                      <w:rFonts w:hint="default" w:eastAsia="宋体"/>
                      <w:bCs/>
                      <w:color w:val="auto"/>
                      <w:szCs w:val="21"/>
                      <w:lang w:val="en-US" w:eastAsia="zh-CN"/>
                    </w:rPr>
                  </w:pPr>
                  <w:r>
                    <w:rPr>
                      <w:rFonts w:hint="default" w:eastAsia="宋体"/>
                      <w:bCs/>
                      <w:color w:val="auto"/>
                      <w:szCs w:val="21"/>
                      <w:lang w:val="en-US" w:eastAsia="zh-CN"/>
                    </w:rPr>
                    <w:t>安徽博普纳米新材料有限公司</w:t>
                  </w:r>
                </w:p>
              </w:tc>
              <w:tc>
                <w:tcPr>
                  <w:tcW w:w="723" w:type="pct"/>
                  <w:noWrap w:val="0"/>
                  <w:vAlign w:val="center"/>
                </w:tcPr>
                <w:p w14:paraId="7D956767">
                  <w:pPr>
                    <w:spacing w:line="300" w:lineRule="exact"/>
                    <w:jc w:val="center"/>
                    <w:rPr>
                      <w:rFonts w:hint="default" w:eastAsia="宋体"/>
                      <w:bCs/>
                      <w:color w:val="auto"/>
                      <w:szCs w:val="21"/>
                      <w:lang w:val="en-US" w:eastAsia="zh-CN"/>
                    </w:rPr>
                  </w:pPr>
                  <w:r>
                    <w:rPr>
                      <w:rFonts w:hint="eastAsia"/>
                      <w:bCs/>
                      <w:color w:val="auto"/>
                      <w:szCs w:val="21"/>
                      <w:lang w:val="en-US" w:eastAsia="zh-CN"/>
                    </w:rPr>
                    <w:t>0.129~0.281</w:t>
                  </w:r>
                </w:p>
              </w:tc>
              <w:tc>
                <w:tcPr>
                  <w:tcW w:w="670" w:type="pct"/>
                  <w:noWrap w:val="0"/>
                  <w:vAlign w:val="center"/>
                </w:tcPr>
                <w:p w14:paraId="327DEDDD">
                  <w:pPr>
                    <w:spacing w:line="300" w:lineRule="exact"/>
                    <w:jc w:val="center"/>
                    <w:rPr>
                      <w:rFonts w:hint="default" w:eastAsia="宋体"/>
                      <w:bCs/>
                      <w:color w:val="auto"/>
                      <w:szCs w:val="21"/>
                      <w:lang w:val="en-US" w:eastAsia="zh-CN"/>
                    </w:rPr>
                  </w:pPr>
                  <w:r>
                    <w:rPr>
                      <w:rFonts w:hint="eastAsia"/>
                      <w:bCs/>
                      <w:color w:val="auto"/>
                      <w:szCs w:val="21"/>
                      <w:lang w:val="en-US" w:eastAsia="zh-CN"/>
                    </w:rPr>
                    <w:t>93.67</w:t>
                  </w:r>
                </w:p>
              </w:tc>
              <w:tc>
                <w:tcPr>
                  <w:tcW w:w="454" w:type="pct"/>
                  <w:noWrap w:val="0"/>
                  <w:vAlign w:val="center"/>
                </w:tcPr>
                <w:p w14:paraId="3B69DD09">
                  <w:pPr>
                    <w:spacing w:line="300" w:lineRule="exact"/>
                    <w:jc w:val="center"/>
                    <w:rPr>
                      <w:rFonts w:hint="eastAsia" w:eastAsia="宋体"/>
                      <w:bCs/>
                      <w:color w:val="auto"/>
                      <w:szCs w:val="21"/>
                      <w:lang w:val="en-US" w:eastAsia="zh-CN"/>
                    </w:rPr>
                  </w:pPr>
                  <w:r>
                    <w:rPr>
                      <w:rFonts w:hint="eastAsia"/>
                      <w:bCs/>
                      <w:color w:val="auto"/>
                      <w:szCs w:val="21"/>
                      <w:lang w:val="en-US" w:eastAsia="zh-CN"/>
                    </w:rPr>
                    <w:t>/</w:t>
                  </w:r>
                </w:p>
              </w:tc>
              <w:tc>
                <w:tcPr>
                  <w:tcW w:w="569" w:type="pct"/>
                  <w:noWrap w:val="0"/>
                  <w:vAlign w:val="center"/>
                </w:tcPr>
                <w:p w14:paraId="1CC16169">
                  <w:pPr>
                    <w:spacing w:line="300" w:lineRule="exact"/>
                    <w:jc w:val="center"/>
                    <w:rPr>
                      <w:rFonts w:hint="default" w:eastAsia="宋体"/>
                      <w:bCs/>
                      <w:color w:val="auto"/>
                      <w:szCs w:val="21"/>
                      <w:lang w:val="en-US" w:eastAsia="zh-CN"/>
                    </w:rPr>
                  </w:pPr>
                  <w:r>
                    <w:rPr>
                      <w:rFonts w:hint="eastAsia"/>
                      <w:bCs/>
                      <w:color w:val="auto"/>
                      <w:szCs w:val="21"/>
                      <w:lang w:val="en-US" w:eastAsia="zh-CN"/>
                    </w:rPr>
                    <w:t>0.3</w:t>
                  </w:r>
                </w:p>
              </w:tc>
              <w:tc>
                <w:tcPr>
                  <w:tcW w:w="582" w:type="pct"/>
                  <w:noWrap w:val="0"/>
                  <w:vAlign w:val="center"/>
                </w:tcPr>
                <w:p w14:paraId="1A73DB46">
                  <w:pPr>
                    <w:spacing w:line="300" w:lineRule="exact"/>
                    <w:jc w:val="center"/>
                    <w:rPr>
                      <w:rFonts w:hint="eastAsia" w:eastAsia="宋体"/>
                      <w:bCs/>
                      <w:color w:val="auto"/>
                      <w:szCs w:val="21"/>
                      <w:lang w:val="en-US" w:eastAsia="zh-CN"/>
                    </w:rPr>
                  </w:pPr>
                  <w:r>
                    <w:rPr>
                      <w:rFonts w:hint="eastAsia"/>
                      <w:bCs/>
                      <w:color w:val="auto"/>
                      <w:szCs w:val="21"/>
                      <w:lang w:val="en-US" w:eastAsia="zh-CN"/>
                    </w:rPr>
                    <w:t>达标</w:t>
                  </w:r>
                </w:p>
              </w:tc>
            </w:tr>
          </w:tbl>
          <w:p w14:paraId="7D5A9848">
            <w:pPr>
              <w:pStyle w:val="40"/>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ind w:firstLine="480" w:firstLineChars="200"/>
              <w:textAlignment w:val="auto"/>
              <w:outlineLvl w:val="9"/>
              <w:rPr>
                <w:rFonts w:hint="default" w:ascii="Times New Roman" w:hAnsi="Times New Roman" w:cs="Times New Roman"/>
                <w:color w:val="auto"/>
                <w:sz w:val="24"/>
              </w:rPr>
            </w:pPr>
            <w:r>
              <w:rPr>
                <w:rFonts w:hint="eastAsia" w:eastAsia="宋体"/>
                <w:color w:val="auto"/>
                <w:lang w:eastAsia="zh-CN"/>
              </w:rPr>
              <w:drawing>
                <wp:anchor distT="0" distB="0" distL="114300" distR="114300" simplePos="0" relativeHeight="251666432" behindDoc="0" locked="0" layoutInCell="1" allowOverlap="1">
                  <wp:simplePos x="0" y="0"/>
                  <wp:positionH relativeFrom="column">
                    <wp:posOffset>4429125</wp:posOffset>
                  </wp:positionH>
                  <wp:positionV relativeFrom="paragraph">
                    <wp:posOffset>583565</wp:posOffset>
                  </wp:positionV>
                  <wp:extent cx="932815" cy="573405"/>
                  <wp:effectExtent l="0" t="0" r="0" b="0"/>
                  <wp:wrapNone/>
                  <wp:docPr id="336" name="图片 20" descr="67839f09acb2ab30608552c5ed5c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图片 20" descr="67839f09acb2ab30608552c5ed5c993"/>
                          <pic:cNvPicPr>
                            <a:picLocks noChangeAspect="1"/>
                          </pic:cNvPicPr>
                        </pic:nvPicPr>
                        <pic:blipFill>
                          <a:blip r:embed="rId10"/>
                          <a:srcRect l="-9219" b="21818"/>
                          <a:stretch>
                            <a:fillRect/>
                          </a:stretch>
                        </pic:blipFill>
                        <pic:spPr>
                          <a:xfrm>
                            <a:off x="0" y="0"/>
                            <a:ext cx="932815" cy="573405"/>
                          </a:xfrm>
                          <a:prstGeom prst="rect">
                            <a:avLst/>
                          </a:prstGeom>
                          <a:noFill/>
                          <a:ln>
                            <a:noFill/>
                          </a:ln>
                        </pic:spPr>
                      </pic:pic>
                    </a:graphicData>
                  </a:graphic>
                </wp:anchor>
              </w:drawing>
            </w:r>
            <w:r>
              <w:rPr>
                <w:rFonts w:hint="default" w:ascii="Times New Roman" w:hAnsi="Times New Roman" w:cs="Times New Roman"/>
                <w:color w:val="auto"/>
                <w:sz w:val="24"/>
              </w:rPr>
              <w:t>根据上表所述，项目特征污染物TSP监测结果为0.129~0.281mg/m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，满足《环境空气质量标准》（GB3095-2012）二级标准要求，项目所在地环境空气质量较好。</w:t>
            </w:r>
          </w:p>
          <w:p w14:paraId="1F0EFED7">
            <w:pPr>
              <w:pStyle w:val="40"/>
              <w:keepNext w:val="0"/>
              <w:keepLines w:val="0"/>
              <w:pageBreakBefore w:val="0"/>
              <w:widowControl/>
              <w:numPr>
                <w:ilvl w:val="0"/>
                <w:numId w:val="0"/>
              </w:numPr>
              <w:kinsoku/>
              <w:wordWrap/>
              <w:overflowPunct/>
              <w:topLinePunct w:val="0"/>
              <w:autoSpaceDE/>
              <w:autoSpaceDN/>
              <w:bidi w:val="0"/>
              <w:adjustRightInd/>
              <w:snapToGrid/>
              <w:spacing w:before="0" w:beforeLines="0" w:beforeAutospacing="0" w:after="0" w:afterLines="0" w:afterAutospacing="0" w:line="360" w:lineRule="auto"/>
              <w:textAlignment w:val="auto"/>
              <w:outlineLvl w:val="9"/>
              <w:rPr>
                <w:rFonts w:hint="eastAsia" w:ascii="Times New Roman" w:hAnsi="Times New Roman" w:eastAsia="宋体" w:cs="Times New Roman"/>
                <w:color w:val="auto"/>
                <w:sz w:val="24"/>
                <w:szCs w:val="24"/>
                <w:lang w:val="en-US" w:eastAsia="zh-CN"/>
              </w:rPr>
            </w:pPr>
            <w:r>
              <w:rPr>
                <w:color w:val="auto"/>
              </w:rPr>
              <w:drawing>
                <wp:inline distT="0" distB="0" distL="114300" distR="114300">
                  <wp:extent cx="5350510" cy="3990340"/>
                  <wp:effectExtent l="0" t="0" r="2540" b="10160"/>
                  <wp:docPr id="34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 name="图片 14"/>
                          <pic:cNvPicPr>
                            <a:picLocks noChangeAspect="1"/>
                          </pic:cNvPicPr>
                        </pic:nvPicPr>
                        <pic:blipFill>
                          <a:blip r:embed="rId11"/>
                          <a:stretch>
                            <a:fillRect/>
                          </a:stretch>
                        </pic:blipFill>
                        <pic:spPr>
                          <a:xfrm>
                            <a:off x="0" y="0"/>
                            <a:ext cx="5350510" cy="3990340"/>
                          </a:xfrm>
                          <a:prstGeom prst="rect">
                            <a:avLst/>
                          </a:prstGeom>
                          <a:noFill/>
                          <a:ln>
                            <a:noFill/>
                          </a:ln>
                        </pic:spPr>
                      </pic:pic>
                    </a:graphicData>
                  </a:graphic>
                </wp:inline>
              </w:drawing>
            </w:r>
            <w:r>
              <w:rPr>
                <w:color w:val="auto"/>
                <w:sz w:val="24"/>
              </w:rPr>
              <mc:AlternateContent>
                <mc:Choice Requires="wps">
                  <w:drawing>
                    <wp:anchor distT="0" distB="0" distL="114300" distR="114300" simplePos="0" relativeHeight="251668480" behindDoc="0" locked="0" layoutInCell="1" allowOverlap="1">
                      <wp:simplePos x="0" y="0"/>
                      <wp:positionH relativeFrom="column">
                        <wp:posOffset>1249045</wp:posOffset>
                      </wp:positionH>
                      <wp:positionV relativeFrom="paragraph">
                        <wp:posOffset>2623185</wp:posOffset>
                      </wp:positionV>
                      <wp:extent cx="1038860" cy="267335"/>
                      <wp:effectExtent l="54610" t="0" r="11430" b="380365"/>
                      <wp:wrapNone/>
                      <wp:docPr id="334" name="矩形标注 334"/>
                      <wp:cNvGraphicFramePr/>
                      <a:graphic xmlns:a="http://schemas.openxmlformats.org/drawingml/2006/main">
                        <a:graphicData uri="http://schemas.microsoft.com/office/word/2010/wordprocessingShape">
                          <wps:wsp>
                            <wps:cNvSpPr/>
                            <wps:spPr>
                              <a:xfrm>
                                <a:off x="0" y="0"/>
                                <a:ext cx="1038860" cy="267335"/>
                              </a:xfrm>
                              <a:prstGeom prst="wedgeRectCallout">
                                <a:avLst>
                                  <a:gd name="adj1" fmla="val -55273"/>
                                  <a:gd name="adj2" fmla="val 189630"/>
                                </a:avLst>
                              </a:prstGeom>
                              <a:solidFill>
                                <a:srgbClr val="FFFFFF"/>
                              </a:solidFill>
                              <a:ln>
                                <a:noFill/>
                              </a:ln>
                            </wps:spPr>
                            <wps:txbx>
                              <w:txbxContent>
                                <w:p w14:paraId="41098E3D">
                                  <w:pPr>
                                    <w:rPr>
                                      <w:rFonts w:hint="default" w:eastAsia="宋体"/>
                                      <w:color w:val="000000"/>
                                      <w:lang w:val="en-US" w:eastAsia="zh-CN"/>
                                    </w:rPr>
                                  </w:pPr>
                                  <w:r>
                                    <w:rPr>
                                      <w:rFonts w:hint="eastAsia" w:eastAsia="宋体"/>
                                      <w:color w:val="000000"/>
                                      <w:lang w:val="en-US" w:eastAsia="zh-CN"/>
                                    </w:rPr>
                                    <w:t>引用监测点位</w:t>
                                  </w:r>
                                </w:p>
                              </w:txbxContent>
                            </wps:txbx>
                            <wps:bodyPr upright="1"/>
                          </wps:wsp>
                        </a:graphicData>
                      </a:graphic>
                    </wp:anchor>
                  </w:drawing>
                </mc:Choice>
                <mc:Fallback>
                  <w:pict>
                    <v:shape id="_x0000_s1026" o:spid="_x0000_s1026" o:spt="61" type="#_x0000_t61" style="position:absolute;left:0pt;margin-left:98.35pt;margin-top:206.55pt;height:21.05pt;width:81.8pt;z-index:251668480;mso-width-relative:page;mso-height-relative:page;" fillcolor="#FFFFFF" filled="t" stroked="f" coordsize="21600,21600" o:gfxdata="UEsDBAoAAAAAAIdO4kAAAAAAAAAAAAAAAAAEAAAAZHJzL1BLAwQUAAAACACHTuJA71DlmtsAAAAL&#10;AQAADwAAAGRycy9kb3ducmV2LnhtbE2Py07DMBBF90j8gzVIbBC109AAIU5VVSoUlQ2BD3DjaRIR&#10;j0PsPuDrGVawvDNHd84U85PrxQHH0HnSkEwUCKTa244aDe9vq+s7ECEasqb3hBq+MMC8PD8rTG79&#10;kV7xUMVGcAmF3GhoYxxyKUPdojNh4gck3u386EzkODbSjubI5a6XU6Uy6UxHfKE1Ay5brD+qvdOw&#10;+n7exGa3WKr149XGVYvwlH2+aH15kagHEBFP8Q+GX31Wh5Kdtn5PNoie8312y6iGmyRNQDCRZioF&#10;seXJbDYFWRby/w/lD1BLAwQUAAAACACHTuJA4R+esfIBAADTAwAADgAAAGRycy9lMm9Eb2MueG1s&#10;rVPNctMwEL4zwztodG8c2yQNnjg9NBMuDHQoPIAiybYY/Y2kxM4T8BgwnODcM49DeQ1WiklDufSA&#10;D/LuavXtft9Ky6tBSbTnzguja5xPphhxTQ0Tuq3xh/ebiwVGPhDNiDSa1/jAPb5aPX+27G3FC9MZ&#10;ybhDAKJ91dsadyHYKss87bgifmIs17DZGKdIANe1GXOkB3Qls2I6nWe9ccw6Q7n3EF0fN/GI6J4C&#10;aJpGUL42dKe4DkdUxyUJQMl3wnq8St02DafhbdN4HpCsMTANaYUiYG/jmq2WpGodsZ2gYwvkKS08&#10;4qSI0FD0BLUmgaCdE/9AKUGd8aYJE2pUdiSSFAEW+fSRNrcdsTxxAam9PYnu/x8sfbO/cUiwGpfl&#10;C4w0UTDyX5+///zx9f7Lp/u7byjGQaXe+gqSb+2NGz0PZqQ8NE7FP5BBQ1L2cFKWDwFRCObTcrGY&#10;g+gU9or5ZVnOImj2cNo6H15xo1A0atxz1vJ3ML5rIqXZhSQu2b/2IanMxk4J+5hj1CgJQ9sTiS5m&#10;s+KyHKd6llScJ+WLl/MyjR7qj5hg/ekgFvBGCrYRUibHtdtr6RAUqPEmfWPzf6VJHZO1iceO3GIk&#10;i8IdpYpWGLbDqN/WsANov7NOtB1QzhNoTIJZJ23Gexkv07mfQB/e4u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71DlmtsAAAALAQAADwAAAAAAAAABACAAAAAiAAAAZHJzL2Rvd25yZXYueG1sUEsB&#10;AhQAFAAAAAgAh07iQOEfnrHyAQAA0wMAAA4AAAAAAAAAAQAgAAAAKgEAAGRycy9lMm9Eb2MueG1s&#10;UEsFBgAAAAAGAAYAWQEAAI4FAAAAAA==&#10;" adj="-1139,51760">
                      <v:fill on="t" focussize="0,0"/>
                      <v:stroke on="f"/>
                      <v:imagedata o:title=""/>
                      <o:lock v:ext="edit" aspectratio="f"/>
                      <v:textbox>
                        <w:txbxContent>
                          <w:p w14:paraId="41098E3D">
                            <w:pPr>
                              <w:rPr>
                                <w:rFonts w:hint="default" w:eastAsia="宋体"/>
                                <w:color w:val="000000"/>
                                <w:lang w:val="en-US" w:eastAsia="zh-CN"/>
                              </w:rPr>
                            </w:pPr>
                            <w:r>
                              <w:rPr>
                                <w:rFonts w:hint="eastAsia" w:eastAsia="宋体"/>
                                <w:color w:val="000000"/>
                                <w:lang w:val="en-US" w:eastAsia="zh-CN"/>
                              </w:rPr>
                              <w:t>引用监测点位</w:t>
                            </w:r>
                          </w:p>
                        </w:txbxContent>
                      </v:textbox>
                    </v:shape>
                  </w:pict>
                </mc:Fallback>
              </mc:AlternateContent>
            </w:r>
            <w:r>
              <w:rPr>
                <w:color w:val="auto"/>
                <w:sz w:val="24"/>
              </w:rPr>
              <mc:AlternateContent>
                <mc:Choice Requires="wps">
                  <w:drawing>
                    <wp:anchor distT="0" distB="0" distL="114300" distR="114300" simplePos="0" relativeHeight="251667456" behindDoc="0" locked="0" layoutInCell="1" allowOverlap="1">
                      <wp:simplePos x="0" y="0"/>
                      <wp:positionH relativeFrom="column">
                        <wp:posOffset>3594100</wp:posOffset>
                      </wp:positionH>
                      <wp:positionV relativeFrom="paragraph">
                        <wp:posOffset>749935</wp:posOffset>
                      </wp:positionV>
                      <wp:extent cx="914400" cy="238760"/>
                      <wp:effectExtent l="48260" t="0" r="8890" b="351790"/>
                      <wp:wrapNone/>
                      <wp:docPr id="335" name="矩形标注 335"/>
                      <wp:cNvGraphicFramePr/>
                      <a:graphic xmlns:a="http://schemas.openxmlformats.org/drawingml/2006/main">
                        <a:graphicData uri="http://schemas.microsoft.com/office/word/2010/wordprocessingShape">
                          <wps:wsp>
                            <wps:cNvSpPr/>
                            <wps:spPr>
                              <a:xfrm>
                                <a:off x="0" y="0"/>
                                <a:ext cx="914400" cy="238760"/>
                              </a:xfrm>
                              <a:prstGeom prst="wedgeRectCallout">
                                <a:avLst>
                                  <a:gd name="adj1" fmla="val -55273"/>
                                  <a:gd name="adj2" fmla="val 189630"/>
                                </a:avLst>
                              </a:prstGeom>
                              <a:solidFill>
                                <a:srgbClr val="FFFFFF"/>
                              </a:solidFill>
                              <a:ln>
                                <a:noFill/>
                              </a:ln>
                            </wps:spPr>
                            <wps:txbx>
                              <w:txbxContent>
                                <w:p w14:paraId="08183507">
                                  <w:pPr>
                                    <w:rPr>
                                      <w:rFonts w:hint="eastAsia" w:eastAsia="宋体"/>
                                      <w:color w:val="000000"/>
                                      <w:lang w:val="en-US" w:eastAsia="zh-CN"/>
                                    </w:rPr>
                                  </w:pPr>
                                  <w:r>
                                    <w:rPr>
                                      <w:rFonts w:hint="eastAsia"/>
                                      <w:color w:val="000000"/>
                                      <w:lang w:val="en-US" w:eastAsia="zh-CN"/>
                                    </w:rPr>
                                    <w:t>项目所在地</w:t>
                                  </w:r>
                                </w:p>
                              </w:txbxContent>
                            </wps:txbx>
                            <wps:bodyPr upright="1"/>
                          </wps:wsp>
                        </a:graphicData>
                      </a:graphic>
                    </wp:anchor>
                  </w:drawing>
                </mc:Choice>
                <mc:Fallback>
                  <w:pict>
                    <v:shape id="_x0000_s1026" o:spid="_x0000_s1026" o:spt="61" type="#_x0000_t61" style="position:absolute;left:0pt;margin-left:283pt;margin-top:59.05pt;height:18.8pt;width:72pt;z-index:251667456;mso-width-relative:page;mso-height-relative:page;" fillcolor="#FFFFFF" filled="t" stroked="f" coordsize="21600,21600" o:gfxdata="UEsDBAoAAAAAAIdO4kAAAAAAAAAAAAAAAAAEAAAAZHJzL1BLAwQUAAAACACHTuJAJZjclNoAAAAL&#10;AQAADwAAAGRycy9kb3ducmV2LnhtbE2PzU7DMBCE70i8g7VIXBC1jZS0CnGqqlL5UbkQeAA33iYR&#10;8TrE7g88PcsJjjszmv2mXJ79II44xT6QAT1TIJCa4HpqDby/bW4XIGKy5OwQCA18YYRldXlR2sKF&#10;E73isU6t4BKKhTXQpTQWUsamQ2/jLIxI7O3D5G3ic2qlm+yJy/0g75TKpbc98YfOjrjusPmoD97A&#10;5vt5m9r9aq2eHm62vl7Fx/zzxZjrK63uQSQ8p78w/OIzOlTMtAsHclEMBrI85y2JDb3QIDgx14qV&#10;HStZNgdZlfL/huoHUEsDBBQAAAAIAIdO4kCaRiNN8QEAANIDAAAOAAAAZHJzL2Uyb0RvYy54bWyt&#10;U01y0zAU3jPDHTTaN47jJk09cbpoJmwY6FB6AEWSbTH6G0mJnRNwDBhWsGbNcSjX4Elx07RsusAL&#10;+/3pe+/7nry46pVEO+68MLrC+WiMEdfUMKGbCt99XJ/NMfKBaEak0bzCe+7x1fL1q0VnSz4xrZGM&#10;OwQg2pedrXAbgi2zzNOWK+JHxnINydo4RQK4rsmYIx2gK5lNxuNZ1hnHrDOUew/R1SGJB0T3EkBT&#10;14LylaFbxXU4oDouSQBKvhXW42Watq45De/r2vOAZIWBaUhvaAL2Jr6z5YKUjSO2FXQYgbxkhGec&#10;FBEamh6hViQQtHXiHyglqDPe1GFEjcoORJIiwCIfP9PmtiWWJy4gtbdH0f3/g6XvdjcOCVbhophi&#10;pImClf/58uP3r2/3Xz/f//yOYhxU6qwvofjW3rjB82BGyn3tVPwCGdQnZfdHZXkfEIXgZX5+PgbN&#10;KaQmxfxilpTPHg9b58MbbhSKRoU7zhr+AbZ3TaQ025C0Jbu3PiSR2TAoYZ9yjGolYWc7ItHZdDq5&#10;KIalnhRNTovy+eWseOg/YMIkDxPEBt5IwdZCyuS4ZnMtHYIGFV6nJ3aAI0/KpI7F2sRjh3SMZFG3&#10;g1LRCv2mH+TbGLYH6bfWiaYFynkCjUWw6gQ/XMt4l079BPr4Ky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CWY3JTaAAAACwEAAA8AAAAAAAAAAQAgAAAAIgAAAGRycy9kb3ducmV2LnhtbFBLAQIU&#10;ABQAAAAIAIdO4kCaRiNN8QEAANIDAAAOAAAAAAAAAAEAIAAAACkBAABkcnMvZTJvRG9jLnhtbFBL&#10;BQYAAAAABgAGAFkBAACMBQAAAAA=&#10;" adj="-1139,51760">
                      <v:fill on="t" focussize="0,0"/>
                      <v:stroke on="f"/>
                      <v:imagedata o:title=""/>
                      <o:lock v:ext="edit" aspectratio="f"/>
                      <v:textbox>
                        <w:txbxContent>
                          <w:p w14:paraId="08183507">
                            <w:pPr>
                              <w:rPr>
                                <w:rFonts w:hint="eastAsia" w:eastAsia="宋体"/>
                                <w:color w:val="000000"/>
                                <w:lang w:val="en-US" w:eastAsia="zh-CN"/>
                              </w:rPr>
                            </w:pPr>
                            <w:r>
                              <w:rPr>
                                <w:rFonts w:hint="eastAsia"/>
                                <w:color w:val="000000"/>
                                <w:lang w:val="en-US" w:eastAsia="zh-CN"/>
                              </w:rPr>
                              <w:t>项目所在地</w:t>
                            </w:r>
                          </w:p>
                        </w:txbxContent>
                      </v:textbox>
                    </v:shape>
                  </w:pict>
                </mc:Fallback>
              </mc:AlternateContent>
            </w:r>
          </w:p>
          <w:p w14:paraId="3DF35365">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s="Times New Roman"/>
                <w:b/>
                <w:color w:val="auto"/>
                <w:sz w:val="24"/>
              </w:rPr>
            </w:pPr>
            <w:r>
              <w:rPr>
                <w:rFonts w:hint="eastAsia"/>
                <w:b/>
                <w:bCs/>
                <w:color w:val="auto"/>
                <w:szCs w:val="21"/>
              </w:rPr>
              <w:t>图3-1  大气监测</w:t>
            </w:r>
            <w:r>
              <w:rPr>
                <w:rFonts w:hint="eastAsia"/>
                <w:b/>
                <w:bCs/>
                <w:color w:val="auto"/>
                <w:szCs w:val="21"/>
                <w:lang w:val="en-US" w:eastAsia="zh-CN"/>
              </w:rPr>
              <w:t>引用点位距离</w:t>
            </w:r>
            <w:r>
              <w:rPr>
                <w:rFonts w:hint="eastAsia"/>
                <w:b/>
                <w:bCs/>
                <w:color w:val="auto"/>
                <w:szCs w:val="21"/>
              </w:rPr>
              <w:t>图</w:t>
            </w:r>
          </w:p>
          <w:p w14:paraId="4425D86E">
            <w:pPr>
              <w:spacing w:line="360" w:lineRule="auto"/>
              <w:rPr>
                <w:b/>
                <w:bCs/>
                <w:color w:val="auto"/>
                <w:sz w:val="24"/>
                <w:szCs w:val="24"/>
              </w:rPr>
            </w:pPr>
            <w:r>
              <w:rPr>
                <w:b/>
                <w:bCs/>
                <w:color w:val="auto"/>
                <w:sz w:val="24"/>
                <w:szCs w:val="24"/>
              </w:rPr>
              <w:t>2、水环境</w:t>
            </w:r>
          </w:p>
          <w:p w14:paraId="23A28343">
            <w:pPr>
              <w:spacing w:line="360" w:lineRule="auto"/>
              <w:ind w:firstLine="480" w:firstLineChars="200"/>
              <w:rPr>
                <w:rFonts w:hint="eastAsia" w:ascii="Times New Roman" w:hAnsi="Times New Roman" w:eastAsia="宋体" w:cs="Times New Roman"/>
                <w:b w:val="0"/>
                <w:bCs w:val="0"/>
                <w:color w:val="auto"/>
                <w:sz w:val="24"/>
                <w:lang w:eastAsia="zh-CN"/>
              </w:rPr>
            </w:pPr>
            <w:r>
              <w:rPr>
                <w:rFonts w:hint="default" w:ascii="Times New Roman" w:hAnsi="Times New Roman" w:cs="Times New Roman"/>
                <w:b w:val="0"/>
                <w:bCs w:val="0"/>
                <w:color w:val="auto"/>
                <w:sz w:val="24"/>
              </w:rPr>
              <w:t>本项目</w:t>
            </w:r>
            <w:r>
              <w:rPr>
                <w:rFonts w:hint="eastAsia" w:ascii="Times New Roman" w:hAnsi="Times New Roman" w:cs="Times New Roman"/>
                <w:b w:val="0"/>
                <w:bCs w:val="0"/>
                <w:color w:val="auto"/>
                <w:sz w:val="24"/>
                <w:lang w:val="en-US" w:eastAsia="zh-CN"/>
              </w:rPr>
              <w:t>地表水体</w:t>
            </w:r>
            <w:r>
              <w:rPr>
                <w:rFonts w:hint="default" w:ascii="Times New Roman" w:hAnsi="Times New Roman" w:cs="Times New Roman"/>
                <w:b w:val="0"/>
                <w:bCs w:val="0"/>
                <w:color w:val="auto"/>
                <w:sz w:val="24"/>
              </w:rPr>
              <w:t>为</w:t>
            </w:r>
            <w:r>
              <w:rPr>
                <w:rFonts w:hint="eastAsia" w:cs="Times New Roman"/>
                <w:b w:val="0"/>
                <w:bCs w:val="0"/>
                <w:color w:val="auto"/>
                <w:sz w:val="24"/>
                <w:lang w:val="en-US" w:eastAsia="zh-CN"/>
              </w:rPr>
              <w:t>泥</w:t>
            </w:r>
            <w:r>
              <w:rPr>
                <w:rFonts w:hint="eastAsia" w:ascii="Times New Roman" w:hAnsi="Times New Roman" w:cs="Times New Roman"/>
                <w:b w:val="0"/>
                <w:bCs w:val="0"/>
                <w:color w:val="auto"/>
                <w:sz w:val="24"/>
                <w:lang w:val="en-US" w:eastAsia="zh-CN"/>
              </w:rPr>
              <w:t>河</w:t>
            </w:r>
            <w:r>
              <w:rPr>
                <w:rFonts w:hint="default" w:ascii="Times New Roman" w:hAnsi="Times New Roman" w:cs="Times New Roman"/>
                <w:b w:val="0"/>
                <w:bCs w:val="0"/>
                <w:color w:val="auto"/>
                <w:sz w:val="24"/>
              </w:rPr>
              <w:t>。</w:t>
            </w:r>
            <w:bookmarkStart w:id="8" w:name="_Hlk147561784"/>
            <w:r>
              <w:rPr>
                <w:rFonts w:hint="default" w:ascii="Times New Roman" w:hAnsi="Times New Roman" w:cs="Times New Roman"/>
                <w:b w:val="0"/>
                <w:bCs w:val="0"/>
                <w:color w:val="auto"/>
                <w:sz w:val="24"/>
              </w:rPr>
              <w:t>根据</w:t>
            </w:r>
            <w:r>
              <w:rPr>
                <w:rFonts w:ascii="Times New Roman" w:hAnsi="Times New Roman" w:eastAsia="宋体" w:cs="Times New Roman"/>
                <w:snapToGrid w:val="0"/>
                <w:color w:val="auto"/>
                <w:spacing w:val="-2"/>
                <w:sz w:val="24"/>
                <w:szCs w:val="24"/>
              </w:rPr>
              <w:t>《202</w:t>
            </w:r>
            <w:r>
              <w:rPr>
                <w:rFonts w:hint="eastAsia" w:cs="Times New Roman"/>
                <w:snapToGrid w:val="0"/>
                <w:color w:val="auto"/>
                <w:spacing w:val="-2"/>
                <w:sz w:val="24"/>
                <w:szCs w:val="24"/>
                <w:lang w:val="en-US" w:eastAsia="zh-CN"/>
              </w:rPr>
              <w:t>4</w:t>
            </w:r>
            <w:r>
              <w:rPr>
                <w:rFonts w:ascii="Times New Roman" w:hAnsi="Times New Roman" w:eastAsia="宋体" w:cs="Times New Roman"/>
                <w:snapToGrid w:val="0"/>
                <w:color w:val="auto"/>
                <w:spacing w:val="-2"/>
                <w:sz w:val="24"/>
                <w:szCs w:val="24"/>
              </w:rPr>
              <w:t>年淮南市环境质量状况公报》</w:t>
            </w:r>
            <w:r>
              <w:rPr>
                <w:rFonts w:hint="default" w:ascii="Times New Roman" w:hAnsi="Times New Roman" w:cs="Times New Roman"/>
                <w:b w:val="0"/>
                <w:bCs w:val="0"/>
                <w:color w:val="auto"/>
                <w:sz w:val="24"/>
              </w:rPr>
              <w:t>，202</w:t>
            </w:r>
            <w:r>
              <w:rPr>
                <w:rFonts w:hint="eastAsia" w:cs="Times New Roman"/>
                <w:b w:val="0"/>
                <w:bCs w:val="0"/>
                <w:color w:val="auto"/>
                <w:sz w:val="24"/>
                <w:lang w:val="en-US" w:eastAsia="zh-CN"/>
              </w:rPr>
              <w:t>4</w:t>
            </w:r>
            <w:r>
              <w:rPr>
                <w:rFonts w:hint="default" w:ascii="Times New Roman" w:hAnsi="Times New Roman" w:cs="Times New Roman"/>
                <w:b w:val="0"/>
                <w:bCs w:val="0"/>
                <w:color w:val="auto"/>
                <w:sz w:val="24"/>
              </w:rPr>
              <w:t>年</w:t>
            </w:r>
            <w:r>
              <w:rPr>
                <w:rFonts w:hint="eastAsia" w:ascii="Times New Roman" w:hAnsi="Times New Roman" w:cs="Times New Roman"/>
                <w:b w:val="0"/>
                <w:bCs w:val="0"/>
                <w:color w:val="auto"/>
                <w:sz w:val="24"/>
                <w:lang w:val="en-US" w:eastAsia="zh-CN"/>
              </w:rPr>
              <w:t>淮南市</w:t>
            </w:r>
            <w:r>
              <w:rPr>
                <w:rFonts w:hint="eastAsia" w:cs="Times New Roman"/>
                <w:b w:val="0"/>
                <w:bCs w:val="0"/>
                <w:color w:val="auto"/>
                <w:sz w:val="24"/>
                <w:lang w:val="en-US" w:eastAsia="zh-CN"/>
              </w:rPr>
              <w:t>泥</w:t>
            </w:r>
            <w:r>
              <w:rPr>
                <w:rFonts w:hint="eastAsia" w:ascii="Times New Roman" w:hAnsi="Times New Roman" w:cs="Times New Roman"/>
                <w:b w:val="0"/>
                <w:bCs w:val="0"/>
                <w:color w:val="auto"/>
                <w:sz w:val="24"/>
                <w:lang w:val="en-US" w:eastAsia="zh-CN"/>
              </w:rPr>
              <w:t>河</w:t>
            </w:r>
            <w:r>
              <w:rPr>
                <w:rFonts w:hint="default" w:ascii="Times New Roman" w:hAnsi="Times New Roman" w:cs="Times New Roman"/>
                <w:b w:val="0"/>
                <w:bCs w:val="0"/>
                <w:color w:val="auto"/>
                <w:sz w:val="24"/>
              </w:rPr>
              <w:t>地表水水质满足《地表水环境质量标准》（GB3838-2002）Ⅲ类标准要求</w:t>
            </w:r>
            <w:bookmarkEnd w:id="8"/>
            <w:r>
              <w:rPr>
                <w:rFonts w:hint="eastAsia" w:ascii="Times New Roman" w:hAnsi="Times New Roman" w:cs="Times New Roman"/>
                <w:b w:val="0"/>
                <w:bCs w:val="0"/>
                <w:color w:val="auto"/>
                <w:sz w:val="24"/>
                <w:lang w:eastAsia="zh-CN"/>
              </w:rPr>
              <w:t>。</w:t>
            </w:r>
          </w:p>
          <w:p w14:paraId="4F5A713C">
            <w:pPr>
              <w:spacing w:line="360" w:lineRule="auto"/>
              <w:rPr>
                <w:b/>
                <w:color w:val="auto"/>
                <w:sz w:val="24"/>
                <w:szCs w:val="24"/>
              </w:rPr>
            </w:pPr>
            <w:r>
              <w:rPr>
                <w:rFonts w:hint="eastAsia"/>
                <w:b/>
                <w:color w:val="auto"/>
                <w:sz w:val="24"/>
                <w:szCs w:val="24"/>
              </w:rPr>
              <w:t>3、</w:t>
            </w:r>
            <w:r>
              <w:rPr>
                <w:b/>
                <w:color w:val="auto"/>
                <w:sz w:val="24"/>
                <w:szCs w:val="24"/>
              </w:rPr>
              <w:t>声环境</w:t>
            </w:r>
          </w:p>
          <w:p w14:paraId="5F76AAC9">
            <w:pPr>
              <w:adjustRightInd w:val="0"/>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rPr>
              <w:t>为了解项目声环境现状情况，</w:t>
            </w:r>
            <w:r>
              <w:rPr>
                <w:rFonts w:hint="default" w:ascii="Times New Roman" w:hAnsi="Times New Roman" w:cs="Times New Roman"/>
                <w:color w:val="auto"/>
                <w:sz w:val="24"/>
                <w:lang w:val="en-US" w:eastAsia="zh-CN"/>
              </w:rPr>
              <w:t>项目委托</w:t>
            </w:r>
            <w:r>
              <w:rPr>
                <w:rFonts w:hint="eastAsia" w:cs="Times New Roman"/>
                <w:color w:val="auto"/>
                <w:sz w:val="24"/>
                <w:lang w:val="en-US" w:eastAsia="zh-CN"/>
              </w:rPr>
              <w:t>安徽国测检测技术有限公司对本项目厂界50m范围内的敏感点进行了噪声监测并出具了本项目的噪声监测报告（报告编号：AH2025072501），监测时间为2025年8月8日，监测结果如下：</w:t>
            </w:r>
          </w:p>
          <w:p w14:paraId="7D924804">
            <w:pPr>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（1）监测点位、监测项目</w:t>
            </w:r>
          </w:p>
          <w:p w14:paraId="40AB6B4E">
            <w:pPr>
              <w:adjustRightInd w:val="0"/>
              <w:spacing w:line="360" w:lineRule="auto"/>
              <w:ind w:firstLine="480" w:firstLineChars="200"/>
              <w:rPr>
                <w:rFonts w:hint="default" w:ascii="Times New Roman" w:hAnsi="Times New Roman" w:cs="Times New Roman"/>
                <w:color w:val="auto"/>
                <w:szCs w:val="21"/>
              </w:rPr>
            </w:pPr>
            <w:r>
              <w:rPr>
                <w:rFonts w:hint="default" w:ascii="Times New Roman" w:hAnsi="Times New Roman" w:cs="Times New Roman"/>
                <w:color w:val="auto"/>
                <w:sz w:val="24"/>
              </w:rPr>
              <w:t>本次评价</w:t>
            </w:r>
            <w:r>
              <w:rPr>
                <w:rFonts w:hint="default" w:ascii="Times New Roman" w:hAnsi="Times New Roman" w:cs="Times New Roman"/>
                <w:color w:val="auto"/>
                <w:sz w:val="24"/>
                <w:lang w:val="en-US" w:eastAsia="zh-CN"/>
              </w:rPr>
              <w:t>在项目</w:t>
            </w:r>
            <w:r>
              <w:rPr>
                <w:rFonts w:hint="eastAsia" w:ascii="Times New Roman" w:hAnsi="Times New Roman" w:cs="Times New Roman"/>
                <w:color w:val="auto"/>
                <w:sz w:val="24"/>
                <w:lang w:val="en-US" w:eastAsia="zh-CN"/>
              </w:rPr>
              <w:t>厂区</w:t>
            </w:r>
            <w:r>
              <w:rPr>
                <w:rFonts w:hint="eastAsia" w:cs="Times New Roman"/>
                <w:color w:val="auto"/>
                <w:sz w:val="24"/>
                <w:lang w:val="en-US" w:eastAsia="zh-CN"/>
              </w:rPr>
              <w:t>四周及周围6个居民点共</w:t>
            </w:r>
            <w:r>
              <w:rPr>
                <w:rFonts w:hint="default" w:ascii="Times New Roman" w:hAnsi="Times New Roman" w:cs="Times New Roman"/>
                <w:color w:val="auto"/>
                <w:sz w:val="24"/>
              </w:rPr>
              <w:t>设置</w:t>
            </w:r>
            <w:r>
              <w:rPr>
                <w:rFonts w:hint="eastAsia" w:cs="Times New Roman"/>
                <w:color w:val="auto"/>
                <w:sz w:val="24"/>
                <w:lang w:val="en-US" w:eastAsia="zh-CN"/>
              </w:rPr>
              <w:t>10</w:t>
            </w:r>
            <w:r>
              <w:rPr>
                <w:rFonts w:hint="default" w:ascii="Times New Roman" w:hAnsi="Times New Roman" w:cs="Times New Roman"/>
                <w:color w:val="auto"/>
                <w:sz w:val="24"/>
              </w:rPr>
              <w:t>个监测点，监测项目为连续等效A声级，详见下表</w:t>
            </w:r>
          </w:p>
          <w:p w14:paraId="65D7E685">
            <w:pPr>
              <w:jc w:val="center"/>
              <w:rPr>
                <w:rFonts w:hint="default" w:ascii="Times New Roman" w:hAnsi="Times New Roman" w:cs="Times New Roman"/>
                <w:b/>
                <w:color w:val="auto"/>
                <w:szCs w:val="21"/>
              </w:rPr>
            </w:pPr>
            <w:bookmarkStart w:id="9" w:name="_Toc149739344"/>
            <w:r>
              <w:rPr>
                <w:rFonts w:hint="default" w:ascii="Times New Roman" w:hAnsi="Times New Roman" w:cs="Times New Roman"/>
                <w:b/>
                <w:color w:val="auto"/>
                <w:szCs w:val="21"/>
              </w:rPr>
              <w:t>表3-</w:t>
            </w:r>
            <w:r>
              <w:rPr>
                <w:rFonts w:hint="eastAsia" w:cs="Times New Roman"/>
                <w:b/>
                <w:color w:val="auto"/>
                <w:szCs w:val="21"/>
                <w:lang w:val="en-US" w:eastAsia="zh-CN"/>
              </w:rPr>
              <w:t>5</w:t>
            </w:r>
            <w:r>
              <w:rPr>
                <w:rFonts w:hint="default" w:ascii="Times New Roman" w:hAnsi="Times New Roman" w:cs="Times New Roman"/>
                <w:b/>
                <w:color w:val="auto"/>
                <w:szCs w:val="21"/>
              </w:rPr>
              <w:t xml:space="preserve">  现状噪声监测布点</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518"/>
              <w:gridCol w:w="2483"/>
              <w:gridCol w:w="2674"/>
            </w:tblGrid>
            <w:tr w14:paraId="72A2B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2027" w:type="pct"/>
                  <w:noWrap w:val="0"/>
                  <w:vAlign w:val="center"/>
                </w:tcPr>
                <w:p w14:paraId="4D0240D8">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监测点名称</w:t>
                  </w:r>
                </w:p>
              </w:tc>
              <w:tc>
                <w:tcPr>
                  <w:tcW w:w="1431" w:type="pct"/>
                  <w:noWrap w:val="0"/>
                  <w:vAlign w:val="center"/>
                </w:tcPr>
                <w:p w14:paraId="1DAD2333">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位置</w:t>
                  </w:r>
                </w:p>
              </w:tc>
              <w:tc>
                <w:tcPr>
                  <w:tcW w:w="1541" w:type="pct"/>
                  <w:noWrap w:val="0"/>
                  <w:vAlign w:val="center"/>
                </w:tcPr>
                <w:p w14:paraId="26FB5C64">
                  <w:pPr>
                    <w:adjustRightInd w:val="0"/>
                    <w:snapToGrid w:val="0"/>
                    <w:jc w:val="center"/>
                    <w:rPr>
                      <w:rFonts w:hint="default" w:ascii="Times New Roman" w:hAnsi="Times New Roman" w:cs="Times New Roman"/>
                      <w:b/>
                      <w:color w:val="auto"/>
                      <w:szCs w:val="21"/>
                    </w:rPr>
                  </w:pPr>
                  <w:r>
                    <w:rPr>
                      <w:rFonts w:hint="default" w:ascii="Times New Roman" w:hAnsi="Times New Roman" w:cs="Times New Roman"/>
                      <w:b/>
                      <w:color w:val="auto"/>
                      <w:szCs w:val="21"/>
                    </w:rPr>
                    <w:t>设置意义</w:t>
                  </w:r>
                </w:p>
              </w:tc>
            </w:tr>
            <w:tr w14:paraId="2C0F8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2027" w:type="pct"/>
                  <w:noWrap w:val="0"/>
                  <w:vAlign w:val="center"/>
                </w:tcPr>
                <w:p w14:paraId="256DE9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1</w:t>
                  </w:r>
                </w:p>
              </w:tc>
              <w:tc>
                <w:tcPr>
                  <w:tcW w:w="1431" w:type="pct"/>
                  <w:noWrap w:val="0"/>
                  <w:vAlign w:val="center"/>
                </w:tcPr>
                <w:p w14:paraId="4DBBAA1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厂区东侧</w:t>
                  </w:r>
                  <w:r>
                    <w:rPr>
                      <w:rFonts w:hint="eastAsia" w:cs="Times New Roman"/>
                      <w:color w:val="auto"/>
                      <w:szCs w:val="21"/>
                      <w:lang w:val="en-US" w:eastAsia="zh-CN"/>
                    </w:rPr>
                    <w:t>10米</w:t>
                  </w:r>
                </w:p>
              </w:tc>
              <w:tc>
                <w:tcPr>
                  <w:tcW w:w="1541" w:type="pct"/>
                  <w:vMerge w:val="restart"/>
                  <w:noWrap w:val="0"/>
                  <w:vAlign w:val="center"/>
                </w:tcPr>
                <w:p w14:paraId="6C46408B">
                  <w:pPr>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敏感点声环境现状</w:t>
                  </w:r>
                </w:p>
              </w:tc>
            </w:tr>
            <w:tr w14:paraId="21508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2027" w:type="pct"/>
                  <w:noWrap w:val="0"/>
                  <w:vAlign w:val="center"/>
                </w:tcPr>
                <w:p w14:paraId="29AAF2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2</w:t>
                  </w:r>
                </w:p>
              </w:tc>
              <w:tc>
                <w:tcPr>
                  <w:tcW w:w="1431" w:type="pct"/>
                  <w:noWrap w:val="0"/>
                  <w:vAlign w:val="center"/>
                </w:tcPr>
                <w:p w14:paraId="75BB3392">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厂区东南侧</w:t>
                  </w:r>
                  <w:r>
                    <w:rPr>
                      <w:rFonts w:hint="eastAsia" w:cs="Times New Roman"/>
                      <w:color w:val="auto"/>
                      <w:szCs w:val="21"/>
                      <w:lang w:val="en-US" w:eastAsia="zh-CN"/>
                    </w:rPr>
                    <w:t>44米</w:t>
                  </w:r>
                </w:p>
              </w:tc>
              <w:tc>
                <w:tcPr>
                  <w:tcW w:w="1541" w:type="pct"/>
                  <w:vMerge w:val="continue"/>
                  <w:noWrap w:val="0"/>
                  <w:vAlign w:val="center"/>
                </w:tcPr>
                <w:p w14:paraId="2BC159BD">
                  <w:pPr>
                    <w:jc w:val="center"/>
                    <w:rPr>
                      <w:rFonts w:hint="default" w:ascii="Times New Roman" w:hAnsi="Times New Roman" w:cs="Times New Roman"/>
                      <w:color w:val="auto"/>
                      <w:szCs w:val="21"/>
                    </w:rPr>
                  </w:pPr>
                </w:p>
              </w:tc>
            </w:tr>
            <w:tr w14:paraId="75DE7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2027" w:type="pct"/>
                  <w:noWrap w:val="0"/>
                  <w:vAlign w:val="center"/>
                </w:tcPr>
                <w:p w14:paraId="7B2FB4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3</w:t>
                  </w:r>
                </w:p>
              </w:tc>
              <w:tc>
                <w:tcPr>
                  <w:tcW w:w="1431" w:type="pct"/>
                  <w:noWrap w:val="0"/>
                  <w:vAlign w:val="center"/>
                </w:tcPr>
                <w:p w14:paraId="1C3676F4">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厂区西南侧</w:t>
                  </w:r>
                  <w:r>
                    <w:rPr>
                      <w:rFonts w:hint="eastAsia" w:cs="Times New Roman"/>
                      <w:color w:val="auto"/>
                      <w:szCs w:val="21"/>
                      <w:lang w:val="en-US" w:eastAsia="zh-CN"/>
                    </w:rPr>
                    <w:t>37米</w:t>
                  </w:r>
                </w:p>
              </w:tc>
              <w:tc>
                <w:tcPr>
                  <w:tcW w:w="1541" w:type="pct"/>
                  <w:vMerge w:val="continue"/>
                  <w:noWrap w:val="0"/>
                  <w:vAlign w:val="center"/>
                </w:tcPr>
                <w:p w14:paraId="6FC2992B">
                  <w:pPr>
                    <w:jc w:val="center"/>
                    <w:rPr>
                      <w:rFonts w:hint="default" w:ascii="Times New Roman" w:hAnsi="Times New Roman" w:cs="Times New Roman"/>
                      <w:color w:val="auto"/>
                      <w:szCs w:val="21"/>
                    </w:rPr>
                  </w:pPr>
                </w:p>
              </w:tc>
            </w:tr>
            <w:tr w14:paraId="5F178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2027" w:type="pct"/>
                  <w:noWrap w:val="0"/>
                  <w:vAlign w:val="center"/>
                </w:tcPr>
                <w:p w14:paraId="57B16B1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4</w:t>
                  </w:r>
                </w:p>
              </w:tc>
              <w:tc>
                <w:tcPr>
                  <w:tcW w:w="1431" w:type="pct"/>
                  <w:noWrap w:val="0"/>
                  <w:vAlign w:val="center"/>
                </w:tcPr>
                <w:p w14:paraId="611B907D">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厂区西侧</w:t>
                  </w:r>
                  <w:r>
                    <w:rPr>
                      <w:rFonts w:hint="eastAsia" w:cs="Times New Roman"/>
                      <w:color w:val="auto"/>
                      <w:szCs w:val="21"/>
                      <w:lang w:val="en-US" w:eastAsia="zh-CN"/>
                    </w:rPr>
                    <w:t>12米</w:t>
                  </w:r>
                </w:p>
              </w:tc>
              <w:tc>
                <w:tcPr>
                  <w:tcW w:w="1541" w:type="pct"/>
                  <w:vMerge w:val="continue"/>
                  <w:noWrap w:val="0"/>
                  <w:vAlign w:val="center"/>
                </w:tcPr>
                <w:p w14:paraId="00B86428">
                  <w:pPr>
                    <w:jc w:val="center"/>
                    <w:rPr>
                      <w:rFonts w:hint="default" w:ascii="Times New Roman" w:hAnsi="Times New Roman" w:cs="Times New Roman"/>
                      <w:color w:val="auto"/>
                      <w:szCs w:val="21"/>
                    </w:rPr>
                  </w:pPr>
                </w:p>
              </w:tc>
            </w:tr>
            <w:tr w14:paraId="1C872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2027" w:type="pct"/>
                  <w:noWrap w:val="0"/>
                  <w:vAlign w:val="center"/>
                </w:tcPr>
                <w:p w14:paraId="14EA8E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5</w:t>
                  </w:r>
                </w:p>
              </w:tc>
              <w:tc>
                <w:tcPr>
                  <w:tcW w:w="1431" w:type="pct"/>
                  <w:noWrap w:val="0"/>
                  <w:vAlign w:val="center"/>
                </w:tcPr>
                <w:p w14:paraId="681E028F">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厂区西侧</w:t>
                  </w:r>
                  <w:r>
                    <w:rPr>
                      <w:rFonts w:hint="eastAsia" w:cs="Times New Roman"/>
                      <w:color w:val="auto"/>
                      <w:szCs w:val="21"/>
                      <w:lang w:val="en-US" w:eastAsia="zh-CN"/>
                    </w:rPr>
                    <w:t>5米</w:t>
                  </w:r>
                </w:p>
              </w:tc>
              <w:tc>
                <w:tcPr>
                  <w:tcW w:w="1541" w:type="pct"/>
                  <w:vMerge w:val="continue"/>
                  <w:noWrap w:val="0"/>
                  <w:vAlign w:val="center"/>
                </w:tcPr>
                <w:p w14:paraId="29058512">
                  <w:pPr>
                    <w:jc w:val="center"/>
                    <w:rPr>
                      <w:rFonts w:hint="default" w:ascii="Times New Roman" w:hAnsi="Times New Roman" w:cs="Times New Roman"/>
                      <w:color w:val="auto"/>
                      <w:szCs w:val="21"/>
                    </w:rPr>
                  </w:pPr>
                </w:p>
              </w:tc>
            </w:tr>
            <w:tr w14:paraId="0745D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4" w:hRule="atLeast"/>
                <w:jc w:val="center"/>
              </w:trPr>
              <w:tc>
                <w:tcPr>
                  <w:tcW w:w="2027" w:type="pct"/>
                  <w:noWrap w:val="0"/>
                  <w:vAlign w:val="center"/>
                </w:tcPr>
                <w:p w14:paraId="58389F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6</w:t>
                  </w:r>
                </w:p>
              </w:tc>
              <w:tc>
                <w:tcPr>
                  <w:tcW w:w="1431" w:type="pct"/>
                  <w:noWrap w:val="0"/>
                  <w:vAlign w:val="center"/>
                </w:tcPr>
                <w:p w14:paraId="744702FA">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厂区北侧</w:t>
                  </w:r>
                  <w:r>
                    <w:rPr>
                      <w:rFonts w:hint="eastAsia" w:cs="Times New Roman"/>
                      <w:color w:val="auto"/>
                      <w:szCs w:val="21"/>
                      <w:lang w:val="en-US" w:eastAsia="zh-CN"/>
                    </w:rPr>
                    <w:t>12米</w:t>
                  </w:r>
                </w:p>
              </w:tc>
              <w:tc>
                <w:tcPr>
                  <w:tcW w:w="1541" w:type="pct"/>
                  <w:vMerge w:val="continue"/>
                  <w:noWrap w:val="0"/>
                  <w:vAlign w:val="center"/>
                </w:tcPr>
                <w:p w14:paraId="2160FF0A">
                  <w:pPr>
                    <w:jc w:val="center"/>
                    <w:rPr>
                      <w:rFonts w:hint="default" w:ascii="Times New Roman" w:hAnsi="Times New Roman" w:cs="Times New Roman"/>
                      <w:color w:val="auto"/>
                      <w:szCs w:val="21"/>
                    </w:rPr>
                  </w:pPr>
                </w:p>
              </w:tc>
            </w:tr>
          </w:tbl>
          <w:p w14:paraId="23E22618">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（2）测量仪器、方法及频次</w:t>
            </w:r>
            <w:bookmarkEnd w:id="9"/>
          </w:p>
          <w:p w14:paraId="74585989">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测量仪器：测量仪器采用</w:t>
            </w:r>
            <w:r>
              <w:rPr>
                <w:rFonts w:hint="eastAsia" w:cs="Times New Roman"/>
                <w:color w:val="auto"/>
                <w:sz w:val="24"/>
                <w:lang w:eastAsia="zh-CN"/>
              </w:rPr>
              <w:t>声级计</w:t>
            </w:r>
            <w:r>
              <w:rPr>
                <w:rFonts w:hint="eastAsia" w:cs="Times New Roman"/>
                <w:color w:val="auto"/>
                <w:sz w:val="24"/>
                <w:lang w:val="en-US" w:eastAsia="zh-CN"/>
              </w:rPr>
              <w:t>（SDSC-ZL-015）</w:t>
            </w:r>
            <w:r>
              <w:rPr>
                <w:rFonts w:hint="default" w:ascii="Times New Roman" w:hAnsi="Times New Roman" w:cs="Times New Roman"/>
                <w:color w:val="auto"/>
                <w:sz w:val="24"/>
              </w:rPr>
              <w:t>进行测量。</w:t>
            </w:r>
          </w:p>
          <w:p w14:paraId="36096434">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测量方法：测量昼间（06:00～22:00）</w:t>
            </w:r>
            <w:r>
              <w:rPr>
                <w:rFonts w:hint="eastAsia" w:cs="Times New Roman"/>
                <w:color w:val="auto"/>
                <w:sz w:val="24"/>
                <w:lang w:eastAsia="zh-CN"/>
              </w:rPr>
              <w:t>、夜间（</w:t>
            </w:r>
            <w:r>
              <w:rPr>
                <w:rFonts w:hint="eastAsia" w:cs="Times New Roman"/>
                <w:color w:val="auto"/>
                <w:sz w:val="24"/>
                <w:lang w:val="en-US" w:eastAsia="zh-CN"/>
              </w:rPr>
              <w:t>22:00-次日06:00</w:t>
            </w:r>
            <w:r>
              <w:rPr>
                <w:rFonts w:hint="eastAsia" w:cs="Times New Roman"/>
                <w:color w:val="auto"/>
                <w:sz w:val="24"/>
                <w:lang w:eastAsia="zh-CN"/>
              </w:rPr>
              <w:t>）</w:t>
            </w:r>
            <w:r>
              <w:rPr>
                <w:rFonts w:hint="default" w:ascii="Times New Roman" w:hAnsi="Times New Roman" w:cs="Times New Roman"/>
                <w:color w:val="auto"/>
                <w:sz w:val="24"/>
              </w:rPr>
              <w:t>进行，每个测点在规定时间昼间</w:t>
            </w:r>
            <w:r>
              <w:rPr>
                <w:rFonts w:hint="eastAsia" w:cs="Times New Roman"/>
                <w:color w:val="auto"/>
                <w:sz w:val="24"/>
                <w:lang w:eastAsia="zh-CN"/>
              </w:rPr>
              <w:t>、夜间各</w:t>
            </w:r>
            <w:r>
              <w:rPr>
                <w:rFonts w:hint="default" w:ascii="Times New Roman" w:hAnsi="Times New Roman" w:cs="Times New Roman"/>
                <w:color w:val="auto"/>
                <w:sz w:val="24"/>
                <w:lang w:val="en-US" w:eastAsia="zh-CN"/>
              </w:rPr>
              <w:t>监测</w:t>
            </w:r>
            <w:r>
              <w:rPr>
                <w:rFonts w:hint="default" w:ascii="Times New Roman" w:hAnsi="Times New Roman" w:cs="Times New Roman"/>
                <w:color w:val="auto"/>
                <w:sz w:val="24"/>
              </w:rPr>
              <w:t>一次。气象条件满足风力小于四级（5.5m/s），测量时天气晴好。</w:t>
            </w:r>
          </w:p>
          <w:p w14:paraId="69AA645F">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测量频次：每个测点</w:t>
            </w:r>
            <w:r>
              <w:rPr>
                <w:rFonts w:hint="eastAsia" w:ascii="Times New Roman" w:hAnsi="Times New Roman" w:cs="Times New Roman"/>
                <w:color w:val="auto"/>
                <w:sz w:val="24"/>
                <w:lang w:val="en-US" w:eastAsia="zh-CN"/>
              </w:rPr>
              <w:t>昼夜</w:t>
            </w:r>
            <w:r>
              <w:rPr>
                <w:rFonts w:hint="default" w:ascii="Times New Roman" w:hAnsi="Times New Roman" w:cs="Times New Roman"/>
                <w:color w:val="auto"/>
                <w:sz w:val="24"/>
              </w:rPr>
              <w:t>监测一次，监测</w:t>
            </w:r>
            <w:r>
              <w:rPr>
                <w:rFonts w:hint="eastAsia" w:cs="Times New Roman"/>
                <w:color w:val="auto"/>
                <w:sz w:val="24"/>
                <w:lang w:val="en-US" w:eastAsia="zh-CN"/>
              </w:rPr>
              <w:t>2</w:t>
            </w:r>
            <w:r>
              <w:rPr>
                <w:rFonts w:hint="default" w:ascii="Times New Roman" w:hAnsi="Times New Roman" w:cs="Times New Roman"/>
                <w:color w:val="auto"/>
                <w:sz w:val="24"/>
              </w:rPr>
              <w:t>天。</w:t>
            </w:r>
          </w:p>
          <w:p w14:paraId="55DB4F09">
            <w:pPr>
              <w:spacing w:line="460" w:lineRule="exact"/>
              <w:ind w:firstLine="480" w:firstLineChars="200"/>
              <w:rPr>
                <w:rFonts w:hint="default" w:ascii="Times New Roman" w:hAnsi="Times New Roman" w:cs="Times New Roman"/>
                <w:color w:val="auto"/>
                <w:sz w:val="24"/>
              </w:rPr>
            </w:pPr>
            <w:bookmarkStart w:id="10" w:name="_Toc149739345"/>
            <w:r>
              <w:rPr>
                <w:rFonts w:hint="default" w:ascii="Times New Roman" w:hAnsi="Times New Roman" w:cs="Times New Roman"/>
                <w:color w:val="auto"/>
                <w:sz w:val="24"/>
              </w:rPr>
              <w:t>（3）评价标准及方法</w:t>
            </w:r>
            <w:bookmarkEnd w:id="10"/>
          </w:p>
          <w:p w14:paraId="52614467">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评价标准：厂界采用《声环境质量标准》（GB3096-2008）中2类区标准对区域声环境进行评价。</w:t>
            </w:r>
          </w:p>
          <w:p w14:paraId="331693E6">
            <w:pPr>
              <w:spacing w:line="460" w:lineRule="exact"/>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评价方法：根据声环境质量现状监测统计分析结果，采用等效声级法，即用各监测点等效声级值与评价标准进行比较，对声环境质量现状进行评价。</w:t>
            </w:r>
          </w:p>
          <w:p w14:paraId="47C9BCA7">
            <w:pPr>
              <w:pStyle w:val="16"/>
              <w:spacing w:after="0" w:line="460" w:lineRule="exact"/>
              <w:ind w:left="0" w:leftChars="0" w:firstLine="480" w:firstLineChars="200"/>
              <w:jc w:val="left"/>
              <w:rPr>
                <w:rFonts w:hint="default" w:ascii="Times New Roman" w:hAnsi="Times New Roman" w:cs="Times New Roman"/>
                <w:color w:val="auto"/>
                <w:sz w:val="24"/>
                <w:szCs w:val="18"/>
              </w:rPr>
            </w:pPr>
            <w:r>
              <w:rPr>
                <w:rFonts w:hint="default" w:ascii="Times New Roman" w:hAnsi="Times New Roman" w:cs="Times New Roman"/>
                <w:color w:val="auto"/>
                <w:sz w:val="24"/>
                <w:szCs w:val="18"/>
              </w:rPr>
              <w:t>（4）监测结果</w:t>
            </w:r>
          </w:p>
          <w:p w14:paraId="63A40676">
            <w:pPr>
              <w:jc w:val="center"/>
              <w:rPr>
                <w:rFonts w:hint="default" w:ascii="Times New Roman" w:hAnsi="Times New Roman" w:cs="Times New Roman"/>
                <w:b/>
                <w:color w:val="auto"/>
                <w:szCs w:val="21"/>
              </w:rPr>
            </w:pPr>
            <w:r>
              <w:rPr>
                <w:rFonts w:hint="default" w:ascii="Times New Roman" w:hAnsi="Times New Roman" w:cs="Times New Roman"/>
                <w:b/>
                <w:color w:val="auto"/>
                <w:szCs w:val="21"/>
              </w:rPr>
              <w:t>表3</w:t>
            </w:r>
            <w:r>
              <w:rPr>
                <w:rFonts w:hint="eastAsia" w:ascii="Times New Roman" w:hAnsi="Times New Roman" w:cs="Times New Roman"/>
                <w:b/>
                <w:color w:val="auto"/>
                <w:szCs w:val="21"/>
                <w:lang w:val="en-US" w:eastAsia="zh-CN"/>
              </w:rPr>
              <w:t>-</w:t>
            </w:r>
            <w:r>
              <w:rPr>
                <w:rFonts w:hint="eastAsia" w:cs="Times New Roman"/>
                <w:b/>
                <w:color w:val="auto"/>
                <w:szCs w:val="21"/>
                <w:lang w:val="en-US" w:eastAsia="zh-CN"/>
              </w:rPr>
              <w:t>6</w:t>
            </w:r>
            <w:r>
              <w:rPr>
                <w:rFonts w:hint="default" w:ascii="Times New Roman" w:hAnsi="Times New Roman" w:cs="Times New Roman"/>
                <w:b/>
                <w:color w:val="auto"/>
                <w:szCs w:val="21"/>
              </w:rPr>
              <w:t xml:space="preserve">  噪声监测结果汇总</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0"/>
              <w:gridCol w:w="928"/>
              <w:gridCol w:w="1442"/>
              <w:gridCol w:w="1428"/>
              <w:gridCol w:w="1442"/>
              <w:gridCol w:w="1428"/>
            </w:tblGrid>
            <w:tr w14:paraId="0C323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0" w:type="auto"/>
                  <w:noWrap w:val="0"/>
                  <w:vAlign w:val="center"/>
                </w:tcPr>
                <w:p w14:paraId="604385AD">
                  <w:pPr>
                    <w:spacing w:line="310" w:lineRule="exact"/>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检测日期</w:t>
                  </w:r>
                </w:p>
              </w:tc>
              <w:tc>
                <w:tcPr>
                  <w:tcW w:w="0" w:type="auto"/>
                  <w:noWrap w:val="0"/>
                  <w:vAlign w:val="center"/>
                </w:tcPr>
                <w:p w14:paraId="26685EF3">
                  <w:pPr>
                    <w:spacing w:line="310" w:lineRule="exact"/>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0" w:type="auto"/>
                  <w:noWrap w:val="0"/>
                  <w:vAlign w:val="center"/>
                </w:tcPr>
                <w:p w14:paraId="7BC4241E">
                  <w:pPr>
                    <w:spacing w:line="310" w:lineRule="exact"/>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检测时间（昼间）</w:t>
                  </w:r>
                </w:p>
              </w:tc>
              <w:tc>
                <w:tcPr>
                  <w:tcW w:w="0" w:type="auto"/>
                  <w:noWrap w:val="0"/>
                  <w:vAlign w:val="center"/>
                </w:tcPr>
                <w:p w14:paraId="37C1A7E8">
                  <w:pPr>
                    <w:spacing w:line="310" w:lineRule="exact"/>
                    <w:jc w:val="center"/>
                    <w:rPr>
                      <w:rFonts w:hint="default" w:ascii="Times New Roman" w:hAnsi="Times New Roman" w:eastAsia="宋体" w:cs="Times New Roman"/>
                      <w:b/>
                      <w:color w:val="auto"/>
                      <w:szCs w:val="21"/>
                      <w:lang w:val="en-US" w:eastAsia="zh-CN"/>
                    </w:rPr>
                  </w:pPr>
                  <w:r>
                    <w:rPr>
                      <w:rFonts w:hint="eastAsia" w:cs="Times New Roman"/>
                      <w:b/>
                      <w:color w:val="auto"/>
                      <w:szCs w:val="21"/>
                      <w:lang w:eastAsia="zh-CN"/>
                    </w:rPr>
                    <w:t>噪声</w:t>
                  </w:r>
                  <w:r>
                    <w:rPr>
                      <w:rFonts w:hint="eastAsia" w:cs="Times New Roman"/>
                      <w:b/>
                      <w:color w:val="auto"/>
                      <w:szCs w:val="21"/>
                      <w:lang w:val="en-US" w:eastAsia="zh-CN"/>
                    </w:rPr>
                    <w:t>Leq[dB（A）]</w:t>
                  </w:r>
                </w:p>
              </w:tc>
              <w:tc>
                <w:tcPr>
                  <w:tcW w:w="0" w:type="auto"/>
                  <w:noWrap w:val="0"/>
                  <w:vAlign w:val="center"/>
                </w:tcPr>
                <w:p w14:paraId="5121E0F2">
                  <w:pPr>
                    <w:spacing w:line="310" w:lineRule="exact"/>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检测时间（夜间）</w:t>
                  </w:r>
                </w:p>
              </w:tc>
              <w:tc>
                <w:tcPr>
                  <w:tcW w:w="0" w:type="auto"/>
                  <w:noWrap w:val="0"/>
                  <w:vAlign w:val="center"/>
                </w:tcPr>
                <w:p w14:paraId="2DD8E7FD">
                  <w:pPr>
                    <w:spacing w:line="310" w:lineRule="exact"/>
                    <w:jc w:val="center"/>
                    <w:rPr>
                      <w:rFonts w:hint="eastAsia" w:ascii="Times New Roman" w:hAnsi="Times New Roman" w:eastAsia="宋体" w:cs="Times New Roman"/>
                      <w:b/>
                      <w:color w:val="auto"/>
                      <w:szCs w:val="21"/>
                      <w:lang w:eastAsia="zh-CN"/>
                    </w:rPr>
                  </w:pPr>
                  <w:r>
                    <w:rPr>
                      <w:rFonts w:hint="eastAsia" w:cs="Times New Roman"/>
                      <w:b/>
                      <w:color w:val="auto"/>
                      <w:szCs w:val="21"/>
                      <w:lang w:eastAsia="zh-CN"/>
                    </w:rPr>
                    <w:t>噪声</w:t>
                  </w:r>
                  <w:r>
                    <w:rPr>
                      <w:rFonts w:hint="eastAsia" w:cs="Times New Roman"/>
                      <w:b/>
                      <w:color w:val="auto"/>
                      <w:szCs w:val="21"/>
                      <w:lang w:val="en-US" w:eastAsia="zh-CN"/>
                    </w:rPr>
                    <w:t>Leq[dB（A）]</w:t>
                  </w:r>
                </w:p>
              </w:tc>
            </w:tr>
            <w:tr w14:paraId="4BE1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restart"/>
                  <w:noWrap w:val="0"/>
                  <w:vAlign w:val="center"/>
                </w:tcPr>
                <w:p w14:paraId="621C72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2025.3.25~2025.3.26</w:t>
                  </w:r>
                </w:p>
              </w:tc>
              <w:tc>
                <w:tcPr>
                  <w:tcW w:w="0" w:type="auto"/>
                  <w:noWrap w:val="0"/>
                  <w:vAlign w:val="center"/>
                </w:tcPr>
                <w:p w14:paraId="55A5AF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Cs w:val="21"/>
                      <w:lang w:val="en-US"/>
                    </w:rPr>
                  </w:pPr>
                  <w:r>
                    <w:rPr>
                      <w:rFonts w:hint="eastAsia" w:cs="Times New Roman"/>
                      <w:color w:val="auto"/>
                      <w:szCs w:val="21"/>
                      <w:lang w:eastAsia="zh-CN"/>
                    </w:rPr>
                    <w:t>项目厂界东侧</w:t>
                  </w:r>
                </w:p>
              </w:tc>
              <w:tc>
                <w:tcPr>
                  <w:tcW w:w="0" w:type="auto"/>
                  <w:noWrap w:val="0"/>
                  <w:vAlign w:val="center"/>
                </w:tcPr>
                <w:p w14:paraId="0EC1B6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08:30~08:40</w:t>
                  </w:r>
                </w:p>
              </w:tc>
              <w:tc>
                <w:tcPr>
                  <w:tcW w:w="0" w:type="auto"/>
                  <w:noWrap w:val="0"/>
                  <w:vAlign w:val="center"/>
                </w:tcPr>
                <w:p w14:paraId="73B560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53</w:t>
                  </w:r>
                </w:p>
              </w:tc>
              <w:tc>
                <w:tcPr>
                  <w:tcW w:w="0" w:type="auto"/>
                  <w:noWrap w:val="0"/>
                  <w:vAlign w:val="center"/>
                </w:tcPr>
                <w:p w14:paraId="78D280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Cs w:val="21"/>
                      <w:lang w:eastAsia="zh-CN"/>
                    </w:rPr>
                  </w:pPr>
                  <w:r>
                    <w:rPr>
                      <w:rFonts w:hint="eastAsia" w:cs="Times New Roman"/>
                      <w:color w:val="auto"/>
                      <w:szCs w:val="21"/>
                      <w:lang w:val="en-US" w:eastAsia="zh-CN"/>
                    </w:rPr>
                    <w:t>00:40~00:50</w:t>
                  </w:r>
                </w:p>
              </w:tc>
              <w:tc>
                <w:tcPr>
                  <w:tcW w:w="0" w:type="auto"/>
                  <w:noWrap w:val="0"/>
                  <w:vAlign w:val="center"/>
                </w:tcPr>
                <w:p w14:paraId="368B0C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44</w:t>
                  </w:r>
                </w:p>
              </w:tc>
            </w:tr>
            <w:tr w14:paraId="79FFE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35E501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Cs w:val="21"/>
                      <w:lang w:val="en-US" w:eastAsia="zh-CN"/>
                    </w:rPr>
                  </w:pPr>
                </w:p>
              </w:tc>
              <w:tc>
                <w:tcPr>
                  <w:tcW w:w="0" w:type="auto"/>
                  <w:noWrap w:val="0"/>
                  <w:vAlign w:val="center"/>
                </w:tcPr>
                <w:p w14:paraId="1934AA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val="en-US" w:eastAsia="zh-CN"/>
                    </w:rPr>
                  </w:pPr>
                  <w:r>
                    <w:rPr>
                      <w:rFonts w:hint="eastAsia" w:cs="Times New Roman"/>
                      <w:color w:val="auto"/>
                      <w:szCs w:val="21"/>
                      <w:lang w:val="en-US" w:eastAsia="zh-CN"/>
                    </w:rPr>
                    <w:t>项目厂界南侧</w:t>
                  </w:r>
                </w:p>
              </w:tc>
              <w:tc>
                <w:tcPr>
                  <w:tcW w:w="1442" w:type="dxa"/>
                  <w:noWrap w:val="0"/>
                  <w:vAlign w:val="center"/>
                </w:tcPr>
                <w:p w14:paraId="58C26F1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08:42~08:52</w:t>
                  </w:r>
                </w:p>
              </w:tc>
              <w:tc>
                <w:tcPr>
                  <w:tcW w:w="1428" w:type="dxa"/>
                  <w:noWrap w:val="0"/>
                  <w:vAlign w:val="center"/>
                </w:tcPr>
                <w:p w14:paraId="0A6436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53</w:t>
                  </w:r>
                </w:p>
              </w:tc>
              <w:tc>
                <w:tcPr>
                  <w:tcW w:w="1442" w:type="dxa"/>
                  <w:noWrap w:val="0"/>
                  <w:vAlign w:val="center"/>
                </w:tcPr>
                <w:p w14:paraId="10484F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00:51~01:01</w:t>
                  </w:r>
                </w:p>
              </w:tc>
              <w:tc>
                <w:tcPr>
                  <w:tcW w:w="1428" w:type="dxa"/>
                  <w:noWrap w:val="0"/>
                  <w:vAlign w:val="center"/>
                </w:tcPr>
                <w:p w14:paraId="1C4AD6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46</w:t>
                  </w:r>
                </w:p>
              </w:tc>
            </w:tr>
            <w:tr w14:paraId="2EA67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1C17DE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Cs w:val="21"/>
                      <w:lang w:val="en-US" w:eastAsia="zh-CN"/>
                    </w:rPr>
                  </w:pPr>
                </w:p>
              </w:tc>
              <w:tc>
                <w:tcPr>
                  <w:tcW w:w="0" w:type="auto"/>
                  <w:noWrap w:val="0"/>
                  <w:vAlign w:val="center"/>
                </w:tcPr>
                <w:p w14:paraId="72D5599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val="en-US" w:eastAsia="zh-CN"/>
                    </w:rPr>
                  </w:pPr>
                  <w:r>
                    <w:rPr>
                      <w:rFonts w:hint="eastAsia" w:cs="Times New Roman"/>
                      <w:color w:val="auto"/>
                      <w:szCs w:val="21"/>
                      <w:lang w:val="en-US" w:eastAsia="zh-CN"/>
                    </w:rPr>
                    <w:t>项目厂界西侧</w:t>
                  </w:r>
                </w:p>
              </w:tc>
              <w:tc>
                <w:tcPr>
                  <w:tcW w:w="1442" w:type="dxa"/>
                  <w:noWrap w:val="0"/>
                  <w:vAlign w:val="center"/>
                </w:tcPr>
                <w:p w14:paraId="5ECB13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08:56~09:06</w:t>
                  </w:r>
                </w:p>
              </w:tc>
              <w:tc>
                <w:tcPr>
                  <w:tcW w:w="1428" w:type="dxa"/>
                  <w:noWrap w:val="0"/>
                  <w:vAlign w:val="center"/>
                </w:tcPr>
                <w:p w14:paraId="3F4807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57</w:t>
                  </w:r>
                </w:p>
              </w:tc>
              <w:tc>
                <w:tcPr>
                  <w:tcW w:w="1442" w:type="dxa"/>
                  <w:noWrap w:val="0"/>
                  <w:vAlign w:val="center"/>
                </w:tcPr>
                <w:p w14:paraId="4AA7810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01:04~01:14</w:t>
                  </w:r>
                </w:p>
              </w:tc>
              <w:tc>
                <w:tcPr>
                  <w:tcW w:w="1428" w:type="dxa"/>
                  <w:noWrap w:val="0"/>
                  <w:vAlign w:val="center"/>
                </w:tcPr>
                <w:p w14:paraId="52E1EF7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47</w:t>
                  </w:r>
                </w:p>
              </w:tc>
            </w:tr>
            <w:tr w14:paraId="170D3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6CFB04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Cs w:val="21"/>
                      <w:lang w:val="en-US" w:eastAsia="zh-CN"/>
                    </w:rPr>
                  </w:pPr>
                </w:p>
              </w:tc>
              <w:tc>
                <w:tcPr>
                  <w:tcW w:w="0" w:type="auto"/>
                  <w:noWrap w:val="0"/>
                  <w:vAlign w:val="center"/>
                </w:tcPr>
                <w:p w14:paraId="2828747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val="en-US" w:eastAsia="zh-CN"/>
                    </w:rPr>
                  </w:pPr>
                  <w:r>
                    <w:rPr>
                      <w:rFonts w:hint="eastAsia" w:cs="Times New Roman"/>
                      <w:color w:val="auto"/>
                      <w:szCs w:val="21"/>
                      <w:lang w:val="en-US" w:eastAsia="zh-CN"/>
                    </w:rPr>
                    <w:t>项目厂界北侧</w:t>
                  </w:r>
                </w:p>
              </w:tc>
              <w:tc>
                <w:tcPr>
                  <w:tcW w:w="1442" w:type="dxa"/>
                  <w:noWrap w:val="0"/>
                  <w:vAlign w:val="center"/>
                </w:tcPr>
                <w:p w14:paraId="7FA9E76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09:08~09:18</w:t>
                  </w:r>
                </w:p>
              </w:tc>
              <w:tc>
                <w:tcPr>
                  <w:tcW w:w="1428" w:type="dxa"/>
                  <w:noWrap w:val="0"/>
                  <w:vAlign w:val="center"/>
                </w:tcPr>
                <w:p w14:paraId="62A395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54</w:t>
                  </w:r>
                </w:p>
              </w:tc>
              <w:tc>
                <w:tcPr>
                  <w:tcW w:w="1442" w:type="dxa"/>
                  <w:noWrap w:val="0"/>
                  <w:vAlign w:val="center"/>
                </w:tcPr>
                <w:p w14:paraId="1561B16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01:18~01:28</w:t>
                  </w:r>
                </w:p>
              </w:tc>
              <w:tc>
                <w:tcPr>
                  <w:tcW w:w="1428" w:type="dxa"/>
                  <w:noWrap w:val="0"/>
                  <w:vAlign w:val="center"/>
                </w:tcPr>
                <w:p w14:paraId="3091E9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48</w:t>
                  </w:r>
                </w:p>
              </w:tc>
            </w:tr>
            <w:tr w14:paraId="199A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5052A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2760E4F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1</w:t>
                  </w:r>
                </w:p>
              </w:tc>
              <w:tc>
                <w:tcPr>
                  <w:tcW w:w="1442" w:type="dxa"/>
                  <w:noWrap w:val="0"/>
                  <w:vAlign w:val="center"/>
                </w:tcPr>
                <w:p w14:paraId="70E5FE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09:21~09:31</w:t>
                  </w:r>
                </w:p>
              </w:tc>
              <w:tc>
                <w:tcPr>
                  <w:tcW w:w="1428" w:type="dxa"/>
                  <w:noWrap w:val="0"/>
                  <w:vAlign w:val="center"/>
                </w:tcPr>
                <w:p w14:paraId="664807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53</w:t>
                  </w:r>
                </w:p>
              </w:tc>
              <w:tc>
                <w:tcPr>
                  <w:tcW w:w="1442" w:type="dxa"/>
                  <w:noWrap w:val="0"/>
                  <w:vAlign w:val="center"/>
                </w:tcPr>
                <w:p w14:paraId="2E342D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01:31~01:41</w:t>
                  </w:r>
                </w:p>
              </w:tc>
              <w:tc>
                <w:tcPr>
                  <w:tcW w:w="1428" w:type="dxa"/>
                  <w:noWrap w:val="0"/>
                  <w:vAlign w:val="center"/>
                </w:tcPr>
                <w:p w14:paraId="0F523B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46</w:t>
                  </w:r>
                </w:p>
              </w:tc>
            </w:tr>
            <w:tr w14:paraId="4A19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1693CC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532011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2</w:t>
                  </w:r>
                </w:p>
              </w:tc>
              <w:tc>
                <w:tcPr>
                  <w:tcW w:w="1442" w:type="dxa"/>
                  <w:noWrap w:val="0"/>
                  <w:vAlign w:val="center"/>
                </w:tcPr>
                <w:p w14:paraId="70ECA0B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09:34~09:44</w:t>
                  </w:r>
                </w:p>
              </w:tc>
              <w:tc>
                <w:tcPr>
                  <w:tcW w:w="1428" w:type="dxa"/>
                  <w:noWrap w:val="0"/>
                  <w:vAlign w:val="center"/>
                </w:tcPr>
                <w:p w14:paraId="7FD7AA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w:t>
                  </w:r>
                </w:p>
              </w:tc>
              <w:tc>
                <w:tcPr>
                  <w:tcW w:w="1442" w:type="dxa"/>
                  <w:noWrap w:val="0"/>
                  <w:vAlign w:val="center"/>
                </w:tcPr>
                <w:p w14:paraId="55AF44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01:45~01:55</w:t>
                  </w:r>
                </w:p>
              </w:tc>
              <w:tc>
                <w:tcPr>
                  <w:tcW w:w="1428" w:type="dxa"/>
                  <w:noWrap w:val="0"/>
                  <w:vAlign w:val="center"/>
                </w:tcPr>
                <w:p w14:paraId="37EBB5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42</w:t>
                  </w:r>
                </w:p>
              </w:tc>
            </w:tr>
            <w:tr w14:paraId="3A1EC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1B8D55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2032BA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3</w:t>
                  </w:r>
                </w:p>
              </w:tc>
              <w:tc>
                <w:tcPr>
                  <w:tcW w:w="1442" w:type="dxa"/>
                  <w:noWrap w:val="0"/>
                  <w:vAlign w:val="center"/>
                </w:tcPr>
                <w:p w14:paraId="5715C4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09:47~09:57</w:t>
                  </w:r>
                </w:p>
              </w:tc>
              <w:tc>
                <w:tcPr>
                  <w:tcW w:w="1428" w:type="dxa"/>
                  <w:noWrap w:val="0"/>
                  <w:vAlign w:val="center"/>
                </w:tcPr>
                <w:p w14:paraId="729594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55</w:t>
                  </w:r>
                </w:p>
              </w:tc>
              <w:tc>
                <w:tcPr>
                  <w:tcW w:w="1442" w:type="dxa"/>
                  <w:noWrap w:val="0"/>
                  <w:vAlign w:val="center"/>
                </w:tcPr>
                <w:p w14:paraId="0C0986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01:57~02:07</w:t>
                  </w:r>
                </w:p>
              </w:tc>
              <w:tc>
                <w:tcPr>
                  <w:tcW w:w="1428" w:type="dxa"/>
                  <w:noWrap w:val="0"/>
                  <w:vAlign w:val="center"/>
                </w:tcPr>
                <w:p w14:paraId="0C3C05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42</w:t>
                  </w:r>
                </w:p>
              </w:tc>
            </w:tr>
            <w:tr w14:paraId="4FEFA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08CFD3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585F4F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4</w:t>
                  </w:r>
                </w:p>
              </w:tc>
              <w:tc>
                <w:tcPr>
                  <w:tcW w:w="1442" w:type="dxa"/>
                  <w:noWrap w:val="0"/>
                  <w:vAlign w:val="center"/>
                </w:tcPr>
                <w:p w14:paraId="343C48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09:59~10:09</w:t>
                  </w:r>
                </w:p>
              </w:tc>
              <w:tc>
                <w:tcPr>
                  <w:tcW w:w="1428" w:type="dxa"/>
                  <w:noWrap w:val="0"/>
                  <w:vAlign w:val="center"/>
                </w:tcPr>
                <w:p w14:paraId="531697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53</w:t>
                  </w:r>
                </w:p>
              </w:tc>
              <w:tc>
                <w:tcPr>
                  <w:tcW w:w="1442" w:type="dxa"/>
                  <w:noWrap w:val="0"/>
                  <w:vAlign w:val="center"/>
                </w:tcPr>
                <w:p w14:paraId="20DEE1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02:11~02:21</w:t>
                  </w:r>
                </w:p>
              </w:tc>
              <w:tc>
                <w:tcPr>
                  <w:tcW w:w="1428" w:type="dxa"/>
                  <w:noWrap w:val="0"/>
                  <w:vAlign w:val="center"/>
                </w:tcPr>
                <w:p w14:paraId="307D11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45</w:t>
                  </w:r>
                </w:p>
              </w:tc>
            </w:tr>
            <w:tr w14:paraId="70E85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561A6B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0BEEF7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5</w:t>
                  </w:r>
                </w:p>
              </w:tc>
              <w:tc>
                <w:tcPr>
                  <w:tcW w:w="1442" w:type="dxa"/>
                  <w:noWrap w:val="0"/>
                  <w:vAlign w:val="center"/>
                </w:tcPr>
                <w:p w14:paraId="28C62A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10:12~10:22</w:t>
                  </w:r>
                </w:p>
              </w:tc>
              <w:tc>
                <w:tcPr>
                  <w:tcW w:w="1428" w:type="dxa"/>
                  <w:noWrap w:val="0"/>
                  <w:vAlign w:val="center"/>
                </w:tcPr>
                <w:p w14:paraId="6860E6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w:t>
                  </w:r>
                </w:p>
              </w:tc>
              <w:tc>
                <w:tcPr>
                  <w:tcW w:w="1442" w:type="dxa"/>
                  <w:noWrap w:val="0"/>
                  <w:vAlign w:val="center"/>
                </w:tcPr>
                <w:p w14:paraId="4902DD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02:24~02:34</w:t>
                  </w:r>
                </w:p>
              </w:tc>
              <w:tc>
                <w:tcPr>
                  <w:tcW w:w="1428" w:type="dxa"/>
                  <w:noWrap w:val="0"/>
                  <w:vAlign w:val="center"/>
                </w:tcPr>
                <w:p w14:paraId="21DC02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43</w:t>
                  </w:r>
                </w:p>
              </w:tc>
            </w:tr>
            <w:tr w14:paraId="1BFAA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2D42D9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181518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6</w:t>
                  </w:r>
                </w:p>
              </w:tc>
              <w:tc>
                <w:tcPr>
                  <w:tcW w:w="1442" w:type="dxa"/>
                  <w:noWrap w:val="0"/>
                  <w:vAlign w:val="center"/>
                </w:tcPr>
                <w:p w14:paraId="4977A7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10:26~10:36</w:t>
                  </w:r>
                </w:p>
              </w:tc>
              <w:tc>
                <w:tcPr>
                  <w:tcW w:w="1428" w:type="dxa"/>
                  <w:noWrap w:val="0"/>
                  <w:vAlign w:val="center"/>
                </w:tcPr>
                <w:p w14:paraId="74C5C5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50</w:t>
                  </w:r>
                </w:p>
              </w:tc>
              <w:tc>
                <w:tcPr>
                  <w:tcW w:w="1442" w:type="dxa"/>
                  <w:noWrap w:val="0"/>
                  <w:vAlign w:val="center"/>
                </w:tcPr>
                <w:p w14:paraId="3F1224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02:28~02:38</w:t>
                  </w:r>
                </w:p>
              </w:tc>
              <w:tc>
                <w:tcPr>
                  <w:tcW w:w="1428" w:type="dxa"/>
                  <w:noWrap w:val="0"/>
                  <w:vAlign w:val="center"/>
                </w:tcPr>
                <w:p w14:paraId="36297D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45</w:t>
                  </w:r>
                </w:p>
              </w:tc>
            </w:tr>
            <w:tr w14:paraId="6B801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restart"/>
                  <w:noWrap w:val="0"/>
                  <w:vAlign w:val="center"/>
                </w:tcPr>
                <w:p w14:paraId="6ADB79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2025.3.26~2025.3.27</w:t>
                  </w:r>
                </w:p>
              </w:tc>
              <w:tc>
                <w:tcPr>
                  <w:tcW w:w="0" w:type="auto"/>
                  <w:noWrap w:val="0"/>
                  <w:vAlign w:val="center"/>
                </w:tcPr>
                <w:p w14:paraId="385ACC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eastAsia="zh-CN"/>
                    </w:rPr>
                    <w:t>项目厂界东侧</w:t>
                  </w:r>
                </w:p>
              </w:tc>
              <w:tc>
                <w:tcPr>
                  <w:tcW w:w="1442" w:type="dxa"/>
                  <w:noWrap w:val="0"/>
                  <w:vAlign w:val="center"/>
                </w:tcPr>
                <w:p w14:paraId="677EA6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08:49~08:59</w:t>
                  </w:r>
                </w:p>
              </w:tc>
              <w:tc>
                <w:tcPr>
                  <w:tcW w:w="1428" w:type="dxa"/>
                  <w:noWrap w:val="0"/>
                  <w:vAlign w:val="center"/>
                </w:tcPr>
                <w:p w14:paraId="68293D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54</w:t>
                  </w:r>
                </w:p>
              </w:tc>
              <w:tc>
                <w:tcPr>
                  <w:tcW w:w="1442" w:type="dxa"/>
                  <w:noWrap w:val="0"/>
                  <w:vAlign w:val="center"/>
                </w:tcPr>
                <w:p w14:paraId="3BC9C3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22:03~22:13</w:t>
                  </w:r>
                </w:p>
              </w:tc>
              <w:tc>
                <w:tcPr>
                  <w:tcW w:w="1428" w:type="dxa"/>
                  <w:noWrap w:val="0"/>
                  <w:vAlign w:val="center"/>
                </w:tcPr>
                <w:p w14:paraId="76C3E8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45</w:t>
                  </w:r>
                </w:p>
              </w:tc>
            </w:tr>
            <w:tr w14:paraId="29B79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01B00B8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79C573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项目厂界南侧</w:t>
                  </w:r>
                </w:p>
              </w:tc>
              <w:tc>
                <w:tcPr>
                  <w:tcW w:w="1442" w:type="dxa"/>
                  <w:noWrap w:val="0"/>
                  <w:vAlign w:val="center"/>
                </w:tcPr>
                <w:p w14:paraId="6597F1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09:02~09:12</w:t>
                  </w:r>
                </w:p>
              </w:tc>
              <w:tc>
                <w:tcPr>
                  <w:tcW w:w="1428" w:type="dxa"/>
                  <w:noWrap w:val="0"/>
                  <w:vAlign w:val="center"/>
                </w:tcPr>
                <w:p w14:paraId="5F8D9A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53</w:t>
                  </w:r>
                </w:p>
              </w:tc>
              <w:tc>
                <w:tcPr>
                  <w:tcW w:w="1442" w:type="dxa"/>
                  <w:noWrap w:val="0"/>
                  <w:vAlign w:val="center"/>
                </w:tcPr>
                <w:p w14:paraId="7DA1D7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22:16~22:26</w:t>
                  </w:r>
                </w:p>
              </w:tc>
              <w:tc>
                <w:tcPr>
                  <w:tcW w:w="1428" w:type="dxa"/>
                  <w:noWrap w:val="0"/>
                  <w:vAlign w:val="center"/>
                </w:tcPr>
                <w:p w14:paraId="3637C63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46</w:t>
                  </w:r>
                </w:p>
              </w:tc>
            </w:tr>
            <w:tr w14:paraId="7DC9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2A440F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6A8013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项目厂界西侧</w:t>
                  </w:r>
                </w:p>
              </w:tc>
              <w:tc>
                <w:tcPr>
                  <w:tcW w:w="1442" w:type="dxa"/>
                  <w:noWrap w:val="0"/>
                  <w:vAlign w:val="center"/>
                </w:tcPr>
                <w:p w14:paraId="1638C5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09:14~09:24</w:t>
                  </w:r>
                </w:p>
              </w:tc>
              <w:tc>
                <w:tcPr>
                  <w:tcW w:w="1428" w:type="dxa"/>
                  <w:noWrap w:val="0"/>
                  <w:vAlign w:val="center"/>
                </w:tcPr>
                <w:p w14:paraId="02BFA1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54</w:t>
                  </w:r>
                </w:p>
              </w:tc>
              <w:tc>
                <w:tcPr>
                  <w:tcW w:w="1442" w:type="dxa"/>
                  <w:noWrap w:val="0"/>
                  <w:vAlign w:val="center"/>
                </w:tcPr>
                <w:p w14:paraId="6E77E7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22:28~22:38</w:t>
                  </w:r>
                </w:p>
              </w:tc>
              <w:tc>
                <w:tcPr>
                  <w:tcW w:w="1428" w:type="dxa"/>
                  <w:noWrap w:val="0"/>
                  <w:vAlign w:val="center"/>
                </w:tcPr>
                <w:p w14:paraId="291B3D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46</w:t>
                  </w:r>
                </w:p>
              </w:tc>
            </w:tr>
            <w:tr w14:paraId="7CC8A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699522A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5B2B36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项目厂界北侧</w:t>
                  </w:r>
                </w:p>
              </w:tc>
              <w:tc>
                <w:tcPr>
                  <w:tcW w:w="1442" w:type="dxa"/>
                  <w:noWrap w:val="0"/>
                  <w:vAlign w:val="center"/>
                </w:tcPr>
                <w:p w14:paraId="5A8726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09:28~09:38</w:t>
                  </w:r>
                </w:p>
              </w:tc>
              <w:tc>
                <w:tcPr>
                  <w:tcW w:w="1428" w:type="dxa"/>
                  <w:noWrap w:val="0"/>
                  <w:vAlign w:val="center"/>
                </w:tcPr>
                <w:p w14:paraId="32238D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52</w:t>
                  </w:r>
                </w:p>
              </w:tc>
              <w:tc>
                <w:tcPr>
                  <w:tcW w:w="1442" w:type="dxa"/>
                  <w:noWrap w:val="0"/>
                  <w:vAlign w:val="center"/>
                </w:tcPr>
                <w:p w14:paraId="0F7992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22:41~22:51</w:t>
                  </w:r>
                </w:p>
              </w:tc>
              <w:tc>
                <w:tcPr>
                  <w:tcW w:w="1428" w:type="dxa"/>
                  <w:noWrap w:val="0"/>
                  <w:vAlign w:val="center"/>
                </w:tcPr>
                <w:p w14:paraId="462AEB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Cs w:val="21"/>
                      <w:lang w:val="en-US" w:eastAsia="zh-CN"/>
                    </w:rPr>
                  </w:pPr>
                  <w:r>
                    <w:rPr>
                      <w:rFonts w:hint="eastAsia" w:cs="Times New Roman"/>
                      <w:color w:val="auto"/>
                      <w:szCs w:val="21"/>
                      <w:lang w:val="en-US" w:eastAsia="zh-CN"/>
                    </w:rPr>
                    <w:t>45</w:t>
                  </w:r>
                </w:p>
              </w:tc>
            </w:tr>
            <w:tr w14:paraId="38124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6EFCFF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38897CE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1</w:t>
                  </w:r>
                </w:p>
              </w:tc>
              <w:tc>
                <w:tcPr>
                  <w:tcW w:w="1442" w:type="dxa"/>
                  <w:noWrap w:val="0"/>
                  <w:vAlign w:val="center"/>
                </w:tcPr>
                <w:p w14:paraId="2E50EBE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09:44~09:54</w:t>
                  </w:r>
                </w:p>
              </w:tc>
              <w:tc>
                <w:tcPr>
                  <w:tcW w:w="1428" w:type="dxa"/>
                  <w:noWrap w:val="0"/>
                  <w:vAlign w:val="center"/>
                </w:tcPr>
                <w:p w14:paraId="324723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53</w:t>
                  </w:r>
                </w:p>
              </w:tc>
              <w:tc>
                <w:tcPr>
                  <w:tcW w:w="1442" w:type="dxa"/>
                  <w:noWrap w:val="0"/>
                  <w:vAlign w:val="center"/>
                </w:tcPr>
                <w:p w14:paraId="7DBFD8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22:55~23:05</w:t>
                  </w:r>
                </w:p>
              </w:tc>
              <w:tc>
                <w:tcPr>
                  <w:tcW w:w="1428" w:type="dxa"/>
                  <w:noWrap w:val="0"/>
                  <w:vAlign w:val="center"/>
                </w:tcPr>
                <w:p w14:paraId="64F792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48</w:t>
                  </w:r>
                </w:p>
              </w:tc>
            </w:tr>
            <w:tr w14:paraId="5BFC1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34A09B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327327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2</w:t>
                  </w:r>
                </w:p>
              </w:tc>
              <w:tc>
                <w:tcPr>
                  <w:tcW w:w="1442" w:type="dxa"/>
                  <w:noWrap w:val="0"/>
                  <w:vAlign w:val="center"/>
                </w:tcPr>
                <w:p w14:paraId="7835024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09:57~10:07</w:t>
                  </w:r>
                </w:p>
              </w:tc>
              <w:tc>
                <w:tcPr>
                  <w:tcW w:w="1428" w:type="dxa"/>
                  <w:noWrap w:val="0"/>
                  <w:vAlign w:val="center"/>
                </w:tcPr>
                <w:p w14:paraId="67B33E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w:t>
                  </w:r>
                </w:p>
              </w:tc>
              <w:tc>
                <w:tcPr>
                  <w:tcW w:w="1442" w:type="dxa"/>
                  <w:noWrap w:val="0"/>
                  <w:vAlign w:val="center"/>
                </w:tcPr>
                <w:p w14:paraId="28F580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23:08~23:18</w:t>
                  </w:r>
                </w:p>
              </w:tc>
              <w:tc>
                <w:tcPr>
                  <w:tcW w:w="1428" w:type="dxa"/>
                  <w:noWrap w:val="0"/>
                  <w:vAlign w:val="center"/>
                </w:tcPr>
                <w:p w14:paraId="319F0D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44</w:t>
                  </w:r>
                </w:p>
              </w:tc>
            </w:tr>
            <w:tr w14:paraId="44A9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13700A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766848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3</w:t>
                  </w:r>
                </w:p>
              </w:tc>
              <w:tc>
                <w:tcPr>
                  <w:tcW w:w="1442" w:type="dxa"/>
                  <w:noWrap w:val="0"/>
                  <w:vAlign w:val="center"/>
                </w:tcPr>
                <w:p w14:paraId="593244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10:14~10:24</w:t>
                  </w:r>
                </w:p>
              </w:tc>
              <w:tc>
                <w:tcPr>
                  <w:tcW w:w="1428" w:type="dxa"/>
                  <w:noWrap w:val="0"/>
                  <w:vAlign w:val="center"/>
                </w:tcPr>
                <w:p w14:paraId="4D1A69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55</w:t>
                  </w:r>
                </w:p>
              </w:tc>
              <w:tc>
                <w:tcPr>
                  <w:tcW w:w="1442" w:type="dxa"/>
                  <w:noWrap w:val="0"/>
                  <w:vAlign w:val="center"/>
                </w:tcPr>
                <w:p w14:paraId="2F1DDB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23:23~23:33</w:t>
                  </w:r>
                </w:p>
              </w:tc>
              <w:tc>
                <w:tcPr>
                  <w:tcW w:w="1428" w:type="dxa"/>
                  <w:noWrap w:val="0"/>
                  <w:vAlign w:val="center"/>
                </w:tcPr>
                <w:p w14:paraId="10CA42A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42</w:t>
                  </w:r>
                </w:p>
              </w:tc>
            </w:tr>
            <w:tr w14:paraId="3C062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565452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23DF2DF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4</w:t>
                  </w:r>
                </w:p>
              </w:tc>
              <w:tc>
                <w:tcPr>
                  <w:tcW w:w="1442" w:type="dxa"/>
                  <w:noWrap w:val="0"/>
                  <w:vAlign w:val="center"/>
                </w:tcPr>
                <w:p w14:paraId="11D7F7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10:29~10:39</w:t>
                  </w:r>
                </w:p>
              </w:tc>
              <w:tc>
                <w:tcPr>
                  <w:tcW w:w="1428" w:type="dxa"/>
                  <w:noWrap w:val="0"/>
                  <w:vAlign w:val="center"/>
                </w:tcPr>
                <w:p w14:paraId="36A26D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54</w:t>
                  </w:r>
                </w:p>
              </w:tc>
              <w:tc>
                <w:tcPr>
                  <w:tcW w:w="1442" w:type="dxa"/>
                  <w:noWrap w:val="0"/>
                  <w:vAlign w:val="center"/>
                </w:tcPr>
                <w:p w14:paraId="368F29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23:36~23:46</w:t>
                  </w:r>
                </w:p>
              </w:tc>
              <w:tc>
                <w:tcPr>
                  <w:tcW w:w="1428" w:type="dxa"/>
                  <w:noWrap w:val="0"/>
                  <w:vAlign w:val="center"/>
                </w:tcPr>
                <w:p w14:paraId="590D039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46</w:t>
                  </w:r>
                </w:p>
              </w:tc>
            </w:tr>
            <w:tr w14:paraId="3703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2B31B9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732DBC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5</w:t>
                  </w:r>
                </w:p>
              </w:tc>
              <w:tc>
                <w:tcPr>
                  <w:tcW w:w="1442" w:type="dxa"/>
                  <w:noWrap w:val="0"/>
                  <w:vAlign w:val="center"/>
                </w:tcPr>
                <w:p w14:paraId="2E8B182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10:52~11:02</w:t>
                  </w:r>
                </w:p>
              </w:tc>
              <w:tc>
                <w:tcPr>
                  <w:tcW w:w="1428" w:type="dxa"/>
                  <w:noWrap w:val="0"/>
                  <w:vAlign w:val="center"/>
                </w:tcPr>
                <w:p w14:paraId="418EC4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55</w:t>
                  </w:r>
                </w:p>
              </w:tc>
              <w:tc>
                <w:tcPr>
                  <w:tcW w:w="1442" w:type="dxa"/>
                  <w:noWrap w:val="0"/>
                  <w:vAlign w:val="center"/>
                </w:tcPr>
                <w:p w14:paraId="0B4FBB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23:49~23:59</w:t>
                  </w:r>
                </w:p>
              </w:tc>
              <w:tc>
                <w:tcPr>
                  <w:tcW w:w="1428" w:type="dxa"/>
                  <w:noWrap w:val="0"/>
                  <w:vAlign w:val="center"/>
                </w:tcPr>
                <w:p w14:paraId="5D3CF98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45</w:t>
                  </w:r>
                </w:p>
              </w:tc>
            </w:tr>
            <w:tr w14:paraId="5FF7D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0" w:type="auto"/>
                  <w:vMerge w:val="continue"/>
                  <w:noWrap w:val="0"/>
                  <w:vAlign w:val="center"/>
                </w:tcPr>
                <w:p w14:paraId="6607B4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p>
              </w:tc>
              <w:tc>
                <w:tcPr>
                  <w:tcW w:w="0" w:type="auto"/>
                  <w:noWrap w:val="0"/>
                  <w:vAlign w:val="center"/>
                </w:tcPr>
                <w:p w14:paraId="37C4C3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6</w:t>
                  </w:r>
                </w:p>
              </w:tc>
              <w:tc>
                <w:tcPr>
                  <w:tcW w:w="1442" w:type="dxa"/>
                  <w:noWrap w:val="0"/>
                  <w:vAlign w:val="center"/>
                </w:tcPr>
                <w:p w14:paraId="006D7DF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11:07~11:17</w:t>
                  </w:r>
                </w:p>
              </w:tc>
              <w:tc>
                <w:tcPr>
                  <w:tcW w:w="1428" w:type="dxa"/>
                  <w:noWrap w:val="0"/>
                  <w:vAlign w:val="center"/>
                </w:tcPr>
                <w:p w14:paraId="3B6F6C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57</w:t>
                  </w:r>
                </w:p>
              </w:tc>
              <w:tc>
                <w:tcPr>
                  <w:tcW w:w="1442" w:type="dxa"/>
                  <w:noWrap w:val="0"/>
                  <w:vAlign w:val="center"/>
                </w:tcPr>
                <w:p w14:paraId="2F8CC6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00:08~00:18</w:t>
                  </w:r>
                </w:p>
              </w:tc>
              <w:tc>
                <w:tcPr>
                  <w:tcW w:w="1428" w:type="dxa"/>
                  <w:noWrap w:val="0"/>
                  <w:vAlign w:val="center"/>
                </w:tcPr>
                <w:p w14:paraId="6BA0863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47</w:t>
                  </w:r>
                </w:p>
              </w:tc>
            </w:tr>
          </w:tbl>
          <w:p w14:paraId="7F763ABF">
            <w:pPr>
              <w:widowControl/>
              <w:spacing w:line="360" w:lineRule="auto"/>
              <w:ind w:firstLine="480" w:firstLineChars="200"/>
              <w:rPr>
                <w:rFonts w:hint="default" w:ascii="Times New Roman" w:hAnsi="Times New Roman" w:eastAsia="宋体" w:cs="Times New Roman"/>
                <w:color w:val="auto"/>
                <w:kern w:val="0"/>
                <w:sz w:val="24"/>
                <w:lang w:val="en-US" w:eastAsia="zh-CN"/>
              </w:rPr>
            </w:pPr>
            <w:r>
              <w:rPr>
                <w:rFonts w:hint="default" w:ascii="Times New Roman" w:hAnsi="Times New Roman" w:cs="Times New Roman"/>
                <w:color w:val="auto"/>
                <w:sz w:val="24"/>
              </w:rPr>
              <w:t>从监测结果来看，</w:t>
            </w:r>
            <w:r>
              <w:rPr>
                <w:rFonts w:hint="default" w:ascii="Times New Roman" w:hAnsi="Times New Roman" w:cs="Times New Roman"/>
                <w:color w:val="auto"/>
                <w:sz w:val="24"/>
                <w:lang w:val="en-US" w:eastAsia="zh-CN"/>
              </w:rPr>
              <w:t>本</w:t>
            </w:r>
            <w:r>
              <w:rPr>
                <w:rFonts w:hint="default" w:ascii="Times New Roman" w:hAnsi="Times New Roman" w:cs="Times New Roman"/>
                <w:color w:val="auto"/>
                <w:sz w:val="24"/>
              </w:rPr>
              <w:t>项目</w:t>
            </w:r>
            <w:r>
              <w:rPr>
                <w:rFonts w:hint="default" w:ascii="Times New Roman" w:hAnsi="Times New Roman" w:cs="Times New Roman"/>
                <w:color w:val="auto"/>
                <w:sz w:val="24"/>
                <w:lang w:val="en-US" w:eastAsia="zh-CN"/>
              </w:rPr>
              <w:t>敏感点</w:t>
            </w:r>
            <w:r>
              <w:rPr>
                <w:rFonts w:hint="default" w:ascii="Times New Roman" w:hAnsi="Times New Roman" w:cs="Times New Roman"/>
                <w:color w:val="auto"/>
                <w:sz w:val="24"/>
              </w:rPr>
              <w:t>噪声现状符合《声环境质量标准》（GB3096-2008）中</w:t>
            </w:r>
            <w:r>
              <w:rPr>
                <w:rFonts w:hint="default" w:ascii="Times New Roman" w:hAnsi="Times New Roman" w:cs="Times New Roman"/>
                <w:color w:val="auto"/>
                <w:sz w:val="24"/>
                <w:lang w:val="en-US" w:eastAsia="zh-CN"/>
              </w:rPr>
              <w:t>2类标准要求</w:t>
            </w:r>
            <w:r>
              <w:rPr>
                <w:rFonts w:hint="default" w:ascii="Times New Roman" w:hAnsi="Times New Roman" w:cs="Times New Roman"/>
                <w:color w:val="auto"/>
                <w:sz w:val="24"/>
              </w:rPr>
              <w:t>。</w:t>
            </w:r>
          </w:p>
          <w:p w14:paraId="4734E802">
            <w:pPr>
              <w:spacing w:line="360" w:lineRule="auto"/>
              <w:rPr>
                <w:b/>
                <w:color w:val="auto"/>
                <w:sz w:val="24"/>
                <w:szCs w:val="24"/>
              </w:rPr>
            </w:pPr>
            <w:r>
              <w:rPr>
                <w:rFonts w:hint="eastAsia"/>
                <w:b/>
                <w:color w:val="auto"/>
                <w:sz w:val="24"/>
                <w:szCs w:val="24"/>
              </w:rPr>
              <w:t>4、生态环境质量现状</w:t>
            </w:r>
          </w:p>
          <w:p w14:paraId="50542380">
            <w:pPr>
              <w:spacing w:line="360" w:lineRule="auto"/>
              <w:ind w:firstLine="480" w:firstLineChars="200"/>
              <w:rPr>
                <w:rFonts w:hint="eastAsia" w:eastAsia="宋体"/>
                <w:color w:val="auto"/>
                <w:sz w:val="24"/>
                <w:lang w:eastAsia="zh-CN"/>
              </w:rPr>
            </w:pPr>
            <w:r>
              <w:rPr>
                <w:rFonts w:hint="eastAsia"/>
                <w:color w:val="auto"/>
                <w:sz w:val="24"/>
              </w:rPr>
              <w:t>根据《建设项目环境影响报告表编制技术指南</w:t>
            </w:r>
            <w:r>
              <w:rPr>
                <w:rFonts w:hint="eastAsia"/>
                <w:color w:val="auto"/>
                <w:sz w:val="24"/>
                <w:lang w:eastAsia="zh-CN"/>
              </w:rPr>
              <w:t>》</w:t>
            </w:r>
            <w:r>
              <w:rPr>
                <w:rFonts w:hint="eastAsia"/>
                <w:color w:val="auto"/>
                <w:sz w:val="24"/>
              </w:rPr>
              <w:t>“产业园区外建设项目新增用地且用地范围内含有生态环境保护目标时，应进行生态现状调查”，本项目位于</w:t>
            </w:r>
            <w:r>
              <w:rPr>
                <w:rFonts w:hint="eastAsia"/>
                <w:color w:val="auto"/>
                <w:sz w:val="24"/>
                <w:lang w:eastAsia="zh-CN"/>
              </w:rPr>
              <w:t>淮南市潘集区平圩镇邵圩村，属于产业园区外区域</w:t>
            </w:r>
            <w:r>
              <w:rPr>
                <w:rFonts w:hint="eastAsia"/>
                <w:color w:val="auto"/>
                <w:sz w:val="24"/>
              </w:rPr>
              <w:t>，</w:t>
            </w:r>
            <w:r>
              <w:rPr>
                <w:rFonts w:hint="eastAsia"/>
                <w:color w:val="auto"/>
                <w:sz w:val="24"/>
                <w:lang w:eastAsia="zh-CN"/>
              </w:rPr>
              <w:t>但</w:t>
            </w:r>
            <w:r>
              <w:rPr>
                <w:rFonts w:hint="eastAsia"/>
                <w:color w:val="auto"/>
                <w:sz w:val="24"/>
              </w:rPr>
              <w:t>用地范围内不涉及生态环境保护目标，</w:t>
            </w:r>
            <w:r>
              <w:rPr>
                <w:rFonts w:hint="eastAsia"/>
                <w:color w:val="auto"/>
                <w:sz w:val="24"/>
                <w:lang w:eastAsia="zh-CN"/>
              </w:rPr>
              <w:t>故</w:t>
            </w:r>
            <w:r>
              <w:rPr>
                <w:rFonts w:hint="eastAsia"/>
                <w:color w:val="auto"/>
                <w:sz w:val="24"/>
              </w:rPr>
              <w:t>无需进行生态现状调查</w:t>
            </w:r>
            <w:r>
              <w:rPr>
                <w:rFonts w:hint="eastAsia"/>
                <w:color w:val="auto"/>
                <w:sz w:val="24"/>
                <w:lang w:eastAsia="zh-CN"/>
              </w:rPr>
              <w:t>。</w:t>
            </w:r>
          </w:p>
          <w:p w14:paraId="1A86C92C">
            <w:pPr>
              <w:spacing w:line="360" w:lineRule="auto"/>
              <w:rPr>
                <w:b/>
                <w:color w:val="auto"/>
                <w:sz w:val="24"/>
                <w:szCs w:val="24"/>
              </w:rPr>
            </w:pPr>
            <w:r>
              <w:rPr>
                <w:rFonts w:hint="eastAsia"/>
                <w:b/>
                <w:color w:val="auto"/>
                <w:sz w:val="24"/>
                <w:szCs w:val="24"/>
                <w:lang w:val="en-US" w:eastAsia="zh-CN"/>
              </w:rPr>
              <w:t>4</w:t>
            </w:r>
            <w:r>
              <w:rPr>
                <w:rFonts w:hint="eastAsia"/>
                <w:b/>
                <w:color w:val="auto"/>
                <w:sz w:val="24"/>
                <w:szCs w:val="24"/>
              </w:rPr>
              <w:t>、地下水、土壤环境质量现状</w:t>
            </w:r>
          </w:p>
          <w:p w14:paraId="5A6FFA77">
            <w:pPr>
              <w:spacing w:line="360" w:lineRule="auto"/>
              <w:ind w:firstLine="480" w:firstLineChars="200"/>
              <w:rPr>
                <w:rFonts w:hint="eastAsia"/>
                <w:color w:val="auto"/>
                <w:sz w:val="24"/>
              </w:rPr>
            </w:pPr>
            <w:r>
              <w:rPr>
                <w:rFonts w:hint="eastAsia"/>
                <w:color w:val="auto"/>
                <w:sz w:val="24"/>
              </w:rPr>
              <w:t>根据《建设项目环境影响报告表编制技术指南（污染影响类）》（试行），结合本项目的生产特点，基本不存在</w:t>
            </w:r>
            <w:r>
              <w:rPr>
                <w:rFonts w:hint="eastAsia"/>
                <w:color w:val="auto"/>
                <w:sz w:val="24"/>
                <w:lang w:eastAsia="zh-CN"/>
              </w:rPr>
              <w:t>土壤</w:t>
            </w:r>
            <w:r>
              <w:rPr>
                <w:rFonts w:hint="eastAsia"/>
                <w:color w:val="auto"/>
                <w:sz w:val="24"/>
              </w:rPr>
              <w:t>、地下水环境污染</w:t>
            </w:r>
            <w:r>
              <w:rPr>
                <w:rFonts w:hint="eastAsia"/>
                <w:color w:val="auto"/>
                <w:sz w:val="24"/>
                <w:lang w:eastAsia="zh-CN"/>
              </w:rPr>
              <w:t>途</w:t>
            </w:r>
            <w:r>
              <w:rPr>
                <w:rFonts w:hint="eastAsia"/>
                <w:color w:val="auto"/>
                <w:sz w:val="24"/>
              </w:rPr>
              <w:t>径，故可不开展环境质量现状调查。</w:t>
            </w:r>
          </w:p>
          <w:p w14:paraId="0DC959A9">
            <w:pPr>
              <w:spacing w:line="360" w:lineRule="auto"/>
              <w:ind w:firstLine="480" w:firstLineChars="200"/>
              <w:rPr>
                <w:rFonts w:hint="eastAsia"/>
                <w:color w:val="auto"/>
                <w:sz w:val="24"/>
              </w:rPr>
            </w:pPr>
          </w:p>
        </w:tc>
      </w:tr>
      <w:tr w14:paraId="7A92D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107705D4">
            <w:pPr>
              <w:autoSpaceDE w:val="0"/>
              <w:autoSpaceDN w:val="0"/>
              <w:jc w:val="center"/>
              <w:rPr>
                <w:rFonts w:hAnsi="宋体"/>
                <w:color w:val="auto"/>
                <w:szCs w:val="21"/>
              </w:rPr>
            </w:pPr>
            <w:r>
              <w:rPr>
                <w:rFonts w:hint="eastAsia"/>
                <w:color w:val="auto"/>
                <w:szCs w:val="21"/>
                <w:lang w:eastAsia="zh-CN"/>
              </w:rPr>
              <w:t xml:space="preserve"> </w:t>
            </w:r>
            <w:r>
              <w:rPr>
                <w:rFonts w:hint="eastAsia"/>
                <w:color w:val="auto"/>
                <w:szCs w:val="21"/>
              </w:rPr>
              <w:t>环境保护目标</w:t>
            </w:r>
          </w:p>
        </w:tc>
        <w:tc>
          <w:tcPr>
            <w:tcW w:w="8611" w:type="dxa"/>
            <w:vAlign w:val="center"/>
          </w:tcPr>
          <w:p w14:paraId="3F1F15E6">
            <w:pPr>
              <w:spacing w:line="360" w:lineRule="auto"/>
              <w:rPr>
                <w:b/>
                <w:color w:val="auto"/>
                <w:sz w:val="24"/>
                <w:szCs w:val="24"/>
              </w:rPr>
            </w:pPr>
            <w:r>
              <w:rPr>
                <w:rFonts w:hint="eastAsia"/>
                <w:b/>
                <w:color w:val="auto"/>
                <w:sz w:val="24"/>
                <w:szCs w:val="24"/>
              </w:rPr>
              <w:t>1、大气环境保护目标</w:t>
            </w:r>
          </w:p>
          <w:p w14:paraId="3EC902F6">
            <w:pPr>
              <w:spacing w:line="360" w:lineRule="auto"/>
              <w:ind w:firstLine="480" w:firstLineChars="200"/>
              <w:rPr>
                <w:rFonts w:hint="eastAsia"/>
                <w:color w:val="auto"/>
                <w:sz w:val="24"/>
                <w:lang w:eastAsia="zh-CN"/>
              </w:rPr>
            </w:pPr>
            <w:r>
              <w:rPr>
                <w:rFonts w:hint="eastAsia"/>
                <w:color w:val="auto"/>
                <w:sz w:val="24"/>
              </w:rPr>
              <w:t>本项目厂界外</w:t>
            </w:r>
            <w:r>
              <w:rPr>
                <w:color w:val="auto"/>
                <w:sz w:val="24"/>
              </w:rPr>
              <w:t>500m</w:t>
            </w:r>
            <w:r>
              <w:rPr>
                <w:rFonts w:hint="eastAsia"/>
                <w:color w:val="auto"/>
                <w:sz w:val="24"/>
              </w:rPr>
              <w:t>范围内大气环境保护目标</w:t>
            </w:r>
            <w:r>
              <w:rPr>
                <w:rFonts w:hint="eastAsia"/>
                <w:color w:val="auto"/>
                <w:sz w:val="24"/>
                <w:lang w:eastAsia="zh-CN"/>
              </w:rPr>
              <w:t>如下表：</w:t>
            </w:r>
          </w:p>
          <w:p w14:paraId="6A0E6547">
            <w:pPr>
              <w:spacing w:line="360" w:lineRule="auto"/>
              <w:jc w:val="center"/>
              <w:rPr>
                <w:b/>
                <w:bCs/>
                <w:snapToGrid w:val="0"/>
                <w:color w:val="auto"/>
                <w:szCs w:val="21"/>
              </w:rPr>
            </w:pPr>
            <w:r>
              <w:rPr>
                <w:b/>
                <w:bCs/>
                <w:snapToGrid w:val="0"/>
                <w:color w:val="auto"/>
                <w:szCs w:val="21"/>
              </w:rPr>
              <w:t>表3-</w:t>
            </w:r>
            <w:r>
              <w:rPr>
                <w:rFonts w:hint="eastAsia"/>
                <w:b/>
                <w:bCs/>
                <w:snapToGrid w:val="0"/>
                <w:color w:val="auto"/>
                <w:szCs w:val="21"/>
                <w:lang w:val="en-US" w:eastAsia="zh-CN"/>
              </w:rPr>
              <w:t>7</w:t>
            </w:r>
            <w:r>
              <w:rPr>
                <w:b/>
                <w:bCs/>
                <w:snapToGrid w:val="0"/>
                <w:color w:val="auto"/>
                <w:szCs w:val="21"/>
              </w:rPr>
              <w:t xml:space="preserve">  建设项目</w:t>
            </w:r>
            <w:r>
              <w:rPr>
                <w:rFonts w:hint="eastAsia"/>
                <w:b/>
                <w:bCs/>
                <w:snapToGrid w:val="0"/>
                <w:color w:val="auto"/>
                <w:szCs w:val="21"/>
              </w:rPr>
              <w:t>大气</w:t>
            </w:r>
            <w:r>
              <w:rPr>
                <w:b/>
                <w:bCs/>
                <w:snapToGrid w:val="0"/>
                <w:color w:val="auto"/>
                <w:szCs w:val="21"/>
              </w:rPr>
              <w:t>环境保护目标一览表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8"/>
              <w:gridCol w:w="937"/>
              <w:gridCol w:w="938"/>
              <w:gridCol w:w="601"/>
              <w:gridCol w:w="601"/>
              <w:gridCol w:w="891"/>
              <w:gridCol w:w="898"/>
              <w:gridCol w:w="1082"/>
              <w:gridCol w:w="1839"/>
            </w:tblGrid>
            <w:tr w14:paraId="0E676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12" w:type="pct"/>
                  <w:vMerge w:val="restart"/>
                  <w:noWrap w:val="0"/>
                  <w:vAlign w:val="center"/>
                </w:tcPr>
                <w:p w14:paraId="56F722D1">
                  <w:pPr>
                    <w:jc w:val="center"/>
                    <w:rPr>
                      <w:rFonts w:hint="eastAsia" w:eastAsia="宋体"/>
                      <w:b/>
                      <w:bCs/>
                      <w:snapToGrid w:val="0"/>
                      <w:color w:val="auto"/>
                      <w:szCs w:val="21"/>
                      <w:lang w:eastAsia="zh-CN"/>
                    </w:rPr>
                  </w:pPr>
                  <w:r>
                    <w:rPr>
                      <w:rFonts w:hint="eastAsia"/>
                      <w:b/>
                      <w:bCs/>
                      <w:snapToGrid w:val="0"/>
                      <w:color w:val="auto"/>
                      <w:szCs w:val="21"/>
                      <w:lang w:eastAsia="zh-CN"/>
                    </w:rPr>
                    <w:t>类别</w:t>
                  </w:r>
                </w:p>
              </w:tc>
              <w:tc>
                <w:tcPr>
                  <w:tcW w:w="540" w:type="pct"/>
                  <w:vMerge w:val="restart"/>
                  <w:noWrap w:val="0"/>
                  <w:vAlign w:val="center"/>
                </w:tcPr>
                <w:p w14:paraId="110594B5">
                  <w:pPr>
                    <w:jc w:val="center"/>
                    <w:rPr>
                      <w:rFonts w:hint="eastAsia"/>
                      <w:b/>
                      <w:bCs/>
                      <w:snapToGrid w:val="0"/>
                      <w:color w:val="auto"/>
                      <w:szCs w:val="21"/>
                      <w:lang w:eastAsia="zh-CN"/>
                    </w:rPr>
                  </w:pPr>
                  <w:r>
                    <w:rPr>
                      <w:rFonts w:hint="eastAsia"/>
                      <w:b/>
                      <w:bCs/>
                      <w:snapToGrid w:val="0"/>
                      <w:color w:val="auto"/>
                      <w:szCs w:val="21"/>
                      <w:lang w:eastAsia="zh-CN"/>
                    </w:rPr>
                    <w:t>序号</w:t>
                  </w:r>
                </w:p>
              </w:tc>
              <w:tc>
                <w:tcPr>
                  <w:tcW w:w="540" w:type="pct"/>
                  <w:vMerge w:val="restart"/>
                  <w:noWrap w:val="0"/>
                  <w:vAlign w:val="center"/>
                </w:tcPr>
                <w:p w14:paraId="795B89D7">
                  <w:pPr>
                    <w:jc w:val="center"/>
                    <w:rPr>
                      <w:b/>
                      <w:bCs/>
                      <w:snapToGrid w:val="0"/>
                      <w:color w:val="auto"/>
                      <w:szCs w:val="21"/>
                    </w:rPr>
                  </w:pPr>
                  <w:r>
                    <w:rPr>
                      <w:b/>
                      <w:bCs/>
                      <w:snapToGrid w:val="0"/>
                      <w:color w:val="auto"/>
                      <w:szCs w:val="21"/>
                    </w:rPr>
                    <w:t>名称</w:t>
                  </w:r>
                </w:p>
              </w:tc>
              <w:tc>
                <w:tcPr>
                  <w:tcW w:w="692" w:type="pct"/>
                  <w:gridSpan w:val="2"/>
                  <w:noWrap w:val="0"/>
                  <w:vAlign w:val="center"/>
                </w:tcPr>
                <w:p w14:paraId="288954CE">
                  <w:pPr>
                    <w:jc w:val="center"/>
                    <w:rPr>
                      <w:rFonts w:hint="eastAsia" w:eastAsia="宋体"/>
                      <w:b/>
                      <w:bCs/>
                      <w:snapToGrid w:val="0"/>
                      <w:color w:val="auto"/>
                      <w:szCs w:val="21"/>
                      <w:lang w:eastAsia="zh-CN"/>
                    </w:rPr>
                  </w:pPr>
                  <w:r>
                    <w:rPr>
                      <w:rFonts w:hint="eastAsia"/>
                      <w:b/>
                      <w:bCs/>
                      <w:snapToGrid w:val="0"/>
                      <w:color w:val="auto"/>
                      <w:szCs w:val="21"/>
                      <w:lang w:eastAsia="zh-CN"/>
                    </w:rPr>
                    <w:t>空间相对位置</w:t>
                  </w:r>
                </w:p>
              </w:tc>
              <w:tc>
                <w:tcPr>
                  <w:tcW w:w="513" w:type="pct"/>
                  <w:vMerge w:val="restart"/>
                  <w:noWrap w:val="0"/>
                  <w:vAlign w:val="center"/>
                </w:tcPr>
                <w:p w14:paraId="6FA97F6D">
                  <w:pPr>
                    <w:jc w:val="center"/>
                    <w:rPr>
                      <w:rFonts w:hint="eastAsia" w:eastAsia="宋体"/>
                      <w:b/>
                      <w:bCs/>
                      <w:snapToGrid w:val="0"/>
                      <w:color w:val="auto"/>
                      <w:szCs w:val="21"/>
                      <w:lang w:eastAsia="zh-CN"/>
                    </w:rPr>
                  </w:pPr>
                  <w:r>
                    <w:rPr>
                      <w:rFonts w:hint="eastAsia"/>
                      <w:b/>
                      <w:bCs/>
                      <w:snapToGrid w:val="0"/>
                      <w:color w:val="auto"/>
                      <w:szCs w:val="21"/>
                      <w:lang w:eastAsia="zh-CN"/>
                    </w:rPr>
                    <w:t>性质、规模</w:t>
                  </w:r>
                </w:p>
              </w:tc>
              <w:tc>
                <w:tcPr>
                  <w:tcW w:w="517" w:type="pct"/>
                  <w:vMerge w:val="restart"/>
                  <w:noWrap w:val="0"/>
                  <w:vAlign w:val="center"/>
                </w:tcPr>
                <w:p w14:paraId="5FC0170F">
                  <w:pPr>
                    <w:jc w:val="center"/>
                    <w:rPr>
                      <w:rFonts w:hint="eastAsia" w:eastAsia="宋体"/>
                      <w:b/>
                      <w:bCs/>
                      <w:snapToGrid w:val="0"/>
                      <w:color w:val="auto"/>
                      <w:szCs w:val="21"/>
                      <w:lang w:eastAsia="zh-CN"/>
                    </w:rPr>
                  </w:pPr>
                  <w:r>
                    <w:rPr>
                      <w:rFonts w:hint="eastAsia"/>
                      <w:b/>
                      <w:bCs/>
                      <w:snapToGrid w:val="0"/>
                      <w:color w:val="auto"/>
                      <w:szCs w:val="21"/>
                      <w:lang w:eastAsia="zh-CN"/>
                    </w:rPr>
                    <w:t>据厂界最近距离</w:t>
                  </w:r>
                </w:p>
              </w:tc>
              <w:tc>
                <w:tcPr>
                  <w:tcW w:w="623" w:type="pct"/>
                  <w:vMerge w:val="restart"/>
                  <w:noWrap w:val="0"/>
                  <w:vAlign w:val="center"/>
                </w:tcPr>
                <w:p w14:paraId="0AA6341F">
                  <w:pPr>
                    <w:jc w:val="center"/>
                    <w:rPr>
                      <w:rFonts w:hint="eastAsia"/>
                      <w:b/>
                      <w:bCs/>
                      <w:snapToGrid w:val="0"/>
                      <w:color w:val="auto"/>
                      <w:szCs w:val="21"/>
                      <w:lang w:eastAsia="zh-CN"/>
                    </w:rPr>
                  </w:pPr>
                  <w:r>
                    <w:rPr>
                      <w:rFonts w:hint="eastAsia"/>
                      <w:b/>
                      <w:bCs/>
                      <w:snapToGrid w:val="0"/>
                      <w:color w:val="auto"/>
                      <w:szCs w:val="21"/>
                      <w:lang w:eastAsia="zh-CN"/>
                    </w:rPr>
                    <w:t>方位</w:t>
                  </w:r>
                </w:p>
              </w:tc>
              <w:tc>
                <w:tcPr>
                  <w:tcW w:w="1059" w:type="pct"/>
                  <w:vMerge w:val="restart"/>
                  <w:noWrap w:val="0"/>
                  <w:vAlign w:val="center"/>
                </w:tcPr>
                <w:p w14:paraId="1C36302A">
                  <w:pPr>
                    <w:jc w:val="center"/>
                    <w:rPr>
                      <w:rFonts w:hint="eastAsia" w:eastAsia="宋体"/>
                      <w:b/>
                      <w:bCs/>
                      <w:snapToGrid w:val="0"/>
                      <w:color w:val="auto"/>
                      <w:szCs w:val="21"/>
                      <w:lang w:eastAsia="zh-CN"/>
                    </w:rPr>
                  </w:pPr>
                  <w:r>
                    <w:rPr>
                      <w:rFonts w:hint="eastAsia"/>
                      <w:b/>
                      <w:bCs/>
                      <w:snapToGrid w:val="0"/>
                      <w:color w:val="auto"/>
                      <w:szCs w:val="21"/>
                      <w:lang w:eastAsia="zh-CN"/>
                    </w:rPr>
                    <w:t>保护级别</w:t>
                  </w:r>
                </w:p>
              </w:tc>
            </w:tr>
            <w:tr w14:paraId="30D94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12" w:type="pct"/>
                  <w:vMerge w:val="continue"/>
                  <w:noWrap w:val="0"/>
                  <w:vAlign w:val="center"/>
                </w:tcPr>
                <w:p w14:paraId="0C2F2D71">
                  <w:pPr>
                    <w:jc w:val="center"/>
                    <w:rPr>
                      <w:bCs/>
                      <w:snapToGrid w:val="0"/>
                      <w:color w:val="auto"/>
                      <w:szCs w:val="21"/>
                    </w:rPr>
                  </w:pPr>
                </w:p>
              </w:tc>
              <w:tc>
                <w:tcPr>
                  <w:tcW w:w="540" w:type="pct"/>
                  <w:vMerge w:val="continue"/>
                  <w:noWrap w:val="0"/>
                  <w:vAlign w:val="center"/>
                </w:tcPr>
                <w:p w14:paraId="1A1AE172">
                  <w:pPr>
                    <w:jc w:val="center"/>
                    <w:rPr>
                      <w:bCs/>
                      <w:snapToGrid w:val="0"/>
                      <w:color w:val="auto"/>
                      <w:szCs w:val="21"/>
                    </w:rPr>
                  </w:pPr>
                </w:p>
              </w:tc>
              <w:tc>
                <w:tcPr>
                  <w:tcW w:w="540" w:type="pct"/>
                  <w:vMerge w:val="continue"/>
                  <w:noWrap w:val="0"/>
                  <w:vAlign w:val="center"/>
                </w:tcPr>
                <w:p w14:paraId="3CD0FC11">
                  <w:pPr>
                    <w:jc w:val="center"/>
                    <w:rPr>
                      <w:bCs/>
                      <w:snapToGrid w:val="0"/>
                      <w:color w:val="auto"/>
                      <w:szCs w:val="21"/>
                    </w:rPr>
                  </w:pPr>
                </w:p>
              </w:tc>
              <w:tc>
                <w:tcPr>
                  <w:tcW w:w="346" w:type="pct"/>
                  <w:noWrap w:val="0"/>
                  <w:vAlign w:val="center"/>
                </w:tcPr>
                <w:p w14:paraId="6BFAD2D7">
                  <w:pPr>
                    <w:jc w:val="center"/>
                    <w:rPr>
                      <w:rFonts w:hint="eastAsia" w:eastAsia="宋体"/>
                      <w:bCs/>
                      <w:snapToGrid w:val="0"/>
                      <w:color w:val="auto"/>
                      <w:szCs w:val="21"/>
                      <w:lang w:val="en-US" w:eastAsia="zh-CN"/>
                    </w:rPr>
                  </w:pPr>
                  <w:r>
                    <w:rPr>
                      <w:rFonts w:hint="eastAsia"/>
                      <w:bCs/>
                      <w:snapToGrid w:val="0"/>
                      <w:color w:val="auto"/>
                      <w:szCs w:val="21"/>
                      <w:lang w:val="en-US" w:eastAsia="zh-CN"/>
                    </w:rPr>
                    <w:t>X</w:t>
                  </w:r>
                </w:p>
              </w:tc>
              <w:tc>
                <w:tcPr>
                  <w:tcW w:w="346" w:type="pct"/>
                  <w:noWrap w:val="0"/>
                  <w:vAlign w:val="center"/>
                </w:tcPr>
                <w:p w14:paraId="3156D45B">
                  <w:pPr>
                    <w:jc w:val="center"/>
                    <w:rPr>
                      <w:rFonts w:hint="eastAsia" w:eastAsia="宋体"/>
                      <w:bCs/>
                      <w:snapToGrid w:val="0"/>
                      <w:color w:val="auto"/>
                      <w:szCs w:val="21"/>
                      <w:lang w:val="en-US" w:eastAsia="zh-CN"/>
                    </w:rPr>
                  </w:pPr>
                  <w:r>
                    <w:rPr>
                      <w:rFonts w:hint="eastAsia"/>
                      <w:bCs/>
                      <w:snapToGrid w:val="0"/>
                      <w:color w:val="auto"/>
                      <w:szCs w:val="21"/>
                      <w:lang w:val="en-US" w:eastAsia="zh-CN"/>
                    </w:rPr>
                    <w:t>Y</w:t>
                  </w:r>
                </w:p>
              </w:tc>
              <w:tc>
                <w:tcPr>
                  <w:tcW w:w="513" w:type="pct"/>
                  <w:vMerge w:val="continue"/>
                  <w:noWrap w:val="0"/>
                  <w:vAlign w:val="center"/>
                </w:tcPr>
                <w:p w14:paraId="5A0CE949">
                  <w:pPr>
                    <w:jc w:val="center"/>
                    <w:rPr>
                      <w:bCs/>
                      <w:snapToGrid w:val="0"/>
                      <w:color w:val="auto"/>
                      <w:szCs w:val="21"/>
                    </w:rPr>
                  </w:pPr>
                </w:p>
              </w:tc>
              <w:tc>
                <w:tcPr>
                  <w:tcW w:w="517" w:type="pct"/>
                  <w:vMerge w:val="continue"/>
                  <w:noWrap w:val="0"/>
                  <w:vAlign w:val="center"/>
                </w:tcPr>
                <w:p w14:paraId="00B4CF26">
                  <w:pPr>
                    <w:jc w:val="center"/>
                    <w:rPr>
                      <w:bCs/>
                      <w:snapToGrid w:val="0"/>
                      <w:color w:val="auto"/>
                      <w:szCs w:val="21"/>
                    </w:rPr>
                  </w:pPr>
                </w:p>
              </w:tc>
              <w:tc>
                <w:tcPr>
                  <w:tcW w:w="623" w:type="pct"/>
                  <w:vMerge w:val="continue"/>
                  <w:noWrap w:val="0"/>
                  <w:vAlign w:val="center"/>
                </w:tcPr>
                <w:p w14:paraId="4D24A3F9">
                  <w:pPr>
                    <w:jc w:val="center"/>
                    <w:rPr>
                      <w:bCs/>
                      <w:snapToGrid w:val="0"/>
                      <w:color w:val="auto"/>
                      <w:szCs w:val="21"/>
                    </w:rPr>
                  </w:pPr>
                </w:p>
              </w:tc>
              <w:tc>
                <w:tcPr>
                  <w:tcW w:w="1059" w:type="pct"/>
                  <w:vMerge w:val="continue"/>
                  <w:noWrap w:val="0"/>
                  <w:vAlign w:val="center"/>
                </w:tcPr>
                <w:p w14:paraId="51D40552">
                  <w:pPr>
                    <w:jc w:val="center"/>
                    <w:rPr>
                      <w:bCs/>
                      <w:snapToGrid w:val="0"/>
                      <w:color w:val="auto"/>
                      <w:szCs w:val="21"/>
                    </w:rPr>
                  </w:pPr>
                </w:p>
              </w:tc>
            </w:tr>
            <w:tr w14:paraId="73CD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restart"/>
                  <w:noWrap w:val="0"/>
                  <w:vAlign w:val="center"/>
                </w:tcPr>
                <w:p w14:paraId="3B0CD957">
                  <w:pPr>
                    <w:jc w:val="center"/>
                    <w:rPr>
                      <w:rFonts w:ascii="Times New Roman" w:hAnsi="Times New Roman" w:eastAsia="宋体" w:cs="Times New Roman"/>
                      <w:color w:val="auto"/>
                      <w:szCs w:val="21"/>
                    </w:rPr>
                  </w:pPr>
                  <w:r>
                    <w:rPr>
                      <w:rFonts w:ascii="Times New Roman" w:hAnsi="Times New Roman" w:eastAsia="宋体" w:cs="Times New Roman"/>
                      <w:color w:val="auto"/>
                      <w:szCs w:val="21"/>
                    </w:rPr>
                    <w:t>大气环境</w:t>
                  </w:r>
                </w:p>
              </w:tc>
              <w:tc>
                <w:tcPr>
                  <w:tcW w:w="540" w:type="pct"/>
                  <w:noWrap w:val="0"/>
                  <w:vAlign w:val="center"/>
                </w:tcPr>
                <w:p w14:paraId="143B37B4">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540" w:type="pct"/>
                  <w:noWrap w:val="0"/>
                  <w:vAlign w:val="center"/>
                </w:tcPr>
                <w:p w14:paraId="61FE1006">
                  <w:pPr>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1</w:t>
                  </w:r>
                </w:p>
              </w:tc>
              <w:tc>
                <w:tcPr>
                  <w:tcW w:w="346" w:type="pct"/>
                  <w:noWrap w:val="0"/>
                  <w:vAlign w:val="center"/>
                </w:tcPr>
                <w:p w14:paraId="16457877">
                  <w:pPr>
                    <w:jc w:val="center"/>
                    <w:rPr>
                      <w:rFonts w:hint="default" w:cs="Times New Roman"/>
                      <w:color w:val="auto"/>
                      <w:szCs w:val="21"/>
                      <w:lang w:val="en-US" w:eastAsia="zh-CN"/>
                    </w:rPr>
                  </w:pPr>
                  <w:r>
                    <w:rPr>
                      <w:rFonts w:hint="eastAsia" w:cs="Times New Roman"/>
                      <w:color w:val="auto"/>
                      <w:szCs w:val="21"/>
                      <w:lang w:val="en-US" w:eastAsia="zh-CN"/>
                    </w:rPr>
                    <w:t>10</w:t>
                  </w:r>
                </w:p>
              </w:tc>
              <w:tc>
                <w:tcPr>
                  <w:tcW w:w="346" w:type="pct"/>
                  <w:noWrap w:val="0"/>
                  <w:vAlign w:val="center"/>
                </w:tcPr>
                <w:p w14:paraId="5348D2BB">
                  <w:pPr>
                    <w:jc w:val="center"/>
                    <w:rPr>
                      <w:rFonts w:hint="default" w:cs="Times New Roman"/>
                      <w:color w:val="auto"/>
                      <w:szCs w:val="21"/>
                      <w:lang w:val="en-US" w:eastAsia="zh-CN"/>
                    </w:rPr>
                  </w:pPr>
                  <w:r>
                    <w:rPr>
                      <w:rFonts w:hint="eastAsia" w:cs="Times New Roman"/>
                      <w:color w:val="auto"/>
                      <w:szCs w:val="21"/>
                      <w:lang w:val="en-US" w:eastAsia="zh-CN"/>
                    </w:rPr>
                    <w:t>0</w:t>
                  </w:r>
                </w:p>
              </w:tc>
              <w:tc>
                <w:tcPr>
                  <w:tcW w:w="513" w:type="pct"/>
                  <w:noWrap w:val="0"/>
                  <w:vAlign w:val="center"/>
                </w:tcPr>
                <w:p w14:paraId="5FA5A6E7">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居民</w:t>
                  </w:r>
                  <w:r>
                    <w:rPr>
                      <w:rFonts w:hint="eastAsia" w:cs="Times New Roman"/>
                      <w:color w:val="auto"/>
                      <w:szCs w:val="21"/>
                      <w:lang w:val="en-US" w:eastAsia="zh-CN"/>
                    </w:rPr>
                    <w:t>点，约4户</w:t>
                  </w:r>
                </w:p>
              </w:tc>
              <w:tc>
                <w:tcPr>
                  <w:tcW w:w="517" w:type="pct"/>
                  <w:noWrap w:val="0"/>
                  <w:vAlign w:val="center"/>
                </w:tcPr>
                <w:p w14:paraId="6CE6F1C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约</w:t>
                  </w:r>
                  <w:r>
                    <w:rPr>
                      <w:rFonts w:hint="eastAsia" w:cs="Times New Roman"/>
                      <w:color w:val="auto"/>
                      <w:szCs w:val="21"/>
                      <w:lang w:val="en-US" w:eastAsia="zh-CN"/>
                    </w:rPr>
                    <w:t>10m</w:t>
                  </w:r>
                </w:p>
              </w:tc>
              <w:tc>
                <w:tcPr>
                  <w:tcW w:w="623" w:type="pct"/>
                  <w:noWrap w:val="0"/>
                  <w:vAlign w:val="center"/>
                </w:tcPr>
                <w:p w14:paraId="32E3A765">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E</w:t>
                  </w:r>
                </w:p>
              </w:tc>
              <w:tc>
                <w:tcPr>
                  <w:tcW w:w="1059" w:type="pct"/>
                  <w:vMerge w:val="restart"/>
                  <w:noWrap w:val="0"/>
                  <w:vAlign w:val="center"/>
                </w:tcPr>
                <w:p w14:paraId="639E2073">
                  <w:pPr>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《环境空气质量标准》（</w:t>
                  </w:r>
                  <w:r>
                    <w:rPr>
                      <w:rFonts w:hint="eastAsia" w:cs="Times New Roman"/>
                      <w:color w:val="auto"/>
                      <w:szCs w:val="21"/>
                      <w:lang w:val="en-US" w:eastAsia="zh-CN"/>
                    </w:rPr>
                    <w:t>GB3095-2012</w:t>
                  </w:r>
                  <w:r>
                    <w:rPr>
                      <w:rFonts w:hint="eastAsia" w:cs="Times New Roman"/>
                      <w:color w:val="auto"/>
                      <w:szCs w:val="21"/>
                      <w:lang w:eastAsia="zh-CN"/>
                    </w:rPr>
                    <w:t>）二级标准</w:t>
                  </w:r>
                </w:p>
              </w:tc>
            </w:tr>
            <w:tr w14:paraId="745C1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3974A136">
                  <w:pPr>
                    <w:jc w:val="center"/>
                    <w:rPr>
                      <w:rFonts w:ascii="Times New Roman" w:hAnsi="Times New Roman" w:eastAsia="宋体" w:cs="Times New Roman"/>
                      <w:color w:val="auto"/>
                      <w:szCs w:val="21"/>
                    </w:rPr>
                  </w:pPr>
                </w:p>
              </w:tc>
              <w:tc>
                <w:tcPr>
                  <w:tcW w:w="540" w:type="pct"/>
                  <w:noWrap w:val="0"/>
                  <w:vAlign w:val="center"/>
                </w:tcPr>
                <w:p w14:paraId="51357128">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540" w:type="pct"/>
                  <w:noWrap w:val="0"/>
                  <w:vAlign w:val="center"/>
                </w:tcPr>
                <w:p w14:paraId="7762D43A">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2</w:t>
                  </w:r>
                </w:p>
              </w:tc>
              <w:tc>
                <w:tcPr>
                  <w:tcW w:w="346" w:type="pct"/>
                  <w:noWrap w:val="0"/>
                  <w:vAlign w:val="center"/>
                </w:tcPr>
                <w:p w14:paraId="408BB1FF">
                  <w:pPr>
                    <w:jc w:val="center"/>
                    <w:rPr>
                      <w:rFonts w:hint="default" w:cs="Times New Roman"/>
                      <w:color w:val="auto"/>
                      <w:szCs w:val="21"/>
                      <w:lang w:val="en-US" w:eastAsia="zh-CN"/>
                    </w:rPr>
                  </w:pPr>
                  <w:r>
                    <w:rPr>
                      <w:rFonts w:hint="eastAsia" w:cs="Times New Roman"/>
                      <w:color w:val="auto"/>
                      <w:szCs w:val="21"/>
                      <w:lang w:val="en-US" w:eastAsia="zh-CN"/>
                    </w:rPr>
                    <w:t>2</w:t>
                  </w:r>
                </w:p>
              </w:tc>
              <w:tc>
                <w:tcPr>
                  <w:tcW w:w="346" w:type="pct"/>
                  <w:noWrap w:val="0"/>
                  <w:vAlign w:val="center"/>
                </w:tcPr>
                <w:p w14:paraId="5EEA09A1">
                  <w:pPr>
                    <w:jc w:val="center"/>
                    <w:rPr>
                      <w:rFonts w:hint="default" w:cs="Times New Roman"/>
                      <w:color w:val="auto"/>
                      <w:szCs w:val="21"/>
                      <w:lang w:val="en-US" w:eastAsia="zh-CN"/>
                    </w:rPr>
                  </w:pPr>
                  <w:r>
                    <w:rPr>
                      <w:rFonts w:hint="eastAsia" w:cs="Times New Roman"/>
                      <w:color w:val="auto"/>
                      <w:szCs w:val="21"/>
                      <w:lang w:val="en-US" w:eastAsia="zh-CN"/>
                    </w:rPr>
                    <w:t>-42</w:t>
                  </w:r>
                </w:p>
              </w:tc>
              <w:tc>
                <w:tcPr>
                  <w:tcW w:w="513" w:type="pct"/>
                  <w:noWrap w:val="0"/>
                  <w:vAlign w:val="center"/>
                </w:tcPr>
                <w:p w14:paraId="1693D78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居民点，约3户</w:t>
                  </w:r>
                </w:p>
              </w:tc>
              <w:tc>
                <w:tcPr>
                  <w:tcW w:w="517" w:type="pct"/>
                  <w:noWrap w:val="0"/>
                  <w:vAlign w:val="center"/>
                </w:tcPr>
                <w:p w14:paraId="35955B8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约</w:t>
                  </w:r>
                  <w:r>
                    <w:rPr>
                      <w:rFonts w:hint="eastAsia" w:cs="Times New Roman"/>
                      <w:color w:val="auto"/>
                      <w:szCs w:val="21"/>
                      <w:lang w:val="en-US" w:eastAsia="zh-CN"/>
                    </w:rPr>
                    <w:t>44m</w:t>
                  </w:r>
                </w:p>
              </w:tc>
              <w:tc>
                <w:tcPr>
                  <w:tcW w:w="623" w:type="pct"/>
                  <w:noWrap w:val="0"/>
                  <w:vAlign w:val="center"/>
                </w:tcPr>
                <w:p w14:paraId="12E6BD7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SE</w:t>
                  </w:r>
                </w:p>
              </w:tc>
              <w:tc>
                <w:tcPr>
                  <w:tcW w:w="1059" w:type="pct"/>
                  <w:vMerge w:val="continue"/>
                  <w:noWrap w:val="0"/>
                  <w:vAlign w:val="center"/>
                </w:tcPr>
                <w:p w14:paraId="485AE022">
                  <w:pPr>
                    <w:jc w:val="center"/>
                    <w:rPr>
                      <w:rFonts w:ascii="Times New Roman" w:hAnsi="Times New Roman" w:eastAsia="宋体" w:cs="Times New Roman"/>
                      <w:color w:val="auto"/>
                      <w:szCs w:val="21"/>
                    </w:rPr>
                  </w:pPr>
                </w:p>
              </w:tc>
            </w:tr>
            <w:tr w14:paraId="05F1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74902E59">
                  <w:pPr>
                    <w:jc w:val="center"/>
                    <w:rPr>
                      <w:rFonts w:ascii="Times New Roman" w:hAnsi="Times New Roman" w:eastAsia="宋体" w:cs="Times New Roman"/>
                      <w:color w:val="auto"/>
                      <w:szCs w:val="21"/>
                    </w:rPr>
                  </w:pPr>
                </w:p>
              </w:tc>
              <w:tc>
                <w:tcPr>
                  <w:tcW w:w="540" w:type="pct"/>
                  <w:noWrap w:val="0"/>
                  <w:vAlign w:val="center"/>
                </w:tcPr>
                <w:p w14:paraId="56B7A93E">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540" w:type="pct"/>
                  <w:noWrap w:val="0"/>
                  <w:vAlign w:val="center"/>
                </w:tcPr>
                <w:p w14:paraId="47072E02">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3</w:t>
                  </w:r>
                </w:p>
              </w:tc>
              <w:tc>
                <w:tcPr>
                  <w:tcW w:w="346" w:type="pct"/>
                  <w:noWrap w:val="0"/>
                  <w:vAlign w:val="center"/>
                </w:tcPr>
                <w:p w14:paraId="5DE48840">
                  <w:pPr>
                    <w:jc w:val="center"/>
                    <w:rPr>
                      <w:rFonts w:hint="default" w:cs="Times New Roman"/>
                      <w:color w:val="auto"/>
                      <w:szCs w:val="21"/>
                      <w:lang w:val="en-US" w:eastAsia="zh-CN"/>
                    </w:rPr>
                  </w:pPr>
                  <w:r>
                    <w:rPr>
                      <w:rFonts w:hint="eastAsia" w:cs="Times New Roman"/>
                      <w:color w:val="auto"/>
                      <w:szCs w:val="21"/>
                      <w:lang w:val="en-US" w:eastAsia="zh-CN"/>
                    </w:rPr>
                    <w:t>-23</w:t>
                  </w:r>
                </w:p>
              </w:tc>
              <w:tc>
                <w:tcPr>
                  <w:tcW w:w="346" w:type="pct"/>
                  <w:noWrap w:val="0"/>
                  <w:vAlign w:val="center"/>
                </w:tcPr>
                <w:p w14:paraId="6702E361">
                  <w:pPr>
                    <w:jc w:val="center"/>
                    <w:rPr>
                      <w:rFonts w:hint="default" w:cs="Times New Roman"/>
                      <w:color w:val="auto"/>
                      <w:szCs w:val="21"/>
                      <w:lang w:val="en-US" w:eastAsia="zh-CN"/>
                    </w:rPr>
                  </w:pPr>
                  <w:r>
                    <w:rPr>
                      <w:rFonts w:hint="eastAsia" w:cs="Times New Roman"/>
                      <w:color w:val="auto"/>
                      <w:szCs w:val="21"/>
                      <w:lang w:val="en-US" w:eastAsia="zh-CN"/>
                    </w:rPr>
                    <w:t>-30</w:t>
                  </w:r>
                </w:p>
              </w:tc>
              <w:tc>
                <w:tcPr>
                  <w:tcW w:w="513" w:type="pct"/>
                  <w:noWrap w:val="0"/>
                  <w:vAlign w:val="center"/>
                </w:tcPr>
                <w:p w14:paraId="20A52A55">
                  <w:pPr>
                    <w:jc w:val="center"/>
                    <w:rPr>
                      <w:rFonts w:hint="default" w:cs="Times New Roman"/>
                      <w:color w:val="auto"/>
                      <w:szCs w:val="21"/>
                      <w:lang w:val="en-US" w:eastAsia="zh-CN"/>
                    </w:rPr>
                  </w:pPr>
                  <w:r>
                    <w:rPr>
                      <w:rFonts w:hint="eastAsia" w:cs="Times New Roman"/>
                      <w:color w:val="auto"/>
                      <w:szCs w:val="21"/>
                      <w:lang w:val="en-US" w:eastAsia="zh-CN"/>
                    </w:rPr>
                    <w:t>居民点，约3户</w:t>
                  </w:r>
                </w:p>
              </w:tc>
              <w:tc>
                <w:tcPr>
                  <w:tcW w:w="517" w:type="pct"/>
                  <w:noWrap w:val="0"/>
                  <w:vAlign w:val="center"/>
                </w:tcPr>
                <w:p w14:paraId="42472528">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37m</w:t>
                  </w:r>
                </w:p>
              </w:tc>
              <w:tc>
                <w:tcPr>
                  <w:tcW w:w="623" w:type="pct"/>
                  <w:noWrap w:val="0"/>
                  <w:vAlign w:val="center"/>
                </w:tcPr>
                <w:p w14:paraId="4C0F3721">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SE</w:t>
                  </w:r>
                </w:p>
              </w:tc>
              <w:tc>
                <w:tcPr>
                  <w:tcW w:w="1059" w:type="pct"/>
                  <w:vMerge w:val="continue"/>
                  <w:noWrap w:val="0"/>
                  <w:vAlign w:val="center"/>
                </w:tcPr>
                <w:p w14:paraId="4269FFB0">
                  <w:pPr>
                    <w:jc w:val="center"/>
                    <w:rPr>
                      <w:rFonts w:ascii="Times New Roman" w:hAnsi="Times New Roman" w:eastAsia="宋体" w:cs="Times New Roman"/>
                      <w:color w:val="auto"/>
                      <w:szCs w:val="21"/>
                    </w:rPr>
                  </w:pPr>
                </w:p>
              </w:tc>
            </w:tr>
            <w:tr w14:paraId="133E9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1F7230DB">
                  <w:pPr>
                    <w:jc w:val="center"/>
                    <w:rPr>
                      <w:rFonts w:ascii="Times New Roman" w:hAnsi="Times New Roman" w:eastAsia="宋体" w:cs="Times New Roman"/>
                      <w:color w:val="auto"/>
                      <w:szCs w:val="21"/>
                    </w:rPr>
                  </w:pPr>
                </w:p>
              </w:tc>
              <w:tc>
                <w:tcPr>
                  <w:tcW w:w="540" w:type="pct"/>
                  <w:noWrap w:val="0"/>
                  <w:vAlign w:val="center"/>
                </w:tcPr>
                <w:p w14:paraId="06AE0C45">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540" w:type="pct"/>
                  <w:noWrap w:val="0"/>
                  <w:vAlign w:val="center"/>
                </w:tcPr>
                <w:p w14:paraId="16116D5C">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4</w:t>
                  </w:r>
                </w:p>
              </w:tc>
              <w:tc>
                <w:tcPr>
                  <w:tcW w:w="346" w:type="pct"/>
                  <w:noWrap w:val="0"/>
                  <w:vAlign w:val="center"/>
                </w:tcPr>
                <w:p w14:paraId="181ABB07">
                  <w:pPr>
                    <w:jc w:val="center"/>
                    <w:rPr>
                      <w:rFonts w:hint="default" w:cs="Times New Roman"/>
                      <w:color w:val="auto"/>
                      <w:szCs w:val="21"/>
                      <w:lang w:val="en-US" w:eastAsia="zh-CN"/>
                    </w:rPr>
                  </w:pPr>
                  <w:r>
                    <w:rPr>
                      <w:rFonts w:hint="eastAsia" w:cs="Times New Roman"/>
                      <w:color w:val="auto"/>
                      <w:szCs w:val="21"/>
                      <w:lang w:val="en-US" w:eastAsia="zh-CN"/>
                    </w:rPr>
                    <w:t>-12</w:t>
                  </w:r>
                </w:p>
              </w:tc>
              <w:tc>
                <w:tcPr>
                  <w:tcW w:w="346" w:type="pct"/>
                  <w:noWrap w:val="0"/>
                  <w:vAlign w:val="center"/>
                </w:tcPr>
                <w:p w14:paraId="721EA05C">
                  <w:pPr>
                    <w:jc w:val="center"/>
                    <w:rPr>
                      <w:rFonts w:hint="default" w:cs="Times New Roman"/>
                      <w:color w:val="auto"/>
                      <w:szCs w:val="21"/>
                      <w:lang w:val="en-US" w:eastAsia="zh-CN"/>
                    </w:rPr>
                  </w:pPr>
                  <w:r>
                    <w:rPr>
                      <w:rFonts w:hint="eastAsia" w:cs="Times New Roman"/>
                      <w:color w:val="auto"/>
                      <w:szCs w:val="21"/>
                      <w:lang w:val="en-US" w:eastAsia="zh-CN"/>
                    </w:rPr>
                    <w:t>0</w:t>
                  </w:r>
                </w:p>
              </w:tc>
              <w:tc>
                <w:tcPr>
                  <w:tcW w:w="513" w:type="pct"/>
                  <w:noWrap w:val="0"/>
                  <w:vAlign w:val="center"/>
                </w:tcPr>
                <w:p w14:paraId="7743236E">
                  <w:pPr>
                    <w:jc w:val="center"/>
                    <w:rPr>
                      <w:rFonts w:hint="eastAsia" w:cs="Times New Roman"/>
                      <w:color w:val="auto"/>
                      <w:szCs w:val="21"/>
                      <w:lang w:val="en-US" w:eastAsia="zh-CN"/>
                    </w:rPr>
                  </w:pPr>
                  <w:r>
                    <w:rPr>
                      <w:rFonts w:hint="eastAsia" w:cs="Times New Roman"/>
                      <w:color w:val="auto"/>
                      <w:szCs w:val="21"/>
                      <w:lang w:val="en-US" w:eastAsia="zh-CN"/>
                    </w:rPr>
                    <w:t>居民点，约10户</w:t>
                  </w:r>
                </w:p>
              </w:tc>
              <w:tc>
                <w:tcPr>
                  <w:tcW w:w="517" w:type="pct"/>
                  <w:noWrap w:val="0"/>
                  <w:vAlign w:val="center"/>
                </w:tcPr>
                <w:p w14:paraId="2A267A45">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12m</w:t>
                  </w:r>
                </w:p>
              </w:tc>
              <w:tc>
                <w:tcPr>
                  <w:tcW w:w="623" w:type="pct"/>
                  <w:noWrap w:val="0"/>
                  <w:vAlign w:val="center"/>
                </w:tcPr>
                <w:p w14:paraId="5149A3DE">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w:t>
                  </w:r>
                </w:p>
              </w:tc>
              <w:tc>
                <w:tcPr>
                  <w:tcW w:w="1059" w:type="pct"/>
                  <w:vMerge w:val="continue"/>
                  <w:noWrap w:val="0"/>
                  <w:vAlign w:val="center"/>
                </w:tcPr>
                <w:p w14:paraId="4FCF8CB2">
                  <w:pPr>
                    <w:jc w:val="center"/>
                    <w:rPr>
                      <w:rFonts w:ascii="Times New Roman" w:hAnsi="Times New Roman" w:eastAsia="宋体" w:cs="Times New Roman"/>
                      <w:color w:val="auto"/>
                      <w:szCs w:val="21"/>
                    </w:rPr>
                  </w:pPr>
                </w:p>
              </w:tc>
            </w:tr>
            <w:tr w14:paraId="5F5DA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3B8C594F">
                  <w:pPr>
                    <w:jc w:val="center"/>
                    <w:rPr>
                      <w:rFonts w:ascii="Times New Roman" w:hAnsi="Times New Roman" w:eastAsia="宋体" w:cs="Times New Roman"/>
                      <w:color w:val="auto"/>
                      <w:szCs w:val="21"/>
                    </w:rPr>
                  </w:pPr>
                </w:p>
              </w:tc>
              <w:tc>
                <w:tcPr>
                  <w:tcW w:w="540" w:type="pct"/>
                  <w:noWrap w:val="0"/>
                  <w:vAlign w:val="center"/>
                </w:tcPr>
                <w:p w14:paraId="534DB0C3">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540" w:type="pct"/>
                  <w:noWrap w:val="0"/>
                  <w:vAlign w:val="center"/>
                </w:tcPr>
                <w:p w14:paraId="17F37619">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5</w:t>
                  </w:r>
                </w:p>
              </w:tc>
              <w:tc>
                <w:tcPr>
                  <w:tcW w:w="346" w:type="pct"/>
                  <w:noWrap w:val="0"/>
                  <w:vAlign w:val="center"/>
                </w:tcPr>
                <w:p w14:paraId="00CFFBE3">
                  <w:pPr>
                    <w:jc w:val="center"/>
                    <w:rPr>
                      <w:rFonts w:hint="default" w:cs="Times New Roman"/>
                      <w:color w:val="auto"/>
                      <w:szCs w:val="21"/>
                      <w:lang w:val="en-US" w:eastAsia="zh-CN"/>
                    </w:rPr>
                  </w:pPr>
                  <w:r>
                    <w:rPr>
                      <w:rFonts w:hint="eastAsia" w:cs="Times New Roman"/>
                      <w:color w:val="auto"/>
                      <w:szCs w:val="21"/>
                      <w:lang w:val="en-US" w:eastAsia="zh-CN"/>
                    </w:rPr>
                    <w:t>-5</w:t>
                  </w:r>
                </w:p>
              </w:tc>
              <w:tc>
                <w:tcPr>
                  <w:tcW w:w="346" w:type="pct"/>
                  <w:noWrap w:val="0"/>
                  <w:vAlign w:val="center"/>
                </w:tcPr>
                <w:p w14:paraId="658AB267">
                  <w:pPr>
                    <w:jc w:val="center"/>
                    <w:rPr>
                      <w:rFonts w:hint="default" w:cs="Times New Roman"/>
                      <w:color w:val="auto"/>
                      <w:szCs w:val="21"/>
                      <w:lang w:val="en-US" w:eastAsia="zh-CN"/>
                    </w:rPr>
                  </w:pPr>
                  <w:r>
                    <w:rPr>
                      <w:rFonts w:hint="eastAsia" w:cs="Times New Roman"/>
                      <w:color w:val="auto"/>
                      <w:szCs w:val="21"/>
                      <w:lang w:val="en-US" w:eastAsia="zh-CN"/>
                    </w:rPr>
                    <w:t>0</w:t>
                  </w:r>
                </w:p>
              </w:tc>
              <w:tc>
                <w:tcPr>
                  <w:tcW w:w="513" w:type="pct"/>
                  <w:noWrap w:val="0"/>
                  <w:vAlign w:val="center"/>
                </w:tcPr>
                <w:p w14:paraId="141B1F42">
                  <w:pPr>
                    <w:jc w:val="center"/>
                    <w:rPr>
                      <w:rFonts w:hint="eastAsia" w:cs="Times New Roman"/>
                      <w:color w:val="auto"/>
                      <w:szCs w:val="21"/>
                      <w:lang w:val="en-US" w:eastAsia="zh-CN"/>
                    </w:rPr>
                  </w:pPr>
                  <w:r>
                    <w:rPr>
                      <w:rFonts w:hint="eastAsia" w:cs="Times New Roman"/>
                      <w:color w:val="auto"/>
                      <w:szCs w:val="21"/>
                      <w:lang w:val="en-US" w:eastAsia="zh-CN"/>
                    </w:rPr>
                    <w:t>居民点，约5户</w:t>
                  </w:r>
                </w:p>
              </w:tc>
              <w:tc>
                <w:tcPr>
                  <w:tcW w:w="517" w:type="pct"/>
                  <w:noWrap w:val="0"/>
                  <w:vAlign w:val="center"/>
                </w:tcPr>
                <w:p w14:paraId="2AF15222">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5m</w:t>
                  </w:r>
                </w:p>
              </w:tc>
              <w:tc>
                <w:tcPr>
                  <w:tcW w:w="623" w:type="pct"/>
                  <w:noWrap w:val="0"/>
                  <w:vAlign w:val="center"/>
                </w:tcPr>
                <w:p w14:paraId="7738FC2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w:t>
                  </w:r>
                </w:p>
              </w:tc>
              <w:tc>
                <w:tcPr>
                  <w:tcW w:w="1059" w:type="pct"/>
                  <w:vMerge w:val="continue"/>
                  <w:noWrap w:val="0"/>
                  <w:vAlign w:val="center"/>
                </w:tcPr>
                <w:p w14:paraId="2F6E07D2">
                  <w:pPr>
                    <w:jc w:val="center"/>
                    <w:rPr>
                      <w:rFonts w:ascii="Times New Roman" w:hAnsi="Times New Roman" w:eastAsia="宋体" w:cs="Times New Roman"/>
                      <w:color w:val="auto"/>
                      <w:szCs w:val="21"/>
                    </w:rPr>
                  </w:pPr>
                </w:p>
              </w:tc>
            </w:tr>
            <w:tr w14:paraId="2E9A0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677B27FF">
                  <w:pPr>
                    <w:jc w:val="center"/>
                    <w:rPr>
                      <w:rFonts w:ascii="Times New Roman" w:hAnsi="Times New Roman" w:eastAsia="宋体" w:cs="Times New Roman"/>
                      <w:color w:val="auto"/>
                      <w:szCs w:val="21"/>
                    </w:rPr>
                  </w:pPr>
                </w:p>
              </w:tc>
              <w:tc>
                <w:tcPr>
                  <w:tcW w:w="540" w:type="pct"/>
                  <w:noWrap w:val="0"/>
                  <w:vAlign w:val="center"/>
                </w:tcPr>
                <w:p w14:paraId="4CECA51F">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6</w:t>
                  </w:r>
                </w:p>
              </w:tc>
              <w:tc>
                <w:tcPr>
                  <w:tcW w:w="540" w:type="pct"/>
                  <w:noWrap w:val="0"/>
                  <w:vAlign w:val="center"/>
                </w:tcPr>
                <w:p w14:paraId="2FB9E712">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6</w:t>
                  </w:r>
                </w:p>
              </w:tc>
              <w:tc>
                <w:tcPr>
                  <w:tcW w:w="346" w:type="pct"/>
                  <w:noWrap w:val="0"/>
                  <w:vAlign w:val="center"/>
                </w:tcPr>
                <w:p w14:paraId="4D7206DC">
                  <w:pPr>
                    <w:jc w:val="center"/>
                    <w:rPr>
                      <w:rFonts w:hint="default" w:cs="Times New Roman"/>
                      <w:color w:val="auto"/>
                      <w:szCs w:val="21"/>
                      <w:lang w:val="en-US" w:eastAsia="zh-CN"/>
                    </w:rPr>
                  </w:pPr>
                  <w:r>
                    <w:rPr>
                      <w:rFonts w:hint="eastAsia" w:cs="Times New Roman"/>
                      <w:color w:val="auto"/>
                      <w:szCs w:val="21"/>
                      <w:lang w:val="en-US" w:eastAsia="zh-CN"/>
                    </w:rPr>
                    <w:t>0</w:t>
                  </w:r>
                </w:p>
              </w:tc>
              <w:tc>
                <w:tcPr>
                  <w:tcW w:w="346" w:type="pct"/>
                  <w:noWrap w:val="0"/>
                  <w:vAlign w:val="center"/>
                </w:tcPr>
                <w:p w14:paraId="685509D5">
                  <w:pPr>
                    <w:jc w:val="center"/>
                    <w:rPr>
                      <w:rFonts w:hint="default" w:cs="Times New Roman"/>
                      <w:color w:val="auto"/>
                      <w:szCs w:val="21"/>
                      <w:lang w:val="en-US" w:eastAsia="zh-CN"/>
                    </w:rPr>
                  </w:pPr>
                  <w:r>
                    <w:rPr>
                      <w:rFonts w:hint="eastAsia" w:cs="Times New Roman"/>
                      <w:color w:val="auto"/>
                      <w:szCs w:val="21"/>
                      <w:lang w:val="en-US" w:eastAsia="zh-CN"/>
                    </w:rPr>
                    <w:t>12</w:t>
                  </w:r>
                </w:p>
              </w:tc>
              <w:tc>
                <w:tcPr>
                  <w:tcW w:w="513" w:type="pct"/>
                  <w:noWrap w:val="0"/>
                  <w:vAlign w:val="center"/>
                </w:tcPr>
                <w:p w14:paraId="7111D512">
                  <w:pPr>
                    <w:jc w:val="center"/>
                    <w:rPr>
                      <w:rFonts w:hint="eastAsia" w:cs="Times New Roman"/>
                      <w:color w:val="auto"/>
                      <w:szCs w:val="21"/>
                      <w:lang w:val="en-US" w:eastAsia="zh-CN"/>
                    </w:rPr>
                  </w:pPr>
                  <w:r>
                    <w:rPr>
                      <w:rFonts w:hint="eastAsia" w:cs="Times New Roman"/>
                      <w:color w:val="auto"/>
                      <w:szCs w:val="21"/>
                      <w:lang w:val="en-US" w:eastAsia="zh-CN"/>
                    </w:rPr>
                    <w:t>居民点，约8户</w:t>
                  </w:r>
                </w:p>
              </w:tc>
              <w:tc>
                <w:tcPr>
                  <w:tcW w:w="517" w:type="pct"/>
                  <w:noWrap w:val="0"/>
                  <w:vAlign w:val="center"/>
                </w:tcPr>
                <w:p w14:paraId="361A60EF">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12m</w:t>
                  </w:r>
                </w:p>
              </w:tc>
              <w:tc>
                <w:tcPr>
                  <w:tcW w:w="623" w:type="pct"/>
                  <w:noWrap w:val="0"/>
                  <w:vAlign w:val="center"/>
                </w:tcPr>
                <w:p w14:paraId="1D3BB61F">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N</w:t>
                  </w:r>
                </w:p>
              </w:tc>
              <w:tc>
                <w:tcPr>
                  <w:tcW w:w="1059" w:type="pct"/>
                  <w:vMerge w:val="continue"/>
                  <w:noWrap w:val="0"/>
                  <w:vAlign w:val="center"/>
                </w:tcPr>
                <w:p w14:paraId="03DFE79B">
                  <w:pPr>
                    <w:jc w:val="center"/>
                    <w:rPr>
                      <w:rFonts w:ascii="Times New Roman" w:hAnsi="Times New Roman" w:eastAsia="宋体" w:cs="Times New Roman"/>
                      <w:color w:val="auto"/>
                      <w:szCs w:val="21"/>
                    </w:rPr>
                  </w:pPr>
                </w:p>
              </w:tc>
            </w:tr>
            <w:tr w14:paraId="7DDD2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31939C94">
                  <w:pPr>
                    <w:jc w:val="center"/>
                    <w:rPr>
                      <w:rFonts w:ascii="Times New Roman" w:hAnsi="Times New Roman" w:eastAsia="宋体" w:cs="Times New Roman"/>
                      <w:color w:val="auto"/>
                      <w:szCs w:val="21"/>
                    </w:rPr>
                  </w:pPr>
                </w:p>
              </w:tc>
              <w:tc>
                <w:tcPr>
                  <w:tcW w:w="540" w:type="pct"/>
                  <w:noWrap w:val="0"/>
                  <w:vAlign w:val="center"/>
                </w:tcPr>
                <w:p w14:paraId="07A09107">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7</w:t>
                  </w:r>
                </w:p>
              </w:tc>
              <w:tc>
                <w:tcPr>
                  <w:tcW w:w="540" w:type="pct"/>
                  <w:noWrap w:val="0"/>
                  <w:vAlign w:val="center"/>
                </w:tcPr>
                <w:p w14:paraId="50B02FED">
                  <w:pPr>
                    <w:jc w:val="center"/>
                    <w:rPr>
                      <w:rFonts w:hint="eastAsia" w:cs="Times New Roman"/>
                      <w:color w:val="auto"/>
                      <w:szCs w:val="21"/>
                      <w:lang w:eastAsia="zh-CN"/>
                    </w:rPr>
                  </w:pPr>
                  <w:r>
                    <w:rPr>
                      <w:rFonts w:hint="eastAsia" w:cs="Times New Roman"/>
                      <w:color w:val="auto"/>
                      <w:szCs w:val="21"/>
                      <w:lang w:eastAsia="zh-CN"/>
                    </w:rPr>
                    <w:t>竹园孜</w:t>
                  </w:r>
                </w:p>
              </w:tc>
              <w:tc>
                <w:tcPr>
                  <w:tcW w:w="346" w:type="pct"/>
                  <w:noWrap w:val="0"/>
                  <w:vAlign w:val="center"/>
                </w:tcPr>
                <w:p w14:paraId="5235971B">
                  <w:pPr>
                    <w:jc w:val="center"/>
                    <w:rPr>
                      <w:rFonts w:hint="default" w:cs="Times New Roman"/>
                      <w:color w:val="auto"/>
                      <w:szCs w:val="21"/>
                      <w:lang w:val="en-US" w:eastAsia="zh-CN"/>
                    </w:rPr>
                  </w:pPr>
                  <w:r>
                    <w:rPr>
                      <w:rFonts w:hint="eastAsia" w:cs="Times New Roman"/>
                      <w:color w:val="auto"/>
                      <w:szCs w:val="21"/>
                      <w:lang w:val="en-US" w:eastAsia="zh-CN"/>
                    </w:rPr>
                    <w:t>12</w:t>
                  </w:r>
                </w:p>
              </w:tc>
              <w:tc>
                <w:tcPr>
                  <w:tcW w:w="346" w:type="pct"/>
                  <w:noWrap w:val="0"/>
                  <w:vAlign w:val="center"/>
                </w:tcPr>
                <w:p w14:paraId="3EE9B188">
                  <w:pPr>
                    <w:jc w:val="center"/>
                    <w:rPr>
                      <w:rFonts w:hint="default" w:cs="Times New Roman"/>
                      <w:color w:val="auto"/>
                      <w:szCs w:val="21"/>
                      <w:lang w:val="en-US" w:eastAsia="zh-CN"/>
                    </w:rPr>
                  </w:pPr>
                  <w:r>
                    <w:rPr>
                      <w:rFonts w:hint="eastAsia" w:cs="Times New Roman"/>
                      <w:color w:val="auto"/>
                      <w:szCs w:val="21"/>
                      <w:lang w:val="en-US" w:eastAsia="zh-CN"/>
                    </w:rPr>
                    <w:t>-166</w:t>
                  </w:r>
                </w:p>
              </w:tc>
              <w:tc>
                <w:tcPr>
                  <w:tcW w:w="513" w:type="pct"/>
                  <w:noWrap w:val="0"/>
                  <w:vAlign w:val="center"/>
                </w:tcPr>
                <w:p w14:paraId="47C120A5">
                  <w:pPr>
                    <w:jc w:val="center"/>
                    <w:rPr>
                      <w:rFonts w:hint="eastAsia" w:cs="Times New Roman"/>
                      <w:color w:val="auto"/>
                      <w:szCs w:val="21"/>
                      <w:lang w:val="en-US" w:eastAsia="zh-CN"/>
                    </w:rPr>
                  </w:pPr>
                  <w:r>
                    <w:rPr>
                      <w:rFonts w:hint="eastAsia" w:cs="Times New Roman"/>
                      <w:color w:val="auto"/>
                      <w:szCs w:val="21"/>
                      <w:lang w:val="en-US" w:eastAsia="zh-CN"/>
                    </w:rPr>
                    <w:t>居民点，约35户</w:t>
                  </w:r>
                </w:p>
              </w:tc>
              <w:tc>
                <w:tcPr>
                  <w:tcW w:w="517" w:type="pct"/>
                  <w:noWrap w:val="0"/>
                  <w:vAlign w:val="center"/>
                </w:tcPr>
                <w:p w14:paraId="4BD35615">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88m</w:t>
                  </w:r>
                </w:p>
              </w:tc>
              <w:tc>
                <w:tcPr>
                  <w:tcW w:w="623" w:type="pct"/>
                  <w:noWrap w:val="0"/>
                  <w:vAlign w:val="center"/>
                </w:tcPr>
                <w:p w14:paraId="28CE432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SE</w:t>
                  </w:r>
                </w:p>
              </w:tc>
              <w:tc>
                <w:tcPr>
                  <w:tcW w:w="1059" w:type="pct"/>
                  <w:vMerge w:val="continue"/>
                  <w:noWrap w:val="0"/>
                  <w:vAlign w:val="center"/>
                </w:tcPr>
                <w:p w14:paraId="488A7BEC">
                  <w:pPr>
                    <w:jc w:val="center"/>
                    <w:rPr>
                      <w:rFonts w:ascii="Times New Roman" w:hAnsi="Times New Roman" w:eastAsia="宋体" w:cs="Times New Roman"/>
                      <w:color w:val="auto"/>
                      <w:szCs w:val="21"/>
                    </w:rPr>
                  </w:pPr>
                </w:p>
              </w:tc>
            </w:tr>
            <w:tr w14:paraId="2224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70631896">
                  <w:pPr>
                    <w:jc w:val="center"/>
                    <w:rPr>
                      <w:rFonts w:ascii="Times New Roman" w:hAnsi="Times New Roman" w:eastAsia="宋体" w:cs="Times New Roman"/>
                      <w:color w:val="auto"/>
                      <w:szCs w:val="21"/>
                    </w:rPr>
                  </w:pPr>
                </w:p>
              </w:tc>
              <w:tc>
                <w:tcPr>
                  <w:tcW w:w="540" w:type="pct"/>
                  <w:noWrap w:val="0"/>
                  <w:vAlign w:val="center"/>
                </w:tcPr>
                <w:p w14:paraId="50FB195D">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8</w:t>
                  </w:r>
                </w:p>
              </w:tc>
              <w:tc>
                <w:tcPr>
                  <w:tcW w:w="540" w:type="pct"/>
                  <w:noWrap w:val="0"/>
                  <w:vAlign w:val="center"/>
                </w:tcPr>
                <w:p w14:paraId="67D94152">
                  <w:pPr>
                    <w:jc w:val="center"/>
                    <w:rPr>
                      <w:rFonts w:hint="eastAsia" w:cs="Times New Roman"/>
                      <w:color w:val="auto"/>
                      <w:szCs w:val="21"/>
                      <w:lang w:eastAsia="zh-CN"/>
                    </w:rPr>
                  </w:pPr>
                  <w:r>
                    <w:rPr>
                      <w:rFonts w:hint="eastAsia" w:cs="Times New Roman"/>
                      <w:color w:val="auto"/>
                      <w:szCs w:val="21"/>
                      <w:lang w:eastAsia="zh-CN"/>
                    </w:rPr>
                    <w:t>邵圩村</w:t>
                  </w:r>
                </w:p>
              </w:tc>
              <w:tc>
                <w:tcPr>
                  <w:tcW w:w="346" w:type="pct"/>
                  <w:noWrap w:val="0"/>
                  <w:vAlign w:val="center"/>
                </w:tcPr>
                <w:p w14:paraId="35CD08C0">
                  <w:pPr>
                    <w:jc w:val="center"/>
                    <w:rPr>
                      <w:rFonts w:hint="default" w:cs="Times New Roman"/>
                      <w:color w:val="auto"/>
                      <w:szCs w:val="21"/>
                      <w:lang w:val="en-US" w:eastAsia="zh-CN"/>
                    </w:rPr>
                  </w:pPr>
                  <w:r>
                    <w:rPr>
                      <w:rFonts w:hint="eastAsia" w:cs="Times New Roman"/>
                      <w:color w:val="auto"/>
                      <w:szCs w:val="21"/>
                      <w:lang w:val="en-US" w:eastAsia="zh-CN"/>
                    </w:rPr>
                    <w:t>64</w:t>
                  </w:r>
                </w:p>
              </w:tc>
              <w:tc>
                <w:tcPr>
                  <w:tcW w:w="346" w:type="pct"/>
                  <w:noWrap w:val="0"/>
                  <w:vAlign w:val="center"/>
                </w:tcPr>
                <w:p w14:paraId="4CCE7B6B">
                  <w:pPr>
                    <w:jc w:val="center"/>
                    <w:rPr>
                      <w:rFonts w:hint="default" w:cs="Times New Roman"/>
                      <w:color w:val="auto"/>
                      <w:szCs w:val="21"/>
                      <w:lang w:val="en-US" w:eastAsia="zh-CN"/>
                    </w:rPr>
                  </w:pPr>
                  <w:r>
                    <w:rPr>
                      <w:rFonts w:hint="eastAsia" w:cs="Times New Roman"/>
                      <w:color w:val="auto"/>
                      <w:szCs w:val="21"/>
                      <w:lang w:val="en-US" w:eastAsia="zh-CN"/>
                    </w:rPr>
                    <w:t>182</w:t>
                  </w:r>
                </w:p>
              </w:tc>
              <w:tc>
                <w:tcPr>
                  <w:tcW w:w="513" w:type="pct"/>
                  <w:noWrap w:val="0"/>
                  <w:vAlign w:val="center"/>
                </w:tcPr>
                <w:p w14:paraId="05A38122">
                  <w:pPr>
                    <w:jc w:val="center"/>
                    <w:rPr>
                      <w:rFonts w:hint="eastAsia" w:cs="Times New Roman"/>
                      <w:color w:val="auto"/>
                      <w:szCs w:val="21"/>
                      <w:lang w:val="en-US" w:eastAsia="zh-CN"/>
                    </w:rPr>
                  </w:pPr>
                  <w:r>
                    <w:rPr>
                      <w:rFonts w:hint="eastAsia" w:cs="Times New Roman"/>
                      <w:color w:val="auto"/>
                      <w:szCs w:val="21"/>
                      <w:lang w:val="en-US" w:eastAsia="zh-CN"/>
                    </w:rPr>
                    <w:t>居民点，约80户</w:t>
                  </w:r>
                </w:p>
              </w:tc>
              <w:tc>
                <w:tcPr>
                  <w:tcW w:w="517" w:type="pct"/>
                  <w:noWrap w:val="0"/>
                  <w:vAlign w:val="center"/>
                </w:tcPr>
                <w:p w14:paraId="766992AC">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125m</w:t>
                  </w:r>
                </w:p>
              </w:tc>
              <w:tc>
                <w:tcPr>
                  <w:tcW w:w="623" w:type="pct"/>
                  <w:noWrap w:val="0"/>
                  <w:vAlign w:val="center"/>
                </w:tcPr>
                <w:p w14:paraId="501AF0A0">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NE</w:t>
                  </w:r>
                </w:p>
              </w:tc>
              <w:tc>
                <w:tcPr>
                  <w:tcW w:w="1059" w:type="pct"/>
                  <w:vMerge w:val="continue"/>
                  <w:noWrap w:val="0"/>
                  <w:vAlign w:val="center"/>
                </w:tcPr>
                <w:p w14:paraId="788E4F97">
                  <w:pPr>
                    <w:jc w:val="center"/>
                    <w:rPr>
                      <w:rFonts w:ascii="Times New Roman" w:hAnsi="Times New Roman" w:eastAsia="宋体" w:cs="Times New Roman"/>
                      <w:color w:val="auto"/>
                      <w:szCs w:val="21"/>
                    </w:rPr>
                  </w:pPr>
                </w:p>
              </w:tc>
            </w:tr>
            <w:tr w14:paraId="21A4A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08B4FFAC">
                  <w:pPr>
                    <w:jc w:val="center"/>
                    <w:rPr>
                      <w:rFonts w:ascii="Times New Roman" w:hAnsi="Times New Roman" w:eastAsia="宋体" w:cs="Times New Roman"/>
                      <w:color w:val="auto"/>
                      <w:szCs w:val="21"/>
                    </w:rPr>
                  </w:pPr>
                </w:p>
              </w:tc>
              <w:tc>
                <w:tcPr>
                  <w:tcW w:w="540" w:type="pct"/>
                  <w:noWrap w:val="0"/>
                  <w:vAlign w:val="center"/>
                </w:tcPr>
                <w:p w14:paraId="64A13F10">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9</w:t>
                  </w:r>
                </w:p>
              </w:tc>
              <w:tc>
                <w:tcPr>
                  <w:tcW w:w="540" w:type="pct"/>
                  <w:noWrap w:val="0"/>
                  <w:vAlign w:val="center"/>
                </w:tcPr>
                <w:p w14:paraId="6FDA71FE">
                  <w:pPr>
                    <w:jc w:val="center"/>
                    <w:rPr>
                      <w:rFonts w:hint="eastAsia" w:cs="Times New Roman"/>
                      <w:color w:val="auto"/>
                      <w:szCs w:val="21"/>
                      <w:lang w:eastAsia="zh-CN"/>
                    </w:rPr>
                  </w:pPr>
                  <w:r>
                    <w:rPr>
                      <w:rFonts w:hint="eastAsia" w:cs="Times New Roman"/>
                      <w:color w:val="auto"/>
                      <w:szCs w:val="21"/>
                      <w:lang w:eastAsia="zh-CN"/>
                    </w:rPr>
                    <w:t>八叉沟沿</w:t>
                  </w:r>
                </w:p>
              </w:tc>
              <w:tc>
                <w:tcPr>
                  <w:tcW w:w="346" w:type="pct"/>
                  <w:noWrap w:val="0"/>
                  <w:vAlign w:val="center"/>
                </w:tcPr>
                <w:p w14:paraId="3EA5D33B">
                  <w:pPr>
                    <w:jc w:val="center"/>
                    <w:rPr>
                      <w:rFonts w:hint="default" w:cs="Times New Roman"/>
                      <w:color w:val="auto"/>
                      <w:szCs w:val="21"/>
                      <w:lang w:val="en-US" w:eastAsia="zh-CN"/>
                    </w:rPr>
                  </w:pPr>
                  <w:r>
                    <w:rPr>
                      <w:rFonts w:hint="eastAsia" w:cs="Times New Roman"/>
                      <w:color w:val="auto"/>
                      <w:szCs w:val="21"/>
                      <w:lang w:val="en-US" w:eastAsia="zh-CN"/>
                    </w:rPr>
                    <w:t>-306</w:t>
                  </w:r>
                </w:p>
              </w:tc>
              <w:tc>
                <w:tcPr>
                  <w:tcW w:w="346" w:type="pct"/>
                  <w:noWrap w:val="0"/>
                  <w:vAlign w:val="center"/>
                </w:tcPr>
                <w:p w14:paraId="153A00A1">
                  <w:pPr>
                    <w:jc w:val="center"/>
                    <w:rPr>
                      <w:rFonts w:hint="default" w:cs="Times New Roman"/>
                      <w:color w:val="auto"/>
                      <w:szCs w:val="21"/>
                      <w:lang w:val="en-US" w:eastAsia="zh-CN"/>
                    </w:rPr>
                  </w:pPr>
                  <w:r>
                    <w:rPr>
                      <w:rFonts w:hint="eastAsia" w:cs="Times New Roman"/>
                      <w:color w:val="auto"/>
                      <w:szCs w:val="21"/>
                      <w:lang w:val="en-US" w:eastAsia="zh-CN"/>
                    </w:rPr>
                    <w:t>-204</w:t>
                  </w:r>
                </w:p>
              </w:tc>
              <w:tc>
                <w:tcPr>
                  <w:tcW w:w="513" w:type="pct"/>
                  <w:noWrap w:val="0"/>
                  <w:vAlign w:val="center"/>
                </w:tcPr>
                <w:p w14:paraId="0B351B10">
                  <w:pPr>
                    <w:jc w:val="center"/>
                    <w:rPr>
                      <w:rFonts w:hint="eastAsia" w:cs="Times New Roman"/>
                      <w:color w:val="auto"/>
                      <w:szCs w:val="21"/>
                      <w:lang w:val="en-US" w:eastAsia="zh-CN"/>
                    </w:rPr>
                  </w:pPr>
                  <w:r>
                    <w:rPr>
                      <w:rFonts w:hint="eastAsia" w:cs="Times New Roman"/>
                      <w:color w:val="auto"/>
                      <w:szCs w:val="21"/>
                      <w:lang w:val="en-US" w:eastAsia="zh-CN"/>
                    </w:rPr>
                    <w:t>居民点，约30户</w:t>
                  </w:r>
                </w:p>
              </w:tc>
              <w:tc>
                <w:tcPr>
                  <w:tcW w:w="517" w:type="pct"/>
                  <w:noWrap w:val="0"/>
                  <w:vAlign w:val="center"/>
                </w:tcPr>
                <w:p w14:paraId="76DDE264">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323m</w:t>
                  </w:r>
                </w:p>
              </w:tc>
              <w:tc>
                <w:tcPr>
                  <w:tcW w:w="623" w:type="pct"/>
                  <w:noWrap w:val="0"/>
                  <w:vAlign w:val="center"/>
                </w:tcPr>
                <w:p w14:paraId="425A941B">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SW</w:t>
                  </w:r>
                </w:p>
              </w:tc>
              <w:tc>
                <w:tcPr>
                  <w:tcW w:w="1059" w:type="pct"/>
                  <w:vMerge w:val="continue"/>
                  <w:noWrap w:val="0"/>
                  <w:vAlign w:val="center"/>
                </w:tcPr>
                <w:p w14:paraId="126E9E34">
                  <w:pPr>
                    <w:jc w:val="center"/>
                    <w:rPr>
                      <w:rFonts w:ascii="Times New Roman" w:hAnsi="Times New Roman" w:eastAsia="宋体" w:cs="Times New Roman"/>
                      <w:color w:val="auto"/>
                      <w:szCs w:val="21"/>
                    </w:rPr>
                  </w:pPr>
                </w:p>
              </w:tc>
            </w:tr>
            <w:tr w14:paraId="2051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4C092FB6">
                  <w:pPr>
                    <w:jc w:val="center"/>
                    <w:rPr>
                      <w:rFonts w:ascii="Times New Roman" w:hAnsi="Times New Roman" w:eastAsia="宋体" w:cs="Times New Roman"/>
                      <w:color w:val="auto"/>
                      <w:szCs w:val="21"/>
                    </w:rPr>
                  </w:pPr>
                </w:p>
              </w:tc>
              <w:tc>
                <w:tcPr>
                  <w:tcW w:w="540" w:type="pct"/>
                  <w:noWrap w:val="0"/>
                  <w:vAlign w:val="center"/>
                </w:tcPr>
                <w:p w14:paraId="0A58B69C">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w:t>
                  </w:r>
                </w:p>
              </w:tc>
              <w:tc>
                <w:tcPr>
                  <w:tcW w:w="540" w:type="pct"/>
                  <w:noWrap w:val="0"/>
                  <w:vAlign w:val="center"/>
                </w:tcPr>
                <w:p w14:paraId="577ABCBB">
                  <w:pPr>
                    <w:jc w:val="center"/>
                    <w:rPr>
                      <w:rFonts w:hint="eastAsia" w:cs="Times New Roman"/>
                      <w:color w:val="auto"/>
                      <w:szCs w:val="21"/>
                      <w:lang w:eastAsia="zh-CN"/>
                    </w:rPr>
                  </w:pPr>
                  <w:r>
                    <w:rPr>
                      <w:rFonts w:hint="eastAsia" w:cs="Times New Roman"/>
                      <w:color w:val="auto"/>
                      <w:szCs w:val="21"/>
                      <w:lang w:eastAsia="zh-CN"/>
                    </w:rPr>
                    <w:t>幸郢孜</w:t>
                  </w:r>
                </w:p>
              </w:tc>
              <w:tc>
                <w:tcPr>
                  <w:tcW w:w="346" w:type="pct"/>
                  <w:noWrap w:val="0"/>
                  <w:vAlign w:val="center"/>
                </w:tcPr>
                <w:p w14:paraId="6377CF61">
                  <w:pPr>
                    <w:jc w:val="center"/>
                    <w:rPr>
                      <w:rFonts w:hint="default" w:cs="Times New Roman"/>
                      <w:color w:val="auto"/>
                      <w:szCs w:val="21"/>
                      <w:lang w:val="en-US" w:eastAsia="zh-CN"/>
                    </w:rPr>
                  </w:pPr>
                  <w:r>
                    <w:rPr>
                      <w:rFonts w:hint="eastAsia" w:cs="Times New Roman"/>
                      <w:color w:val="auto"/>
                      <w:szCs w:val="21"/>
                      <w:lang w:val="en-US" w:eastAsia="zh-CN"/>
                    </w:rPr>
                    <w:t>411</w:t>
                  </w:r>
                </w:p>
              </w:tc>
              <w:tc>
                <w:tcPr>
                  <w:tcW w:w="346" w:type="pct"/>
                  <w:noWrap w:val="0"/>
                  <w:vAlign w:val="center"/>
                </w:tcPr>
                <w:p w14:paraId="58B0C1F8">
                  <w:pPr>
                    <w:jc w:val="center"/>
                    <w:rPr>
                      <w:rFonts w:hint="default" w:cs="Times New Roman"/>
                      <w:color w:val="auto"/>
                      <w:szCs w:val="21"/>
                      <w:lang w:val="en-US" w:eastAsia="zh-CN"/>
                    </w:rPr>
                  </w:pPr>
                  <w:r>
                    <w:rPr>
                      <w:rFonts w:hint="eastAsia" w:cs="Times New Roman"/>
                      <w:color w:val="auto"/>
                      <w:szCs w:val="21"/>
                      <w:lang w:val="en-US" w:eastAsia="zh-CN"/>
                    </w:rPr>
                    <w:t>-15</w:t>
                  </w:r>
                </w:p>
              </w:tc>
              <w:tc>
                <w:tcPr>
                  <w:tcW w:w="513" w:type="pct"/>
                  <w:noWrap w:val="0"/>
                  <w:vAlign w:val="center"/>
                </w:tcPr>
                <w:p w14:paraId="6BC76F3A">
                  <w:pPr>
                    <w:jc w:val="center"/>
                    <w:rPr>
                      <w:rFonts w:hint="eastAsia" w:cs="Times New Roman"/>
                      <w:color w:val="auto"/>
                      <w:szCs w:val="21"/>
                      <w:lang w:val="en-US" w:eastAsia="zh-CN"/>
                    </w:rPr>
                  </w:pPr>
                  <w:r>
                    <w:rPr>
                      <w:rFonts w:hint="eastAsia" w:cs="Times New Roman"/>
                      <w:color w:val="auto"/>
                      <w:szCs w:val="21"/>
                      <w:lang w:val="en-US" w:eastAsia="zh-CN"/>
                    </w:rPr>
                    <w:t>居民点，约35户</w:t>
                  </w:r>
                </w:p>
              </w:tc>
              <w:tc>
                <w:tcPr>
                  <w:tcW w:w="517" w:type="pct"/>
                  <w:noWrap w:val="0"/>
                  <w:vAlign w:val="center"/>
                </w:tcPr>
                <w:p w14:paraId="3C9DFF3C">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378m</w:t>
                  </w:r>
                </w:p>
              </w:tc>
              <w:tc>
                <w:tcPr>
                  <w:tcW w:w="623" w:type="pct"/>
                  <w:noWrap w:val="0"/>
                  <w:vAlign w:val="center"/>
                </w:tcPr>
                <w:p w14:paraId="06D8A8E1">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SE</w:t>
                  </w:r>
                </w:p>
              </w:tc>
              <w:tc>
                <w:tcPr>
                  <w:tcW w:w="1059" w:type="pct"/>
                  <w:vMerge w:val="continue"/>
                  <w:noWrap w:val="0"/>
                  <w:vAlign w:val="center"/>
                </w:tcPr>
                <w:p w14:paraId="10E4923C">
                  <w:pPr>
                    <w:jc w:val="center"/>
                    <w:rPr>
                      <w:rFonts w:ascii="Times New Roman" w:hAnsi="Times New Roman" w:eastAsia="宋体" w:cs="Times New Roman"/>
                      <w:color w:val="auto"/>
                      <w:szCs w:val="21"/>
                    </w:rPr>
                  </w:pPr>
                </w:p>
              </w:tc>
            </w:tr>
            <w:tr w14:paraId="6A65E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74A584DA">
                  <w:pPr>
                    <w:jc w:val="center"/>
                    <w:rPr>
                      <w:rFonts w:ascii="Times New Roman" w:hAnsi="Times New Roman" w:eastAsia="宋体" w:cs="Times New Roman"/>
                      <w:color w:val="auto"/>
                      <w:szCs w:val="21"/>
                    </w:rPr>
                  </w:pPr>
                </w:p>
              </w:tc>
              <w:tc>
                <w:tcPr>
                  <w:tcW w:w="540" w:type="pct"/>
                  <w:noWrap w:val="0"/>
                  <w:vAlign w:val="center"/>
                </w:tcPr>
                <w:p w14:paraId="0653A22F">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11</w:t>
                  </w:r>
                </w:p>
              </w:tc>
              <w:tc>
                <w:tcPr>
                  <w:tcW w:w="540" w:type="pct"/>
                  <w:noWrap w:val="0"/>
                  <w:vAlign w:val="center"/>
                </w:tcPr>
                <w:p w14:paraId="35F44ED3">
                  <w:pPr>
                    <w:jc w:val="center"/>
                    <w:rPr>
                      <w:rFonts w:hint="eastAsia" w:cs="Times New Roman"/>
                      <w:color w:val="auto"/>
                      <w:szCs w:val="21"/>
                      <w:lang w:eastAsia="zh-CN"/>
                    </w:rPr>
                  </w:pPr>
                  <w:r>
                    <w:rPr>
                      <w:rFonts w:hint="eastAsia" w:cs="Times New Roman"/>
                      <w:color w:val="auto"/>
                      <w:szCs w:val="21"/>
                      <w:lang w:eastAsia="zh-CN"/>
                    </w:rPr>
                    <w:t>邵家郢孜</w:t>
                  </w:r>
                </w:p>
              </w:tc>
              <w:tc>
                <w:tcPr>
                  <w:tcW w:w="346" w:type="pct"/>
                  <w:noWrap w:val="0"/>
                  <w:vAlign w:val="center"/>
                </w:tcPr>
                <w:p w14:paraId="2E8EEF90">
                  <w:pPr>
                    <w:jc w:val="center"/>
                    <w:rPr>
                      <w:rFonts w:hint="default" w:cs="Times New Roman"/>
                      <w:color w:val="auto"/>
                      <w:szCs w:val="21"/>
                      <w:lang w:val="en-US" w:eastAsia="zh-CN"/>
                    </w:rPr>
                  </w:pPr>
                  <w:r>
                    <w:rPr>
                      <w:rFonts w:hint="eastAsia" w:cs="Times New Roman"/>
                      <w:color w:val="auto"/>
                      <w:szCs w:val="21"/>
                      <w:lang w:val="en-US" w:eastAsia="zh-CN"/>
                    </w:rPr>
                    <w:t>201</w:t>
                  </w:r>
                </w:p>
              </w:tc>
              <w:tc>
                <w:tcPr>
                  <w:tcW w:w="346" w:type="pct"/>
                  <w:noWrap w:val="0"/>
                  <w:vAlign w:val="center"/>
                </w:tcPr>
                <w:p w14:paraId="6CA5B5CE">
                  <w:pPr>
                    <w:jc w:val="center"/>
                    <w:rPr>
                      <w:rFonts w:hint="default" w:cs="Times New Roman"/>
                      <w:color w:val="auto"/>
                      <w:szCs w:val="21"/>
                      <w:lang w:val="en-US" w:eastAsia="zh-CN"/>
                    </w:rPr>
                  </w:pPr>
                  <w:r>
                    <w:rPr>
                      <w:rFonts w:hint="eastAsia" w:cs="Times New Roman"/>
                      <w:color w:val="auto"/>
                      <w:szCs w:val="21"/>
                      <w:lang w:val="en-US" w:eastAsia="zh-CN"/>
                    </w:rPr>
                    <w:t>386</w:t>
                  </w:r>
                </w:p>
              </w:tc>
              <w:tc>
                <w:tcPr>
                  <w:tcW w:w="513" w:type="pct"/>
                  <w:noWrap w:val="0"/>
                  <w:vAlign w:val="center"/>
                </w:tcPr>
                <w:p w14:paraId="73E9F397">
                  <w:pPr>
                    <w:jc w:val="center"/>
                    <w:rPr>
                      <w:rFonts w:hint="eastAsia" w:cs="Times New Roman"/>
                      <w:color w:val="auto"/>
                      <w:szCs w:val="21"/>
                      <w:lang w:val="en-US" w:eastAsia="zh-CN"/>
                    </w:rPr>
                  </w:pPr>
                  <w:r>
                    <w:rPr>
                      <w:rFonts w:hint="eastAsia" w:cs="Times New Roman"/>
                      <w:color w:val="auto"/>
                      <w:szCs w:val="21"/>
                      <w:lang w:val="en-US" w:eastAsia="zh-CN"/>
                    </w:rPr>
                    <w:t>居民点，约25户</w:t>
                  </w:r>
                </w:p>
              </w:tc>
              <w:tc>
                <w:tcPr>
                  <w:tcW w:w="517" w:type="pct"/>
                  <w:noWrap w:val="0"/>
                  <w:vAlign w:val="center"/>
                </w:tcPr>
                <w:p w14:paraId="40262703">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387m</w:t>
                  </w:r>
                </w:p>
              </w:tc>
              <w:tc>
                <w:tcPr>
                  <w:tcW w:w="623" w:type="pct"/>
                  <w:noWrap w:val="0"/>
                  <w:vAlign w:val="center"/>
                </w:tcPr>
                <w:p w14:paraId="21B88F65">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NE</w:t>
                  </w:r>
                </w:p>
              </w:tc>
              <w:tc>
                <w:tcPr>
                  <w:tcW w:w="1059" w:type="pct"/>
                  <w:vMerge w:val="continue"/>
                  <w:noWrap w:val="0"/>
                  <w:vAlign w:val="center"/>
                </w:tcPr>
                <w:p w14:paraId="6E4FE7F1">
                  <w:pPr>
                    <w:jc w:val="center"/>
                    <w:rPr>
                      <w:rFonts w:ascii="Times New Roman" w:hAnsi="Times New Roman" w:eastAsia="宋体" w:cs="Times New Roman"/>
                      <w:color w:val="auto"/>
                      <w:szCs w:val="21"/>
                    </w:rPr>
                  </w:pPr>
                </w:p>
              </w:tc>
            </w:tr>
            <w:tr w14:paraId="7C245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2" w:type="pct"/>
                  <w:vMerge w:val="continue"/>
                  <w:noWrap w:val="0"/>
                  <w:vAlign w:val="center"/>
                </w:tcPr>
                <w:p w14:paraId="42664B5F">
                  <w:pPr>
                    <w:jc w:val="center"/>
                    <w:rPr>
                      <w:rFonts w:ascii="Times New Roman" w:hAnsi="Times New Roman" w:eastAsia="宋体" w:cs="Times New Roman"/>
                      <w:color w:val="auto"/>
                      <w:szCs w:val="21"/>
                    </w:rPr>
                  </w:pPr>
                </w:p>
              </w:tc>
              <w:tc>
                <w:tcPr>
                  <w:tcW w:w="540" w:type="pct"/>
                  <w:noWrap w:val="0"/>
                  <w:vAlign w:val="center"/>
                </w:tcPr>
                <w:p w14:paraId="5307026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12</w:t>
                  </w:r>
                </w:p>
              </w:tc>
              <w:tc>
                <w:tcPr>
                  <w:tcW w:w="540" w:type="pct"/>
                  <w:noWrap w:val="0"/>
                  <w:vAlign w:val="center"/>
                </w:tcPr>
                <w:p w14:paraId="3F9CC293">
                  <w:pPr>
                    <w:jc w:val="center"/>
                    <w:rPr>
                      <w:rFonts w:hint="eastAsia" w:cs="Times New Roman"/>
                      <w:color w:val="auto"/>
                      <w:szCs w:val="21"/>
                      <w:lang w:eastAsia="zh-CN"/>
                    </w:rPr>
                  </w:pPr>
                  <w:r>
                    <w:rPr>
                      <w:rFonts w:hint="eastAsia" w:cs="Times New Roman"/>
                      <w:color w:val="auto"/>
                      <w:szCs w:val="21"/>
                      <w:lang w:eastAsia="zh-CN"/>
                    </w:rPr>
                    <w:t>井沿片</w:t>
                  </w:r>
                </w:p>
              </w:tc>
              <w:tc>
                <w:tcPr>
                  <w:tcW w:w="346" w:type="pct"/>
                  <w:noWrap w:val="0"/>
                  <w:vAlign w:val="center"/>
                </w:tcPr>
                <w:p w14:paraId="366E2ED6">
                  <w:pPr>
                    <w:jc w:val="center"/>
                    <w:rPr>
                      <w:rFonts w:hint="default" w:cs="Times New Roman"/>
                      <w:color w:val="auto"/>
                      <w:szCs w:val="21"/>
                      <w:lang w:val="en-US" w:eastAsia="zh-CN"/>
                    </w:rPr>
                  </w:pPr>
                  <w:r>
                    <w:rPr>
                      <w:rFonts w:hint="eastAsia" w:cs="Times New Roman"/>
                      <w:color w:val="auto"/>
                      <w:szCs w:val="21"/>
                      <w:lang w:val="en-US" w:eastAsia="zh-CN"/>
                    </w:rPr>
                    <w:t>-82</w:t>
                  </w:r>
                </w:p>
              </w:tc>
              <w:tc>
                <w:tcPr>
                  <w:tcW w:w="346" w:type="pct"/>
                  <w:noWrap w:val="0"/>
                  <w:vAlign w:val="center"/>
                </w:tcPr>
                <w:p w14:paraId="750A8167">
                  <w:pPr>
                    <w:jc w:val="center"/>
                    <w:rPr>
                      <w:rFonts w:hint="default" w:cs="Times New Roman"/>
                      <w:color w:val="auto"/>
                      <w:szCs w:val="21"/>
                      <w:lang w:val="en-US" w:eastAsia="zh-CN"/>
                    </w:rPr>
                  </w:pPr>
                  <w:r>
                    <w:rPr>
                      <w:rFonts w:hint="eastAsia" w:cs="Times New Roman"/>
                      <w:color w:val="auto"/>
                      <w:szCs w:val="21"/>
                      <w:lang w:val="en-US" w:eastAsia="zh-CN"/>
                    </w:rPr>
                    <w:t>113</w:t>
                  </w:r>
                </w:p>
              </w:tc>
              <w:tc>
                <w:tcPr>
                  <w:tcW w:w="513" w:type="pct"/>
                  <w:noWrap w:val="0"/>
                  <w:vAlign w:val="center"/>
                </w:tcPr>
                <w:p w14:paraId="7FD90F6B">
                  <w:pPr>
                    <w:jc w:val="center"/>
                    <w:rPr>
                      <w:rFonts w:hint="eastAsia" w:cs="Times New Roman"/>
                      <w:color w:val="auto"/>
                      <w:szCs w:val="21"/>
                      <w:lang w:val="en-US" w:eastAsia="zh-CN"/>
                    </w:rPr>
                  </w:pPr>
                  <w:r>
                    <w:rPr>
                      <w:rFonts w:hint="eastAsia" w:cs="Times New Roman"/>
                      <w:color w:val="auto"/>
                      <w:szCs w:val="21"/>
                      <w:lang w:val="en-US" w:eastAsia="zh-CN"/>
                    </w:rPr>
                    <w:t>居民点，约15户</w:t>
                  </w:r>
                </w:p>
              </w:tc>
              <w:tc>
                <w:tcPr>
                  <w:tcW w:w="517" w:type="pct"/>
                  <w:noWrap w:val="0"/>
                  <w:vAlign w:val="center"/>
                </w:tcPr>
                <w:p w14:paraId="245D8975">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102m</w:t>
                  </w:r>
                </w:p>
              </w:tc>
              <w:tc>
                <w:tcPr>
                  <w:tcW w:w="623" w:type="pct"/>
                  <w:noWrap w:val="0"/>
                  <w:vAlign w:val="center"/>
                </w:tcPr>
                <w:p w14:paraId="2238F570">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NW</w:t>
                  </w:r>
                </w:p>
              </w:tc>
              <w:tc>
                <w:tcPr>
                  <w:tcW w:w="1059" w:type="pct"/>
                  <w:vMerge w:val="continue"/>
                  <w:noWrap w:val="0"/>
                  <w:vAlign w:val="center"/>
                </w:tcPr>
                <w:p w14:paraId="7B0FCCC3">
                  <w:pPr>
                    <w:jc w:val="center"/>
                    <w:rPr>
                      <w:rFonts w:ascii="Times New Roman" w:hAnsi="Times New Roman" w:eastAsia="宋体" w:cs="Times New Roman"/>
                      <w:color w:val="auto"/>
                      <w:szCs w:val="21"/>
                    </w:rPr>
                  </w:pPr>
                </w:p>
              </w:tc>
            </w:tr>
          </w:tbl>
          <w:p w14:paraId="658C9786">
            <w:pPr>
              <w:spacing w:line="360" w:lineRule="auto"/>
              <w:rPr>
                <w:b/>
                <w:color w:val="auto"/>
                <w:sz w:val="24"/>
                <w:szCs w:val="24"/>
              </w:rPr>
            </w:pPr>
            <w:r>
              <w:rPr>
                <w:rFonts w:hint="eastAsia"/>
                <w:b/>
                <w:color w:val="auto"/>
                <w:sz w:val="24"/>
                <w:szCs w:val="24"/>
              </w:rPr>
              <w:t>2、声环境保护目标</w:t>
            </w:r>
          </w:p>
          <w:p w14:paraId="7EF27F58">
            <w:pPr>
              <w:spacing w:line="360" w:lineRule="auto"/>
              <w:ind w:firstLine="480" w:firstLineChars="200"/>
              <w:rPr>
                <w:rFonts w:hint="eastAsia"/>
                <w:color w:val="auto"/>
                <w:sz w:val="24"/>
                <w:lang w:eastAsia="zh-CN"/>
              </w:rPr>
            </w:pPr>
            <w:r>
              <w:rPr>
                <w:rFonts w:hint="eastAsia"/>
                <w:color w:val="auto"/>
                <w:sz w:val="24"/>
                <w:szCs w:val="24"/>
              </w:rPr>
              <w:t>本项目厂界外50m范围内声</w:t>
            </w:r>
            <w:r>
              <w:rPr>
                <w:rFonts w:hint="eastAsia"/>
                <w:color w:val="auto"/>
                <w:sz w:val="24"/>
              </w:rPr>
              <w:t>环境保护目标</w:t>
            </w:r>
            <w:r>
              <w:rPr>
                <w:rFonts w:hint="eastAsia"/>
                <w:color w:val="auto"/>
                <w:sz w:val="24"/>
                <w:lang w:eastAsia="zh-CN"/>
              </w:rPr>
              <w:t>如下表：</w:t>
            </w:r>
          </w:p>
          <w:p w14:paraId="40A449BA">
            <w:pPr>
              <w:spacing w:line="360" w:lineRule="auto"/>
              <w:jc w:val="center"/>
              <w:rPr>
                <w:b/>
                <w:bCs/>
                <w:snapToGrid w:val="0"/>
                <w:color w:val="auto"/>
                <w:szCs w:val="21"/>
              </w:rPr>
            </w:pPr>
            <w:r>
              <w:rPr>
                <w:b/>
                <w:bCs/>
                <w:snapToGrid w:val="0"/>
                <w:color w:val="auto"/>
                <w:szCs w:val="21"/>
              </w:rPr>
              <w:t>表3-</w:t>
            </w:r>
            <w:r>
              <w:rPr>
                <w:rFonts w:hint="eastAsia"/>
                <w:b/>
                <w:bCs/>
                <w:snapToGrid w:val="0"/>
                <w:color w:val="auto"/>
                <w:szCs w:val="21"/>
                <w:lang w:val="en-US" w:eastAsia="zh-CN"/>
              </w:rPr>
              <w:t>8</w:t>
            </w:r>
            <w:r>
              <w:rPr>
                <w:b/>
                <w:bCs/>
                <w:snapToGrid w:val="0"/>
                <w:color w:val="auto"/>
                <w:szCs w:val="21"/>
              </w:rPr>
              <w:t xml:space="preserve">  建设项目</w:t>
            </w:r>
            <w:r>
              <w:rPr>
                <w:rFonts w:hint="eastAsia"/>
                <w:b/>
                <w:bCs/>
                <w:snapToGrid w:val="0"/>
                <w:color w:val="auto"/>
                <w:szCs w:val="21"/>
                <w:lang w:eastAsia="zh-CN"/>
              </w:rPr>
              <w:t>声</w:t>
            </w:r>
            <w:r>
              <w:rPr>
                <w:b/>
                <w:bCs/>
                <w:snapToGrid w:val="0"/>
                <w:color w:val="auto"/>
                <w:szCs w:val="21"/>
              </w:rPr>
              <w:t>环境保护目标一览表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938"/>
              <w:gridCol w:w="938"/>
              <w:gridCol w:w="601"/>
              <w:gridCol w:w="601"/>
              <w:gridCol w:w="891"/>
              <w:gridCol w:w="898"/>
              <w:gridCol w:w="1082"/>
              <w:gridCol w:w="1839"/>
            </w:tblGrid>
            <w:tr w14:paraId="09DD9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11" w:type="pct"/>
                  <w:vMerge w:val="restart"/>
                  <w:noWrap w:val="0"/>
                  <w:vAlign w:val="center"/>
                </w:tcPr>
                <w:p w14:paraId="103F3C1A">
                  <w:pPr>
                    <w:jc w:val="center"/>
                    <w:rPr>
                      <w:rFonts w:hint="eastAsia" w:eastAsia="宋体"/>
                      <w:b/>
                      <w:bCs/>
                      <w:snapToGrid w:val="0"/>
                      <w:color w:val="auto"/>
                      <w:szCs w:val="21"/>
                      <w:lang w:eastAsia="zh-CN"/>
                    </w:rPr>
                  </w:pPr>
                  <w:r>
                    <w:rPr>
                      <w:rFonts w:hint="eastAsia"/>
                      <w:b/>
                      <w:bCs/>
                      <w:snapToGrid w:val="0"/>
                      <w:color w:val="auto"/>
                      <w:szCs w:val="21"/>
                      <w:lang w:eastAsia="zh-CN"/>
                    </w:rPr>
                    <w:t>类别</w:t>
                  </w:r>
                </w:p>
              </w:tc>
              <w:tc>
                <w:tcPr>
                  <w:tcW w:w="540" w:type="pct"/>
                  <w:vMerge w:val="restart"/>
                  <w:noWrap w:val="0"/>
                  <w:vAlign w:val="center"/>
                </w:tcPr>
                <w:p w14:paraId="67CECFFF">
                  <w:pPr>
                    <w:jc w:val="center"/>
                    <w:rPr>
                      <w:rFonts w:hint="eastAsia"/>
                      <w:b/>
                      <w:bCs/>
                      <w:snapToGrid w:val="0"/>
                      <w:color w:val="auto"/>
                      <w:szCs w:val="21"/>
                      <w:lang w:eastAsia="zh-CN"/>
                    </w:rPr>
                  </w:pPr>
                  <w:r>
                    <w:rPr>
                      <w:rFonts w:hint="eastAsia"/>
                      <w:b/>
                      <w:bCs/>
                      <w:snapToGrid w:val="0"/>
                      <w:color w:val="auto"/>
                      <w:szCs w:val="21"/>
                      <w:lang w:eastAsia="zh-CN"/>
                    </w:rPr>
                    <w:t>序号</w:t>
                  </w:r>
                </w:p>
              </w:tc>
              <w:tc>
                <w:tcPr>
                  <w:tcW w:w="540" w:type="pct"/>
                  <w:vMerge w:val="restart"/>
                  <w:noWrap w:val="0"/>
                  <w:vAlign w:val="center"/>
                </w:tcPr>
                <w:p w14:paraId="51297CCF">
                  <w:pPr>
                    <w:jc w:val="center"/>
                    <w:rPr>
                      <w:b/>
                      <w:bCs/>
                      <w:snapToGrid w:val="0"/>
                      <w:color w:val="auto"/>
                      <w:szCs w:val="21"/>
                    </w:rPr>
                  </w:pPr>
                  <w:r>
                    <w:rPr>
                      <w:b/>
                      <w:bCs/>
                      <w:snapToGrid w:val="0"/>
                      <w:color w:val="auto"/>
                      <w:szCs w:val="21"/>
                    </w:rPr>
                    <w:t>名称</w:t>
                  </w:r>
                </w:p>
              </w:tc>
              <w:tc>
                <w:tcPr>
                  <w:tcW w:w="692" w:type="pct"/>
                  <w:gridSpan w:val="2"/>
                  <w:noWrap w:val="0"/>
                  <w:vAlign w:val="center"/>
                </w:tcPr>
                <w:p w14:paraId="1D3028B5">
                  <w:pPr>
                    <w:jc w:val="center"/>
                    <w:rPr>
                      <w:rFonts w:hint="eastAsia" w:eastAsia="宋体"/>
                      <w:b/>
                      <w:bCs/>
                      <w:snapToGrid w:val="0"/>
                      <w:color w:val="auto"/>
                      <w:szCs w:val="21"/>
                      <w:lang w:eastAsia="zh-CN"/>
                    </w:rPr>
                  </w:pPr>
                  <w:r>
                    <w:rPr>
                      <w:rFonts w:hint="eastAsia"/>
                      <w:b/>
                      <w:bCs/>
                      <w:snapToGrid w:val="0"/>
                      <w:color w:val="auto"/>
                      <w:szCs w:val="21"/>
                      <w:lang w:eastAsia="zh-CN"/>
                    </w:rPr>
                    <w:t>空间相对位置</w:t>
                  </w:r>
                </w:p>
              </w:tc>
              <w:tc>
                <w:tcPr>
                  <w:tcW w:w="513" w:type="pct"/>
                  <w:vMerge w:val="restart"/>
                  <w:noWrap w:val="0"/>
                  <w:vAlign w:val="center"/>
                </w:tcPr>
                <w:p w14:paraId="5EEF6270">
                  <w:pPr>
                    <w:jc w:val="center"/>
                    <w:rPr>
                      <w:rFonts w:hint="eastAsia" w:eastAsia="宋体"/>
                      <w:b/>
                      <w:bCs/>
                      <w:snapToGrid w:val="0"/>
                      <w:color w:val="auto"/>
                      <w:szCs w:val="21"/>
                      <w:lang w:eastAsia="zh-CN"/>
                    </w:rPr>
                  </w:pPr>
                  <w:r>
                    <w:rPr>
                      <w:rFonts w:hint="eastAsia"/>
                      <w:b/>
                      <w:bCs/>
                      <w:snapToGrid w:val="0"/>
                      <w:color w:val="auto"/>
                      <w:szCs w:val="21"/>
                      <w:lang w:eastAsia="zh-CN"/>
                    </w:rPr>
                    <w:t>性质、规模</w:t>
                  </w:r>
                </w:p>
              </w:tc>
              <w:tc>
                <w:tcPr>
                  <w:tcW w:w="517" w:type="pct"/>
                  <w:vMerge w:val="restart"/>
                  <w:noWrap w:val="0"/>
                  <w:vAlign w:val="center"/>
                </w:tcPr>
                <w:p w14:paraId="42D9C878">
                  <w:pPr>
                    <w:jc w:val="center"/>
                    <w:rPr>
                      <w:rFonts w:hint="eastAsia" w:eastAsia="宋体"/>
                      <w:b/>
                      <w:bCs/>
                      <w:snapToGrid w:val="0"/>
                      <w:color w:val="auto"/>
                      <w:szCs w:val="21"/>
                      <w:lang w:eastAsia="zh-CN"/>
                    </w:rPr>
                  </w:pPr>
                  <w:r>
                    <w:rPr>
                      <w:rFonts w:hint="eastAsia"/>
                      <w:b/>
                      <w:bCs/>
                      <w:snapToGrid w:val="0"/>
                      <w:color w:val="auto"/>
                      <w:szCs w:val="21"/>
                      <w:lang w:eastAsia="zh-CN"/>
                    </w:rPr>
                    <w:t>据厂界最近距离</w:t>
                  </w:r>
                </w:p>
              </w:tc>
              <w:tc>
                <w:tcPr>
                  <w:tcW w:w="623" w:type="pct"/>
                  <w:vMerge w:val="restart"/>
                  <w:noWrap w:val="0"/>
                  <w:vAlign w:val="center"/>
                </w:tcPr>
                <w:p w14:paraId="002050B7">
                  <w:pPr>
                    <w:jc w:val="center"/>
                    <w:rPr>
                      <w:rFonts w:hint="eastAsia"/>
                      <w:b/>
                      <w:bCs/>
                      <w:snapToGrid w:val="0"/>
                      <w:color w:val="auto"/>
                      <w:szCs w:val="21"/>
                      <w:lang w:eastAsia="zh-CN"/>
                    </w:rPr>
                  </w:pPr>
                  <w:r>
                    <w:rPr>
                      <w:rFonts w:hint="eastAsia"/>
                      <w:b/>
                      <w:bCs/>
                      <w:snapToGrid w:val="0"/>
                      <w:color w:val="auto"/>
                      <w:szCs w:val="21"/>
                      <w:lang w:eastAsia="zh-CN"/>
                    </w:rPr>
                    <w:t>方位</w:t>
                  </w:r>
                </w:p>
              </w:tc>
              <w:tc>
                <w:tcPr>
                  <w:tcW w:w="1059" w:type="pct"/>
                  <w:vMerge w:val="restart"/>
                  <w:noWrap w:val="0"/>
                  <w:vAlign w:val="center"/>
                </w:tcPr>
                <w:p w14:paraId="4A1D6D28">
                  <w:pPr>
                    <w:jc w:val="center"/>
                    <w:rPr>
                      <w:rFonts w:hint="eastAsia" w:eastAsia="宋体"/>
                      <w:b/>
                      <w:bCs/>
                      <w:snapToGrid w:val="0"/>
                      <w:color w:val="auto"/>
                      <w:szCs w:val="21"/>
                      <w:lang w:eastAsia="zh-CN"/>
                    </w:rPr>
                  </w:pPr>
                  <w:r>
                    <w:rPr>
                      <w:rFonts w:hint="eastAsia"/>
                      <w:b/>
                      <w:bCs/>
                      <w:snapToGrid w:val="0"/>
                      <w:color w:val="auto"/>
                      <w:szCs w:val="21"/>
                      <w:lang w:eastAsia="zh-CN"/>
                    </w:rPr>
                    <w:t>保护级别</w:t>
                  </w:r>
                </w:p>
              </w:tc>
            </w:tr>
            <w:tr w14:paraId="45830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511" w:type="pct"/>
                  <w:vMerge w:val="continue"/>
                  <w:noWrap w:val="0"/>
                  <w:vAlign w:val="center"/>
                </w:tcPr>
                <w:p w14:paraId="6D7E7BDC">
                  <w:pPr>
                    <w:jc w:val="center"/>
                    <w:rPr>
                      <w:bCs/>
                      <w:snapToGrid w:val="0"/>
                      <w:color w:val="auto"/>
                      <w:szCs w:val="21"/>
                    </w:rPr>
                  </w:pPr>
                </w:p>
              </w:tc>
              <w:tc>
                <w:tcPr>
                  <w:tcW w:w="540" w:type="pct"/>
                  <w:vMerge w:val="continue"/>
                  <w:noWrap w:val="0"/>
                  <w:vAlign w:val="center"/>
                </w:tcPr>
                <w:p w14:paraId="25A46DEA">
                  <w:pPr>
                    <w:jc w:val="center"/>
                    <w:rPr>
                      <w:bCs/>
                      <w:snapToGrid w:val="0"/>
                      <w:color w:val="auto"/>
                      <w:szCs w:val="21"/>
                    </w:rPr>
                  </w:pPr>
                </w:p>
              </w:tc>
              <w:tc>
                <w:tcPr>
                  <w:tcW w:w="540" w:type="pct"/>
                  <w:vMerge w:val="continue"/>
                  <w:noWrap w:val="0"/>
                  <w:vAlign w:val="center"/>
                </w:tcPr>
                <w:p w14:paraId="07D65A83">
                  <w:pPr>
                    <w:jc w:val="center"/>
                    <w:rPr>
                      <w:bCs/>
                      <w:snapToGrid w:val="0"/>
                      <w:color w:val="auto"/>
                      <w:szCs w:val="21"/>
                    </w:rPr>
                  </w:pPr>
                </w:p>
              </w:tc>
              <w:tc>
                <w:tcPr>
                  <w:tcW w:w="346" w:type="pct"/>
                  <w:noWrap w:val="0"/>
                  <w:vAlign w:val="center"/>
                </w:tcPr>
                <w:p w14:paraId="2C921E1D">
                  <w:pPr>
                    <w:jc w:val="center"/>
                    <w:rPr>
                      <w:rFonts w:hint="eastAsia" w:eastAsia="宋体"/>
                      <w:bCs/>
                      <w:snapToGrid w:val="0"/>
                      <w:color w:val="auto"/>
                      <w:szCs w:val="21"/>
                      <w:lang w:val="en-US" w:eastAsia="zh-CN"/>
                    </w:rPr>
                  </w:pPr>
                  <w:r>
                    <w:rPr>
                      <w:rFonts w:hint="eastAsia"/>
                      <w:bCs/>
                      <w:snapToGrid w:val="0"/>
                      <w:color w:val="auto"/>
                      <w:szCs w:val="21"/>
                      <w:lang w:val="en-US" w:eastAsia="zh-CN"/>
                    </w:rPr>
                    <w:t>X</w:t>
                  </w:r>
                </w:p>
              </w:tc>
              <w:tc>
                <w:tcPr>
                  <w:tcW w:w="346" w:type="pct"/>
                  <w:noWrap w:val="0"/>
                  <w:vAlign w:val="center"/>
                </w:tcPr>
                <w:p w14:paraId="10E9F565">
                  <w:pPr>
                    <w:jc w:val="center"/>
                    <w:rPr>
                      <w:rFonts w:hint="eastAsia" w:eastAsia="宋体"/>
                      <w:bCs/>
                      <w:snapToGrid w:val="0"/>
                      <w:color w:val="auto"/>
                      <w:szCs w:val="21"/>
                      <w:lang w:val="en-US" w:eastAsia="zh-CN"/>
                    </w:rPr>
                  </w:pPr>
                  <w:r>
                    <w:rPr>
                      <w:rFonts w:hint="eastAsia"/>
                      <w:bCs/>
                      <w:snapToGrid w:val="0"/>
                      <w:color w:val="auto"/>
                      <w:szCs w:val="21"/>
                      <w:lang w:val="en-US" w:eastAsia="zh-CN"/>
                    </w:rPr>
                    <w:t>Y</w:t>
                  </w:r>
                </w:p>
              </w:tc>
              <w:tc>
                <w:tcPr>
                  <w:tcW w:w="513" w:type="pct"/>
                  <w:vMerge w:val="continue"/>
                  <w:noWrap w:val="0"/>
                  <w:vAlign w:val="center"/>
                </w:tcPr>
                <w:p w14:paraId="506F1F94">
                  <w:pPr>
                    <w:jc w:val="center"/>
                    <w:rPr>
                      <w:bCs/>
                      <w:snapToGrid w:val="0"/>
                      <w:color w:val="auto"/>
                      <w:szCs w:val="21"/>
                    </w:rPr>
                  </w:pPr>
                </w:p>
              </w:tc>
              <w:tc>
                <w:tcPr>
                  <w:tcW w:w="517" w:type="pct"/>
                  <w:vMerge w:val="continue"/>
                  <w:noWrap w:val="0"/>
                  <w:vAlign w:val="center"/>
                </w:tcPr>
                <w:p w14:paraId="2B29F197">
                  <w:pPr>
                    <w:jc w:val="center"/>
                    <w:rPr>
                      <w:bCs/>
                      <w:snapToGrid w:val="0"/>
                      <w:color w:val="auto"/>
                      <w:szCs w:val="21"/>
                    </w:rPr>
                  </w:pPr>
                </w:p>
              </w:tc>
              <w:tc>
                <w:tcPr>
                  <w:tcW w:w="623" w:type="pct"/>
                  <w:vMerge w:val="continue"/>
                  <w:noWrap w:val="0"/>
                  <w:vAlign w:val="center"/>
                </w:tcPr>
                <w:p w14:paraId="4E26F731">
                  <w:pPr>
                    <w:jc w:val="center"/>
                    <w:rPr>
                      <w:bCs/>
                      <w:snapToGrid w:val="0"/>
                      <w:color w:val="auto"/>
                      <w:szCs w:val="21"/>
                    </w:rPr>
                  </w:pPr>
                </w:p>
              </w:tc>
              <w:tc>
                <w:tcPr>
                  <w:tcW w:w="1059" w:type="pct"/>
                  <w:vMerge w:val="continue"/>
                  <w:noWrap w:val="0"/>
                  <w:vAlign w:val="center"/>
                </w:tcPr>
                <w:p w14:paraId="35018DDD">
                  <w:pPr>
                    <w:jc w:val="center"/>
                    <w:rPr>
                      <w:bCs/>
                      <w:snapToGrid w:val="0"/>
                      <w:color w:val="auto"/>
                      <w:szCs w:val="21"/>
                    </w:rPr>
                  </w:pPr>
                </w:p>
              </w:tc>
            </w:tr>
            <w:tr w14:paraId="60ECD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1" w:type="pct"/>
                  <w:vMerge w:val="restart"/>
                  <w:noWrap w:val="0"/>
                  <w:vAlign w:val="center"/>
                </w:tcPr>
                <w:p w14:paraId="50F16263">
                  <w:pPr>
                    <w:jc w:val="center"/>
                    <w:rPr>
                      <w:rFonts w:ascii="Times New Roman" w:hAnsi="Times New Roman" w:eastAsia="宋体" w:cs="Times New Roman"/>
                      <w:color w:val="auto"/>
                      <w:szCs w:val="21"/>
                    </w:rPr>
                  </w:pPr>
                  <w:r>
                    <w:rPr>
                      <w:rFonts w:hint="eastAsia" w:cs="Times New Roman"/>
                      <w:color w:val="auto"/>
                      <w:szCs w:val="21"/>
                      <w:lang w:eastAsia="zh-CN"/>
                    </w:rPr>
                    <w:t>声</w:t>
                  </w:r>
                  <w:r>
                    <w:rPr>
                      <w:rFonts w:ascii="Times New Roman" w:hAnsi="Times New Roman" w:eastAsia="宋体" w:cs="Times New Roman"/>
                      <w:color w:val="auto"/>
                      <w:szCs w:val="21"/>
                    </w:rPr>
                    <w:t>环境</w:t>
                  </w:r>
                </w:p>
              </w:tc>
              <w:tc>
                <w:tcPr>
                  <w:tcW w:w="540" w:type="pct"/>
                  <w:noWrap w:val="0"/>
                  <w:vAlign w:val="center"/>
                </w:tcPr>
                <w:p w14:paraId="25594E9C">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938" w:type="dxa"/>
                  <w:noWrap w:val="0"/>
                  <w:vAlign w:val="center"/>
                </w:tcPr>
                <w:p w14:paraId="22D5E205">
                  <w:pPr>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1</w:t>
                  </w:r>
                </w:p>
              </w:tc>
              <w:tc>
                <w:tcPr>
                  <w:tcW w:w="601" w:type="dxa"/>
                  <w:noWrap w:val="0"/>
                  <w:vAlign w:val="center"/>
                </w:tcPr>
                <w:p w14:paraId="3999C35B">
                  <w:pPr>
                    <w:jc w:val="center"/>
                    <w:rPr>
                      <w:rFonts w:hint="default" w:cs="Times New Roman"/>
                      <w:color w:val="auto"/>
                      <w:szCs w:val="21"/>
                      <w:lang w:val="en-US" w:eastAsia="zh-CN"/>
                    </w:rPr>
                  </w:pPr>
                  <w:r>
                    <w:rPr>
                      <w:rFonts w:hint="eastAsia" w:cs="Times New Roman"/>
                      <w:color w:val="auto"/>
                      <w:szCs w:val="21"/>
                      <w:lang w:val="en-US" w:eastAsia="zh-CN"/>
                    </w:rPr>
                    <w:t>10</w:t>
                  </w:r>
                </w:p>
              </w:tc>
              <w:tc>
                <w:tcPr>
                  <w:tcW w:w="601" w:type="dxa"/>
                  <w:noWrap w:val="0"/>
                  <w:vAlign w:val="center"/>
                </w:tcPr>
                <w:p w14:paraId="4EAA1E13">
                  <w:pPr>
                    <w:jc w:val="center"/>
                    <w:rPr>
                      <w:rFonts w:hint="default" w:cs="Times New Roman"/>
                      <w:color w:val="auto"/>
                      <w:szCs w:val="21"/>
                      <w:lang w:val="en-US" w:eastAsia="zh-CN"/>
                    </w:rPr>
                  </w:pPr>
                  <w:r>
                    <w:rPr>
                      <w:rFonts w:hint="eastAsia" w:cs="Times New Roman"/>
                      <w:color w:val="auto"/>
                      <w:szCs w:val="21"/>
                      <w:lang w:val="en-US" w:eastAsia="zh-CN"/>
                    </w:rPr>
                    <w:t>0</w:t>
                  </w:r>
                </w:p>
              </w:tc>
              <w:tc>
                <w:tcPr>
                  <w:tcW w:w="891" w:type="dxa"/>
                  <w:noWrap w:val="0"/>
                  <w:vAlign w:val="center"/>
                </w:tcPr>
                <w:p w14:paraId="317989A8">
                  <w:pPr>
                    <w:jc w:val="center"/>
                    <w:rPr>
                      <w:rFonts w:hint="default" w:ascii="Times New Roman" w:hAnsi="Times New Roman" w:eastAsia="宋体" w:cs="Times New Roman"/>
                      <w:color w:val="auto"/>
                      <w:szCs w:val="21"/>
                      <w:lang w:val="en-US"/>
                    </w:rPr>
                  </w:pPr>
                  <w:r>
                    <w:rPr>
                      <w:rFonts w:hint="eastAsia" w:ascii="Times New Roman" w:hAnsi="Times New Roman" w:eastAsia="宋体" w:cs="Times New Roman"/>
                      <w:color w:val="auto"/>
                      <w:szCs w:val="21"/>
                      <w:lang w:val="en-US" w:eastAsia="zh-CN"/>
                    </w:rPr>
                    <w:t>居民</w:t>
                  </w:r>
                  <w:r>
                    <w:rPr>
                      <w:rFonts w:hint="eastAsia" w:cs="Times New Roman"/>
                      <w:color w:val="auto"/>
                      <w:szCs w:val="21"/>
                      <w:lang w:val="en-US" w:eastAsia="zh-CN"/>
                    </w:rPr>
                    <w:t>点，约4户</w:t>
                  </w:r>
                </w:p>
              </w:tc>
              <w:tc>
                <w:tcPr>
                  <w:tcW w:w="898" w:type="dxa"/>
                  <w:noWrap w:val="0"/>
                  <w:vAlign w:val="center"/>
                </w:tcPr>
                <w:p w14:paraId="1F2758EA">
                  <w:pPr>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约</w:t>
                  </w:r>
                  <w:r>
                    <w:rPr>
                      <w:rFonts w:hint="eastAsia" w:cs="Times New Roman"/>
                      <w:color w:val="auto"/>
                      <w:szCs w:val="21"/>
                      <w:lang w:val="en-US" w:eastAsia="zh-CN"/>
                    </w:rPr>
                    <w:t>10m</w:t>
                  </w:r>
                </w:p>
              </w:tc>
              <w:tc>
                <w:tcPr>
                  <w:tcW w:w="1082" w:type="dxa"/>
                  <w:noWrap w:val="0"/>
                  <w:vAlign w:val="center"/>
                </w:tcPr>
                <w:p w14:paraId="1BD2A615">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E</w:t>
                  </w:r>
                </w:p>
              </w:tc>
              <w:tc>
                <w:tcPr>
                  <w:tcW w:w="1059" w:type="pct"/>
                  <w:vMerge w:val="restart"/>
                  <w:noWrap w:val="0"/>
                  <w:vAlign w:val="center"/>
                </w:tcPr>
                <w:p w14:paraId="2A1CA1D7">
                  <w:pPr>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《声环境质量标准》（</w:t>
                  </w:r>
                  <w:r>
                    <w:rPr>
                      <w:rFonts w:hint="eastAsia" w:cs="Times New Roman"/>
                      <w:color w:val="auto"/>
                      <w:szCs w:val="21"/>
                      <w:lang w:val="en-US" w:eastAsia="zh-CN"/>
                    </w:rPr>
                    <w:t>GB3096-2018</w:t>
                  </w:r>
                  <w:r>
                    <w:rPr>
                      <w:rFonts w:hint="eastAsia" w:cs="Times New Roman"/>
                      <w:color w:val="auto"/>
                      <w:szCs w:val="21"/>
                      <w:lang w:eastAsia="zh-CN"/>
                    </w:rPr>
                    <w:t>）</w:t>
                  </w:r>
                  <w:r>
                    <w:rPr>
                      <w:rFonts w:hint="eastAsia" w:cs="Times New Roman"/>
                      <w:color w:val="auto"/>
                      <w:szCs w:val="21"/>
                      <w:lang w:val="en-US" w:eastAsia="zh-CN"/>
                    </w:rPr>
                    <w:t>2类</w:t>
                  </w:r>
                  <w:r>
                    <w:rPr>
                      <w:rFonts w:hint="eastAsia" w:cs="Times New Roman"/>
                      <w:color w:val="auto"/>
                      <w:szCs w:val="21"/>
                      <w:lang w:eastAsia="zh-CN"/>
                    </w:rPr>
                    <w:t>标准</w:t>
                  </w:r>
                </w:p>
              </w:tc>
            </w:tr>
            <w:tr w14:paraId="056E4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1" w:type="pct"/>
                  <w:vMerge w:val="continue"/>
                  <w:noWrap w:val="0"/>
                  <w:vAlign w:val="center"/>
                </w:tcPr>
                <w:p w14:paraId="5C93E7D1">
                  <w:pPr>
                    <w:jc w:val="center"/>
                    <w:rPr>
                      <w:rFonts w:ascii="Times New Roman" w:hAnsi="Times New Roman" w:eastAsia="宋体" w:cs="Times New Roman"/>
                      <w:color w:val="auto"/>
                      <w:szCs w:val="21"/>
                    </w:rPr>
                  </w:pPr>
                </w:p>
              </w:tc>
              <w:tc>
                <w:tcPr>
                  <w:tcW w:w="540" w:type="pct"/>
                  <w:noWrap w:val="0"/>
                  <w:vAlign w:val="center"/>
                </w:tcPr>
                <w:p w14:paraId="3A184211">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938" w:type="dxa"/>
                  <w:noWrap w:val="0"/>
                  <w:vAlign w:val="center"/>
                </w:tcPr>
                <w:p w14:paraId="52376186">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2</w:t>
                  </w:r>
                </w:p>
              </w:tc>
              <w:tc>
                <w:tcPr>
                  <w:tcW w:w="601" w:type="dxa"/>
                  <w:noWrap w:val="0"/>
                  <w:vAlign w:val="center"/>
                </w:tcPr>
                <w:p w14:paraId="1022A7CF">
                  <w:pPr>
                    <w:jc w:val="center"/>
                    <w:rPr>
                      <w:rFonts w:hint="default" w:cs="Times New Roman"/>
                      <w:color w:val="auto"/>
                      <w:szCs w:val="21"/>
                      <w:lang w:val="en-US" w:eastAsia="zh-CN"/>
                    </w:rPr>
                  </w:pPr>
                  <w:r>
                    <w:rPr>
                      <w:rFonts w:hint="eastAsia" w:cs="Times New Roman"/>
                      <w:color w:val="auto"/>
                      <w:szCs w:val="21"/>
                      <w:lang w:val="en-US" w:eastAsia="zh-CN"/>
                    </w:rPr>
                    <w:t>2</w:t>
                  </w:r>
                </w:p>
              </w:tc>
              <w:tc>
                <w:tcPr>
                  <w:tcW w:w="601" w:type="dxa"/>
                  <w:noWrap w:val="0"/>
                  <w:vAlign w:val="center"/>
                </w:tcPr>
                <w:p w14:paraId="03059EDB">
                  <w:pPr>
                    <w:jc w:val="center"/>
                    <w:rPr>
                      <w:rFonts w:hint="default" w:cs="Times New Roman"/>
                      <w:color w:val="auto"/>
                      <w:szCs w:val="21"/>
                      <w:lang w:val="en-US" w:eastAsia="zh-CN"/>
                    </w:rPr>
                  </w:pPr>
                  <w:r>
                    <w:rPr>
                      <w:rFonts w:hint="eastAsia" w:cs="Times New Roman"/>
                      <w:color w:val="auto"/>
                      <w:szCs w:val="21"/>
                      <w:lang w:val="en-US" w:eastAsia="zh-CN"/>
                    </w:rPr>
                    <w:t>-42</w:t>
                  </w:r>
                </w:p>
              </w:tc>
              <w:tc>
                <w:tcPr>
                  <w:tcW w:w="891" w:type="dxa"/>
                  <w:noWrap w:val="0"/>
                  <w:vAlign w:val="center"/>
                </w:tcPr>
                <w:p w14:paraId="7DD79268">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居民点，约3户</w:t>
                  </w:r>
                </w:p>
              </w:tc>
              <w:tc>
                <w:tcPr>
                  <w:tcW w:w="898" w:type="dxa"/>
                  <w:noWrap w:val="0"/>
                  <w:vAlign w:val="center"/>
                </w:tcPr>
                <w:p w14:paraId="62C68F01">
                  <w:pPr>
                    <w:jc w:val="center"/>
                    <w:rPr>
                      <w:rFonts w:hint="default" w:ascii="Times New Roman" w:hAnsi="Times New Roman" w:eastAsia="宋体" w:cs="Times New Roman"/>
                      <w:color w:val="auto"/>
                      <w:szCs w:val="21"/>
                      <w:lang w:val="en-US" w:eastAsia="zh-CN"/>
                    </w:rPr>
                  </w:pPr>
                  <w:r>
                    <w:rPr>
                      <w:rFonts w:hint="eastAsia" w:cs="Times New Roman"/>
                      <w:color w:val="auto"/>
                      <w:szCs w:val="21"/>
                      <w:lang w:eastAsia="zh-CN"/>
                    </w:rPr>
                    <w:t>约</w:t>
                  </w:r>
                  <w:r>
                    <w:rPr>
                      <w:rFonts w:hint="eastAsia" w:cs="Times New Roman"/>
                      <w:color w:val="auto"/>
                      <w:szCs w:val="21"/>
                      <w:lang w:val="en-US" w:eastAsia="zh-CN"/>
                    </w:rPr>
                    <w:t>44m</w:t>
                  </w:r>
                </w:p>
              </w:tc>
              <w:tc>
                <w:tcPr>
                  <w:tcW w:w="1082" w:type="dxa"/>
                  <w:noWrap w:val="0"/>
                  <w:vAlign w:val="center"/>
                </w:tcPr>
                <w:p w14:paraId="628D466D">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SE</w:t>
                  </w:r>
                </w:p>
              </w:tc>
              <w:tc>
                <w:tcPr>
                  <w:tcW w:w="1059" w:type="pct"/>
                  <w:vMerge w:val="continue"/>
                  <w:noWrap w:val="0"/>
                  <w:vAlign w:val="center"/>
                </w:tcPr>
                <w:p w14:paraId="25133A0D">
                  <w:pPr>
                    <w:jc w:val="center"/>
                    <w:rPr>
                      <w:rFonts w:ascii="Times New Roman" w:hAnsi="Times New Roman" w:eastAsia="宋体" w:cs="Times New Roman"/>
                      <w:color w:val="auto"/>
                      <w:szCs w:val="21"/>
                    </w:rPr>
                  </w:pPr>
                </w:p>
              </w:tc>
            </w:tr>
            <w:tr w14:paraId="4E882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1" w:type="pct"/>
                  <w:vMerge w:val="continue"/>
                  <w:noWrap w:val="0"/>
                  <w:vAlign w:val="center"/>
                </w:tcPr>
                <w:p w14:paraId="6A2341A7">
                  <w:pPr>
                    <w:jc w:val="center"/>
                    <w:rPr>
                      <w:rFonts w:ascii="Times New Roman" w:hAnsi="Times New Roman" w:eastAsia="宋体" w:cs="Times New Roman"/>
                      <w:color w:val="auto"/>
                      <w:szCs w:val="21"/>
                    </w:rPr>
                  </w:pPr>
                </w:p>
              </w:tc>
              <w:tc>
                <w:tcPr>
                  <w:tcW w:w="540" w:type="pct"/>
                  <w:noWrap w:val="0"/>
                  <w:vAlign w:val="center"/>
                </w:tcPr>
                <w:p w14:paraId="64585B24">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3</w:t>
                  </w:r>
                </w:p>
              </w:tc>
              <w:tc>
                <w:tcPr>
                  <w:tcW w:w="938" w:type="dxa"/>
                  <w:noWrap w:val="0"/>
                  <w:vAlign w:val="center"/>
                </w:tcPr>
                <w:p w14:paraId="48CC3899">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3</w:t>
                  </w:r>
                </w:p>
              </w:tc>
              <w:tc>
                <w:tcPr>
                  <w:tcW w:w="601" w:type="dxa"/>
                  <w:noWrap w:val="0"/>
                  <w:vAlign w:val="center"/>
                </w:tcPr>
                <w:p w14:paraId="36B14F15">
                  <w:pPr>
                    <w:jc w:val="center"/>
                    <w:rPr>
                      <w:rFonts w:hint="default" w:cs="Times New Roman"/>
                      <w:color w:val="auto"/>
                      <w:szCs w:val="21"/>
                      <w:lang w:val="en-US" w:eastAsia="zh-CN"/>
                    </w:rPr>
                  </w:pPr>
                  <w:r>
                    <w:rPr>
                      <w:rFonts w:hint="eastAsia" w:cs="Times New Roman"/>
                      <w:color w:val="auto"/>
                      <w:szCs w:val="21"/>
                      <w:lang w:val="en-US" w:eastAsia="zh-CN"/>
                    </w:rPr>
                    <w:t>-23</w:t>
                  </w:r>
                </w:p>
              </w:tc>
              <w:tc>
                <w:tcPr>
                  <w:tcW w:w="601" w:type="dxa"/>
                  <w:noWrap w:val="0"/>
                  <w:vAlign w:val="center"/>
                </w:tcPr>
                <w:p w14:paraId="180F8C93">
                  <w:pPr>
                    <w:jc w:val="center"/>
                    <w:rPr>
                      <w:rFonts w:hint="default" w:cs="Times New Roman"/>
                      <w:color w:val="auto"/>
                      <w:szCs w:val="21"/>
                      <w:lang w:val="en-US" w:eastAsia="zh-CN"/>
                    </w:rPr>
                  </w:pPr>
                  <w:r>
                    <w:rPr>
                      <w:rFonts w:hint="eastAsia" w:cs="Times New Roman"/>
                      <w:color w:val="auto"/>
                      <w:szCs w:val="21"/>
                      <w:lang w:val="en-US" w:eastAsia="zh-CN"/>
                    </w:rPr>
                    <w:t>-30</w:t>
                  </w:r>
                </w:p>
              </w:tc>
              <w:tc>
                <w:tcPr>
                  <w:tcW w:w="891" w:type="dxa"/>
                  <w:noWrap w:val="0"/>
                  <w:vAlign w:val="center"/>
                </w:tcPr>
                <w:p w14:paraId="5B804E80">
                  <w:pPr>
                    <w:jc w:val="center"/>
                    <w:rPr>
                      <w:rFonts w:hint="default" w:cs="Times New Roman"/>
                      <w:color w:val="auto"/>
                      <w:szCs w:val="21"/>
                      <w:lang w:val="en-US" w:eastAsia="zh-CN"/>
                    </w:rPr>
                  </w:pPr>
                  <w:r>
                    <w:rPr>
                      <w:rFonts w:hint="eastAsia" w:cs="Times New Roman"/>
                      <w:color w:val="auto"/>
                      <w:szCs w:val="21"/>
                      <w:lang w:val="en-US" w:eastAsia="zh-CN"/>
                    </w:rPr>
                    <w:t>居民点，约3户</w:t>
                  </w:r>
                </w:p>
              </w:tc>
              <w:tc>
                <w:tcPr>
                  <w:tcW w:w="898" w:type="dxa"/>
                  <w:noWrap w:val="0"/>
                  <w:vAlign w:val="center"/>
                </w:tcPr>
                <w:p w14:paraId="7BCB6CF5">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37m</w:t>
                  </w:r>
                </w:p>
              </w:tc>
              <w:tc>
                <w:tcPr>
                  <w:tcW w:w="1082" w:type="dxa"/>
                  <w:noWrap w:val="0"/>
                  <w:vAlign w:val="center"/>
                </w:tcPr>
                <w:p w14:paraId="6CF782D9">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SE</w:t>
                  </w:r>
                </w:p>
              </w:tc>
              <w:tc>
                <w:tcPr>
                  <w:tcW w:w="1059" w:type="pct"/>
                  <w:vMerge w:val="continue"/>
                  <w:noWrap w:val="0"/>
                  <w:vAlign w:val="center"/>
                </w:tcPr>
                <w:p w14:paraId="161E4E6D">
                  <w:pPr>
                    <w:jc w:val="center"/>
                    <w:rPr>
                      <w:rFonts w:ascii="Times New Roman" w:hAnsi="Times New Roman" w:eastAsia="宋体" w:cs="Times New Roman"/>
                      <w:color w:val="auto"/>
                      <w:szCs w:val="21"/>
                    </w:rPr>
                  </w:pPr>
                </w:p>
              </w:tc>
            </w:tr>
            <w:tr w14:paraId="7A4DB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1" w:type="pct"/>
                  <w:vMerge w:val="continue"/>
                  <w:noWrap w:val="0"/>
                  <w:vAlign w:val="center"/>
                </w:tcPr>
                <w:p w14:paraId="192C8D6D">
                  <w:pPr>
                    <w:jc w:val="center"/>
                    <w:rPr>
                      <w:rFonts w:ascii="Times New Roman" w:hAnsi="Times New Roman" w:eastAsia="宋体" w:cs="Times New Roman"/>
                      <w:color w:val="auto"/>
                      <w:szCs w:val="21"/>
                    </w:rPr>
                  </w:pPr>
                </w:p>
              </w:tc>
              <w:tc>
                <w:tcPr>
                  <w:tcW w:w="540" w:type="pct"/>
                  <w:noWrap w:val="0"/>
                  <w:vAlign w:val="center"/>
                </w:tcPr>
                <w:p w14:paraId="6DA9EA2A">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4</w:t>
                  </w:r>
                </w:p>
              </w:tc>
              <w:tc>
                <w:tcPr>
                  <w:tcW w:w="938" w:type="dxa"/>
                  <w:noWrap w:val="0"/>
                  <w:vAlign w:val="center"/>
                </w:tcPr>
                <w:p w14:paraId="305E8762">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4</w:t>
                  </w:r>
                </w:p>
              </w:tc>
              <w:tc>
                <w:tcPr>
                  <w:tcW w:w="601" w:type="dxa"/>
                  <w:noWrap w:val="0"/>
                  <w:vAlign w:val="center"/>
                </w:tcPr>
                <w:p w14:paraId="36C2BDFA">
                  <w:pPr>
                    <w:jc w:val="center"/>
                    <w:rPr>
                      <w:rFonts w:hint="default" w:cs="Times New Roman"/>
                      <w:color w:val="auto"/>
                      <w:szCs w:val="21"/>
                      <w:lang w:val="en-US" w:eastAsia="zh-CN"/>
                    </w:rPr>
                  </w:pPr>
                  <w:r>
                    <w:rPr>
                      <w:rFonts w:hint="eastAsia" w:cs="Times New Roman"/>
                      <w:color w:val="auto"/>
                      <w:szCs w:val="21"/>
                      <w:lang w:val="en-US" w:eastAsia="zh-CN"/>
                    </w:rPr>
                    <w:t>-12</w:t>
                  </w:r>
                </w:p>
              </w:tc>
              <w:tc>
                <w:tcPr>
                  <w:tcW w:w="601" w:type="dxa"/>
                  <w:noWrap w:val="0"/>
                  <w:vAlign w:val="center"/>
                </w:tcPr>
                <w:p w14:paraId="095BF9C9">
                  <w:pPr>
                    <w:jc w:val="center"/>
                    <w:rPr>
                      <w:rFonts w:hint="default" w:cs="Times New Roman"/>
                      <w:color w:val="auto"/>
                      <w:szCs w:val="21"/>
                      <w:lang w:val="en-US" w:eastAsia="zh-CN"/>
                    </w:rPr>
                  </w:pPr>
                  <w:r>
                    <w:rPr>
                      <w:rFonts w:hint="eastAsia" w:cs="Times New Roman"/>
                      <w:color w:val="auto"/>
                      <w:szCs w:val="21"/>
                      <w:lang w:val="en-US" w:eastAsia="zh-CN"/>
                    </w:rPr>
                    <w:t>0</w:t>
                  </w:r>
                </w:p>
              </w:tc>
              <w:tc>
                <w:tcPr>
                  <w:tcW w:w="891" w:type="dxa"/>
                  <w:noWrap w:val="0"/>
                  <w:vAlign w:val="center"/>
                </w:tcPr>
                <w:p w14:paraId="3D926E0A">
                  <w:pPr>
                    <w:jc w:val="center"/>
                    <w:rPr>
                      <w:rFonts w:hint="eastAsia" w:cs="Times New Roman"/>
                      <w:color w:val="auto"/>
                      <w:szCs w:val="21"/>
                      <w:lang w:val="en-US" w:eastAsia="zh-CN"/>
                    </w:rPr>
                  </w:pPr>
                  <w:r>
                    <w:rPr>
                      <w:rFonts w:hint="eastAsia" w:cs="Times New Roman"/>
                      <w:color w:val="auto"/>
                      <w:szCs w:val="21"/>
                      <w:lang w:val="en-US" w:eastAsia="zh-CN"/>
                    </w:rPr>
                    <w:t>居民点，约10户</w:t>
                  </w:r>
                </w:p>
              </w:tc>
              <w:tc>
                <w:tcPr>
                  <w:tcW w:w="898" w:type="dxa"/>
                  <w:noWrap w:val="0"/>
                  <w:vAlign w:val="center"/>
                </w:tcPr>
                <w:p w14:paraId="4CAA4B0E">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12m</w:t>
                  </w:r>
                </w:p>
              </w:tc>
              <w:tc>
                <w:tcPr>
                  <w:tcW w:w="1082" w:type="dxa"/>
                  <w:noWrap w:val="0"/>
                  <w:vAlign w:val="center"/>
                </w:tcPr>
                <w:p w14:paraId="5BFB82D9">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w:t>
                  </w:r>
                </w:p>
              </w:tc>
              <w:tc>
                <w:tcPr>
                  <w:tcW w:w="1059" w:type="pct"/>
                  <w:vMerge w:val="continue"/>
                  <w:noWrap w:val="0"/>
                  <w:vAlign w:val="center"/>
                </w:tcPr>
                <w:p w14:paraId="183AA817">
                  <w:pPr>
                    <w:jc w:val="center"/>
                    <w:rPr>
                      <w:rFonts w:ascii="Times New Roman" w:hAnsi="Times New Roman" w:eastAsia="宋体" w:cs="Times New Roman"/>
                      <w:color w:val="auto"/>
                      <w:szCs w:val="21"/>
                    </w:rPr>
                  </w:pPr>
                </w:p>
              </w:tc>
            </w:tr>
            <w:tr w14:paraId="68D39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1" w:type="pct"/>
                  <w:vMerge w:val="continue"/>
                  <w:noWrap w:val="0"/>
                  <w:vAlign w:val="center"/>
                </w:tcPr>
                <w:p w14:paraId="6593AA08">
                  <w:pPr>
                    <w:jc w:val="center"/>
                    <w:rPr>
                      <w:rFonts w:ascii="Times New Roman" w:hAnsi="Times New Roman" w:eastAsia="宋体" w:cs="Times New Roman"/>
                      <w:color w:val="auto"/>
                      <w:szCs w:val="21"/>
                    </w:rPr>
                  </w:pPr>
                </w:p>
              </w:tc>
              <w:tc>
                <w:tcPr>
                  <w:tcW w:w="540" w:type="pct"/>
                  <w:noWrap w:val="0"/>
                  <w:vAlign w:val="center"/>
                </w:tcPr>
                <w:p w14:paraId="465C413E">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938" w:type="dxa"/>
                  <w:noWrap w:val="0"/>
                  <w:vAlign w:val="center"/>
                </w:tcPr>
                <w:p w14:paraId="2C9F7958">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5</w:t>
                  </w:r>
                </w:p>
              </w:tc>
              <w:tc>
                <w:tcPr>
                  <w:tcW w:w="601" w:type="dxa"/>
                  <w:noWrap w:val="0"/>
                  <w:vAlign w:val="center"/>
                </w:tcPr>
                <w:p w14:paraId="2BE0186F">
                  <w:pPr>
                    <w:jc w:val="center"/>
                    <w:rPr>
                      <w:rFonts w:hint="default" w:cs="Times New Roman"/>
                      <w:color w:val="auto"/>
                      <w:szCs w:val="21"/>
                      <w:lang w:val="en-US" w:eastAsia="zh-CN"/>
                    </w:rPr>
                  </w:pPr>
                  <w:r>
                    <w:rPr>
                      <w:rFonts w:hint="eastAsia" w:cs="Times New Roman"/>
                      <w:color w:val="auto"/>
                      <w:szCs w:val="21"/>
                      <w:lang w:val="en-US" w:eastAsia="zh-CN"/>
                    </w:rPr>
                    <w:t>-5</w:t>
                  </w:r>
                </w:p>
              </w:tc>
              <w:tc>
                <w:tcPr>
                  <w:tcW w:w="601" w:type="dxa"/>
                  <w:noWrap w:val="0"/>
                  <w:vAlign w:val="center"/>
                </w:tcPr>
                <w:p w14:paraId="345A3143">
                  <w:pPr>
                    <w:jc w:val="center"/>
                    <w:rPr>
                      <w:rFonts w:hint="default" w:cs="Times New Roman"/>
                      <w:color w:val="auto"/>
                      <w:szCs w:val="21"/>
                      <w:lang w:val="en-US" w:eastAsia="zh-CN"/>
                    </w:rPr>
                  </w:pPr>
                  <w:r>
                    <w:rPr>
                      <w:rFonts w:hint="eastAsia" w:cs="Times New Roman"/>
                      <w:color w:val="auto"/>
                      <w:szCs w:val="21"/>
                      <w:lang w:val="en-US" w:eastAsia="zh-CN"/>
                    </w:rPr>
                    <w:t>0</w:t>
                  </w:r>
                </w:p>
              </w:tc>
              <w:tc>
                <w:tcPr>
                  <w:tcW w:w="891" w:type="dxa"/>
                  <w:noWrap w:val="0"/>
                  <w:vAlign w:val="center"/>
                </w:tcPr>
                <w:p w14:paraId="5DE6DA24">
                  <w:pPr>
                    <w:jc w:val="center"/>
                    <w:rPr>
                      <w:rFonts w:hint="eastAsia" w:cs="Times New Roman"/>
                      <w:color w:val="auto"/>
                      <w:szCs w:val="21"/>
                      <w:lang w:val="en-US" w:eastAsia="zh-CN"/>
                    </w:rPr>
                  </w:pPr>
                  <w:r>
                    <w:rPr>
                      <w:rFonts w:hint="eastAsia" w:cs="Times New Roman"/>
                      <w:color w:val="auto"/>
                      <w:szCs w:val="21"/>
                      <w:lang w:val="en-US" w:eastAsia="zh-CN"/>
                    </w:rPr>
                    <w:t>居民点，约5户</w:t>
                  </w:r>
                </w:p>
              </w:tc>
              <w:tc>
                <w:tcPr>
                  <w:tcW w:w="898" w:type="dxa"/>
                  <w:noWrap w:val="0"/>
                  <w:vAlign w:val="center"/>
                </w:tcPr>
                <w:p w14:paraId="46AD02FF">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5m</w:t>
                  </w:r>
                </w:p>
              </w:tc>
              <w:tc>
                <w:tcPr>
                  <w:tcW w:w="1082" w:type="dxa"/>
                  <w:noWrap w:val="0"/>
                  <w:vAlign w:val="center"/>
                </w:tcPr>
                <w:p w14:paraId="0E8697E4">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w:t>
                  </w:r>
                </w:p>
              </w:tc>
              <w:tc>
                <w:tcPr>
                  <w:tcW w:w="1059" w:type="pct"/>
                  <w:vMerge w:val="continue"/>
                  <w:noWrap w:val="0"/>
                  <w:vAlign w:val="center"/>
                </w:tcPr>
                <w:p w14:paraId="48DD4CA6">
                  <w:pPr>
                    <w:jc w:val="center"/>
                    <w:rPr>
                      <w:rFonts w:ascii="Times New Roman" w:hAnsi="Times New Roman" w:eastAsia="宋体" w:cs="Times New Roman"/>
                      <w:color w:val="auto"/>
                      <w:szCs w:val="21"/>
                    </w:rPr>
                  </w:pPr>
                </w:p>
              </w:tc>
            </w:tr>
            <w:tr w14:paraId="22A81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 w:hRule="atLeast"/>
                <w:jc w:val="center"/>
              </w:trPr>
              <w:tc>
                <w:tcPr>
                  <w:tcW w:w="511" w:type="pct"/>
                  <w:vMerge w:val="continue"/>
                  <w:noWrap w:val="0"/>
                  <w:vAlign w:val="center"/>
                </w:tcPr>
                <w:p w14:paraId="2A118C9B">
                  <w:pPr>
                    <w:jc w:val="center"/>
                    <w:rPr>
                      <w:rFonts w:ascii="Times New Roman" w:hAnsi="Times New Roman" w:eastAsia="宋体" w:cs="Times New Roman"/>
                      <w:color w:val="auto"/>
                      <w:szCs w:val="21"/>
                    </w:rPr>
                  </w:pPr>
                </w:p>
              </w:tc>
              <w:tc>
                <w:tcPr>
                  <w:tcW w:w="540" w:type="pct"/>
                  <w:noWrap w:val="0"/>
                  <w:vAlign w:val="center"/>
                </w:tcPr>
                <w:p w14:paraId="460E29C4">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6</w:t>
                  </w:r>
                </w:p>
              </w:tc>
              <w:tc>
                <w:tcPr>
                  <w:tcW w:w="938" w:type="dxa"/>
                  <w:noWrap w:val="0"/>
                  <w:vAlign w:val="center"/>
                </w:tcPr>
                <w:p w14:paraId="77EC2CF4">
                  <w:pPr>
                    <w:jc w:val="center"/>
                    <w:rPr>
                      <w:rFonts w:hint="default" w:cs="Times New Roman"/>
                      <w:color w:val="auto"/>
                      <w:szCs w:val="21"/>
                      <w:lang w:val="en-US" w:eastAsia="zh-CN"/>
                    </w:rPr>
                  </w:pPr>
                  <w:r>
                    <w:rPr>
                      <w:rFonts w:hint="eastAsia" w:cs="Times New Roman"/>
                      <w:color w:val="auto"/>
                      <w:szCs w:val="21"/>
                      <w:lang w:eastAsia="zh-CN"/>
                    </w:rPr>
                    <w:t>居民点</w:t>
                  </w:r>
                  <w:r>
                    <w:rPr>
                      <w:rFonts w:hint="eastAsia" w:cs="Times New Roman"/>
                      <w:color w:val="auto"/>
                      <w:szCs w:val="21"/>
                      <w:lang w:val="en-US" w:eastAsia="zh-CN"/>
                    </w:rPr>
                    <w:t>6</w:t>
                  </w:r>
                </w:p>
              </w:tc>
              <w:tc>
                <w:tcPr>
                  <w:tcW w:w="601" w:type="dxa"/>
                  <w:noWrap w:val="0"/>
                  <w:vAlign w:val="center"/>
                </w:tcPr>
                <w:p w14:paraId="19481E33">
                  <w:pPr>
                    <w:jc w:val="center"/>
                    <w:rPr>
                      <w:rFonts w:hint="default" w:cs="Times New Roman"/>
                      <w:color w:val="auto"/>
                      <w:szCs w:val="21"/>
                      <w:lang w:val="en-US" w:eastAsia="zh-CN"/>
                    </w:rPr>
                  </w:pPr>
                  <w:r>
                    <w:rPr>
                      <w:rFonts w:hint="eastAsia" w:cs="Times New Roman"/>
                      <w:color w:val="auto"/>
                      <w:szCs w:val="21"/>
                      <w:lang w:val="en-US" w:eastAsia="zh-CN"/>
                    </w:rPr>
                    <w:t>0</w:t>
                  </w:r>
                </w:p>
              </w:tc>
              <w:tc>
                <w:tcPr>
                  <w:tcW w:w="601" w:type="dxa"/>
                  <w:noWrap w:val="0"/>
                  <w:vAlign w:val="center"/>
                </w:tcPr>
                <w:p w14:paraId="2A5DDF60">
                  <w:pPr>
                    <w:jc w:val="center"/>
                    <w:rPr>
                      <w:rFonts w:hint="default" w:cs="Times New Roman"/>
                      <w:color w:val="auto"/>
                      <w:szCs w:val="21"/>
                      <w:lang w:val="en-US" w:eastAsia="zh-CN"/>
                    </w:rPr>
                  </w:pPr>
                  <w:r>
                    <w:rPr>
                      <w:rFonts w:hint="eastAsia" w:cs="Times New Roman"/>
                      <w:color w:val="auto"/>
                      <w:szCs w:val="21"/>
                      <w:lang w:val="en-US" w:eastAsia="zh-CN"/>
                    </w:rPr>
                    <w:t>12</w:t>
                  </w:r>
                </w:p>
              </w:tc>
              <w:tc>
                <w:tcPr>
                  <w:tcW w:w="891" w:type="dxa"/>
                  <w:noWrap w:val="0"/>
                  <w:vAlign w:val="center"/>
                </w:tcPr>
                <w:p w14:paraId="23577794">
                  <w:pPr>
                    <w:jc w:val="center"/>
                    <w:rPr>
                      <w:rFonts w:hint="eastAsia" w:cs="Times New Roman"/>
                      <w:color w:val="auto"/>
                      <w:szCs w:val="21"/>
                      <w:lang w:val="en-US" w:eastAsia="zh-CN"/>
                    </w:rPr>
                  </w:pPr>
                  <w:r>
                    <w:rPr>
                      <w:rFonts w:hint="eastAsia" w:cs="Times New Roman"/>
                      <w:color w:val="auto"/>
                      <w:szCs w:val="21"/>
                      <w:lang w:val="en-US" w:eastAsia="zh-CN"/>
                    </w:rPr>
                    <w:t>居民点，约8户</w:t>
                  </w:r>
                </w:p>
              </w:tc>
              <w:tc>
                <w:tcPr>
                  <w:tcW w:w="898" w:type="dxa"/>
                  <w:noWrap w:val="0"/>
                  <w:vAlign w:val="center"/>
                </w:tcPr>
                <w:p w14:paraId="214F0B71">
                  <w:pPr>
                    <w:jc w:val="center"/>
                    <w:rPr>
                      <w:rFonts w:hint="eastAsia" w:cs="Times New Roman"/>
                      <w:color w:val="auto"/>
                      <w:szCs w:val="21"/>
                      <w:lang w:eastAsia="zh-CN"/>
                    </w:rPr>
                  </w:pPr>
                  <w:r>
                    <w:rPr>
                      <w:rFonts w:hint="eastAsia" w:cs="Times New Roman"/>
                      <w:color w:val="auto"/>
                      <w:szCs w:val="21"/>
                      <w:lang w:eastAsia="zh-CN"/>
                    </w:rPr>
                    <w:t>约</w:t>
                  </w:r>
                  <w:r>
                    <w:rPr>
                      <w:rFonts w:hint="eastAsia" w:cs="Times New Roman"/>
                      <w:color w:val="auto"/>
                      <w:szCs w:val="21"/>
                      <w:lang w:val="en-US" w:eastAsia="zh-CN"/>
                    </w:rPr>
                    <w:t>12m</w:t>
                  </w:r>
                </w:p>
              </w:tc>
              <w:tc>
                <w:tcPr>
                  <w:tcW w:w="1082" w:type="dxa"/>
                  <w:noWrap w:val="0"/>
                  <w:vAlign w:val="center"/>
                </w:tcPr>
                <w:p w14:paraId="6FC3F18D">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N</w:t>
                  </w:r>
                </w:p>
              </w:tc>
              <w:tc>
                <w:tcPr>
                  <w:tcW w:w="1059" w:type="pct"/>
                  <w:vMerge w:val="continue"/>
                  <w:noWrap w:val="0"/>
                  <w:vAlign w:val="center"/>
                </w:tcPr>
                <w:p w14:paraId="000FD754">
                  <w:pPr>
                    <w:jc w:val="center"/>
                    <w:rPr>
                      <w:rFonts w:ascii="Times New Roman" w:hAnsi="Times New Roman" w:eastAsia="宋体" w:cs="Times New Roman"/>
                      <w:color w:val="auto"/>
                      <w:szCs w:val="21"/>
                    </w:rPr>
                  </w:pPr>
                </w:p>
              </w:tc>
            </w:tr>
          </w:tbl>
          <w:p w14:paraId="7826725D">
            <w:pPr>
              <w:spacing w:line="360" w:lineRule="auto"/>
              <w:rPr>
                <w:b/>
                <w:color w:val="auto"/>
                <w:sz w:val="24"/>
                <w:szCs w:val="24"/>
              </w:rPr>
            </w:pPr>
            <w:r>
              <w:rPr>
                <w:rFonts w:hint="eastAsia"/>
                <w:b/>
                <w:color w:val="auto"/>
                <w:sz w:val="24"/>
                <w:szCs w:val="24"/>
              </w:rPr>
              <w:t>3、地下水环境保护目标</w:t>
            </w:r>
          </w:p>
          <w:p w14:paraId="4B629419">
            <w:pPr>
              <w:spacing w:line="360" w:lineRule="auto"/>
              <w:ind w:firstLine="480" w:firstLineChars="200"/>
              <w:rPr>
                <w:rFonts w:hint="eastAsia"/>
                <w:color w:val="auto"/>
                <w:sz w:val="24"/>
                <w:szCs w:val="24"/>
                <w:lang w:eastAsia="zh-CN"/>
              </w:rPr>
            </w:pPr>
            <w:r>
              <w:rPr>
                <w:rFonts w:hint="eastAsia"/>
                <w:color w:val="auto"/>
                <w:sz w:val="24"/>
                <w:szCs w:val="24"/>
                <w:lang w:eastAsia="zh-CN"/>
              </w:rPr>
              <w:t>本项目厂界外500m范围内无集中式饮用水水源和热水、矿泉水、温泉等特殊地下水资源环境保护目标。</w:t>
            </w:r>
          </w:p>
          <w:p w14:paraId="4EDA965D">
            <w:pPr>
              <w:spacing w:line="360" w:lineRule="auto"/>
              <w:rPr>
                <w:b/>
                <w:color w:val="auto"/>
                <w:sz w:val="24"/>
              </w:rPr>
            </w:pPr>
            <w:r>
              <w:rPr>
                <w:rFonts w:hint="eastAsia"/>
                <w:b/>
                <w:color w:val="auto"/>
                <w:sz w:val="24"/>
              </w:rPr>
              <w:t>4、生态环境保护目标</w:t>
            </w:r>
          </w:p>
          <w:p w14:paraId="401D690E">
            <w:pPr>
              <w:spacing w:line="360" w:lineRule="auto"/>
              <w:ind w:firstLine="480" w:firstLineChars="200"/>
              <w:rPr>
                <w:color w:val="auto"/>
                <w:sz w:val="24"/>
                <w:szCs w:val="24"/>
              </w:rPr>
            </w:pPr>
            <w:r>
              <w:rPr>
                <w:rFonts w:hint="eastAsia"/>
                <w:color w:val="auto"/>
                <w:sz w:val="24"/>
                <w:szCs w:val="24"/>
              </w:rPr>
              <w:t>本</w:t>
            </w:r>
            <w:r>
              <w:rPr>
                <w:color w:val="auto"/>
                <w:sz w:val="24"/>
                <w:szCs w:val="24"/>
              </w:rPr>
              <w:t>项目位于</w:t>
            </w:r>
            <w:r>
              <w:rPr>
                <w:rFonts w:hint="eastAsia"/>
                <w:color w:val="auto"/>
                <w:sz w:val="24"/>
                <w:szCs w:val="24"/>
                <w:lang w:eastAsia="zh-CN"/>
              </w:rPr>
              <w:t>淮南市潘集区平圩镇邵圩村</w:t>
            </w:r>
            <w:r>
              <w:rPr>
                <w:color w:val="auto"/>
                <w:sz w:val="24"/>
                <w:szCs w:val="24"/>
              </w:rPr>
              <w:t>，建设项目</w:t>
            </w:r>
            <w:r>
              <w:rPr>
                <w:rFonts w:hint="eastAsia"/>
                <w:color w:val="auto"/>
                <w:sz w:val="24"/>
                <w:szCs w:val="24"/>
              </w:rPr>
              <w:t>用地</w:t>
            </w:r>
            <w:r>
              <w:rPr>
                <w:color w:val="auto"/>
                <w:sz w:val="24"/>
                <w:szCs w:val="24"/>
              </w:rPr>
              <w:t>范围内不</w:t>
            </w:r>
            <w:r>
              <w:rPr>
                <w:rFonts w:hint="eastAsia"/>
                <w:color w:val="auto"/>
                <w:sz w:val="24"/>
                <w:szCs w:val="24"/>
              </w:rPr>
              <w:t>涉及</w:t>
            </w:r>
            <w:r>
              <w:rPr>
                <w:color w:val="auto"/>
                <w:sz w:val="24"/>
                <w:szCs w:val="24"/>
              </w:rPr>
              <w:t>生态环境保护目标。</w:t>
            </w:r>
          </w:p>
        </w:tc>
      </w:tr>
      <w:tr w14:paraId="368A2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642126D8">
            <w:pPr>
              <w:autoSpaceDE w:val="0"/>
              <w:autoSpaceDN w:val="0"/>
              <w:jc w:val="center"/>
              <w:rPr>
                <w:rFonts w:hAnsi="宋体"/>
                <w:color w:val="auto"/>
                <w:szCs w:val="21"/>
              </w:rPr>
            </w:pPr>
            <w:r>
              <w:rPr>
                <w:rFonts w:hint="eastAsia"/>
                <w:color w:val="auto"/>
                <w:szCs w:val="21"/>
              </w:rPr>
              <w:t>污染物排放控制标准</w:t>
            </w:r>
          </w:p>
        </w:tc>
        <w:tc>
          <w:tcPr>
            <w:tcW w:w="8611" w:type="dxa"/>
            <w:vAlign w:val="center"/>
          </w:tcPr>
          <w:p w14:paraId="405D167A">
            <w:pPr>
              <w:spacing w:line="360" w:lineRule="auto"/>
              <w:rPr>
                <w:b/>
                <w:bCs/>
                <w:color w:val="auto"/>
                <w:sz w:val="24"/>
                <w:szCs w:val="24"/>
              </w:rPr>
            </w:pPr>
            <w:r>
              <w:rPr>
                <w:rFonts w:hint="eastAsia"/>
                <w:b/>
                <w:bCs/>
                <w:color w:val="auto"/>
                <w:sz w:val="24"/>
                <w:szCs w:val="24"/>
              </w:rPr>
              <w:t>1、</w:t>
            </w:r>
            <w:r>
              <w:rPr>
                <w:b/>
                <w:bCs/>
                <w:color w:val="auto"/>
                <w:sz w:val="24"/>
                <w:szCs w:val="24"/>
              </w:rPr>
              <w:t>水污染物排放</w:t>
            </w:r>
            <w:r>
              <w:rPr>
                <w:rFonts w:hint="eastAsia"/>
                <w:b/>
                <w:bCs/>
                <w:color w:val="auto"/>
                <w:sz w:val="24"/>
                <w:szCs w:val="24"/>
              </w:rPr>
              <w:t>控制</w:t>
            </w:r>
            <w:r>
              <w:rPr>
                <w:b/>
                <w:bCs/>
                <w:color w:val="auto"/>
                <w:sz w:val="24"/>
                <w:szCs w:val="24"/>
              </w:rPr>
              <w:t>标准</w:t>
            </w:r>
          </w:p>
          <w:p w14:paraId="66C11AA5">
            <w:pPr>
              <w:spacing w:line="360" w:lineRule="auto"/>
              <w:ind w:firstLine="480" w:firstLineChars="200"/>
              <w:rPr>
                <w:color w:val="auto"/>
                <w:sz w:val="24"/>
                <w:szCs w:val="24"/>
              </w:rPr>
            </w:pPr>
            <w:r>
              <w:rPr>
                <w:color w:val="auto"/>
                <w:sz w:val="24"/>
                <w:szCs w:val="24"/>
              </w:rPr>
              <w:t>本项目废水主要为</w:t>
            </w:r>
            <w:r>
              <w:rPr>
                <w:rFonts w:hint="eastAsia"/>
                <w:color w:val="auto"/>
                <w:sz w:val="24"/>
                <w:szCs w:val="24"/>
              </w:rPr>
              <w:t>职工</w:t>
            </w:r>
            <w:r>
              <w:rPr>
                <w:color w:val="auto"/>
                <w:sz w:val="24"/>
                <w:szCs w:val="24"/>
              </w:rPr>
              <w:t>生活污水</w:t>
            </w:r>
            <w:r>
              <w:rPr>
                <w:rFonts w:hint="eastAsia"/>
                <w:color w:val="auto"/>
                <w:sz w:val="24"/>
                <w:szCs w:val="24"/>
                <w:lang w:eastAsia="zh-CN"/>
              </w:rPr>
              <w:t>，无生产废水产生</w:t>
            </w:r>
            <w:r>
              <w:rPr>
                <w:rFonts w:hint="eastAsia"/>
                <w:color w:val="auto"/>
                <w:sz w:val="24"/>
                <w:szCs w:val="24"/>
              </w:rPr>
              <w:t>。</w:t>
            </w:r>
          </w:p>
          <w:p w14:paraId="6509D5D1">
            <w:pPr>
              <w:spacing w:line="360" w:lineRule="auto"/>
              <w:ind w:firstLine="480" w:firstLineChars="200"/>
              <w:rPr>
                <w:rFonts w:hint="eastAsia"/>
                <w:bCs/>
                <w:color w:val="auto"/>
                <w:sz w:val="24"/>
                <w:szCs w:val="24"/>
                <w:lang w:eastAsia="zh-CN"/>
              </w:rPr>
            </w:pPr>
            <w:r>
              <w:rPr>
                <w:rFonts w:hint="eastAsia"/>
                <w:bCs/>
                <w:color w:val="auto"/>
                <w:sz w:val="24"/>
                <w:szCs w:val="24"/>
                <w:lang w:eastAsia="zh-CN"/>
              </w:rPr>
              <w:t>生活污水经化粪池处理后用于周边农田施肥，不外排。</w:t>
            </w:r>
          </w:p>
          <w:p w14:paraId="085084A1">
            <w:pPr>
              <w:spacing w:line="360" w:lineRule="auto"/>
              <w:rPr>
                <w:b/>
                <w:bCs/>
                <w:color w:val="auto"/>
                <w:sz w:val="24"/>
                <w:szCs w:val="24"/>
              </w:rPr>
            </w:pPr>
            <w:r>
              <w:rPr>
                <w:rFonts w:hint="eastAsia"/>
                <w:b/>
                <w:bCs/>
                <w:color w:val="auto"/>
                <w:sz w:val="24"/>
                <w:szCs w:val="24"/>
              </w:rPr>
              <w:t>2、</w:t>
            </w:r>
            <w:r>
              <w:rPr>
                <w:b/>
                <w:bCs/>
                <w:color w:val="auto"/>
                <w:sz w:val="24"/>
                <w:szCs w:val="24"/>
              </w:rPr>
              <w:t>废气污染物排放</w:t>
            </w:r>
            <w:r>
              <w:rPr>
                <w:rFonts w:hint="eastAsia"/>
                <w:b/>
                <w:bCs/>
                <w:color w:val="auto"/>
                <w:sz w:val="24"/>
                <w:szCs w:val="24"/>
              </w:rPr>
              <w:t>控制</w:t>
            </w:r>
            <w:r>
              <w:rPr>
                <w:b/>
                <w:bCs/>
                <w:color w:val="auto"/>
                <w:sz w:val="24"/>
                <w:szCs w:val="24"/>
              </w:rPr>
              <w:t>标准</w:t>
            </w:r>
          </w:p>
          <w:p w14:paraId="4176F3AD">
            <w:pPr>
              <w:keepNext w:val="0"/>
              <w:keepLines w:val="0"/>
              <w:pageBreakBefore w:val="0"/>
              <w:widowControl w:val="0"/>
              <w:kinsoku/>
              <w:wordWrap/>
              <w:overflowPunct/>
              <w:topLinePunct w:val="0"/>
              <w:autoSpaceDE/>
              <w:autoSpaceDN/>
              <w:bidi w:val="0"/>
              <w:snapToGrid w:val="0"/>
              <w:spacing w:line="360" w:lineRule="auto"/>
              <w:ind w:firstLine="480" w:firstLineChars="200"/>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施工期扬尘执行《</w:t>
            </w:r>
            <w:r>
              <w:rPr>
                <w:rFonts w:hint="eastAsia" w:cs="Times New Roman"/>
                <w:color w:val="auto"/>
                <w:sz w:val="24"/>
                <w:highlight w:val="none"/>
                <w:lang w:val="en-US" w:eastAsia="zh-CN"/>
              </w:rPr>
              <w:t>施工场地颗粒物</w:t>
            </w:r>
            <w:r>
              <w:rPr>
                <w:rFonts w:hint="default" w:ascii="Times New Roman" w:hAnsi="Times New Roman" w:cs="Times New Roman"/>
                <w:color w:val="auto"/>
                <w:sz w:val="24"/>
                <w:highlight w:val="none"/>
              </w:rPr>
              <w:t>排放标准》（</w:t>
            </w:r>
            <w:r>
              <w:rPr>
                <w:rFonts w:hint="eastAsia" w:cs="Times New Roman"/>
                <w:color w:val="auto"/>
                <w:sz w:val="24"/>
                <w:highlight w:val="none"/>
                <w:lang w:val="en-US" w:eastAsia="zh-CN"/>
              </w:rPr>
              <w:t>DB34/4811-2024</w:t>
            </w:r>
            <w:r>
              <w:rPr>
                <w:rFonts w:hint="default" w:ascii="Times New Roman" w:hAnsi="Times New Roman" w:cs="Times New Roman"/>
                <w:color w:val="auto"/>
                <w:sz w:val="24"/>
                <w:highlight w:val="none"/>
              </w:rPr>
              <w:t>）中</w:t>
            </w:r>
            <w:r>
              <w:rPr>
                <w:rFonts w:hint="eastAsia" w:cs="Times New Roman"/>
                <w:color w:val="auto"/>
                <w:sz w:val="24"/>
                <w:highlight w:val="none"/>
                <w:lang w:val="en-US" w:eastAsia="zh-CN"/>
              </w:rPr>
              <w:t>表1监测点颗粒物排放要求；</w:t>
            </w:r>
            <w:r>
              <w:rPr>
                <w:rFonts w:hint="default" w:ascii="Times New Roman" w:hAnsi="Times New Roman" w:cs="Times New Roman"/>
                <w:color w:val="auto"/>
                <w:sz w:val="24"/>
                <w:highlight w:val="none"/>
              </w:rPr>
              <w:t>详见</w:t>
            </w:r>
            <w:r>
              <w:rPr>
                <w:rFonts w:hint="default" w:ascii="Times New Roman" w:hAnsi="Times New Roman" w:cs="Times New Roman"/>
                <w:color w:val="auto"/>
                <w:sz w:val="24"/>
                <w:highlight w:val="none"/>
                <w:lang w:val="en-US" w:eastAsia="zh-CN"/>
              </w:rPr>
              <w:t>下表</w:t>
            </w:r>
            <w:r>
              <w:rPr>
                <w:rFonts w:hint="default" w:ascii="Times New Roman" w:hAnsi="Times New Roman" w:cs="Times New Roman"/>
                <w:color w:val="auto"/>
                <w:sz w:val="24"/>
                <w:highlight w:val="none"/>
              </w:rPr>
              <w:t>。</w:t>
            </w:r>
          </w:p>
          <w:p w14:paraId="55F31C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eastAsia" w:ascii="Times New Roman" w:hAnsi="Times New Roman" w:eastAsia="宋体" w:cs="Times New Roman"/>
                <w:b/>
                <w:color w:val="auto"/>
                <w:sz w:val="21"/>
                <w:szCs w:val="21"/>
                <w:highlight w:val="none"/>
                <w:lang w:val="en-US" w:eastAsia="zh-CN"/>
              </w:rPr>
              <w:t>3-</w:t>
            </w:r>
            <w:r>
              <w:rPr>
                <w:rFonts w:hint="eastAsia" w:cs="Times New Roman"/>
                <w:b/>
                <w:color w:val="auto"/>
                <w:sz w:val="21"/>
                <w:szCs w:val="21"/>
                <w:highlight w:val="none"/>
                <w:lang w:val="en-US" w:eastAsia="zh-CN"/>
              </w:rPr>
              <w:t>9</w:t>
            </w:r>
            <w:r>
              <w:rPr>
                <w:rFonts w:hint="default" w:ascii="Times New Roman" w:hAnsi="Times New Roman" w:eastAsia="宋体" w:cs="Times New Roman"/>
                <w:b/>
                <w:color w:val="auto"/>
                <w:sz w:val="21"/>
                <w:szCs w:val="21"/>
                <w:highlight w:val="none"/>
              </w:rPr>
              <w:t xml:space="preserve">  《</w:t>
            </w:r>
            <w:r>
              <w:rPr>
                <w:rFonts w:hint="default" w:ascii="Times New Roman" w:hAnsi="Times New Roman" w:eastAsia="宋体" w:cs="Times New Roman"/>
                <w:b/>
                <w:color w:val="auto"/>
                <w:sz w:val="21"/>
                <w:szCs w:val="21"/>
                <w:highlight w:val="none"/>
                <w:lang w:val="en-US" w:eastAsia="zh-CN"/>
              </w:rPr>
              <w:t>施工场地颗粒物</w:t>
            </w:r>
            <w:r>
              <w:rPr>
                <w:rFonts w:hint="default" w:ascii="Times New Roman" w:hAnsi="Times New Roman" w:eastAsia="宋体" w:cs="Times New Roman"/>
                <w:b/>
                <w:color w:val="auto"/>
                <w:sz w:val="21"/>
                <w:szCs w:val="21"/>
                <w:highlight w:val="none"/>
              </w:rPr>
              <w:t>排放标准》（</w:t>
            </w:r>
            <w:r>
              <w:rPr>
                <w:rFonts w:hint="default" w:ascii="Times New Roman" w:hAnsi="Times New Roman" w:eastAsia="宋体" w:cs="Times New Roman"/>
                <w:b/>
                <w:color w:val="auto"/>
                <w:sz w:val="21"/>
                <w:szCs w:val="21"/>
                <w:highlight w:val="none"/>
                <w:lang w:val="en-US" w:eastAsia="zh-CN"/>
              </w:rPr>
              <w:t>DB34/4811-2024</w:t>
            </w:r>
            <w:r>
              <w:rPr>
                <w:rFonts w:hint="default" w:ascii="Times New Roman" w:hAnsi="Times New Roman" w:eastAsia="宋体" w:cs="Times New Roman"/>
                <w:b/>
                <w:color w:val="auto"/>
                <w:sz w:val="21"/>
                <w:szCs w:val="21"/>
                <w:highlight w:val="none"/>
              </w:rPr>
              <w:t>）</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5"/>
              <w:gridCol w:w="2535"/>
              <w:gridCol w:w="2287"/>
              <w:gridCol w:w="2408"/>
            </w:tblGrid>
            <w:tr w14:paraId="70506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top w:val="single" w:color="auto" w:sz="4" w:space="0"/>
                    <w:left w:val="single" w:color="auto" w:sz="4" w:space="0"/>
                    <w:bottom w:val="single" w:color="auto" w:sz="4" w:space="0"/>
                    <w:right w:val="single" w:color="auto" w:sz="4" w:space="0"/>
                  </w:tcBorders>
                  <w:noWrap w:val="0"/>
                  <w:vAlign w:val="center"/>
                </w:tcPr>
                <w:p w14:paraId="2FF7A000">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污染物名称</w:t>
                  </w:r>
                </w:p>
              </w:tc>
              <w:tc>
                <w:tcPr>
                  <w:tcW w:w="4166" w:type="pct"/>
                  <w:gridSpan w:val="3"/>
                  <w:tcBorders>
                    <w:top w:val="single" w:color="auto" w:sz="4" w:space="0"/>
                    <w:left w:val="single" w:color="auto" w:sz="4" w:space="0"/>
                    <w:bottom w:val="single" w:color="auto" w:sz="4" w:space="0"/>
                    <w:right w:val="single" w:color="auto" w:sz="4" w:space="0"/>
                  </w:tcBorders>
                  <w:noWrap w:val="0"/>
                  <w:vAlign w:val="center"/>
                </w:tcPr>
                <w:p w14:paraId="0F4C7099">
                  <w:pPr>
                    <w:adjustRightInd w:val="0"/>
                    <w:snapToGrid w:val="0"/>
                    <w:jc w:val="center"/>
                    <w:rPr>
                      <w:rFonts w:hint="default" w:ascii="Times New Roman" w:hAnsi="Times New Roman" w:cs="Times New Roman"/>
                      <w:b/>
                      <w:color w:val="auto"/>
                      <w:sz w:val="21"/>
                      <w:szCs w:val="21"/>
                      <w:highlight w:val="none"/>
                    </w:rPr>
                  </w:pPr>
                  <w:r>
                    <w:rPr>
                      <w:rFonts w:hint="default" w:ascii="Times New Roman" w:hAnsi="Times New Roman" w:cs="Times New Roman"/>
                      <w:b/>
                      <w:color w:val="auto"/>
                      <w:sz w:val="21"/>
                      <w:szCs w:val="21"/>
                      <w:highlight w:val="none"/>
                    </w:rPr>
                    <w:t>无组织监控浓度值</w:t>
                  </w:r>
                </w:p>
              </w:tc>
            </w:tr>
            <w:tr w14:paraId="7BDA6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top w:val="single" w:color="auto" w:sz="4" w:space="0"/>
                    <w:left w:val="single" w:color="auto" w:sz="4" w:space="0"/>
                    <w:bottom w:val="single" w:color="auto" w:sz="4" w:space="0"/>
                    <w:right w:val="single" w:color="auto" w:sz="4" w:space="0"/>
                  </w:tcBorders>
                  <w:noWrap w:val="0"/>
                  <w:vAlign w:val="center"/>
                </w:tcPr>
                <w:p w14:paraId="057995AA">
                  <w:pPr>
                    <w:widowControl/>
                    <w:jc w:val="left"/>
                    <w:rPr>
                      <w:rFonts w:hint="default" w:ascii="Times New Roman" w:hAnsi="Times New Roman" w:cs="Times New Roman"/>
                      <w:b/>
                      <w:color w:val="auto"/>
                      <w:sz w:val="21"/>
                      <w:szCs w:val="21"/>
                      <w:highlight w:val="none"/>
                    </w:rPr>
                  </w:pPr>
                </w:p>
              </w:tc>
              <w:tc>
                <w:tcPr>
                  <w:tcW w:w="1461" w:type="pct"/>
                  <w:tcBorders>
                    <w:top w:val="single" w:color="auto" w:sz="4" w:space="0"/>
                    <w:left w:val="single" w:color="auto" w:sz="4" w:space="0"/>
                    <w:bottom w:val="single" w:color="auto" w:sz="4" w:space="0"/>
                    <w:right w:val="single" w:color="auto" w:sz="4" w:space="0"/>
                  </w:tcBorders>
                  <w:noWrap w:val="0"/>
                  <w:vAlign w:val="center"/>
                </w:tcPr>
                <w:p w14:paraId="5C7D1A7E">
                  <w:pPr>
                    <w:adjustRightInd w:val="0"/>
                    <w:snapToGrid w:val="0"/>
                    <w:jc w:val="center"/>
                    <w:rPr>
                      <w:rFonts w:hint="eastAsia" w:ascii="Times New Roman" w:hAnsi="Times New Roman" w:eastAsia="宋体" w:cs="Times New Roman"/>
                      <w:b/>
                      <w:color w:val="auto"/>
                      <w:sz w:val="21"/>
                      <w:szCs w:val="21"/>
                      <w:highlight w:val="none"/>
                      <w:lang w:eastAsia="zh-CN"/>
                    </w:rPr>
                  </w:pPr>
                  <w:r>
                    <w:rPr>
                      <w:rFonts w:hint="eastAsia" w:cs="Times New Roman"/>
                      <w:b/>
                      <w:color w:val="auto"/>
                      <w:sz w:val="21"/>
                      <w:szCs w:val="21"/>
                      <w:highlight w:val="none"/>
                      <w:lang w:val="en-US" w:eastAsia="zh-CN"/>
                    </w:rPr>
                    <w:t>监测点浓度限值</w:t>
                  </w:r>
                </w:p>
              </w:tc>
              <w:tc>
                <w:tcPr>
                  <w:tcW w:w="1318" w:type="pct"/>
                  <w:tcBorders>
                    <w:top w:val="single" w:color="auto" w:sz="4" w:space="0"/>
                    <w:left w:val="single" w:color="auto" w:sz="4" w:space="0"/>
                    <w:bottom w:val="single" w:color="auto" w:sz="4" w:space="0"/>
                    <w:right w:val="single" w:color="auto" w:sz="4" w:space="0"/>
                  </w:tcBorders>
                  <w:noWrap w:val="0"/>
                  <w:vAlign w:val="center"/>
                </w:tcPr>
                <w:p w14:paraId="24D3746A">
                  <w:pPr>
                    <w:adjustRightInd w:val="0"/>
                    <w:snapToGrid w:val="0"/>
                    <w:jc w:val="center"/>
                    <w:rPr>
                      <w:rFonts w:hint="default" w:cs="Times New Roman"/>
                      <w:b/>
                      <w:color w:val="auto"/>
                      <w:sz w:val="21"/>
                      <w:szCs w:val="21"/>
                      <w:highlight w:val="none"/>
                      <w:lang w:val="en-US" w:eastAsia="zh-CN"/>
                    </w:rPr>
                  </w:pPr>
                  <w:r>
                    <w:rPr>
                      <w:rFonts w:hint="eastAsia" w:cs="Times New Roman"/>
                      <w:b/>
                      <w:color w:val="auto"/>
                      <w:sz w:val="21"/>
                      <w:szCs w:val="21"/>
                      <w:highlight w:val="none"/>
                      <w:lang w:val="en-US" w:eastAsia="zh-CN"/>
                    </w:rPr>
                    <w:t>达标判定依据</w:t>
                  </w:r>
                </w:p>
              </w:tc>
              <w:tc>
                <w:tcPr>
                  <w:tcW w:w="1387" w:type="pct"/>
                  <w:tcBorders>
                    <w:top w:val="single" w:color="auto" w:sz="4" w:space="0"/>
                    <w:left w:val="single" w:color="auto" w:sz="4" w:space="0"/>
                    <w:bottom w:val="single" w:color="auto" w:sz="4" w:space="0"/>
                    <w:right w:val="single" w:color="auto" w:sz="4" w:space="0"/>
                  </w:tcBorders>
                  <w:noWrap w:val="0"/>
                  <w:vAlign w:val="center"/>
                </w:tcPr>
                <w:p w14:paraId="2CACFADC">
                  <w:pPr>
                    <w:adjustRightInd w:val="0"/>
                    <w:snapToGrid w:val="0"/>
                    <w:jc w:val="center"/>
                    <w:rPr>
                      <w:rFonts w:hint="eastAsia" w:ascii="Times New Roman" w:hAnsi="Times New Roman" w:eastAsia="宋体" w:cs="Times New Roman"/>
                      <w:b/>
                      <w:color w:val="auto"/>
                      <w:sz w:val="21"/>
                      <w:szCs w:val="21"/>
                      <w:highlight w:val="none"/>
                      <w:lang w:val="en-US" w:eastAsia="zh-CN"/>
                    </w:rPr>
                  </w:pPr>
                  <w:r>
                    <w:rPr>
                      <w:rFonts w:hint="eastAsia" w:cs="Times New Roman"/>
                      <w:b/>
                      <w:color w:val="auto"/>
                      <w:sz w:val="21"/>
                      <w:szCs w:val="21"/>
                      <w:highlight w:val="none"/>
                      <w:lang w:val="en-US" w:eastAsia="zh-CN"/>
                    </w:rPr>
                    <w:t>单位</w:t>
                  </w:r>
                </w:p>
              </w:tc>
            </w:tr>
            <w:tr w14:paraId="1E6D9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restart"/>
                  <w:tcBorders>
                    <w:top w:val="single" w:color="auto" w:sz="4" w:space="0"/>
                    <w:left w:val="single" w:color="auto" w:sz="4" w:space="0"/>
                    <w:right w:val="single" w:color="auto" w:sz="4" w:space="0"/>
                  </w:tcBorders>
                  <w:noWrap w:val="0"/>
                  <w:vAlign w:val="center"/>
                </w:tcPr>
                <w:p w14:paraId="426EE6CA">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TSP</w:t>
                  </w:r>
                </w:p>
              </w:tc>
              <w:tc>
                <w:tcPr>
                  <w:tcW w:w="1461" w:type="pct"/>
                  <w:tcBorders>
                    <w:top w:val="single" w:color="auto" w:sz="4" w:space="0"/>
                    <w:left w:val="single" w:color="auto" w:sz="4" w:space="0"/>
                    <w:bottom w:val="single" w:color="auto" w:sz="4" w:space="0"/>
                    <w:right w:val="single" w:color="auto" w:sz="4" w:space="0"/>
                  </w:tcBorders>
                  <w:noWrap w:val="0"/>
                  <w:vAlign w:val="center"/>
                </w:tcPr>
                <w:p w14:paraId="58AA9166">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1000</w:t>
                  </w:r>
                </w:p>
              </w:tc>
              <w:tc>
                <w:tcPr>
                  <w:tcW w:w="1318" w:type="pct"/>
                  <w:tcBorders>
                    <w:top w:val="single" w:color="auto" w:sz="4" w:space="0"/>
                    <w:left w:val="single" w:color="auto" w:sz="4" w:space="0"/>
                    <w:right w:val="single" w:color="auto" w:sz="4" w:space="0"/>
                  </w:tcBorders>
                  <w:noWrap w:val="0"/>
                  <w:vAlign w:val="center"/>
                </w:tcPr>
                <w:p w14:paraId="23A5F0EE">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超标次数≤1次/日</w:t>
                  </w:r>
                </w:p>
              </w:tc>
              <w:tc>
                <w:tcPr>
                  <w:tcW w:w="1387" w:type="pct"/>
                  <w:vMerge w:val="restart"/>
                  <w:tcBorders>
                    <w:top w:val="single" w:color="auto" w:sz="4" w:space="0"/>
                    <w:left w:val="single" w:color="auto" w:sz="4" w:space="0"/>
                    <w:right w:val="single" w:color="auto" w:sz="4" w:space="0"/>
                  </w:tcBorders>
                  <w:noWrap w:val="0"/>
                  <w:vAlign w:val="center"/>
                </w:tcPr>
                <w:p w14:paraId="1DDC25E1">
                  <w:pPr>
                    <w:adjustRightInd w:val="0"/>
                    <w:snapToGrid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ug/m³</w:t>
                  </w:r>
                </w:p>
              </w:tc>
            </w:tr>
            <w:tr w14:paraId="738FF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3" w:type="pct"/>
                  <w:vMerge w:val="continue"/>
                  <w:tcBorders>
                    <w:left w:val="single" w:color="auto" w:sz="4" w:space="0"/>
                    <w:right w:val="single" w:color="auto" w:sz="4" w:space="0"/>
                  </w:tcBorders>
                  <w:noWrap w:val="0"/>
                  <w:vAlign w:val="center"/>
                </w:tcPr>
                <w:p w14:paraId="5E2F5AEB">
                  <w:pPr>
                    <w:adjustRightInd w:val="0"/>
                    <w:snapToGrid w:val="0"/>
                    <w:jc w:val="center"/>
                    <w:rPr>
                      <w:rFonts w:hint="eastAsia" w:cs="Times New Roman"/>
                      <w:color w:val="auto"/>
                      <w:sz w:val="21"/>
                      <w:szCs w:val="21"/>
                      <w:highlight w:val="none"/>
                      <w:lang w:val="en-US" w:eastAsia="zh-CN"/>
                    </w:rPr>
                  </w:pPr>
                </w:p>
              </w:tc>
              <w:tc>
                <w:tcPr>
                  <w:tcW w:w="1461" w:type="pct"/>
                  <w:tcBorders>
                    <w:top w:val="single" w:color="auto" w:sz="4" w:space="0"/>
                    <w:left w:val="single" w:color="auto" w:sz="4" w:space="0"/>
                    <w:bottom w:val="single" w:color="auto" w:sz="4" w:space="0"/>
                    <w:right w:val="single" w:color="auto" w:sz="4" w:space="0"/>
                  </w:tcBorders>
                  <w:noWrap w:val="0"/>
                  <w:vAlign w:val="center"/>
                </w:tcPr>
                <w:p w14:paraId="58EB65FD">
                  <w:pPr>
                    <w:adjustRightInd w:val="0"/>
                    <w:snapToGrid w:val="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1318" w:type="pct"/>
                  <w:tcBorders>
                    <w:left w:val="single" w:color="auto" w:sz="4" w:space="0"/>
                    <w:right w:val="single" w:color="auto" w:sz="4" w:space="0"/>
                  </w:tcBorders>
                  <w:noWrap w:val="0"/>
                  <w:vAlign w:val="center"/>
                </w:tcPr>
                <w:p w14:paraId="19B54D62">
                  <w:pPr>
                    <w:adjustRightInd w:val="0"/>
                    <w:snapToGrid w:val="0"/>
                    <w:jc w:val="center"/>
                    <w:rPr>
                      <w:rFonts w:hint="default" w:ascii="Times New Roman" w:hAnsi="Times New Roman" w:cs="Times New Roman"/>
                      <w:color w:val="auto"/>
                      <w:sz w:val="21"/>
                      <w:szCs w:val="21"/>
                      <w:highlight w:val="none"/>
                    </w:rPr>
                  </w:pPr>
                  <w:r>
                    <w:rPr>
                      <w:rFonts w:hint="eastAsia" w:cs="Times New Roman"/>
                      <w:color w:val="auto"/>
                      <w:sz w:val="21"/>
                      <w:szCs w:val="21"/>
                      <w:highlight w:val="none"/>
                      <w:lang w:val="en-US" w:eastAsia="zh-CN"/>
                    </w:rPr>
                    <w:t>超标次数≤6次/日</w:t>
                  </w:r>
                </w:p>
              </w:tc>
              <w:tc>
                <w:tcPr>
                  <w:tcW w:w="1387" w:type="pct"/>
                  <w:vMerge w:val="continue"/>
                  <w:tcBorders>
                    <w:left w:val="single" w:color="auto" w:sz="4" w:space="0"/>
                    <w:right w:val="single" w:color="auto" w:sz="4" w:space="0"/>
                  </w:tcBorders>
                  <w:noWrap w:val="0"/>
                  <w:vAlign w:val="center"/>
                </w:tcPr>
                <w:p w14:paraId="57E21CB7">
                  <w:pPr>
                    <w:adjustRightInd w:val="0"/>
                    <w:snapToGrid w:val="0"/>
                    <w:jc w:val="center"/>
                    <w:rPr>
                      <w:rFonts w:hint="default" w:ascii="Times New Roman" w:hAnsi="Times New Roman" w:cs="Times New Roman"/>
                      <w:color w:val="auto"/>
                      <w:sz w:val="21"/>
                      <w:szCs w:val="21"/>
                      <w:highlight w:val="none"/>
                    </w:rPr>
                  </w:pPr>
                </w:p>
              </w:tc>
            </w:tr>
            <w:tr w14:paraId="63A8C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tcBorders>
                    <w:left w:val="single" w:color="auto" w:sz="4" w:space="0"/>
                    <w:bottom w:val="single" w:color="auto" w:sz="4" w:space="0"/>
                    <w:right w:val="single" w:color="auto" w:sz="4" w:space="0"/>
                  </w:tcBorders>
                  <w:noWrap w:val="0"/>
                  <w:vAlign w:val="center"/>
                </w:tcPr>
                <w:p w14:paraId="5E9A27C2">
                  <w:pPr>
                    <w:keepNext w:val="0"/>
                    <w:keepLines w:val="0"/>
                    <w:pageBreakBefore w:val="0"/>
                    <w:widowControl w:val="0"/>
                    <w:kinsoku/>
                    <w:wordWrap/>
                    <w:overflowPunct/>
                    <w:topLinePunct w:val="0"/>
                    <w:autoSpaceDE/>
                    <w:autoSpaceDN/>
                    <w:bidi w:val="0"/>
                    <w:adjustRightInd w:val="0"/>
                    <w:snapToGrid w:val="0"/>
                    <w:jc w:val="left"/>
                    <w:textAlignment w:val="auto"/>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任一监测点自整时起依次顺延15分钟的TSP浓度平均值不得超过的限值。超标次数指一个日历日96个TSP15分钟浓度平均值超过监测点浓度限值的次数。</w:t>
                  </w:r>
                </w:p>
              </w:tc>
            </w:tr>
          </w:tbl>
          <w:p w14:paraId="3E63E5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s="Times New Roman"/>
                <w:color w:val="auto"/>
                <w:sz w:val="24"/>
                <w:lang w:val="en-US" w:eastAsia="zh-CN"/>
              </w:rPr>
              <w:t>项目运营期大米加工工序废气执行</w:t>
            </w:r>
            <w:r>
              <w:rPr>
                <w:rFonts w:hint="eastAsia"/>
                <w:color w:val="auto"/>
                <w:sz w:val="24"/>
              </w:rPr>
              <w:t>《大气污染物综合排放标准》（G</w:t>
            </w:r>
            <w:r>
              <w:rPr>
                <w:color w:val="auto"/>
                <w:sz w:val="24"/>
              </w:rPr>
              <w:t>B</w:t>
            </w:r>
            <w:r>
              <w:rPr>
                <w:rFonts w:hint="eastAsia"/>
                <w:color w:val="auto"/>
                <w:sz w:val="24"/>
              </w:rPr>
              <w:t>12697</w:t>
            </w:r>
            <w:r>
              <w:rPr>
                <w:color w:val="auto"/>
                <w:sz w:val="24"/>
              </w:rPr>
              <w:t>-</w:t>
            </w:r>
            <w:r>
              <w:rPr>
                <w:rFonts w:hint="eastAsia"/>
                <w:color w:val="auto"/>
                <w:sz w:val="24"/>
              </w:rPr>
              <w:t>1996）“新污染源”中排放二级排放标准，具体见下表。</w:t>
            </w:r>
          </w:p>
          <w:p w14:paraId="1AC566DC">
            <w:pPr>
              <w:ind w:firstLine="211" w:firstLineChars="100"/>
              <w:jc w:val="center"/>
              <w:rPr>
                <w:b/>
                <w:bCs/>
                <w:color w:val="auto"/>
                <w:szCs w:val="21"/>
              </w:rPr>
            </w:pPr>
            <w:r>
              <w:rPr>
                <w:rFonts w:hint="eastAsia"/>
                <w:b/>
                <w:bCs/>
                <w:color w:val="auto"/>
                <w:szCs w:val="21"/>
              </w:rPr>
              <w:t>表3-</w:t>
            </w:r>
            <w:r>
              <w:rPr>
                <w:rFonts w:hint="eastAsia"/>
                <w:b/>
                <w:bCs/>
                <w:color w:val="auto"/>
                <w:szCs w:val="21"/>
                <w:lang w:val="en-US" w:eastAsia="zh-CN"/>
              </w:rPr>
              <w:t xml:space="preserve">10 </w:t>
            </w:r>
            <w:r>
              <w:rPr>
                <w:rFonts w:hint="eastAsia"/>
                <w:b/>
                <w:bCs/>
                <w:color w:val="auto"/>
                <w:szCs w:val="21"/>
              </w:rPr>
              <w:t xml:space="preserve"> 大气污染物排放标准</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2482"/>
              <w:gridCol w:w="2445"/>
              <w:gridCol w:w="2222"/>
            </w:tblGrid>
            <w:tr w14:paraId="604C4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79" w:type="pct"/>
                  <w:noWrap w:val="0"/>
                  <w:vAlign w:val="center"/>
                </w:tcPr>
                <w:p w14:paraId="5227FF5E">
                  <w:pPr>
                    <w:jc w:val="center"/>
                    <w:rPr>
                      <w:b/>
                      <w:bCs/>
                      <w:color w:val="auto"/>
                      <w:szCs w:val="21"/>
                    </w:rPr>
                  </w:pPr>
                  <w:r>
                    <w:rPr>
                      <w:rFonts w:hint="eastAsia"/>
                      <w:b/>
                      <w:bCs/>
                      <w:color w:val="auto"/>
                      <w:szCs w:val="21"/>
                    </w:rPr>
                    <w:t>污染物</w:t>
                  </w:r>
                </w:p>
              </w:tc>
              <w:tc>
                <w:tcPr>
                  <w:tcW w:w="1430" w:type="pct"/>
                  <w:noWrap w:val="0"/>
                  <w:vAlign w:val="top"/>
                </w:tcPr>
                <w:p w14:paraId="41B385C1">
                  <w:pPr>
                    <w:jc w:val="center"/>
                    <w:rPr>
                      <w:b/>
                      <w:bCs/>
                      <w:color w:val="auto"/>
                      <w:szCs w:val="21"/>
                    </w:rPr>
                  </w:pPr>
                  <w:r>
                    <w:rPr>
                      <w:rFonts w:hint="eastAsia"/>
                      <w:b/>
                      <w:bCs/>
                      <w:color w:val="auto"/>
                      <w:szCs w:val="21"/>
                    </w:rPr>
                    <w:t>最高允许排放浓度</w:t>
                  </w:r>
                </w:p>
                <w:p w14:paraId="022CC78D">
                  <w:pPr>
                    <w:jc w:val="center"/>
                    <w:rPr>
                      <w:b/>
                      <w:bCs/>
                      <w:color w:val="auto"/>
                      <w:szCs w:val="21"/>
                    </w:rPr>
                  </w:pPr>
                  <w:r>
                    <w:rPr>
                      <w:rFonts w:hint="eastAsia"/>
                      <w:b/>
                      <w:bCs/>
                      <w:color w:val="auto"/>
                      <w:szCs w:val="21"/>
                    </w:rPr>
                    <w:t>（mg/m</w:t>
                  </w:r>
                  <w:r>
                    <w:rPr>
                      <w:rFonts w:hint="eastAsia"/>
                      <w:b/>
                      <w:bCs/>
                      <w:color w:val="auto"/>
                      <w:szCs w:val="21"/>
                      <w:vertAlign w:val="superscript"/>
                    </w:rPr>
                    <w:t>3</w:t>
                  </w:r>
                  <w:r>
                    <w:rPr>
                      <w:rFonts w:hint="eastAsia"/>
                      <w:b/>
                      <w:bCs/>
                      <w:color w:val="auto"/>
                      <w:szCs w:val="21"/>
                    </w:rPr>
                    <w:t>）</w:t>
                  </w:r>
                </w:p>
              </w:tc>
              <w:tc>
                <w:tcPr>
                  <w:tcW w:w="1409" w:type="pct"/>
                  <w:noWrap w:val="0"/>
                  <w:vAlign w:val="center"/>
                </w:tcPr>
                <w:p w14:paraId="33CE6AE4">
                  <w:pPr>
                    <w:jc w:val="center"/>
                    <w:rPr>
                      <w:b/>
                      <w:bCs/>
                      <w:color w:val="auto"/>
                      <w:szCs w:val="21"/>
                    </w:rPr>
                  </w:pPr>
                  <w:r>
                    <w:rPr>
                      <w:rFonts w:hint="eastAsia"/>
                      <w:b/>
                      <w:bCs/>
                      <w:color w:val="auto"/>
                      <w:szCs w:val="21"/>
                    </w:rPr>
                    <w:t>最高允许排放速率（kg/h）</w:t>
                  </w:r>
                </w:p>
              </w:tc>
              <w:tc>
                <w:tcPr>
                  <w:tcW w:w="1280" w:type="pct"/>
                  <w:noWrap w:val="0"/>
                  <w:vAlign w:val="top"/>
                </w:tcPr>
                <w:p w14:paraId="18F8EF68">
                  <w:pPr>
                    <w:jc w:val="center"/>
                    <w:rPr>
                      <w:b/>
                      <w:bCs/>
                      <w:color w:val="auto"/>
                      <w:szCs w:val="21"/>
                    </w:rPr>
                  </w:pPr>
                  <w:r>
                    <w:rPr>
                      <w:rFonts w:hint="eastAsia"/>
                      <w:b/>
                      <w:bCs/>
                      <w:color w:val="auto"/>
                      <w:szCs w:val="21"/>
                      <w:lang w:val="en-US" w:eastAsia="zh-CN"/>
                    </w:rPr>
                    <w:t>厂</w:t>
                  </w:r>
                  <w:r>
                    <w:rPr>
                      <w:rFonts w:hint="eastAsia"/>
                      <w:b/>
                      <w:bCs/>
                      <w:color w:val="auto"/>
                      <w:szCs w:val="21"/>
                    </w:rPr>
                    <w:t>界外浓度限值（mg/m</w:t>
                  </w:r>
                  <w:r>
                    <w:rPr>
                      <w:rFonts w:hint="eastAsia"/>
                      <w:b/>
                      <w:bCs/>
                      <w:color w:val="auto"/>
                      <w:szCs w:val="21"/>
                      <w:vertAlign w:val="superscript"/>
                    </w:rPr>
                    <w:t>3</w:t>
                  </w:r>
                  <w:r>
                    <w:rPr>
                      <w:rFonts w:hint="eastAsia"/>
                      <w:b/>
                      <w:bCs/>
                      <w:color w:val="auto"/>
                      <w:szCs w:val="21"/>
                    </w:rPr>
                    <w:t>）</w:t>
                  </w:r>
                </w:p>
              </w:tc>
            </w:tr>
            <w:tr w14:paraId="17AA5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9" w:type="pct"/>
                  <w:noWrap w:val="0"/>
                  <w:vAlign w:val="top"/>
                </w:tcPr>
                <w:p w14:paraId="7F67F587">
                  <w:pPr>
                    <w:jc w:val="center"/>
                    <w:rPr>
                      <w:color w:val="auto"/>
                      <w:szCs w:val="21"/>
                    </w:rPr>
                  </w:pPr>
                  <w:r>
                    <w:rPr>
                      <w:rFonts w:hint="eastAsia"/>
                      <w:color w:val="auto"/>
                      <w:szCs w:val="21"/>
                    </w:rPr>
                    <w:t>颗粒物</w:t>
                  </w:r>
                </w:p>
              </w:tc>
              <w:tc>
                <w:tcPr>
                  <w:tcW w:w="1430" w:type="pct"/>
                  <w:noWrap w:val="0"/>
                  <w:vAlign w:val="center"/>
                </w:tcPr>
                <w:p w14:paraId="060E5DE1">
                  <w:pPr>
                    <w:jc w:val="center"/>
                    <w:rPr>
                      <w:color w:val="auto"/>
                      <w:szCs w:val="21"/>
                    </w:rPr>
                  </w:pPr>
                  <w:r>
                    <w:rPr>
                      <w:rFonts w:hint="eastAsia"/>
                      <w:color w:val="auto"/>
                      <w:szCs w:val="21"/>
                    </w:rPr>
                    <w:t>120</w:t>
                  </w:r>
                </w:p>
              </w:tc>
              <w:tc>
                <w:tcPr>
                  <w:tcW w:w="1409" w:type="pct"/>
                  <w:noWrap w:val="0"/>
                  <w:vAlign w:val="center"/>
                </w:tcPr>
                <w:p w14:paraId="7C4B742A">
                  <w:pPr>
                    <w:jc w:val="center"/>
                    <w:rPr>
                      <w:color w:val="auto"/>
                      <w:szCs w:val="21"/>
                    </w:rPr>
                  </w:pPr>
                  <w:r>
                    <w:rPr>
                      <w:rFonts w:hint="eastAsia"/>
                      <w:color w:val="auto"/>
                      <w:szCs w:val="21"/>
                    </w:rPr>
                    <w:t>3.5</w:t>
                  </w:r>
                </w:p>
              </w:tc>
              <w:tc>
                <w:tcPr>
                  <w:tcW w:w="1280" w:type="pct"/>
                  <w:noWrap w:val="0"/>
                  <w:vAlign w:val="center"/>
                </w:tcPr>
                <w:p w14:paraId="7BB2BD37">
                  <w:pPr>
                    <w:jc w:val="center"/>
                    <w:rPr>
                      <w:color w:val="auto"/>
                      <w:szCs w:val="21"/>
                    </w:rPr>
                  </w:pPr>
                  <w:r>
                    <w:rPr>
                      <w:rFonts w:hint="eastAsia"/>
                      <w:color w:val="auto"/>
                      <w:szCs w:val="21"/>
                    </w:rPr>
                    <w:t>1.0</w:t>
                  </w:r>
                </w:p>
              </w:tc>
            </w:tr>
          </w:tbl>
          <w:p w14:paraId="03E08D08">
            <w:pPr>
              <w:spacing w:line="360" w:lineRule="auto"/>
              <w:rPr>
                <w:b/>
                <w:bCs/>
                <w:color w:val="auto"/>
                <w:sz w:val="24"/>
                <w:szCs w:val="24"/>
              </w:rPr>
            </w:pPr>
            <w:r>
              <w:rPr>
                <w:rFonts w:hint="eastAsia"/>
                <w:b/>
                <w:bCs/>
                <w:color w:val="auto"/>
                <w:sz w:val="24"/>
                <w:szCs w:val="24"/>
              </w:rPr>
              <w:t>3、</w:t>
            </w:r>
            <w:r>
              <w:rPr>
                <w:b/>
                <w:bCs/>
                <w:color w:val="auto"/>
                <w:sz w:val="24"/>
                <w:szCs w:val="24"/>
              </w:rPr>
              <w:t>噪声排放</w:t>
            </w:r>
            <w:r>
              <w:rPr>
                <w:rFonts w:hint="eastAsia"/>
                <w:b/>
                <w:bCs/>
                <w:color w:val="auto"/>
                <w:sz w:val="24"/>
                <w:szCs w:val="24"/>
              </w:rPr>
              <w:t>控制</w:t>
            </w:r>
            <w:r>
              <w:rPr>
                <w:b/>
                <w:bCs/>
                <w:color w:val="auto"/>
                <w:sz w:val="24"/>
                <w:szCs w:val="24"/>
              </w:rPr>
              <w:t>标准</w:t>
            </w:r>
          </w:p>
          <w:p w14:paraId="3CB8EEA2">
            <w:pPr>
              <w:spacing w:line="360" w:lineRule="auto"/>
              <w:ind w:firstLine="480" w:firstLineChars="200"/>
              <w:rPr>
                <w:rFonts w:hAnsi="宋体"/>
                <w:b/>
                <w:color w:val="auto"/>
                <w:szCs w:val="21"/>
              </w:rPr>
            </w:pPr>
            <w:r>
              <w:rPr>
                <w:rFonts w:hint="eastAsia"/>
                <w:color w:val="auto"/>
                <w:sz w:val="24"/>
                <w:szCs w:val="24"/>
              </w:rPr>
              <w:t>建设</w:t>
            </w:r>
            <w:r>
              <w:rPr>
                <w:color w:val="auto"/>
                <w:sz w:val="24"/>
                <w:szCs w:val="24"/>
              </w:rPr>
              <w:t>项目施工期执行《建筑施工场界</w:t>
            </w:r>
            <w:r>
              <w:rPr>
                <w:rFonts w:hint="eastAsia"/>
                <w:color w:val="auto"/>
                <w:sz w:val="24"/>
                <w:szCs w:val="24"/>
              </w:rPr>
              <w:t>环境</w:t>
            </w:r>
            <w:r>
              <w:rPr>
                <w:color w:val="auto"/>
                <w:sz w:val="24"/>
                <w:szCs w:val="24"/>
              </w:rPr>
              <w:t>噪声</w:t>
            </w:r>
            <w:r>
              <w:rPr>
                <w:rFonts w:hint="eastAsia"/>
                <w:color w:val="auto"/>
                <w:sz w:val="24"/>
                <w:szCs w:val="24"/>
              </w:rPr>
              <w:t>排放标准</w:t>
            </w:r>
            <w:r>
              <w:rPr>
                <w:color w:val="auto"/>
                <w:sz w:val="24"/>
                <w:szCs w:val="24"/>
              </w:rPr>
              <w:t>》</w:t>
            </w:r>
            <w:r>
              <w:rPr>
                <w:rFonts w:hint="eastAsia"/>
                <w:color w:val="auto"/>
                <w:sz w:val="24"/>
                <w:szCs w:val="24"/>
              </w:rPr>
              <w:t>（</w:t>
            </w:r>
            <w:r>
              <w:rPr>
                <w:color w:val="auto"/>
                <w:sz w:val="24"/>
                <w:szCs w:val="24"/>
              </w:rPr>
              <w:t>GB12523</w:t>
            </w:r>
            <w:r>
              <w:rPr>
                <w:rFonts w:hint="eastAsia"/>
                <w:color w:val="auto"/>
                <w:sz w:val="24"/>
                <w:szCs w:val="24"/>
              </w:rPr>
              <w:t>-2011）中的</w:t>
            </w:r>
            <w:r>
              <w:rPr>
                <w:color w:val="auto"/>
                <w:sz w:val="24"/>
                <w:szCs w:val="24"/>
              </w:rPr>
              <w:t>噪声限值</w:t>
            </w:r>
            <w:r>
              <w:rPr>
                <w:rFonts w:hint="eastAsia"/>
                <w:color w:val="auto"/>
                <w:sz w:val="24"/>
                <w:szCs w:val="24"/>
                <w:lang w:eastAsia="zh-CN"/>
              </w:rPr>
              <w:t>；</w:t>
            </w:r>
            <w:r>
              <w:rPr>
                <w:rFonts w:hint="eastAsia"/>
                <w:color w:val="auto"/>
                <w:sz w:val="24"/>
              </w:rPr>
              <w:t>建设</w:t>
            </w:r>
            <w:r>
              <w:rPr>
                <w:color w:val="auto"/>
                <w:sz w:val="24"/>
              </w:rPr>
              <w:t>项目</w:t>
            </w:r>
            <w:r>
              <w:rPr>
                <w:rFonts w:hAnsi="宋体"/>
                <w:color w:val="auto"/>
                <w:sz w:val="24"/>
              </w:rPr>
              <w:t>运营期厂界噪声应执行《工业企业厂界环境噪声排放标准》（</w:t>
            </w:r>
            <w:r>
              <w:rPr>
                <w:color w:val="auto"/>
                <w:sz w:val="24"/>
              </w:rPr>
              <w:t>GB12348-2008</w:t>
            </w:r>
            <w:r>
              <w:rPr>
                <w:rFonts w:hAnsi="宋体"/>
                <w:color w:val="auto"/>
                <w:sz w:val="24"/>
              </w:rPr>
              <w:t>）中</w:t>
            </w:r>
            <w:r>
              <w:rPr>
                <w:rFonts w:hint="eastAsia"/>
                <w:color w:val="auto"/>
                <w:sz w:val="24"/>
                <w:lang w:val="en-US" w:eastAsia="zh-CN"/>
              </w:rPr>
              <w:t>2</w:t>
            </w:r>
            <w:r>
              <w:rPr>
                <w:rFonts w:hAnsi="宋体"/>
                <w:color w:val="auto"/>
                <w:sz w:val="24"/>
              </w:rPr>
              <w:t>类区标准</w:t>
            </w:r>
            <w:r>
              <w:rPr>
                <w:rFonts w:hint="eastAsia" w:ascii="Times New Roman" w:hAnsi="Times New Roman" w:cs="Times New Roman"/>
                <w:color w:val="auto"/>
                <w:sz w:val="24"/>
                <w:lang w:val="en-US" w:eastAsia="zh-CN"/>
              </w:rPr>
              <w:t>，</w:t>
            </w:r>
            <w:r>
              <w:rPr>
                <w:rFonts w:hAnsi="宋体"/>
                <w:color w:val="auto"/>
                <w:sz w:val="24"/>
              </w:rPr>
              <w:t>具体标准值见</w:t>
            </w:r>
            <w:r>
              <w:rPr>
                <w:rFonts w:hint="eastAsia" w:hAnsi="宋体"/>
                <w:color w:val="auto"/>
                <w:sz w:val="24"/>
              </w:rPr>
              <w:t>下表</w:t>
            </w:r>
            <w:r>
              <w:rPr>
                <w:rFonts w:hAnsi="宋体"/>
                <w:color w:val="auto"/>
                <w:sz w:val="24"/>
              </w:rPr>
              <w:t>。</w:t>
            </w:r>
          </w:p>
          <w:p w14:paraId="3353BE96">
            <w:pPr>
              <w:snapToGrid w:val="0"/>
              <w:spacing w:line="276" w:lineRule="auto"/>
              <w:jc w:val="center"/>
              <w:rPr>
                <w:b/>
                <w:color w:val="auto"/>
                <w:szCs w:val="21"/>
              </w:rPr>
            </w:pPr>
            <w:r>
              <w:rPr>
                <w:rFonts w:hAnsi="宋体"/>
                <w:b/>
                <w:color w:val="auto"/>
                <w:szCs w:val="21"/>
              </w:rPr>
              <w:t>表</w:t>
            </w:r>
            <w:r>
              <w:rPr>
                <w:rFonts w:hint="eastAsia"/>
                <w:b/>
                <w:color w:val="auto"/>
                <w:szCs w:val="21"/>
              </w:rPr>
              <w:t>3-1</w:t>
            </w:r>
            <w:r>
              <w:rPr>
                <w:rFonts w:hint="eastAsia"/>
                <w:b/>
                <w:color w:val="auto"/>
                <w:szCs w:val="21"/>
                <w:lang w:val="en-US" w:eastAsia="zh-CN"/>
              </w:rPr>
              <w:t>1</w:t>
            </w:r>
            <w:r>
              <w:rPr>
                <w:b/>
                <w:color w:val="auto"/>
                <w:szCs w:val="21"/>
              </w:rPr>
              <w:t xml:space="preserve">  </w:t>
            </w:r>
            <w:r>
              <w:rPr>
                <w:rFonts w:hAnsi="宋体"/>
                <w:b/>
                <w:color w:val="auto"/>
                <w:szCs w:val="21"/>
              </w:rPr>
              <w:t>工业企业厂界环境噪声排放标准</w:t>
            </w:r>
            <w:r>
              <w:rPr>
                <w:rFonts w:hint="eastAsia" w:hAnsi="宋体"/>
                <w:b/>
                <w:color w:val="auto"/>
                <w:szCs w:val="21"/>
              </w:rPr>
              <w:t xml:space="preserve"> </w:t>
            </w:r>
            <w:r>
              <w:rPr>
                <w:rFonts w:hAnsi="宋体"/>
                <w:b/>
                <w:color w:val="auto"/>
                <w:szCs w:val="21"/>
              </w:rPr>
              <w:t xml:space="preserve"> </w:t>
            </w:r>
            <w:r>
              <w:rPr>
                <w:rFonts w:hint="eastAsia" w:hAnsi="宋体"/>
                <w:b/>
                <w:color w:val="auto"/>
                <w:szCs w:val="21"/>
              </w:rPr>
              <w:t>单位：</w:t>
            </w:r>
            <w:r>
              <w:rPr>
                <w:b/>
                <w:color w:val="auto"/>
                <w:szCs w:val="21"/>
              </w:rPr>
              <w:t>dB</w:t>
            </w:r>
            <w:r>
              <w:rPr>
                <w:rFonts w:hint="eastAsia" w:hAnsi="宋体"/>
                <w:b/>
                <w:color w:val="auto"/>
                <w:szCs w:val="21"/>
              </w:rPr>
              <w:t>(</w:t>
            </w:r>
            <w:r>
              <w:rPr>
                <w:b/>
                <w:color w:val="auto"/>
                <w:szCs w:val="21"/>
              </w:rPr>
              <w:t>A</w:t>
            </w:r>
            <w:r>
              <w:rPr>
                <w:rFonts w:hint="eastAsia" w:hAnsi="宋体"/>
                <w:b/>
                <w:color w:val="auto"/>
                <w:szCs w:val="21"/>
              </w:rPr>
              <w:t>)</w:t>
            </w:r>
          </w:p>
          <w:tbl>
            <w:tblPr>
              <w:tblStyle w:val="45"/>
              <w:tblpPr w:leftFromText="180" w:rightFromText="180" w:vertAnchor="text" w:horzAnchor="margin" w:tblpXSpec="center" w:tblpY="75"/>
              <w:tblOverlap w:val="never"/>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96"/>
              <w:gridCol w:w="1312"/>
              <w:gridCol w:w="2867"/>
            </w:tblGrid>
            <w:tr w14:paraId="6B8A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347" w:type="pct"/>
                  <w:gridSpan w:val="2"/>
                  <w:noWrap w:val="0"/>
                  <w:vAlign w:val="center"/>
                </w:tcPr>
                <w:p w14:paraId="47323AFF">
                  <w:pPr>
                    <w:autoSpaceDE w:val="0"/>
                    <w:autoSpaceDN w:val="0"/>
                    <w:adjustRightInd w:val="0"/>
                    <w:jc w:val="center"/>
                    <w:rPr>
                      <w:color w:val="auto"/>
                      <w:szCs w:val="21"/>
                    </w:rPr>
                  </w:pPr>
                  <w:r>
                    <w:rPr>
                      <w:color w:val="auto"/>
                      <w:szCs w:val="21"/>
                    </w:rPr>
                    <w:t>标准</w:t>
                  </w:r>
                </w:p>
              </w:tc>
              <w:tc>
                <w:tcPr>
                  <w:tcW w:w="1652" w:type="pct"/>
                  <w:noWrap w:val="0"/>
                  <w:vAlign w:val="center"/>
                </w:tcPr>
                <w:p w14:paraId="015174EB">
                  <w:pPr>
                    <w:autoSpaceDE w:val="0"/>
                    <w:autoSpaceDN w:val="0"/>
                    <w:adjustRightInd w:val="0"/>
                    <w:jc w:val="center"/>
                    <w:rPr>
                      <w:color w:val="auto"/>
                      <w:szCs w:val="21"/>
                    </w:rPr>
                  </w:pPr>
                  <w:r>
                    <w:rPr>
                      <w:color w:val="auto"/>
                      <w:szCs w:val="21"/>
                    </w:rPr>
                    <w:t>昼间</w:t>
                  </w:r>
                </w:p>
              </w:tc>
            </w:tr>
            <w:tr w14:paraId="26FB7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3347" w:type="pct"/>
                  <w:gridSpan w:val="2"/>
                  <w:noWrap w:val="0"/>
                  <w:vAlign w:val="center"/>
                </w:tcPr>
                <w:p w14:paraId="74ABB0EE">
                  <w:pPr>
                    <w:autoSpaceDE w:val="0"/>
                    <w:autoSpaceDN w:val="0"/>
                    <w:adjustRightInd w:val="0"/>
                    <w:jc w:val="center"/>
                    <w:rPr>
                      <w:color w:val="auto"/>
                      <w:szCs w:val="21"/>
                    </w:rPr>
                  </w:pPr>
                  <w:r>
                    <w:rPr>
                      <w:rFonts w:hint="eastAsia"/>
                      <w:color w:val="auto"/>
                      <w:szCs w:val="21"/>
                    </w:rPr>
                    <w:t>《建筑施工场界环境噪声排放标准》</w:t>
                  </w:r>
                  <w:r>
                    <w:rPr>
                      <w:color w:val="auto"/>
                      <w:szCs w:val="21"/>
                    </w:rPr>
                    <w:t>（GB12523-2011）</w:t>
                  </w:r>
                </w:p>
              </w:tc>
              <w:tc>
                <w:tcPr>
                  <w:tcW w:w="1652" w:type="pct"/>
                  <w:noWrap w:val="0"/>
                  <w:vAlign w:val="center"/>
                </w:tcPr>
                <w:p w14:paraId="0BA57E96">
                  <w:pPr>
                    <w:autoSpaceDE w:val="0"/>
                    <w:autoSpaceDN w:val="0"/>
                    <w:adjustRightInd w:val="0"/>
                    <w:jc w:val="center"/>
                    <w:rPr>
                      <w:color w:val="auto"/>
                      <w:szCs w:val="21"/>
                    </w:rPr>
                  </w:pPr>
                  <w:r>
                    <w:rPr>
                      <w:color w:val="auto"/>
                      <w:szCs w:val="21"/>
                    </w:rPr>
                    <w:t>70</w:t>
                  </w:r>
                </w:p>
              </w:tc>
            </w:tr>
            <w:tr w14:paraId="41D84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trPr>
              <w:tc>
                <w:tcPr>
                  <w:tcW w:w="2591" w:type="pct"/>
                  <w:tcBorders>
                    <w:right w:val="single" w:color="000000" w:sz="6" w:space="0"/>
                  </w:tcBorders>
                  <w:noWrap w:val="0"/>
                  <w:vAlign w:val="center"/>
                </w:tcPr>
                <w:p w14:paraId="6AAFE2CB">
                  <w:pPr>
                    <w:autoSpaceDE w:val="0"/>
                    <w:autoSpaceDN w:val="0"/>
                    <w:adjustRightInd w:val="0"/>
                    <w:jc w:val="center"/>
                    <w:rPr>
                      <w:color w:val="auto"/>
                      <w:szCs w:val="21"/>
                    </w:rPr>
                  </w:pPr>
                  <w:r>
                    <w:rPr>
                      <w:rFonts w:hint="eastAsia"/>
                      <w:color w:val="auto"/>
                      <w:szCs w:val="21"/>
                    </w:rPr>
                    <w:t>《工业企业厂界环境噪声排放标准》</w:t>
                  </w:r>
                  <w:r>
                    <w:rPr>
                      <w:color w:val="auto"/>
                      <w:szCs w:val="21"/>
                    </w:rPr>
                    <w:t>（GB12348-2008）</w:t>
                  </w:r>
                </w:p>
              </w:tc>
              <w:tc>
                <w:tcPr>
                  <w:tcW w:w="756" w:type="pct"/>
                  <w:tcBorders>
                    <w:left w:val="single" w:color="000000" w:sz="6" w:space="0"/>
                  </w:tcBorders>
                  <w:noWrap w:val="0"/>
                  <w:vAlign w:val="center"/>
                </w:tcPr>
                <w:p w14:paraId="294BE5C9">
                  <w:pPr>
                    <w:autoSpaceDE w:val="0"/>
                    <w:autoSpaceDN w:val="0"/>
                    <w:adjustRightInd w:val="0"/>
                    <w:jc w:val="center"/>
                    <w:rPr>
                      <w:color w:val="auto"/>
                      <w:szCs w:val="21"/>
                    </w:rPr>
                  </w:pPr>
                  <w:r>
                    <w:rPr>
                      <w:rFonts w:hint="eastAsia"/>
                      <w:color w:val="auto"/>
                      <w:szCs w:val="21"/>
                    </w:rPr>
                    <w:t>2</w:t>
                  </w:r>
                  <w:r>
                    <w:rPr>
                      <w:color w:val="auto"/>
                      <w:szCs w:val="21"/>
                    </w:rPr>
                    <w:t>类</w:t>
                  </w:r>
                </w:p>
              </w:tc>
              <w:tc>
                <w:tcPr>
                  <w:tcW w:w="1652" w:type="pct"/>
                  <w:noWrap w:val="0"/>
                  <w:vAlign w:val="center"/>
                </w:tcPr>
                <w:p w14:paraId="313F9ADF">
                  <w:pPr>
                    <w:autoSpaceDE w:val="0"/>
                    <w:autoSpaceDN w:val="0"/>
                    <w:adjustRightInd w:val="0"/>
                    <w:jc w:val="center"/>
                    <w:rPr>
                      <w:color w:val="auto"/>
                      <w:szCs w:val="21"/>
                    </w:rPr>
                  </w:pPr>
                  <w:r>
                    <w:rPr>
                      <w:color w:val="auto"/>
                      <w:szCs w:val="21"/>
                    </w:rPr>
                    <w:t>6</w:t>
                  </w:r>
                  <w:r>
                    <w:rPr>
                      <w:rFonts w:hint="eastAsia"/>
                      <w:color w:val="auto"/>
                      <w:szCs w:val="21"/>
                    </w:rPr>
                    <w:t>0</w:t>
                  </w:r>
                </w:p>
              </w:tc>
            </w:tr>
          </w:tbl>
          <w:p w14:paraId="3B07D3FC">
            <w:pPr>
              <w:spacing w:line="360" w:lineRule="auto"/>
              <w:rPr>
                <w:b/>
                <w:bCs/>
                <w:color w:val="auto"/>
                <w:sz w:val="24"/>
                <w:szCs w:val="24"/>
              </w:rPr>
            </w:pPr>
            <w:r>
              <w:rPr>
                <w:rFonts w:hint="eastAsia"/>
                <w:b/>
                <w:bCs/>
                <w:color w:val="auto"/>
                <w:sz w:val="24"/>
                <w:szCs w:val="24"/>
              </w:rPr>
              <w:t>4、</w:t>
            </w:r>
            <w:r>
              <w:rPr>
                <w:b/>
                <w:bCs/>
                <w:color w:val="auto"/>
                <w:sz w:val="24"/>
                <w:szCs w:val="24"/>
              </w:rPr>
              <w:t>固废排放</w:t>
            </w:r>
            <w:r>
              <w:rPr>
                <w:rFonts w:hint="eastAsia"/>
                <w:b/>
                <w:bCs/>
                <w:color w:val="auto"/>
                <w:sz w:val="24"/>
                <w:szCs w:val="24"/>
              </w:rPr>
              <w:t>控制</w:t>
            </w:r>
            <w:r>
              <w:rPr>
                <w:b/>
                <w:bCs/>
                <w:color w:val="auto"/>
                <w:sz w:val="24"/>
                <w:szCs w:val="24"/>
              </w:rPr>
              <w:t>标准</w:t>
            </w:r>
          </w:p>
          <w:p w14:paraId="554A44C0">
            <w:pPr>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（1）一般固废执行《一般工业固体废物贮存和填埋污染控制标准》（GB18599-2020）。</w:t>
            </w:r>
          </w:p>
          <w:p w14:paraId="6C63F2F0">
            <w:pPr>
              <w:spacing w:line="360" w:lineRule="auto"/>
              <w:ind w:firstLine="480" w:firstLineChars="200"/>
              <w:rPr>
                <w:color w:val="auto"/>
                <w:sz w:val="24"/>
                <w:szCs w:val="24"/>
              </w:rPr>
            </w:pPr>
            <w:r>
              <w:rPr>
                <w:rFonts w:hint="eastAsia"/>
                <w:color w:val="auto"/>
                <w:sz w:val="24"/>
              </w:rPr>
              <w:t>（2）危险固废执行《危险废物贮存污染控制标准》（GB18597-2023）。</w:t>
            </w:r>
          </w:p>
        </w:tc>
      </w:tr>
      <w:tr w14:paraId="75EEE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14:paraId="3D6A5BA0">
            <w:pPr>
              <w:autoSpaceDE w:val="0"/>
              <w:autoSpaceDN w:val="0"/>
              <w:jc w:val="center"/>
              <w:rPr>
                <w:rFonts w:hAnsi="宋体"/>
                <w:color w:val="auto"/>
                <w:szCs w:val="21"/>
              </w:rPr>
            </w:pPr>
            <w:r>
              <w:rPr>
                <w:rFonts w:hint="eastAsia"/>
                <w:color w:val="auto"/>
                <w:szCs w:val="21"/>
              </w:rPr>
              <w:t>总量控制指标</w:t>
            </w:r>
          </w:p>
        </w:tc>
        <w:tc>
          <w:tcPr>
            <w:tcW w:w="8611" w:type="dxa"/>
            <w:vAlign w:val="center"/>
          </w:tcPr>
          <w:p w14:paraId="14120EB5">
            <w:pPr>
              <w:pStyle w:val="8"/>
              <w:spacing w:line="360" w:lineRule="auto"/>
              <w:ind w:firstLine="480"/>
              <w:rPr>
                <w:color w:val="auto"/>
                <w:sz w:val="24"/>
                <w:szCs w:val="24"/>
              </w:rPr>
            </w:pPr>
            <w:r>
              <w:rPr>
                <w:rFonts w:hint="eastAsia"/>
                <w:color w:val="auto"/>
                <w:sz w:val="24"/>
              </w:rPr>
              <w:t>根据国家对污染物排放总量控制指标和《安徽省环保厅关于进一步加强建设项目新增大气主要污染物总量指标管理工作的通知》（皖环发〔2017〕19号）的要求，规定总量控制因子为COD</w:t>
            </w:r>
            <w:r>
              <w:rPr>
                <w:rFonts w:hint="eastAsia"/>
                <w:color w:val="auto"/>
                <w:sz w:val="24"/>
                <w:vertAlign w:val="subscript"/>
              </w:rPr>
              <w:t>Cr</w:t>
            </w:r>
            <w:r>
              <w:rPr>
                <w:rFonts w:hint="eastAsia"/>
                <w:color w:val="auto"/>
                <w:sz w:val="24"/>
              </w:rPr>
              <w:t>、氨氮、二氧化硫、氮氧化物、烟（粉）尘和挥发性有机物（VOCs）。</w:t>
            </w:r>
          </w:p>
          <w:p w14:paraId="0ABA0F95">
            <w:pPr>
              <w:pStyle w:val="8"/>
              <w:spacing w:line="360" w:lineRule="auto"/>
              <w:ind w:firstLine="480"/>
              <w:rPr>
                <w:color w:val="auto"/>
                <w:sz w:val="24"/>
                <w:szCs w:val="24"/>
              </w:rPr>
            </w:pPr>
            <w:r>
              <w:rPr>
                <w:color w:val="auto"/>
                <w:sz w:val="24"/>
                <w:szCs w:val="24"/>
              </w:rPr>
              <w:t>根据生态环境部</w:t>
            </w:r>
            <w:r>
              <w:rPr>
                <w:rFonts w:hint="eastAsia"/>
                <w:color w:val="auto"/>
                <w:sz w:val="24"/>
                <w:szCs w:val="24"/>
              </w:rPr>
              <w:t>和安徽省生态环境厅</w:t>
            </w:r>
            <w:r>
              <w:rPr>
                <w:color w:val="auto"/>
                <w:sz w:val="24"/>
                <w:szCs w:val="24"/>
              </w:rPr>
              <w:t>要求对建设项目排放污染物实施总量控制的要求，针对本项目的具体排污情况，结合本项目排污特征，确定总量控制因子为：</w:t>
            </w:r>
          </w:p>
          <w:p w14:paraId="3FE31EFF">
            <w:pPr>
              <w:spacing w:line="360" w:lineRule="auto"/>
              <w:ind w:firstLine="480" w:firstLineChars="200"/>
              <w:rPr>
                <w:color w:val="auto"/>
                <w:sz w:val="24"/>
              </w:rPr>
            </w:pPr>
            <w:r>
              <w:rPr>
                <w:color w:val="auto"/>
                <w:sz w:val="24"/>
              </w:rPr>
              <w:t>废水污染物指标：</w:t>
            </w:r>
            <w:r>
              <w:rPr>
                <w:rFonts w:hint="eastAsia"/>
                <w:color w:val="auto"/>
                <w:sz w:val="24"/>
                <w:lang w:eastAsia="zh-CN"/>
              </w:rPr>
              <w:t>无</w:t>
            </w:r>
            <w:r>
              <w:rPr>
                <w:color w:val="auto"/>
                <w:sz w:val="24"/>
              </w:rPr>
              <w:t>。</w:t>
            </w:r>
          </w:p>
          <w:p w14:paraId="78815059">
            <w:pPr>
              <w:spacing w:line="360" w:lineRule="auto"/>
              <w:ind w:firstLine="480" w:firstLineChars="200"/>
              <w:rPr>
                <w:bCs/>
                <w:color w:val="auto"/>
                <w:sz w:val="24"/>
                <w:szCs w:val="24"/>
              </w:rPr>
            </w:pPr>
            <w:r>
              <w:rPr>
                <w:rFonts w:hint="eastAsia"/>
                <w:color w:val="auto"/>
                <w:sz w:val="24"/>
              </w:rPr>
              <w:t>废气污染物指标：烟（粉）尘。</w:t>
            </w:r>
          </w:p>
          <w:p w14:paraId="05FBA118">
            <w:pPr>
              <w:spacing w:line="360" w:lineRule="auto"/>
              <w:ind w:firstLine="480" w:firstLineChars="200"/>
              <w:rPr>
                <w:bCs/>
                <w:color w:val="auto"/>
                <w:sz w:val="24"/>
                <w:szCs w:val="24"/>
              </w:rPr>
            </w:pPr>
            <w:r>
              <w:rPr>
                <w:rFonts w:hint="eastAsia"/>
                <w:bCs/>
                <w:color w:val="auto"/>
                <w:sz w:val="24"/>
                <w:szCs w:val="24"/>
              </w:rPr>
              <w:t>（1）废水</w:t>
            </w:r>
          </w:p>
          <w:p w14:paraId="53A4F60F">
            <w:pPr>
              <w:spacing w:line="360" w:lineRule="auto"/>
              <w:ind w:firstLine="480" w:firstLineChars="200"/>
              <w:rPr>
                <w:bCs/>
                <w:color w:val="auto"/>
                <w:sz w:val="24"/>
                <w:szCs w:val="24"/>
              </w:rPr>
            </w:pPr>
            <w:r>
              <w:rPr>
                <w:bCs/>
                <w:color w:val="auto"/>
                <w:sz w:val="24"/>
              </w:rPr>
              <w:t>本项目</w:t>
            </w:r>
            <w:r>
              <w:rPr>
                <w:rFonts w:hint="eastAsia"/>
                <w:bCs/>
                <w:color w:val="auto"/>
                <w:sz w:val="24"/>
                <w:lang w:eastAsia="zh-CN"/>
              </w:rPr>
              <w:t>生产过程无生产废水产生，生活污水经厂区化粪池处理后，用于周边农田施肥，无需申请总量</w:t>
            </w:r>
            <w:r>
              <w:rPr>
                <w:rFonts w:hint="eastAsia"/>
                <w:bCs/>
                <w:color w:val="auto"/>
                <w:sz w:val="24"/>
                <w:szCs w:val="24"/>
              </w:rPr>
              <w:t>。</w:t>
            </w:r>
          </w:p>
          <w:p w14:paraId="7018FBE6">
            <w:pPr>
              <w:spacing w:line="360" w:lineRule="auto"/>
              <w:ind w:firstLine="480" w:firstLineChars="200"/>
              <w:rPr>
                <w:color w:val="auto"/>
                <w:sz w:val="24"/>
              </w:rPr>
            </w:pPr>
            <w:r>
              <w:rPr>
                <w:rFonts w:hint="eastAsia"/>
                <w:bCs/>
                <w:color w:val="auto"/>
                <w:sz w:val="24"/>
                <w:szCs w:val="24"/>
              </w:rPr>
              <w:t>（2）废气</w:t>
            </w:r>
          </w:p>
          <w:p w14:paraId="1DEDB361">
            <w:pPr>
              <w:tabs>
                <w:tab w:val="left" w:pos="1365"/>
              </w:tabs>
              <w:spacing w:line="360" w:lineRule="auto"/>
              <w:ind w:firstLine="480" w:firstLineChars="200"/>
              <w:rPr>
                <w:color w:val="auto"/>
                <w:sz w:val="24"/>
              </w:rPr>
            </w:pPr>
            <w:r>
              <w:rPr>
                <w:rFonts w:hint="eastAsia"/>
                <w:bCs/>
                <w:color w:val="auto"/>
                <w:sz w:val="24"/>
              </w:rPr>
              <w:t>经核算，建设项目</w:t>
            </w:r>
            <w:r>
              <w:rPr>
                <w:rFonts w:hint="eastAsia"/>
                <w:color w:val="auto"/>
                <w:sz w:val="24"/>
              </w:rPr>
              <w:t>废气污染物排放总量控制指标如下：</w:t>
            </w:r>
          </w:p>
          <w:p w14:paraId="1D7C1567">
            <w:pPr>
              <w:tabs>
                <w:tab w:val="left" w:pos="1365"/>
              </w:tabs>
              <w:spacing w:line="360" w:lineRule="auto"/>
              <w:ind w:firstLine="480" w:firstLineChars="200"/>
              <w:rPr>
                <w:rFonts w:hint="eastAsia"/>
                <w:color w:val="auto"/>
                <w:sz w:val="24"/>
              </w:rPr>
            </w:pPr>
            <w:r>
              <w:rPr>
                <w:rFonts w:hint="eastAsia"/>
                <w:color w:val="auto"/>
                <w:sz w:val="24"/>
              </w:rPr>
              <w:t>烟（粉）尘：</w:t>
            </w:r>
            <w:r>
              <w:rPr>
                <w:rFonts w:hint="eastAsia"/>
                <w:color w:val="auto"/>
                <w:sz w:val="24"/>
                <w:lang w:val="en-US" w:eastAsia="zh-CN"/>
              </w:rPr>
              <w:t xml:space="preserve"> 0.299</w:t>
            </w:r>
            <w:r>
              <w:rPr>
                <w:rFonts w:hint="eastAsia"/>
                <w:color w:val="auto"/>
                <w:sz w:val="24"/>
              </w:rPr>
              <w:t>t/a。</w:t>
            </w:r>
          </w:p>
          <w:p w14:paraId="43D7DCCF">
            <w:pPr>
              <w:tabs>
                <w:tab w:val="left" w:pos="1365"/>
              </w:tabs>
              <w:spacing w:line="360" w:lineRule="auto"/>
              <w:ind w:firstLine="480" w:firstLineChars="200"/>
              <w:rPr>
                <w:rFonts w:hint="eastAsia"/>
                <w:color w:val="auto"/>
                <w:sz w:val="24"/>
              </w:rPr>
            </w:pPr>
          </w:p>
          <w:p w14:paraId="7A02BCB8">
            <w:pPr>
              <w:tabs>
                <w:tab w:val="left" w:pos="1365"/>
              </w:tabs>
              <w:spacing w:line="360" w:lineRule="auto"/>
              <w:ind w:firstLine="480" w:firstLineChars="200"/>
              <w:rPr>
                <w:rFonts w:hint="eastAsia"/>
                <w:color w:val="auto"/>
                <w:sz w:val="24"/>
              </w:rPr>
            </w:pPr>
          </w:p>
          <w:p w14:paraId="3424C449">
            <w:pPr>
              <w:tabs>
                <w:tab w:val="left" w:pos="1365"/>
              </w:tabs>
              <w:spacing w:line="360" w:lineRule="auto"/>
              <w:ind w:firstLine="480" w:firstLineChars="200"/>
              <w:rPr>
                <w:rFonts w:hint="eastAsia"/>
                <w:color w:val="auto"/>
                <w:sz w:val="24"/>
              </w:rPr>
            </w:pPr>
          </w:p>
          <w:p w14:paraId="2E0B2B80">
            <w:pPr>
              <w:tabs>
                <w:tab w:val="left" w:pos="1365"/>
              </w:tabs>
              <w:spacing w:line="360" w:lineRule="auto"/>
              <w:ind w:firstLine="480" w:firstLineChars="200"/>
              <w:rPr>
                <w:rFonts w:hint="eastAsia"/>
                <w:color w:val="auto"/>
                <w:sz w:val="24"/>
              </w:rPr>
            </w:pPr>
          </w:p>
          <w:p w14:paraId="6B24FEDC">
            <w:pPr>
              <w:tabs>
                <w:tab w:val="left" w:pos="1365"/>
              </w:tabs>
              <w:spacing w:line="360" w:lineRule="auto"/>
              <w:ind w:firstLine="480" w:firstLineChars="200"/>
              <w:rPr>
                <w:rFonts w:hint="eastAsia"/>
                <w:color w:val="auto"/>
                <w:sz w:val="24"/>
              </w:rPr>
            </w:pPr>
          </w:p>
        </w:tc>
      </w:tr>
    </w:tbl>
    <w:p w14:paraId="727ABF00">
      <w:pPr>
        <w:spacing w:line="360" w:lineRule="auto"/>
        <w:jc w:val="both"/>
        <w:outlineLvl w:val="0"/>
        <w:rPr>
          <w:rFonts w:hint="eastAsia" w:eastAsia="黑体"/>
          <w:b/>
          <w:bCs/>
          <w:color w:val="auto"/>
          <w:sz w:val="30"/>
          <w:szCs w:val="24"/>
        </w:rPr>
        <w:sectPr>
          <w:pgSz w:w="11906" w:h="16838"/>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p w14:paraId="7C2CFE15">
      <w:pPr>
        <w:numPr>
          <w:ilvl w:val="0"/>
          <w:numId w:val="5"/>
        </w:numPr>
        <w:spacing w:line="360" w:lineRule="auto"/>
        <w:jc w:val="center"/>
        <w:outlineLvl w:val="0"/>
        <w:rPr>
          <w:rFonts w:hint="eastAsia" w:eastAsia="黑体"/>
          <w:b/>
          <w:bCs/>
          <w:color w:val="auto"/>
          <w:sz w:val="30"/>
          <w:szCs w:val="24"/>
        </w:rPr>
      </w:pPr>
      <w:bookmarkStart w:id="11" w:name="_Toc9093"/>
      <w:r>
        <w:rPr>
          <w:rFonts w:hint="eastAsia" w:eastAsia="黑体"/>
          <w:b/>
          <w:bCs/>
          <w:color w:val="auto"/>
          <w:sz w:val="30"/>
          <w:szCs w:val="24"/>
        </w:rPr>
        <w:t>主要环境影响和保护措施</w:t>
      </w:r>
      <w:bookmarkEnd w:id="11"/>
    </w:p>
    <w:tbl>
      <w:tblPr>
        <w:tblStyle w:val="45"/>
        <w:tblW w:w="89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2"/>
        <w:gridCol w:w="8549"/>
      </w:tblGrid>
      <w:tr w14:paraId="54CCDD7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6" w:hRule="atLeast"/>
          <w:jc w:val="center"/>
        </w:trPr>
        <w:tc>
          <w:tcPr>
            <w:tcW w:w="432" w:type="dxa"/>
            <w:noWrap w:val="0"/>
            <w:tcMar>
              <w:left w:w="28" w:type="dxa"/>
              <w:right w:w="28" w:type="dxa"/>
            </w:tcMar>
            <w:vAlign w:val="center"/>
          </w:tcPr>
          <w:p w14:paraId="75FC9FFD">
            <w:pPr>
              <w:pStyle w:val="4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施工</w:t>
            </w:r>
          </w:p>
          <w:p w14:paraId="04889820">
            <w:pPr>
              <w:pStyle w:val="4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期环</w:t>
            </w:r>
          </w:p>
          <w:p w14:paraId="68200CF7">
            <w:pPr>
              <w:pStyle w:val="4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境保</w:t>
            </w:r>
          </w:p>
          <w:p w14:paraId="61971A50">
            <w:pPr>
              <w:pStyle w:val="40"/>
              <w:adjustRightInd w:val="0"/>
              <w:snapToGrid w:val="0"/>
              <w:spacing w:before="0" w:beforeAutospacing="0" w:after="0" w:afterAutospacing="0"/>
              <w:jc w:val="center"/>
              <w:rPr>
                <w:rFonts w:hint="eastAsia" w:cs="宋体"/>
                <w:color w:val="auto"/>
                <w:kern w:val="2"/>
                <w:sz w:val="21"/>
                <w:szCs w:val="21"/>
              </w:rPr>
            </w:pPr>
            <w:r>
              <w:rPr>
                <w:rFonts w:hint="eastAsia" w:cs="宋体"/>
                <w:color w:val="auto"/>
                <w:kern w:val="2"/>
                <w:sz w:val="21"/>
                <w:szCs w:val="21"/>
              </w:rPr>
              <w:t>护措</w:t>
            </w:r>
          </w:p>
          <w:p w14:paraId="7CC6513C">
            <w:pPr>
              <w:pStyle w:val="40"/>
              <w:adjustRightInd w:val="0"/>
              <w:snapToGrid w:val="0"/>
              <w:spacing w:before="0" w:beforeAutospacing="0" w:after="0" w:afterAutospacing="0"/>
              <w:jc w:val="center"/>
              <w:rPr>
                <w:rFonts w:hint="eastAsia" w:cs="宋体"/>
                <w:bCs/>
                <w:color w:val="auto"/>
                <w:kern w:val="2"/>
                <w:sz w:val="21"/>
                <w:szCs w:val="21"/>
              </w:rPr>
            </w:pPr>
            <w:r>
              <w:rPr>
                <w:rFonts w:hint="eastAsia" w:cs="宋体"/>
                <w:color w:val="auto"/>
                <w:kern w:val="2"/>
                <w:sz w:val="21"/>
                <w:szCs w:val="21"/>
              </w:rPr>
              <w:t>施</w:t>
            </w:r>
          </w:p>
        </w:tc>
        <w:tc>
          <w:tcPr>
            <w:tcW w:w="8549" w:type="dxa"/>
            <w:noWrap w:val="0"/>
            <w:vAlign w:val="center"/>
          </w:tcPr>
          <w:p w14:paraId="6A834BB6">
            <w:pPr>
              <w:tabs>
                <w:tab w:val="left" w:pos="1365"/>
              </w:tabs>
              <w:spacing w:line="360" w:lineRule="auto"/>
              <w:ind w:firstLine="480" w:firstLineChars="200"/>
              <w:rPr>
                <w:bCs/>
                <w:color w:val="auto"/>
                <w:sz w:val="24"/>
              </w:rPr>
            </w:pPr>
            <w:r>
              <w:rPr>
                <w:bCs/>
                <w:color w:val="auto"/>
                <w:sz w:val="24"/>
              </w:rPr>
              <w:t>本工程的施工期内容主要包括：场地平整、桩基工程、厂房建设、工业设备安装等几部分。施工过程排放的污染物会对周围的大气环境、水环境、声环境等产生一定的污染影响。</w:t>
            </w:r>
          </w:p>
          <w:p w14:paraId="49FC713D">
            <w:pPr>
              <w:tabs>
                <w:tab w:val="left" w:pos="1365"/>
              </w:tabs>
              <w:spacing w:line="360" w:lineRule="auto"/>
              <w:rPr>
                <w:b/>
                <w:bCs/>
                <w:color w:val="auto"/>
                <w:sz w:val="24"/>
              </w:rPr>
            </w:pPr>
            <w:r>
              <w:rPr>
                <w:rFonts w:hint="eastAsia"/>
                <w:b/>
                <w:bCs/>
                <w:color w:val="auto"/>
                <w:sz w:val="24"/>
              </w:rPr>
              <w:t>1、大气环境保护措施</w:t>
            </w:r>
          </w:p>
          <w:p w14:paraId="74910F1E">
            <w:pPr>
              <w:tabs>
                <w:tab w:val="left" w:pos="1365"/>
              </w:tabs>
              <w:spacing w:line="360" w:lineRule="auto"/>
              <w:ind w:firstLine="480" w:firstLineChars="200"/>
              <w:rPr>
                <w:bCs/>
                <w:color w:val="auto"/>
                <w:sz w:val="24"/>
              </w:rPr>
            </w:pPr>
            <w:r>
              <w:rPr>
                <w:bCs/>
                <w:color w:val="auto"/>
                <w:sz w:val="24"/>
              </w:rPr>
              <w:t>在该项目施工期间，为减轻</w:t>
            </w:r>
            <w:r>
              <w:rPr>
                <w:rFonts w:hint="eastAsia"/>
                <w:bCs/>
                <w:color w:val="auto"/>
                <w:sz w:val="24"/>
              </w:rPr>
              <w:t>施工扬尘等</w:t>
            </w:r>
            <w:r>
              <w:rPr>
                <w:bCs/>
                <w:color w:val="auto"/>
                <w:sz w:val="24"/>
              </w:rPr>
              <w:t>对环境空气的影响，缩小污染影响范围，必须采取合理可行的控制措施，其主要措施有：</w:t>
            </w:r>
          </w:p>
          <w:p w14:paraId="7BFDE98E">
            <w:pPr>
              <w:tabs>
                <w:tab w:val="left" w:pos="1365"/>
              </w:tabs>
              <w:spacing w:line="360" w:lineRule="auto"/>
              <w:ind w:firstLine="480" w:firstLineChars="200"/>
              <w:rPr>
                <w:bCs/>
                <w:color w:val="auto"/>
                <w:sz w:val="24"/>
              </w:rPr>
            </w:pPr>
            <w:r>
              <w:rPr>
                <w:rFonts w:hint="eastAsia"/>
                <w:bCs/>
                <w:color w:val="auto"/>
                <w:sz w:val="24"/>
              </w:rPr>
              <w:t>（1）筑施工工地要做到工地周边围挡、物料堆放覆盖、土方开挖湿法作业、路面硬化、出入车辆清洗、渣土车辆密闭运输“六个百分之百”，安装在线监测和视频监控设备，并与当地有关主管部门联网。</w:t>
            </w:r>
          </w:p>
          <w:p w14:paraId="56F5EFEF">
            <w:pPr>
              <w:tabs>
                <w:tab w:val="left" w:pos="1365"/>
              </w:tabs>
              <w:spacing w:line="360" w:lineRule="auto"/>
              <w:ind w:firstLine="480" w:firstLineChars="200"/>
              <w:rPr>
                <w:bCs/>
                <w:color w:val="auto"/>
                <w:sz w:val="24"/>
              </w:rPr>
            </w:pPr>
            <w:r>
              <w:rPr>
                <w:bCs/>
                <w:color w:val="auto"/>
                <w:sz w:val="24"/>
              </w:rPr>
              <w:t>（</w:t>
            </w:r>
            <w:r>
              <w:rPr>
                <w:rFonts w:hint="eastAsia"/>
                <w:bCs/>
                <w:color w:val="auto"/>
                <w:sz w:val="24"/>
              </w:rPr>
              <w:t>2</w:t>
            </w:r>
            <w:r>
              <w:rPr>
                <w:bCs/>
                <w:color w:val="auto"/>
                <w:sz w:val="24"/>
              </w:rPr>
              <w:t>）施工现场应实行封闭施工，施工工地周围应设置不低于1.8米的围栏或屏障，以缩小施工扬尘扩散范围。</w:t>
            </w:r>
          </w:p>
          <w:p w14:paraId="34028DB3">
            <w:pPr>
              <w:tabs>
                <w:tab w:val="left" w:pos="1365"/>
              </w:tabs>
              <w:spacing w:line="360" w:lineRule="auto"/>
              <w:ind w:firstLine="480" w:firstLineChars="200"/>
              <w:rPr>
                <w:bCs/>
                <w:color w:val="auto"/>
                <w:sz w:val="24"/>
              </w:rPr>
            </w:pPr>
            <w:r>
              <w:rPr>
                <w:bCs/>
                <w:color w:val="auto"/>
                <w:sz w:val="24"/>
              </w:rPr>
              <w:t>（</w:t>
            </w:r>
            <w:r>
              <w:rPr>
                <w:rFonts w:hint="eastAsia"/>
                <w:bCs/>
                <w:color w:val="auto"/>
                <w:sz w:val="24"/>
              </w:rPr>
              <w:t>3</w:t>
            </w:r>
            <w:r>
              <w:rPr>
                <w:bCs/>
                <w:color w:val="auto"/>
                <w:sz w:val="24"/>
              </w:rPr>
              <w:t>）建筑物的四周应加设防护网，既起到防尘的作用，又能起到安全防护的作用。</w:t>
            </w:r>
          </w:p>
          <w:p w14:paraId="6102D8C1">
            <w:pPr>
              <w:tabs>
                <w:tab w:val="left" w:pos="1365"/>
              </w:tabs>
              <w:spacing w:line="360" w:lineRule="auto"/>
              <w:ind w:firstLine="480" w:firstLineChars="200"/>
              <w:rPr>
                <w:bCs/>
                <w:color w:val="auto"/>
                <w:sz w:val="24"/>
              </w:rPr>
            </w:pPr>
            <w:r>
              <w:rPr>
                <w:bCs/>
                <w:color w:val="auto"/>
                <w:sz w:val="24"/>
              </w:rPr>
              <w:t>（</w:t>
            </w:r>
            <w:r>
              <w:rPr>
                <w:rFonts w:hint="eastAsia"/>
                <w:bCs/>
                <w:color w:val="auto"/>
                <w:sz w:val="24"/>
              </w:rPr>
              <w:t>4</w:t>
            </w:r>
            <w:r>
              <w:rPr>
                <w:bCs/>
                <w:color w:val="auto"/>
                <w:sz w:val="24"/>
              </w:rPr>
              <w:t>）合理安排施工现场，谨防运输车辆装载过满，不得超出车厢板高度，并采取遮盖、密闭措施减少沿途抛洒、散落，及时扫清散落在路上的泥土和建筑材料，车辆出入施工现场应冲洗轮胎，不得将泥沙带出现场，并指定专人对附近的运输道路定期喷水，使其保持一定的湿度，防止道路扬尘。</w:t>
            </w:r>
          </w:p>
          <w:p w14:paraId="45423DF4">
            <w:pPr>
              <w:tabs>
                <w:tab w:val="left" w:pos="1365"/>
              </w:tabs>
              <w:spacing w:line="360" w:lineRule="auto"/>
              <w:ind w:firstLine="480" w:firstLineChars="200"/>
              <w:rPr>
                <w:bCs/>
                <w:color w:val="auto"/>
                <w:sz w:val="24"/>
              </w:rPr>
            </w:pPr>
            <w:r>
              <w:rPr>
                <w:bCs/>
                <w:color w:val="auto"/>
                <w:sz w:val="24"/>
              </w:rPr>
              <w:t>（</w:t>
            </w:r>
            <w:r>
              <w:rPr>
                <w:rFonts w:hint="eastAsia"/>
                <w:bCs/>
                <w:color w:val="auto"/>
                <w:sz w:val="24"/>
              </w:rPr>
              <w:t>5</w:t>
            </w:r>
            <w:r>
              <w:rPr>
                <w:bCs/>
                <w:color w:val="auto"/>
                <w:sz w:val="24"/>
              </w:rPr>
              <w:t>）对施工现场实行合理化管理，使砂石统一堆放，少量水泥应设专门库房存放，尽量减少搬运环节。</w:t>
            </w:r>
          </w:p>
          <w:p w14:paraId="194F8B51">
            <w:pPr>
              <w:tabs>
                <w:tab w:val="left" w:pos="1365"/>
              </w:tabs>
              <w:spacing w:line="360" w:lineRule="auto"/>
              <w:ind w:firstLine="480" w:firstLineChars="200"/>
              <w:rPr>
                <w:bCs/>
                <w:color w:val="auto"/>
                <w:sz w:val="24"/>
              </w:rPr>
            </w:pPr>
            <w:r>
              <w:rPr>
                <w:bCs/>
                <w:color w:val="auto"/>
                <w:sz w:val="24"/>
              </w:rPr>
              <w:t>（</w:t>
            </w:r>
            <w:r>
              <w:rPr>
                <w:rFonts w:hint="eastAsia"/>
                <w:bCs/>
                <w:color w:val="auto"/>
                <w:sz w:val="24"/>
              </w:rPr>
              <w:t>6</w:t>
            </w:r>
            <w:r>
              <w:rPr>
                <w:bCs/>
                <w:color w:val="auto"/>
                <w:sz w:val="24"/>
              </w:rPr>
              <w:t>）开挖的土方及建筑垃圾及时进行利用，以防因长期堆放表面干燥而起尘，对作业面、建筑垃圾等堆放场地定期洒水，使其保持一定的湿度，以减少扬尘量。</w:t>
            </w:r>
          </w:p>
          <w:p w14:paraId="1BA05574">
            <w:pPr>
              <w:tabs>
                <w:tab w:val="left" w:pos="1365"/>
              </w:tabs>
              <w:spacing w:line="360" w:lineRule="auto"/>
              <w:ind w:firstLine="480" w:firstLineChars="200"/>
              <w:rPr>
                <w:bCs/>
                <w:color w:val="auto"/>
                <w:sz w:val="24"/>
              </w:rPr>
            </w:pPr>
            <w:r>
              <w:rPr>
                <w:bCs/>
                <w:color w:val="auto"/>
                <w:sz w:val="24"/>
              </w:rPr>
              <w:t>（</w:t>
            </w:r>
            <w:r>
              <w:rPr>
                <w:rFonts w:hint="eastAsia"/>
                <w:bCs/>
                <w:color w:val="auto"/>
                <w:sz w:val="24"/>
              </w:rPr>
              <w:t>7</w:t>
            </w:r>
            <w:r>
              <w:rPr>
                <w:bCs/>
                <w:color w:val="auto"/>
                <w:sz w:val="24"/>
              </w:rPr>
              <w:t>）合理安排工期，尽可能地加快施工速度，减少施工时间。</w:t>
            </w:r>
          </w:p>
          <w:p w14:paraId="70FB115D">
            <w:pPr>
              <w:tabs>
                <w:tab w:val="left" w:pos="1365"/>
              </w:tabs>
              <w:spacing w:line="360" w:lineRule="auto"/>
              <w:ind w:firstLine="480" w:firstLineChars="200"/>
              <w:rPr>
                <w:bCs/>
                <w:color w:val="auto"/>
                <w:sz w:val="24"/>
              </w:rPr>
            </w:pPr>
            <w:r>
              <w:rPr>
                <w:bCs/>
                <w:color w:val="auto"/>
                <w:sz w:val="24"/>
              </w:rPr>
              <w:t>（</w:t>
            </w:r>
            <w:r>
              <w:rPr>
                <w:rFonts w:hint="eastAsia"/>
                <w:bCs/>
                <w:color w:val="auto"/>
                <w:sz w:val="24"/>
              </w:rPr>
              <w:t>8</w:t>
            </w:r>
            <w:r>
              <w:rPr>
                <w:bCs/>
                <w:color w:val="auto"/>
                <w:sz w:val="24"/>
              </w:rPr>
              <w:t>）当出现风速大于5级或不利天气状况时应停止易造成扬尘的施工作业，并对堆放的砂石等建筑材料进行遮盖。</w:t>
            </w:r>
          </w:p>
          <w:p w14:paraId="6AD60EE6">
            <w:pPr>
              <w:tabs>
                <w:tab w:val="left" w:pos="1365"/>
              </w:tabs>
              <w:spacing w:line="360" w:lineRule="auto"/>
              <w:ind w:firstLine="480" w:firstLineChars="200"/>
              <w:rPr>
                <w:bCs/>
                <w:color w:val="auto"/>
                <w:sz w:val="24"/>
              </w:rPr>
            </w:pPr>
            <w:r>
              <w:rPr>
                <w:bCs/>
                <w:color w:val="auto"/>
                <w:sz w:val="24"/>
              </w:rPr>
              <w:t>（</w:t>
            </w:r>
            <w:r>
              <w:rPr>
                <w:rFonts w:hint="eastAsia"/>
                <w:bCs/>
                <w:color w:val="auto"/>
                <w:sz w:val="24"/>
              </w:rPr>
              <w:t>9</w:t>
            </w:r>
            <w:r>
              <w:rPr>
                <w:bCs/>
                <w:color w:val="auto"/>
                <w:sz w:val="24"/>
              </w:rPr>
              <w:t>）水泥</w:t>
            </w:r>
            <w:r>
              <w:rPr>
                <w:rFonts w:hint="eastAsia"/>
                <w:bCs/>
                <w:color w:val="auto"/>
                <w:sz w:val="24"/>
              </w:rPr>
              <w:t>浇筑</w:t>
            </w:r>
            <w:r>
              <w:rPr>
                <w:bCs/>
                <w:color w:val="auto"/>
                <w:sz w:val="24"/>
              </w:rPr>
              <w:t>作业，应采用商品混凝土，以减少水泥搅拌时扬尘的产生。确需进行现场搅拌砂浆、混凝土时应尽量做到不洒不漏、不剩、不倒，混凝土搅拌应设置在棚内，搅拌时要有喷雾降尘措施。</w:t>
            </w:r>
          </w:p>
          <w:p w14:paraId="31067FF9">
            <w:pPr>
              <w:tabs>
                <w:tab w:val="left" w:pos="1365"/>
              </w:tabs>
              <w:spacing w:line="360" w:lineRule="auto"/>
              <w:ind w:firstLine="480" w:firstLineChars="200"/>
              <w:rPr>
                <w:bCs/>
                <w:color w:val="auto"/>
                <w:sz w:val="24"/>
              </w:rPr>
            </w:pPr>
            <w:r>
              <w:rPr>
                <w:bCs/>
                <w:color w:val="auto"/>
                <w:sz w:val="24"/>
              </w:rPr>
              <w:t>（</w:t>
            </w:r>
            <w:r>
              <w:rPr>
                <w:rFonts w:hint="eastAsia"/>
                <w:bCs/>
                <w:color w:val="auto"/>
                <w:sz w:val="24"/>
              </w:rPr>
              <w:t>10</w:t>
            </w:r>
            <w:r>
              <w:rPr>
                <w:bCs/>
                <w:color w:val="auto"/>
                <w:sz w:val="24"/>
              </w:rPr>
              <w:t>）建筑工地的路面应当实施硬化，工地出入口外侧10米范围内用混凝土、沥青等硬化，出口处硬化路面不小于出口宽度。</w:t>
            </w:r>
          </w:p>
          <w:p w14:paraId="61683504">
            <w:pPr>
              <w:tabs>
                <w:tab w:val="left" w:pos="1365"/>
              </w:tabs>
              <w:spacing w:line="360" w:lineRule="auto"/>
              <w:ind w:firstLine="480" w:firstLineChars="200"/>
              <w:rPr>
                <w:bCs/>
                <w:color w:val="auto"/>
                <w:sz w:val="24"/>
              </w:rPr>
            </w:pPr>
            <w:r>
              <w:rPr>
                <w:bCs/>
                <w:color w:val="auto"/>
                <w:sz w:val="24"/>
              </w:rPr>
              <w:t>（1</w:t>
            </w:r>
            <w:r>
              <w:rPr>
                <w:rFonts w:hint="eastAsia"/>
                <w:bCs/>
                <w:color w:val="auto"/>
                <w:sz w:val="24"/>
              </w:rPr>
              <w:t>1</w:t>
            </w:r>
            <w:r>
              <w:rPr>
                <w:bCs/>
                <w:color w:val="auto"/>
                <w:sz w:val="24"/>
              </w:rPr>
              <w:t>）建设单位在工程概算中应包括用于施工过程的环保专项资金，施工单位要保证此专项资金专款专用。</w:t>
            </w:r>
          </w:p>
          <w:p w14:paraId="75C6D82E">
            <w:pPr>
              <w:tabs>
                <w:tab w:val="left" w:pos="1365"/>
              </w:tabs>
              <w:spacing w:line="360" w:lineRule="auto"/>
              <w:ind w:firstLine="480" w:firstLineChars="200"/>
              <w:rPr>
                <w:bCs/>
                <w:color w:val="auto"/>
                <w:sz w:val="24"/>
              </w:rPr>
            </w:pPr>
            <w:r>
              <w:rPr>
                <w:rFonts w:hint="eastAsia"/>
                <w:bCs/>
                <w:color w:val="auto"/>
                <w:sz w:val="24"/>
              </w:rPr>
              <w:t>（12）建设单位在施工时应严格执行《安徽省大气污染防治行动计划实施方案》（皖政〔2013〕89号）、《安徽省建筑工程施工扬尘污染防治规定》（建质〔2014〕28号）、《安徽省大气污染防治条例》（2015年01月31日安徽省第十二届人民代表大会第四次会议通过）、《安徽省建筑工程施工和预拌混凝土生产扬尘污染防治标准（试行）》（皖环发〔2019〕17号）和《防治城市扬尘污染技术规范》（HJ/T393-2007）中的相应施工要求。</w:t>
            </w:r>
          </w:p>
          <w:p w14:paraId="686054F8">
            <w:pPr>
              <w:tabs>
                <w:tab w:val="left" w:pos="1365"/>
              </w:tabs>
              <w:spacing w:line="360" w:lineRule="auto"/>
              <w:rPr>
                <w:b/>
                <w:bCs/>
                <w:color w:val="auto"/>
                <w:sz w:val="24"/>
              </w:rPr>
            </w:pPr>
            <w:r>
              <w:rPr>
                <w:rFonts w:hint="eastAsia"/>
                <w:b/>
                <w:bCs/>
                <w:color w:val="auto"/>
                <w:sz w:val="24"/>
              </w:rPr>
              <w:t>2、水环境保护措施</w:t>
            </w:r>
          </w:p>
          <w:p w14:paraId="52A89C76">
            <w:pPr>
              <w:tabs>
                <w:tab w:val="left" w:pos="1365"/>
              </w:tabs>
              <w:spacing w:line="360" w:lineRule="auto"/>
              <w:ind w:firstLine="480" w:firstLineChars="200"/>
              <w:rPr>
                <w:bCs/>
                <w:color w:val="auto"/>
                <w:sz w:val="24"/>
              </w:rPr>
            </w:pPr>
            <w:r>
              <w:rPr>
                <w:bCs/>
                <w:color w:val="auto"/>
                <w:sz w:val="24"/>
              </w:rPr>
              <w:t>对于施工废水，在施工现场设置临时废水沉淀池一座，收集施工中所排放的各类废水，废水经沉淀后，仍可作为施工用水重复利用，此外，还可用于施工现场洒水抑尘用途，这样既节约了水资源，又减轻了对周围水环境的影响。施工期生活污水</w:t>
            </w:r>
            <w:r>
              <w:rPr>
                <w:rFonts w:hint="eastAsia"/>
                <w:bCs/>
                <w:color w:val="auto"/>
                <w:sz w:val="24"/>
                <w:lang w:eastAsia="zh-CN"/>
              </w:rPr>
              <w:t>经化粪池处理后用于周边农田施肥不外排</w:t>
            </w:r>
            <w:r>
              <w:rPr>
                <w:bCs/>
                <w:color w:val="auto"/>
                <w:sz w:val="24"/>
              </w:rPr>
              <w:t>。</w:t>
            </w:r>
          </w:p>
          <w:p w14:paraId="29874A10">
            <w:pPr>
              <w:tabs>
                <w:tab w:val="left" w:pos="1365"/>
              </w:tabs>
              <w:spacing w:line="360" w:lineRule="auto"/>
              <w:rPr>
                <w:b/>
                <w:bCs/>
                <w:color w:val="auto"/>
                <w:sz w:val="24"/>
              </w:rPr>
            </w:pPr>
            <w:r>
              <w:rPr>
                <w:rFonts w:hint="eastAsia"/>
                <w:b/>
                <w:bCs/>
                <w:color w:val="auto"/>
                <w:sz w:val="24"/>
              </w:rPr>
              <w:t>3、声环境保护措施</w:t>
            </w:r>
          </w:p>
          <w:p w14:paraId="46311091">
            <w:pPr>
              <w:tabs>
                <w:tab w:val="left" w:pos="1365"/>
              </w:tabs>
              <w:spacing w:line="360" w:lineRule="auto"/>
              <w:ind w:firstLine="480" w:firstLineChars="200"/>
              <w:rPr>
                <w:bCs/>
                <w:color w:val="auto"/>
                <w:sz w:val="24"/>
              </w:rPr>
            </w:pPr>
            <w:r>
              <w:rPr>
                <w:bCs/>
                <w:color w:val="auto"/>
                <w:sz w:val="24"/>
              </w:rPr>
              <w:t>本项目位于</w:t>
            </w:r>
            <w:r>
              <w:rPr>
                <w:rFonts w:hint="eastAsia"/>
                <w:bCs/>
                <w:color w:val="auto"/>
                <w:sz w:val="24"/>
                <w:lang w:eastAsia="zh-CN"/>
              </w:rPr>
              <w:t>淮南市潘集区平圩镇邵圩村</w:t>
            </w:r>
            <w:r>
              <w:rPr>
                <w:bCs/>
                <w:color w:val="auto"/>
                <w:sz w:val="24"/>
              </w:rPr>
              <w:t>，为了减轻施工噪声对周围</w:t>
            </w:r>
            <w:r>
              <w:rPr>
                <w:rFonts w:hint="eastAsia"/>
                <w:bCs/>
                <w:color w:val="auto"/>
                <w:sz w:val="24"/>
              </w:rPr>
              <w:t>声环境</w:t>
            </w:r>
            <w:r>
              <w:rPr>
                <w:bCs/>
                <w:color w:val="auto"/>
                <w:sz w:val="24"/>
              </w:rPr>
              <w:t>的影响，建议采取以下控制措施：</w:t>
            </w:r>
          </w:p>
          <w:p w14:paraId="635572D3">
            <w:pPr>
              <w:tabs>
                <w:tab w:val="left" w:pos="1365"/>
              </w:tabs>
              <w:spacing w:line="360" w:lineRule="auto"/>
              <w:ind w:firstLine="480" w:firstLineChars="200"/>
              <w:rPr>
                <w:rFonts w:hint="eastAsia" w:eastAsia="宋体"/>
                <w:bCs/>
                <w:color w:val="auto"/>
                <w:sz w:val="24"/>
                <w:lang w:val="en-US" w:eastAsia="zh-CN"/>
              </w:rPr>
            </w:pPr>
            <w:r>
              <w:rPr>
                <w:rFonts w:hint="eastAsia"/>
                <w:bCs/>
                <w:color w:val="auto"/>
                <w:sz w:val="24"/>
              </w:rPr>
              <w:t>（1）施工单位加强施工管理，合理安排施工作业时间，严格按照施工噪声管理的有关规定执行。夜间</w:t>
            </w:r>
            <w:r>
              <w:rPr>
                <w:bCs/>
                <w:color w:val="auto"/>
                <w:sz w:val="24"/>
              </w:rPr>
              <w:t>22:00</w:t>
            </w:r>
            <w:r>
              <w:rPr>
                <w:rFonts w:hint="eastAsia"/>
                <w:bCs/>
                <w:color w:val="auto"/>
                <w:sz w:val="24"/>
              </w:rPr>
              <w:t>～次日</w:t>
            </w:r>
            <w:r>
              <w:rPr>
                <w:bCs/>
                <w:color w:val="auto"/>
                <w:sz w:val="24"/>
              </w:rPr>
              <w:t>6:00</w:t>
            </w:r>
            <w:r>
              <w:rPr>
                <w:rFonts w:hint="eastAsia"/>
                <w:bCs/>
                <w:color w:val="auto"/>
                <w:sz w:val="24"/>
              </w:rPr>
              <w:t>，禁止施工作业，若确需连续浇注，必须经环保部门同意，并以安民告示的方式张贴公告，在中考和高考期间，无论何种情况，夜间一律不许施工。</w:t>
            </w:r>
          </w:p>
          <w:p w14:paraId="6022F4EC">
            <w:pPr>
              <w:tabs>
                <w:tab w:val="left" w:pos="1365"/>
              </w:tabs>
              <w:spacing w:line="360" w:lineRule="auto"/>
              <w:ind w:firstLine="480" w:firstLineChars="200"/>
              <w:rPr>
                <w:bCs/>
                <w:color w:val="auto"/>
                <w:sz w:val="24"/>
              </w:rPr>
            </w:pPr>
            <w:r>
              <w:rPr>
                <w:rFonts w:hint="eastAsia"/>
                <w:bCs/>
                <w:color w:val="auto"/>
                <w:sz w:val="24"/>
              </w:rPr>
              <w:t>（2）对产生噪声的施工机械要合理布局并采取降噪措施，应尽可能放置于对场界外造成影响最小的地点。</w:t>
            </w:r>
          </w:p>
          <w:p w14:paraId="381AEDA2">
            <w:pPr>
              <w:tabs>
                <w:tab w:val="left" w:pos="1365"/>
              </w:tabs>
              <w:spacing w:line="360" w:lineRule="auto"/>
              <w:ind w:firstLine="480" w:firstLineChars="200"/>
              <w:rPr>
                <w:bCs/>
                <w:color w:val="auto"/>
                <w:sz w:val="24"/>
              </w:rPr>
            </w:pPr>
            <w:r>
              <w:rPr>
                <w:rFonts w:hint="eastAsia"/>
                <w:bCs/>
                <w:color w:val="auto"/>
                <w:sz w:val="24"/>
              </w:rPr>
              <w:t>（3）尽量压缩施工区汽车数量和行车密度，控制汽车鸣笛。应合理安排运输时段，以减少扰民事件的发生。</w:t>
            </w:r>
          </w:p>
          <w:p w14:paraId="7C1B28E7">
            <w:pPr>
              <w:tabs>
                <w:tab w:val="left" w:pos="1365"/>
              </w:tabs>
              <w:spacing w:line="360" w:lineRule="auto"/>
              <w:ind w:firstLine="480" w:firstLineChars="200"/>
              <w:rPr>
                <w:bCs/>
                <w:color w:val="auto"/>
                <w:sz w:val="24"/>
              </w:rPr>
            </w:pPr>
            <w:r>
              <w:rPr>
                <w:rFonts w:hint="eastAsia"/>
                <w:bCs/>
                <w:color w:val="auto"/>
                <w:sz w:val="24"/>
              </w:rPr>
              <w:t>（4）施工单位应处理好与施工场界周围居民的关系，避免因噪声污染引发纠纷，影响社会稳定。</w:t>
            </w:r>
          </w:p>
          <w:p w14:paraId="38FD29F1">
            <w:pPr>
              <w:tabs>
                <w:tab w:val="left" w:pos="1365"/>
              </w:tabs>
              <w:spacing w:line="360" w:lineRule="auto"/>
              <w:ind w:firstLine="480" w:firstLineChars="200"/>
              <w:rPr>
                <w:bCs/>
                <w:color w:val="auto"/>
                <w:sz w:val="24"/>
              </w:rPr>
            </w:pPr>
            <w:r>
              <w:rPr>
                <w:rFonts w:hint="eastAsia"/>
                <w:bCs/>
                <w:color w:val="auto"/>
                <w:sz w:val="24"/>
              </w:rPr>
              <w:t>（5）施工机械产生的噪声往往具有突发、无规则、不连续和高强度等特点，施工单位应采取合理安排施工机械操作时间的方法加以缓解，并减少同时作业的高噪施工机械数量，尽可能减轻声源叠加影响。</w:t>
            </w:r>
          </w:p>
          <w:p w14:paraId="633EDE7C">
            <w:pPr>
              <w:tabs>
                <w:tab w:val="left" w:pos="1365"/>
              </w:tabs>
              <w:spacing w:line="360" w:lineRule="auto"/>
              <w:ind w:firstLine="480" w:firstLineChars="200"/>
              <w:rPr>
                <w:bCs/>
                <w:color w:val="auto"/>
                <w:sz w:val="24"/>
              </w:rPr>
            </w:pPr>
            <w:r>
              <w:rPr>
                <w:rFonts w:hint="eastAsia"/>
                <w:bCs/>
                <w:color w:val="auto"/>
                <w:sz w:val="24"/>
              </w:rPr>
              <w:t>（6）在施工过程中，施工单位应严格执行《建筑施工场界噪声排放标准》（</w:t>
            </w:r>
            <w:r>
              <w:rPr>
                <w:bCs/>
                <w:color w:val="auto"/>
                <w:sz w:val="24"/>
              </w:rPr>
              <w:t>GB12523</w:t>
            </w:r>
            <w:r>
              <w:rPr>
                <w:rFonts w:hint="eastAsia"/>
                <w:bCs/>
                <w:color w:val="auto"/>
                <w:sz w:val="24"/>
              </w:rPr>
              <w:t>-</w:t>
            </w:r>
            <w:r>
              <w:rPr>
                <w:bCs/>
                <w:color w:val="auto"/>
                <w:sz w:val="24"/>
              </w:rPr>
              <w:t>2011</w:t>
            </w:r>
            <w:r>
              <w:rPr>
                <w:rFonts w:hint="eastAsia"/>
                <w:bCs/>
                <w:color w:val="auto"/>
                <w:sz w:val="24"/>
              </w:rPr>
              <w:t>）中的有关规定，避免施工扰民事件的发生。</w:t>
            </w:r>
          </w:p>
          <w:p w14:paraId="7DEA3660">
            <w:pPr>
              <w:tabs>
                <w:tab w:val="left" w:pos="1365"/>
              </w:tabs>
              <w:spacing w:line="360" w:lineRule="auto"/>
              <w:ind w:firstLine="480" w:firstLineChars="200"/>
              <w:rPr>
                <w:bCs/>
                <w:color w:val="auto"/>
                <w:sz w:val="24"/>
              </w:rPr>
            </w:pPr>
            <w:r>
              <w:rPr>
                <w:rFonts w:hint="eastAsia"/>
                <w:bCs/>
                <w:color w:val="auto"/>
                <w:sz w:val="24"/>
              </w:rPr>
              <w:t>（7）要求业主单位在施工现场标明投诉电话，一旦接到投诉，业主单位应及时与当地环保部门取得联系，以便及时处理环境纠纷。</w:t>
            </w:r>
          </w:p>
          <w:p w14:paraId="1D350055">
            <w:pPr>
              <w:tabs>
                <w:tab w:val="left" w:pos="1365"/>
              </w:tabs>
              <w:spacing w:line="360" w:lineRule="auto"/>
              <w:rPr>
                <w:b/>
                <w:bCs/>
                <w:color w:val="auto"/>
                <w:sz w:val="24"/>
              </w:rPr>
            </w:pPr>
            <w:r>
              <w:rPr>
                <w:rFonts w:hint="eastAsia"/>
                <w:b/>
                <w:bCs/>
                <w:color w:val="auto"/>
                <w:sz w:val="24"/>
              </w:rPr>
              <w:t>4、固体废物污染防治措施</w:t>
            </w:r>
          </w:p>
          <w:p w14:paraId="155A6F4F">
            <w:pPr>
              <w:tabs>
                <w:tab w:val="left" w:pos="1365"/>
              </w:tabs>
              <w:spacing w:line="360" w:lineRule="auto"/>
              <w:ind w:firstLine="480" w:firstLineChars="200"/>
              <w:rPr>
                <w:bCs/>
                <w:color w:val="auto"/>
                <w:sz w:val="24"/>
              </w:rPr>
            </w:pPr>
            <w:r>
              <w:rPr>
                <w:bCs/>
                <w:color w:val="auto"/>
                <w:sz w:val="24"/>
              </w:rPr>
              <w:t>为降低和消除</w:t>
            </w:r>
            <w:r>
              <w:rPr>
                <w:rFonts w:hint="eastAsia"/>
                <w:bCs/>
                <w:color w:val="auto"/>
                <w:sz w:val="24"/>
              </w:rPr>
              <w:t>施工期</w:t>
            </w:r>
            <w:r>
              <w:rPr>
                <w:bCs/>
                <w:color w:val="auto"/>
                <w:sz w:val="24"/>
              </w:rPr>
              <w:t>固体废物对环境的影响，首先应对施工过程中产生的碎石、碎砖等碎建筑材料及场地挖掘产生的土方应尽快利用以减少堆存时间，若在不能确保其全部利用时，需对不能利用部分及时清运出场并按渣土有关管理要求进行处置，以免因长期堆积而产生二次污染；其次现场搅拌砂浆、混凝土时应按用量进行配料，尽量做到不洒、不漏、不剩、不倒；生活垃圾应集中收集，及时清运出场。</w:t>
            </w:r>
          </w:p>
          <w:p w14:paraId="496CE68A">
            <w:pPr>
              <w:tabs>
                <w:tab w:val="left" w:pos="1365"/>
              </w:tabs>
              <w:spacing w:line="360" w:lineRule="auto"/>
              <w:rPr>
                <w:b/>
                <w:bCs/>
                <w:color w:val="auto"/>
                <w:sz w:val="24"/>
              </w:rPr>
            </w:pPr>
            <w:r>
              <w:rPr>
                <w:rFonts w:hint="eastAsia"/>
                <w:b/>
                <w:bCs/>
                <w:color w:val="auto"/>
                <w:sz w:val="24"/>
              </w:rPr>
              <w:t>5、水土流失控制措施</w:t>
            </w:r>
          </w:p>
          <w:p w14:paraId="71D528DA">
            <w:pPr>
              <w:tabs>
                <w:tab w:val="left" w:pos="1365"/>
              </w:tabs>
              <w:spacing w:line="360" w:lineRule="auto"/>
              <w:ind w:firstLine="480" w:firstLineChars="200"/>
              <w:rPr>
                <w:bCs/>
                <w:color w:val="auto"/>
                <w:sz w:val="24"/>
              </w:rPr>
            </w:pPr>
            <w:r>
              <w:rPr>
                <w:bCs/>
                <w:color w:val="auto"/>
                <w:sz w:val="24"/>
              </w:rPr>
              <w:t>（1）工程施工中要做好土石方平衡工作，开挖的土方应尽量作为施工场地平整回填之用。如果有弃土，应妥善处理；如有缺土，应采购宕渣砾料代替。</w:t>
            </w:r>
          </w:p>
          <w:p w14:paraId="198D228B">
            <w:pPr>
              <w:tabs>
                <w:tab w:val="left" w:pos="1365"/>
              </w:tabs>
              <w:spacing w:line="360" w:lineRule="auto"/>
              <w:ind w:firstLine="480" w:firstLineChars="200"/>
              <w:rPr>
                <w:bCs/>
                <w:color w:val="auto"/>
                <w:sz w:val="24"/>
              </w:rPr>
            </w:pPr>
            <w:r>
              <w:rPr>
                <w:bCs/>
                <w:color w:val="auto"/>
                <w:sz w:val="24"/>
              </w:rPr>
              <w:t>（2）工程施工应分期分区进行，以缩短单项工期。开挖裸露面要有防治措施，尽量缩短暴露时间，减少水土流失。</w:t>
            </w:r>
          </w:p>
          <w:p w14:paraId="5672DEF9">
            <w:pPr>
              <w:tabs>
                <w:tab w:val="left" w:pos="1365"/>
              </w:tabs>
              <w:spacing w:line="360" w:lineRule="auto"/>
              <w:ind w:firstLine="480" w:firstLineChars="200"/>
              <w:rPr>
                <w:bCs/>
                <w:color w:val="auto"/>
                <w:sz w:val="24"/>
              </w:rPr>
            </w:pPr>
            <w:r>
              <w:rPr>
                <w:bCs/>
                <w:color w:val="auto"/>
                <w:sz w:val="24"/>
              </w:rPr>
              <w:t>（3）借土的临时堆放场地中，若有相对比较集中的地方，其周边应挖好排水沟，避免雨季时的水土流失。堆土的边坡要小，尽量压实，使其少占地且不易被雨水冲刷造成流失。</w:t>
            </w:r>
          </w:p>
          <w:p w14:paraId="0FE0E44E">
            <w:pPr>
              <w:tabs>
                <w:tab w:val="left" w:pos="1365"/>
              </w:tabs>
              <w:spacing w:line="360" w:lineRule="auto"/>
              <w:ind w:firstLine="480" w:firstLineChars="200"/>
              <w:rPr>
                <w:bCs/>
                <w:color w:val="auto"/>
                <w:sz w:val="24"/>
              </w:rPr>
            </w:pPr>
            <w:r>
              <w:rPr>
                <w:bCs/>
                <w:color w:val="auto"/>
                <w:sz w:val="24"/>
              </w:rPr>
              <w:t>综上所述，施工期产生的废气、粉尘、噪声、固体废物将会对环境产生一定影响，但不会影响到居民区。只要施工单位认真做好施工组织安排，并进行文明施工，通过采取适当环保措施后，可有效消除、降低工程土建施工期对环境的不利影响。</w:t>
            </w:r>
          </w:p>
          <w:p w14:paraId="2506A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Cs/>
                <w:color w:val="auto"/>
                <w:spacing w:val="-10"/>
                <w:szCs w:val="21"/>
                <w:lang w:val="en-US" w:eastAsia="zh-CN"/>
              </w:rPr>
            </w:pPr>
          </w:p>
        </w:tc>
      </w:tr>
    </w:tbl>
    <w:p w14:paraId="0E6E6BBC">
      <w:pPr>
        <w:numPr>
          <w:ilvl w:val="0"/>
          <w:numId w:val="5"/>
        </w:numPr>
        <w:spacing w:line="360" w:lineRule="auto"/>
        <w:jc w:val="center"/>
        <w:outlineLvl w:val="0"/>
        <w:rPr>
          <w:rFonts w:hint="eastAsia" w:eastAsia="黑体"/>
          <w:b/>
          <w:bCs/>
          <w:color w:val="auto"/>
          <w:sz w:val="30"/>
          <w:szCs w:val="24"/>
        </w:rPr>
        <w:sectPr>
          <w:pgSz w:w="11906" w:h="16838"/>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5"/>
        <w:gridCol w:w="13449"/>
      </w:tblGrid>
      <w:tr w14:paraId="72ACF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5" w:type="dxa"/>
            <w:noWrap w:val="0"/>
            <w:vAlign w:val="center"/>
          </w:tcPr>
          <w:p w14:paraId="69E723DB">
            <w:pPr>
              <w:spacing w:line="360" w:lineRule="auto"/>
              <w:jc w:val="center"/>
              <w:outlineLvl w:val="0"/>
              <w:rPr>
                <w:rFonts w:ascii="宋体" w:hAnsi="宋体"/>
                <w:bCs/>
                <w:color w:val="auto"/>
                <w:szCs w:val="21"/>
              </w:rPr>
            </w:pPr>
            <w:bookmarkStart w:id="12" w:name="_Toc3491"/>
            <w:r>
              <w:rPr>
                <w:rFonts w:hint="eastAsia" w:ascii="宋体" w:hAnsi="宋体"/>
                <w:bCs/>
                <w:color w:val="auto"/>
                <w:szCs w:val="21"/>
              </w:rPr>
              <w:t>运营期环境影响和保护措施</w:t>
            </w:r>
            <w:bookmarkEnd w:id="12"/>
          </w:p>
        </w:tc>
        <w:tc>
          <w:tcPr>
            <w:tcW w:w="13449" w:type="dxa"/>
            <w:noWrap w:val="0"/>
            <w:vAlign w:val="top"/>
          </w:tcPr>
          <w:p w14:paraId="67DF54AB">
            <w:pPr>
              <w:spacing w:line="360" w:lineRule="auto"/>
              <w:outlineLvl w:val="0"/>
              <w:rPr>
                <w:b/>
                <w:color w:val="auto"/>
                <w:sz w:val="24"/>
                <w:szCs w:val="24"/>
              </w:rPr>
            </w:pPr>
            <w:bookmarkStart w:id="13" w:name="_Toc30653"/>
            <w:r>
              <w:rPr>
                <w:rFonts w:hint="eastAsia"/>
                <w:b/>
                <w:color w:val="auto"/>
                <w:sz w:val="24"/>
                <w:szCs w:val="24"/>
              </w:rPr>
              <w:t>1、大气环境影响及保护措施</w:t>
            </w:r>
            <w:bookmarkEnd w:id="13"/>
          </w:p>
          <w:p w14:paraId="506BBD93">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cs="Times New Roman"/>
                <w:b/>
                <w:bCs/>
                <w:color w:val="auto"/>
                <w:sz w:val="24"/>
                <w:lang w:val="en-US" w:eastAsia="zh-CN"/>
              </w:rPr>
            </w:pPr>
            <w:r>
              <w:rPr>
                <w:rFonts w:hint="eastAsia" w:cs="Times New Roman"/>
                <w:b/>
                <w:bCs/>
                <w:color w:val="auto"/>
                <w:sz w:val="24"/>
                <w:lang w:val="en-US" w:eastAsia="zh-CN"/>
              </w:rPr>
              <w:t>1.1废气污染源分析</w:t>
            </w:r>
          </w:p>
          <w:p w14:paraId="0FCBFF98">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cs="Times New Roman"/>
                <w:color w:val="auto"/>
                <w:sz w:val="24"/>
              </w:rPr>
              <w:t>项目营运期</w:t>
            </w:r>
            <w:r>
              <w:rPr>
                <w:rFonts w:hint="default" w:ascii="Times New Roman" w:hAnsi="Times New Roman" w:cs="Times New Roman"/>
                <w:color w:val="auto"/>
                <w:sz w:val="24"/>
                <w:lang w:val="en-US" w:eastAsia="zh-CN"/>
              </w:rPr>
              <w:t>主要</w:t>
            </w:r>
            <w:r>
              <w:rPr>
                <w:rFonts w:hint="default" w:ascii="Times New Roman" w:hAnsi="Times New Roman" w:cs="Times New Roman"/>
                <w:color w:val="auto"/>
                <w:sz w:val="24"/>
              </w:rPr>
              <w:t>大气污染物</w:t>
            </w:r>
            <w:r>
              <w:rPr>
                <w:rFonts w:hint="eastAsia" w:cs="Times New Roman"/>
                <w:color w:val="auto"/>
                <w:sz w:val="24"/>
                <w:highlight w:val="none"/>
                <w:lang w:val="en-US" w:eastAsia="zh-CN"/>
              </w:rPr>
              <w:t>主要为</w:t>
            </w:r>
            <w:r>
              <w:rPr>
                <w:rFonts w:hint="eastAsia" w:ascii="宋体" w:hAnsi="宋体" w:eastAsia="宋体" w:cs="宋体"/>
                <w:color w:val="auto"/>
                <w:kern w:val="0"/>
                <w:sz w:val="24"/>
                <w:szCs w:val="24"/>
                <w:lang w:val="en-US" w:eastAsia="zh-CN" w:bidi="ar"/>
              </w:rPr>
              <w:t>卸料废气、清理废气和大米加工废气。</w:t>
            </w:r>
          </w:p>
          <w:p w14:paraId="59D3A3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lang w:val="en-US" w:eastAsia="zh-CN"/>
              </w:rPr>
            </w:pPr>
            <w:r>
              <w:rPr>
                <w:rFonts w:hint="eastAsia" w:cs="Times New Roman"/>
                <w:color w:val="auto"/>
                <w:sz w:val="24"/>
                <w:highlight w:val="none"/>
                <w:lang w:eastAsia="zh-CN"/>
              </w:rPr>
              <w:t>建设项目有组织废气产生及排放情况详见表</w:t>
            </w:r>
            <w:r>
              <w:rPr>
                <w:rFonts w:hint="eastAsia" w:cs="Times New Roman"/>
                <w:color w:val="auto"/>
                <w:sz w:val="24"/>
                <w:highlight w:val="none"/>
                <w:lang w:val="en-US" w:eastAsia="zh-CN"/>
              </w:rPr>
              <w:t>4-1。</w:t>
            </w:r>
          </w:p>
          <w:p w14:paraId="0CFD4676">
            <w:pPr>
              <w:spacing w:line="360" w:lineRule="auto"/>
              <w:jc w:val="center"/>
              <w:rPr>
                <w:b/>
                <w:color w:val="auto"/>
                <w:szCs w:val="21"/>
              </w:rPr>
            </w:pPr>
            <w:r>
              <w:rPr>
                <w:rFonts w:hint="eastAsia"/>
                <w:b/>
                <w:color w:val="auto"/>
                <w:szCs w:val="21"/>
              </w:rPr>
              <w:t>表4-1  建设项目有组织废气产生及排放情况一览表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88"/>
              <w:gridCol w:w="611"/>
              <w:gridCol w:w="701"/>
              <w:gridCol w:w="1074"/>
              <w:gridCol w:w="1032"/>
              <w:gridCol w:w="1159"/>
              <w:gridCol w:w="1244"/>
              <w:gridCol w:w="896"/>
              <w:gridCol w:w="767"/>
              <w:gridCol w:w="770"/>
              <w:gridCol w:w="550"/>
              <w:gridCol w:w="860"/>
              <w:gridCol w:w="1077"/>
              <w:gridCol w:w="1114"/>
              <w:gridCol w:w="680"/>
            </w:tblGrid>
            <w:tr w14:paraId="11919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restart"/>
                  <w:vAlign w:val="center"/>
                </w:tcPr>
                <w:p w14:paraId="350EEF5F">
                  <w:pPr>
                    <w:keepNext w:val="0"/>
                    <w:keepLines w:val="0"/>
                    <w:pageBreakBefore w:val="0"/>
                    <w:kinsoku/>
                    <w:wordWrap/>
                    <w:overflowPunct/>
                    <w:topLinePunct w:val="0"/>
                    <w:autoSpaceDE/>
                    <w:autoSpaceDN/>
                    <w:bidi w:val="0"/>
                    <w:adjustRightInd/>
                    <w:snapToGrid/>
                    <w:spacing w:line="360" w:lineRule="auto"/>
                    <w:jc w:val="center"/>
                    <w:rPr>
                      <w:rFonts w:hint="eastAsia" w:ascii="Times New Roman" w:hAnsi="Times New Roman" w:eastAsia="宋体" w:cs="Times New Roman"/>
                      <w:b/>
                      <w:color w:val="auto"/>
                      <w:sz w:val="21"/>
                      <w:szCs w:val="21"/>
                      <w:lang w:val="en-US" w:eastAsia="zh-CN"/>
                    </w:rPr>
                  </w:pPr>
                  <w:r>
                    <w:rPr>
                      <w:rFonts w:hint="eastAsia" w:cs="Times New Roman"/>
                      <w:b/>
                      <w:color w:val="auto"/>
                      <w:sz w:val="21"/>
                      <w:szCs w:val="21"/>
                      <w:lang w:val="en-US" w:eastAsia="zh-CN"/>
                    </w:rPr>
                    <w:t>排气筒编号</w:t>
                  </w:r>
                </w:p>
              </w:tc>
              <w:tc>
                <w:tcPr>
                  <w:tcW w:w="231" w:type="pct"/>
                  <w:vMerge w:val="restart"/>
                  <w:vAlign w:val="center"/>
                </w:tcPr>
                <w:p w14:paraId="5EEE2AF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产排污</w:t>
                  </w:r>
                </w:p>
                <w:p w14:paraId="2221464A">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环节</w:t>
                  </w:r>
                </w:p>
              </w:tc>
              <w:tc>
                <w:tcPr>
                  <w:tcW w:w="265" w:type="pct"/>
                  <w:vMerge w:val="restart"/>
                  <w:vAlign w:val="center"/>
                </w:tcPr>
                <w:p w14:paraId="09C4619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污染物种类</w:t>
                  </w:r>
                </w:p>
              </w:tc>
              <w:tc>
                <w:tcPr>
                  <w:tcW w:w="1234" w:type="pct"/>
                  <w:gridSpan w:val="3"/>
                  <w:vAlign w:val="center"/>
                </w:tcPr>
                <w:p w14:paraId="26B8348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污染物产生情况</w:t>
                  </w:r>
                </w:p>
              </w:tc>
              <w:tc>
                <w:tcPr>
                  <w:tcW w:w="1597" w:type="pct"/>
                  <w:gridSpan w:val="5"/>
                  <w:vAlign w:val="center"/>
                </w:tcPr>
                <w:p w14:paraId="275E284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治理设施</w:t>
                  </w:r>
                </w:p>
              </w:tc>
              <w:tc>
                <w:tcPr>
                  <w:tcW w:w="1410" w:type="pct"/>
                  <w:gridSpan w:val="4"/>
                  <w:vAlign w:val="center"/>
                </w:tcPr>
                <w:p w14:paraId="48D63F9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污染物排放情况</w:t>
                  </w:r>
                </w:p>
              </w:tc>
            </w:tr>
            <w:tr w14:paraId="09668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Merge w:val="continue"/>
                  <w:vAlign w:val="center"/>
                </w:tcPr>
                <w:p w14:paraId="706D839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p>
              </w:tc>
              <w:tc>
                <w:tcPr>
                  <w:tcW w:w="231" w:type="pct"/>
                  <w:vMerge w:val="continue"/>
                  <w:vAlign w:val="center"/>
                </w:tcPr>
                <w:p w14:paraId="4F400D9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p>
              </w:tc>
              <w:tc>
                <w:tcPr>
                  <w:tcW w:w="265" w:type="pct"/>
                  <w:vMerge w:val="continue"/>
                  <w:vAlign w:val="center"/>
                </w:tcPr>
                <w:p w14:paraId="1F36BF7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p>
              </w:tc>
              <w:tc>
                <w:tcPr>
                  <w:tcW w:w="406" w:type="pct"/>
                  <w:vAlign w:val="center"/>
                </w:tcPr>
                <w:p w14:paraId="44E345C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产生量</w:t>
                  </w:r>
                </w:p>
                <w:p w14:paraId="17AD763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（t/a）</w:t>
                  </w:r>
                </w:p>
              </w:tc>
              <w:tc>
                <w:tcPr>
                  <w:tcW w:w="390" w:type="pct"/>
                  <w:vAlign w:val="center"/>
                </w:tcPr>
                <w:p w14:paraId="6FBE293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产生速率（kg/h）</w:t>
                  </w:r>
                </w:p>
              </w:tc>
              <w:tc>
                <w:tcPr>
                  <w:tcW w:w="438" w:type="pct"/>
                  <w:vAlign w:val="center"/>
                </w:tcPr>
                <w:p w14:paraId="40F91E7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产生浓度（mg/m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470" w:type="pct"/>
                  <w:vAlign w:val="center"/>
                </w:tcPr>
                <w:p w14:paraId="4D3722A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治理设施名称及工艺</w:t>
                  </w:r>
                </w:p>
              </w:tc>
              <w:tc>
                <w:tcPr>
                  <w:tcW w:w="338" w:type="pct"/>
                  <w:vAlign w:val="center"/>
                </w:tcPr>
                <w:p w14:paraId="4E7DE4E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处理能力（m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/h）</w:t>
                  </w:r>
                </w:p>
              </w:tc>
              <w:tc>
                <w:tcPr>
                  <w:tcW w:w="290" w:type="pct"/>
                  <w:vAlign w:val="center"/>
                </w:tcPr>
                <w:p w14:paraId="7637E44F">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收集效率（%）</w:t>
                  </w:r>
                </w:p>
              </w:tc>
              <w:tc>
                <w:tcPr>
                  <w:tcW w:w="291" w:type="pct"/>
                  <w:vAlign w:val="center"/>
                </w:tcPr>
                <w:p w14:paraId="5A4EB35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去除效率（%）</w:t>
                  </w:r>
                </w:p>
              </w:tc>
              <w:tc>
                <w:tcPr>
                  <w:tcW w:w="207" w:type="pct"/>
                  <w:vAlign w:val="center"/>
                </w:tcPr>
                <w:p w14:paraId="7BFB1B55">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是否为可行技术</w:t>
                  </w:r>
                </w:p>
              </w:tc>
              <w:tc>
                <w:tcPr>
                  <w:tcW w:w="325" w:type="pct"/>
                  <w:vAlign w:val="center"/>
                </w:tcPr>
                <w:p w14:paraId="1AE68E4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排放量</w:t>
                  </w:r>
                </w:p>
                <w:p w14:paraId="46EDC88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（t/a）</w:t>
                  </w:r>
                </w:p>
              </w:tc>
              <w:tc>
                <w:tcPr>
                  <w:tcW w:w="407" w:type="pct"/>
                  <w:vAlign w:val="center"/>
                </w:tcPr>
                <w:p w14:paraId="71972CA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排放速率（kg/h）</w:t>
                  </w:r>
                </w:p>
              </w:tc>
              <w:tc>
                <w:tcPr>
                  <w:tcW w:w="421" w:type="pct"/>
                  <w:vAlign w:val="center"/>
                </w:tcPr>
                <w:p w14:paraId="7F164706">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排放浓度（mg/m</w:t>
                  </w:r>
                  <w:r>
                    <w:rPr>
                      <w:rFonts w:hint="default" w:ascii="Times New Roman" w:hAnsi="Times New Roman" w:eastAsia="宋体" w:cs="Times New Roman"/>
                      <w:b/>
                      <w:color w:val="auto"/>
                      <w:sz w:val="21"/>
                      <w:szCs w:val="21"/>
                      <w:vertAlign w:val="superscript"/>
                    </w:rPr>
                    <w:t>3</w:t>
                  </w:r>
                  <w:r>
                    <w:rPr>
                      <w:rFonts w:hint="default" w:ascii="Times New Roman" w:hAnsi="Times New Roman" w:eastAsia="宋体" w:cs="Times New Roman"/>
                      <w:b/>
                      <w:color w:val="auto"/>
                      <w:sz w:val="21"/>
                      <w:szCs w:val="21"/>
                    </w:rPr>
                    <w:t>）</w:t>
                  </w:r>
                </w:p>
              </w:tc>
              <w:tc>
                <w:tcPr>
                  <w:tcW w:w="257" w:type="pct"/>
                  <w:vAlign w:val="center"/>
                </w:tcPr>
                <w:p w14:paraId="2D39076D">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排放时间（h）</w:t>
                  </w:r>
                </w:p>
              </w:tc>
            </w:tr>
            <w:tr w14:paraId="63628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60" w:type="pct"/>
                  <w:vAlign w:val="center"/>
                </w:tcPr>
                <w:p w14:paraId="21CFB62A">
                  <w:pPr>
                    <w:keepNext w:val="0"/>
                    <w:keepLines w:val="0"/>
                    <w:pageBreakBefore w:val="0"/>
                    <w:kinsoku/>
                    <w:wordWrap/>
                    <w:overflowPunct/>
                    <w:topLinePunct w:val="0"/>
                    <w:autoSpaceDE/>
                    <w:autoSpaceDN/>
                    <w:bidi w:val="0"/>
                    <w:adjustRightInd/>
                    <w:snapToGrid/>
                    <w:spacing w:line="36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DA001</w:t>
                  </w:r>
                </w:p>
              </w:tc>
              <w:tc>
                <w:tcPr>
                  <w:tcW w:w="231" w:type="pct"/>
                  <w:vAlign w:val="center"/>
                </w:tcPr>
                <w:p w14:paraId="307EF973">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卸料、清理</w:t>
                  </w:r>
                </w:p>
              </w:tc>
              <w:tc>
                <w:tcPr>
                  <w:tcW w:w="265" w:type="pct"/>
                  <w:vAlign w:val="center"/>
                </w:tcPr>
                <w:p w14:paraId="119EDC3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406" w:type="pct"/>
                  <w:vAlign w:val="center"/>
                </w:tcPr>
                <w:p w14:paraId="0371FD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i w:val="0"/>
                      <w:iCs w:val="0"/>
                      <w:color w:val="auto"/>
                      <w:kern w:val="0"/>
                      <w:sz w:val="21"/>
                      <w:szCs w:val="21"/>
                      <w:u w:val="none"/>
                      <w:lang w:val="en-US" w:eastAsia="zh-CN" w:bidi="ar"/>
                    </w:rPr>
                    <w:t>28.350</w:t>
                  </w:r>
                </w:p>
              </w:tc>
              <w:tc>
                <w:tcPr>
                  <w:tcW w:w="390" w:type="pct"/>
                  <w:vAlign w:val="center"/>
                </w:tcPr>
                <w:p w14:paraId="08B172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cs="Times New Roman"/>
                      <w:i w:val="0"/>
                      <w:iCs w:val="0"/>
                      <w:color w:val="auto"/>
                      <w:kern w:val="0"/>
                      <w:sz w:val="21"/>
                      <w:szCs w:val="21"/>
                      <w:u w:val="none"/>
                      <w:lang w:val="en-US" w:eastAsia="zh-CN" w:bidi="ar"/>
                    </w:rPr>
                    <w:t>11.813</w:t>
                  </w:r>
                </w:p>
              </w:tc>
              <w:tc>
                <w:tcPr>
                  <w:tcW w:w="438" w:type="pct"/>
                  <w:vAlign w:val="center"/>
                </w:tcPr>
                <w:p w14:paraId="493D70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color w:val="auto"/>
                      <w:kern w:val="0"/>
                      <w:sz w:val="21"/>
                      <w:szCs w:val="21"/>
                      <w:lang w:val="en-US" w:eastAsia="zh-CN" w:bidi="ar"/>
                    </w:rPr>
                  </w:pPr>
                  <w:r>
                    <w:rPr>
                      <w:rFonts w:hint="eastAsia" w:cs="Times New Roman"/>
                      <w:i w:val="0"/>
                      <w:iCs w:val="0"/>
                      <w:color w:val="auto"/>
                      <w:kern w:val="0"/>
                      <w:sz w:val="21"/>
                      <w:szCs w:val="21"/>
                      <w:u w:val="none"/>
                      <w:lang w:val="en-US" w:eastAsia="zh-CN" w:bidi="ar"/>
                    </w:rPr>
                    <w:t>1476.56</w:t>
                  </w:r>
                </w:p>
              </w:tc>
              <w:tc>
                <w:tcPr>
                  <w:tcW w:w="470" w:type="pct"/>
                  <w:vAlign w:val="center"/>
                </w:tcPr>
                <w:p w14:paraId="05DABA97">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rPr>
                  </w:pPr>
                  <w:r>
                    <w:rPr>
                      <w:rFonts w:hint="eastAsia" w:ascii="Times New Roman" w:hAnsi="Times New Roman" w:cs="Times New Roman"/>
                      <w:color w:val="auto"/>
                      <w:sz w:val="21"/>
                      <w:szCs w:val="21"/>
                      <w:lang w:eastAsia="zh-CN"/>
                    </w:rPr>
                    <w:t>旋风除尘器</w:t>
                  </w:r>
                  <w:r>
                    <w:rPr>
                      <w:rFonts w:hint="eastAsia" w:ascii="Times New Roman" w:hAnsi="Times New Roman" w:cs="Times New Roman"/>
                      <w:color w:val="auto"/>
                      <w:sz w:val="21"/>
                      <w:szCs w:val="21"/>
                      <w:lang w:val="en-US" w:eastAsia="zh-CN"/>
                    </w:rPr>
                    <w:t>+布袋除尘器</w:t>
                  </w:r>
                </w:p>
              </w:tc>
              <w:tc>
                <w:tcPr>
                  <w:tcW w:w="338" w:type="pct"/>
                  <w:vAlign w:val="center"/>
                </w:tcPr>
                <w:p w14:paraId="4448E3A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8</w:t>
                  </w:r>
                  <w:r>
                    <w:rPr>
                      <w:rFonts w:hint="eastAsia" w:ascii="Times New Roman" w:hAnsi="Times New Roman" w:eastAsia="宋体" w:cs="Times New Roman"/>
                      <w:color w:val="auto"/>
                      <w:sz w:val="21"/>
                      <w:szCs w:val="21"/>
                      <w:lang w:val="en-US" w:eastAsia="zh-CN"/>
                    </w:rPr>
                    <w:t>000</w:t>
                  </w:r>
                </w:p>
              </w:tc>
              <w:tc>
                <w:tcPr>
                  <w:tcW w:w="290" w:type="pct"/>
                  <w:vAlign w:val="center"/>
                </w:tcPr>
                <w:p w14:paraId="47A8A2DC">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291" w:type="pct"/>
                  <w:vAlign w:val="center"/>
                </w:tcPr>
                <w:p w14:paraId="61B6E431">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99</w:t>
                  </w:r>
                </w:p>
              </w:tc>
              <w:tc>
                <w:tcPr>
                  <w:tcW w:w="207" w:type="pct"/>
                  <w:vAlign w:val="center"/>
                </w:tcPr>
                <w:p w14:paraId="600F6FD4">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是</w:t>
                  </w:r>
                </w:p>
              </w:tc>
              <w:tc>
                <w:tcPr>
                  <w:tcW w:w="325" w:type="pct"/>
                  <w:vAlign w:val="center"/>
                </w:tcPr>
                <w:p w14:paraId="668A16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color w:val="auto"/>
                      <w:sz w:val="21"/>
                      <w:szCs w:val="21"/>
                      <w:lang w:val="en-US"/>
                    </w:rPr>
                  </w:pPr>
                  <w:r>
                    <w:rPr>
                      <w:rFonts w:hint="eastAsia" w:ascii="Times New Roman" w:hAnsi="Times New Roman" w:cs="Times New Roman"/>
                      <w:i w:val="0"/>
                      <w:iCs w:val="0"/>
                      <w:color w:val="auto"/>
                      <w:kern w:val="0"/>
                      <w:sz w:val="21"/>
                      <w:szCs w:val="21"/>
                      <w:u w:val="none"/>
                      <w:lang w:val="en-US" w:eastAsia="zh-CN" w:bidi="ar"/>
                    </w:rPr>
                    <w:t>0.284</w:t>
                  </w:r>
                </w:p>
              </w:tc>
              <w:tc>
                <w:tcPr>
                  <w:tcW w:w="407" w:type="pct"/>
                  <w:vAlign w:val="center"/>
                </w:tcPr>
                <w:p w14:paraId="508E6E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i w:val="0"/>
                      <w:iCs w:val="0"/>
                      <w:color w:val="auto"/>
                      <w:kern w:val="0"/>
                      <w:sz w:val="21"/>
                      <w:szCs w:val="21"/>
                      <w:u w:val="none"/>
                      <w:lang w:val="en-US" w:eastAsia="zh-CN" w:bidi="ar"/>
                    </w:rPr>
                    <w:t>0.118</w:t>
                  </w:r>
                </w:p>
              </w:tc>
              <w:tc>
                <w:tcPr>
                  <w:tcW w:w="421" w:type="pct"/>
                  <w:vAlign w:val="center"/>
                </w:tcPr>
                <w:p w14:paraId="6083BF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color w:val="auto"/>
                      <w:sz w:val="21"/>
                      <w:szCs w:val="21"/>
                      <w:lang w:val="en-US" w:eastAsia="zh-CN"/>
                    </w:rPr>
                  </w:pPr>
                  <w:r>
                    <w:rPr>
                      <w:rFonts w:hint="eastAsia" w:cs="Times New Roman"/>
                      <w:i w:val="0"/>
                      <w:iCs w:val="0"/>
                      <w:color w:val="auto"/>
                      <w:kern w:val="0"/>
                      <w:sz w:val="21"/>
                      <w:szCs w:val="21"/>
                      <w:u w:val="none"/>
                      <w:lang w:val="en-US" w:eastAsia="zh-CN" w:bidi="ar"/>
                    </w:rPr>
                    <w:t>14.76</w:t>
                  </w:r>
                </w:p>
              </w:tc>
              <w:tc>
                <w:tcPr>
                  <w:tcW w:w="257" w:type="pct"/>
                  <w:vAlign w:val="center"/>
                </w:tcPr>
                <w:p w14:paraId="7C0748F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2400</w:t>
                  </w:r>
                </w:p>
              </w:tc>
            </w:tr>
            <w:tr w14:paraId="11870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60" w:type="pct"/>
                  <w:vAlign w:val="center"/>
                </w:tcPr>
                <w:p w14:paraId="7F560ACA">
                  <w:pPr>
                    <w:keepNext w:val="0"/>
                    <w:keepLines w:val="0"/>
                    <w:pageBreakBefore w:val="0"/>
                    <w:kinsoku/>
                    <w:wordWrap/>
                    <w:overflowPunct/>
                    <w:topLinePunct w:val="0"/>
                    <w:autoSpaceDE/>
                    <w:autoSpaceDN/>
                    <w:bidi w:val="0"/>
                    <w:adjustRightInd/>
                    <w:snapToGrid/>
                    <w:spacing w:line="360" w:lineRule="auto"/>
                    <w:jc w:val="center"/>
                    <w:rPr>
                      <w:rFonts w:hint="default" w:cs="Times New Roman"/>
                      <w:color w:val="auto"/>
                      <w:sz w:val="21"/>
                      <w:szCs w:val="21"/>
                      <w:lang w:val="en-US" w:eastAsia="zh-CN"/>
                    </w:rPr>
                  </w:pPr>
                  <w:r>
                    <w:rPr>
                      <w:rFonts w:hint="eastAsia" w:cs="Times New Roman"/>
                      <w:color w:val="auto"/>
                      <w:sz w:val="21"/>
                      <w:szCs w:val="21"/>
                      <w:lang w:val="en-US" w:eastAsia="zh-CN"/>
                    </w:rPr>
                    <w:t>DA002</w:t>
                  </w:r>
                </w:p>
              </w:tc>
              <w:tc>
                <w:tcPr>
                  <w:tcW w:w="231" w:type="pct"/>
                  <w:vAlign w:val="center"/>
                </w:tcPr>
                <w:p w14:paraId="00EF66F0">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大米加工</w:t>
                  </w:r>
                </w:p>
              </w:tc>
              <w:tc>
                <w:tcPr>
                  <w:tcW w:w="265" w:type="pct"/>
                  <w:vAlign w:val="center"/>
                </w:tcPr>
                <w:p w14:paraId="427A80E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406" w:type="pct"/>
                  <w:vAlign w:val="center"/>
                </w:tcPr>
                <w:p w14:paraId="48E02A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1.5</w:t>
                  </w:r>
                </w:p>
              </w:tc>
              <w:tc>
                <w:tcPr>
                  <w:tcW w:w="390" w:type="pct"/>
                  <w:vAlign w:val="center"/>
                </w:tcPr>
                <w:p w14:paraId="3DB008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0.625</w:t>
                  </w:r>
                </w:p>
              </w:tc>
              <w:tc>
                <w:tcPr>
                  <w:tcW w:w="438" w:type="pct"/>
                  <w:vAlign w:val="center"/>
                </w:tcPr>
                <w:p w14:paraId="394433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41.67</w:t>
                  </w:r>
                </w:p>
              </w:tc>
              <w:tc>
                <w:tcPr>
                  <w:tcW w:w="470" w:type="pct"/>
                  <w:vAlign w:val="center"/>
                </w:tcPr>
                <w:p w14:paraId="3A9E5038">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旋风除尘器</w:t>
                  </w:r>
                  <w:r>
                    <w:rPr>
                      <w:rFonts w:hint="eastAsia" w:ascii="Times New Roman" w:hAnsi="Times New Roman" w:cs="Times New Roman"/>
                      <w:color w:val="auto"/>
                      <w:sz w:val="21"/>
                      <w:szCs w:val="21"/>
                      <w:lang w:val="en-US" w:eastAsia="zh-CN"/>
                    </w:rPr>
                    <w:t>+布袋除尘器</w:t>
                  </w:r>
                </w:p>
              </w:tc>
              <w:tc>
                <w:tcPr>
                  <w:tcW w:w="338" w:type="pct"/>
                  <w:vAlign w:val="center"/>
                </w:tcPr>
                <w:p w14:paraId="25591699">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15000</w:t>
                  </w:r>
                </w:p>
              </w:tc>
              <w:tc>
                <w:tcPr>
                  <w:tcW w:w="290" w:type="pct"/>
                  <w:vAlign w:val="center"/>
                </w:tcPr>
                <w:p w14:paraId="380EAFE2">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90</w:t>
                  </w:r>
                </w:p>
              </w:tc>
              <w:tc>
                <w:tcPr>
                  <w:tcW w:w="291" w:type="pct"/>
                  <w:vAlign w:val="center"/>
                </w:tcPr>
                <w:p w14:paraId="7EEB9B9B">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r>
                    <w:rPr>
                      <w:rFonts w:hint="eastAsia" w:cs="Times New Roman"/>
                      <w:color w:val="auto"/>
                      <w:sz w:val="21"/>
                      <w:szCs w:val="21"/>
                      <w:lang w:val="en-US" w:eastAsia="zh-CN"/>
                    </w:rPr>
                    <w:t>9</w:t>
                  </w:r>
                </w:p>
              </w:tc>
              <w:tc>
                <w:tcPr>
                  <w:tcW w:w="207" w:type="pct"/>
                  <w:vAlign w:val="center"/>
                </w:tcPr>
                <w:p w14:paraId="5DC05F6C">
                  <w:pPr>
                    <w:keepNext w:val="0"/>
                    <w:keepLines w:val="0"/>
                    <w:pageBreakBefore w:val="0"/>
                    <w:widowControl/>
                    <w:kinsoku/>
                    <w:wordWrap/>
                    <w:overflowPunct/>
                    <w:topLinePunct w:val="0"/>
                    <w:autoSpaceDE/>
                    <w:autoSpaceDN/>
                    <w:bidi w:val="0"/>
                    <w:adjustRightInd/>
                    <w:snapToGrid/>
                    <w:spacing w:line="360" w:lineRule="auto"/>
                    <w:jc w:val="center"/>
                    <w:textAlignment w:val="center"/>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是</w:t>
                  </w:r>
                </w:p>
              </w:tc>
              <w:tc>
                <w:tcPr>
                  <w:tcW w:w="325" w:type="pct"/>
                  <w:vAlign w:val="center"/>
                </w:tcPr>
                <w:p w14:paraId="35D637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0.01</w:t>
                  </w:r>
                  <w:r>
                    <w:rPr>
                      <w:rFonts w:hint="eastAsia" w:ascii="Times New Roman" w:hAnsi="Times New Roman" w:cs="Times New Roman"/>
                      <w:i w:val="0"/>
                      <w:iCs w:val="0"/>
                      <w:color w:val="auto"/>
                      <w:kern w:val="0"/>
                      <w:sz w:val="21"/>
                      <w:szCs w:val="21"/>
                      <w:u w:val="none"/>
                      <w:lang w:val="en-US" w:eastAsia="zh-CN" w:bidi="ar"/>
                    </w:rPr>
                    <w:t>5</w:t>
                  </w:r>
                </w:p>
              </w:tc>
              <w:tc>
                <w:tcPr>
                  <w:tcW w:w="407" w:type="pct"/>
                  <w:vAlign w:val="center"/>
                </w:tcPr>
                <w:p w14:paraId="12B045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0.006</w:t>
                  </w:r>
                </w:p>
              </w:tc>
              <w:tc>
                <w:tcPr>
                  <w:tcW w:w="421" w:type="pct"/>
                  <w:vAlign w:val="center"/>
                </w:tcPr>
                <w:p w14:paraId="09F264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ascii="Times New Roman" w:hAnsi="Times New Roman" w:cs="Times New Roman"/>
                      <w:i w:val="0"/>
                      <w:iCs w:val="0"/>
                      <w:color w:val="auto"/>
                      <w:kern w:val="0"/>
                      <w:sz w:val="21"/>
                      <w:szCs w:val="21"/>
                      <w:u w:val="none"/>
                      <w:lang w:val="en-US" w:eastAsia="zh-CN" w:bidi="ar"/>
                    </w:rPr>
                    <w:t>0.42</w:t>
                  </w:r>
                </w:p>
              </w:tc>
              <w:tc>
                <w:tcPr>
                  <w:tcW w:w="257" w:type="pct"/>
                  <w:vAlign w:val="center"/>
                </w:tcPr>
                <w:p w14:paraId="09FFF0AE">
                  <w:pPr>
                    <w:keepNext w:val="0"/>
                    <w:keepLines w:val="0"/>
                    <w:pageBreakBefore w:val="0"/>
                    <w:kinsoku/>
                    <w:wordWrap/>
                    <w:overflowPunct/>
                    <w:topLinePunct w:val="0"/>
                    <w:autoSpaceDE/>
                    <w:autoSpaceDN/>
                    <w:bidi w:val="0"/>
                    <w:adjustRightInd/>
                    <w:snapToGrid/>
                    <w:spacing w:line="36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2400</w:t>
                  </w:r>
                </w:p>
              </w:tc>
            </w:tr>
          </w:tbl>
          <w:p w14:paraId="18DC6087">
            <w:pPr>
              <w:spacing w:line="360" w:lineRule="auto"/>
              <w:ind w:firstLine="480" w:firstLineChars="200"/>
              <w:rPr>
                <w:color w:val="auto"/>
                <w:sz w:val="24"/>
              </w:rPr>
            </w:pPr>
            <w:r>
              <w:rPr>
                <w:rFonts w:hint="eastAsia"/>
                <w:color w:val="auto"/>
                <w:sz w:val="24"/>
              </w:rPr>
              <w:t>建设项目有组织废气排放口基本情况与无组织废气排放情况分别详见表4-2、4-3。</w:t>
            </w:r>
          </w:p>
          <w:p w14:paraId="32CD1678">
            <w:pPr>
              <w:spacing w:line="360" w:lineRule="auto"/>
              <w:jc w:val="center"/>
              <w:rPr>
                <w:b/>
                <w:color w:val="auto"/>
                <w:szCs w:val="21"/>
              </w:rPr>
            </w:pPr>
            <w:r>
              <w:rPr>
                <w:rFonts w:hint="eastAsia"/>
                <w:b/>
                <w:color w:val="auto"/>
                <w:szCs w:val="21"/>
              </w:rPr>
              <w:t>表4-2  建设项目有组织废气排放口基本情况一览表</w:t>
            </w:r>
          </w:p>
          <w:tbl>
            <w:tblPr>
              <w:tblStyle w:val="45"/>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2"/>
              <w:gridCol w:w="1505"/>
              <w:gridCol w:w="849"/>
              <w:gridCol w:w="926"/>
              <w:gridCol w:w="886"/>
              <w:gridCol w:w="926"/>
              <w:gridCol w:w="2989"/>
              <w:gridCol w:w="2264"/>
              <w:gridCol w:w="1383"/>
            </w:tblGrid>
            <w:tr w14:paraId="3C9D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4" w:type="pct"/>
                  <w:vMerge w:val="restart"/>
                  <w:vAlign w:val="center"/>
                </w:tcPr>
                <w:p w14:paraId="441912CA">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产排污环节</w:t>
                  </w:r>
                </w:p>
              </w:tc>
              <w:tc>
                <w:tcPr>
                  <w:tcW w:w="569" w:type="pct"/>
                  <w:vMerge w:val="restart"/>
                  <w:vAlign w:val="center"/>
                </w:tcPr>
                <w:p w14:paraId="5D64DB3C">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污染物种类</w:t>
                  </w:r>
                </w:p>
              </w:tc>
              <w:tc>
                <w:tcPr>
                  <w:tcW w:w="3865" w:type="pct"/>
                  <w:gridSpan w:val="7"/>
                  <w:vAlign w:val="center"/>
                </w:tcPr>
                <w:p w14:paraId="02435A29">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排放口基本情况</w:t>
                  </w:r>
                </w:p>
              </w:tc>
            </w:tr>
            <w:tr w14:paraId="126D5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4" w:type="pct"/>
                  <w:vMerge w:val="continue"/>
                  <w:vAlign w:val="center"/>
                </w:tcPr>
                <w:p w14:paraId="03483B23">
                  <w:pPr>
                    <w:spacing w:line="240" w:lineRule="auto"/>
                    <w:jc w:val="center"/>
                    <w:rPr>
                      <w:rFonts w:hint="default" w:ascii="Times New Roman" w:hAnsi="Times New Roman" w:eastAsia="宋体" w:cs="Times New Roman"/>
                      <w:b/>
                      <w:color w:val="auto"/>
                      <w:sz w:val="21"/>
                      <w:szCs w:val="21"/>
                    </w:rPr>
                  </w:pPr>
                </w:p>
              </w:tc>
              <w:tc>
                <w:tcPr>
                  <w:tcW w:w="569" w:type="pct"/>
                  <w:vMerge w:val="continue"/>
                  <w:vAlign w:val="center"/>
                </w:tcPr>
                <w:p w14:paraId="63F61D54">
                  <w:pPr>
                    <w:spacing w:line="240" w:lineRule="auto"/>
                    <w:jc w:val="center"/>
                    <w:rPr>
                      <w:rFonts w:hint="default" w:ascii="Times New Roman" w:hAnsi="Times New Roman" w:eastAsia="宋体" w:cs="Times New Roman"/>
                      <w:b/>
                      <w:color w:val="auto"/>
                      <w:sz w:val="21"/>
                      <w:szCs w:val="21"/>
                    </w:rPr>
                  </w:pPr>
                </w:p>
              </w:tc>
              <w:tc>
                <w:tcPr>
                  <w:tcW w:w="321" w:type="pct"/>
                  <w:vAlign w:val="center"/>
                </w:tcPr>
                <w:p w14:paraId="6590826D">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高度（m）</w:t>
                  </w:r>
                </w:p>
              </w:tc>
              <w:tc>
                <w:tcPr>
                  <w:tcW w:w="350" w:type="pct"/>
                  <w:vAlign w:val="center"/>
                </w:tcPr>
                <w:p w14:paraId="49F25C6D">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内径（m）</w:t>
                  </w:r>
                </w:p>
              </w:tc>
              <w:tc>
                <w:tcPr>
                  <w:tcW w:w="335" w:type="pct"/>
                  <w:vAlign w:val="center"/>
                </w:tcPr>
                <w:p w14:paraId="7CD45E5F">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温度（℃）</w:t>
                  </w:r>
                </w:p>
              </w:tc>
              <w:tc>
                <w:tcPr>
                  <w:tcW w:w="350" w:type="pct"/>
                  <w:vAlign w:val="center"/>
                </w:tcPr>
                <w:p w14:paraId="3BF2CDF7">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编号</w:t>
                  </w:r>
                </w:p>
              </w:tc>
              <w:tc>
                <w:tcPr>
                  <w:tcW w:w="1130" w:type="pct"/>
                  <w:vAlign w:val="center"/>
                </w:tcPr>
                <w:p w14:paraId="07E09763">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地理坐标</w:t>
                  </w:r>
                </w:p>
              </w:tc>
              <w:tc>
                <w:tcPr>
                  <w:tcW w:w="856" w:type="pct"/>
                  <w:vAlign w:val="center"/>
                </w:tcPr>
                <w:p w14:paraId="386B09FA">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名称</w:t>
                  </w:r>
                </w:p>
              </w:tc>
              <w:tc>
                <w:tcPr>
                  <w:tcW w:w="520" w:type="pct"/>
                  <w:vAlign w:val="center"/>
                </w:tcPr>
                <w:p w14:paraId="7DD93B25">
                  <w:pPr>
                    <w:spacing w:line="240" w:lineRule="auto"/>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类型</w:t>
                  </w:r>
                </w:p>
              </w:tc>
            </w:tr>
            <w:tr w14:paraId="4C52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4" w:type="pct"/>
                  <w:vAlign w:val="center"/>
                </w:tcPr>
                <w:p w14:paraId="07AB53DD">
                  <w:pPr>
                    <w:spacing w:line="240"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卸料、清理</w:t>
                  </w:r>
                </w:p>
              </w:tc>
              <w:tc>
                <w:tcPr>
                  <w:tcW w:w="569" w:type="pct"/>
                  <w:vAlign w:val="center"/>
                </w:tcPr>
                <w:p w14:paraId="1A1DBF69">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321" w:type="pct"/>
                  <w:vAlign w:val="center"/>
                </w:tcPr>
                <w:p w14:paraId="17E5F460">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350" w:type="pct"/>
                  <w:vAlign w:val="center"/>
                </w:tcPr>
                <w:p w14:paraId="1539F716">
                  <w:pPr>
                    <w:spacing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0</w:t>
                  </w:r>
                </w:p>
              </w:tc>
              <w:tc>
                <w:tcPr>
                  <w:tcW w:w="335" w:type="pct"/>
                  <w:vAlign w:val="center"/>
                </w:tcPr>
                <w:p w14:paraId="2E48FF78">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25</w:t>
                  </w:r>
                </w:p>
              </w:tc>
              <w:tc>
                <w:tcPr>
                  <w:tcW w:w="350" w:type="pct"/>
                  <w:vAlign w:val="center"/>
                </w:tcPr>
                <w:p w14:paraId="094550DE">
                  <w:pPr>
                    <w:spacing w:line="240" w:lineRule="auto"/>
                    <w:jc w:val="center"/>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DA00</w:t>
                  </w:r>
                  <w:r>
                    <w:rPr>
                      <w:rFonts w:hint="eastAsia" w:ascii="Times New Roman" w:hAnsi="Times New Roman" w:cs="Times New Roman"/>
                      <w:color w:val="auto"/>
                      <w:sz w:val="21"/>
                      <w:szCs w:val="21"/>
                      <w:lang w:val="en-US" w:eastAsia="zh-CN"/>
                    </w:rPr>
                    <w:t>1</w:t>
                  </w:r>
                </w:p>
              </w:tc>
              <w:tc>
                <w:tcPr>
                  <w:tcW w:w="1130" w:type="pct"/>
                  <w:vAlign w:val="center"/>
                </w:tcPr>
                <w:p w14:paraId="2D7DDCD0">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r>
                    <w:rPr>
                      <w:rFonts w:hint="eastAsia" w:cs="Times New Roman"/>
                      <w:color w:val="auto"/>
                      <w:sz w:val="21"/>
                      <w:szCs w:val="21"/>
                      <w:lang w:val="en-US" w:eastAsia="zh-CN"/>
                    </w:rPr>
                    <w:t>6.942608°</w:t>
                  </w:r>
                  <w:r>
                    <w:rPr>
                      <w:rFonts w:hint="default" w:ascii="Times New Roman" w:hAnsi="Times New Roman" w:eastAsia="宋体" w:cs="Times New Roman"/>
                      <w:color w:val="auto"/>
                      <w:sz w:val="21"/>
                      <w:szCs w:val="21"/>
                    </w:rPr>
                    <w:t>；3</w:t>
                  </w:r>
                  <w:r>
                    <w:rPr>
                      <w:rFonts w:hint="eastAsia" w:cs="Times New Roman"/>
                      <w:color w:val="auto"/>
                      <w:sz w:val="21"/>
                      <w:szCs w:val="21"/>
                      <w:lang w:val="en-US" w:eastAsia="zh-CN"/>
                    </w:rPr>
                    <w:t>2.727914°</w:t>
                  </w:r>
                </w:p>
              </w:tc>
              <w:tc>
                <w:tcPr>
                  <w:tcW w:w="856" w:type="pct"/>
                  <w:vAlign w:val="center"/>
                </w:tcPr>
                <w:p w14:paraId="5E16E78E">
                  <w:pPr>
                    <w:spacing w:line="240" w:lineRule="auto"/>
                    <w:jc w:val="center"/>
                    <w:rPr>
                      <w:rFonts w:hint="default" w:ascii="Times New Roman" w:hAnsi="Times New Roman" w:eastAsia="宋体" w:cs="Times New Roman"/>
                      <w:color w:val="auto"/>
                      <w:sz w:val="21"/>
                      <w:szCs w:val="21"/>
                      <w:lang w:val="en-US"/>
                    </w:rPr>
                  </w:pPr>
                  <w:r>
                    <w:rPr>
                      <w:rFonts w:hint="eastAsia" w:ascii="Times New Roman" w:hAnsi="Times New Roman" w:cs="Times New Roman"/>
                      <w:color w:val="auto"/>
                      <w:sz w:val="21"/>
                      <w:szCs w:val="21"/>
                      <w:lang w:val="en-US" w:eastAsia="zh-CN"/>
                    </w:rPr>
                    <w:t>卸料废气、清理</w:t>
                  </w:r>
                  <w:r>
                    <w:rPr>
                      <w:rFonts w:hint="eastAsia" w:cs="Times New Roman"/>
                      <w:color w:val="auto"/>
                      <w:sz w:val="21"/>
                      <w:szCs w:val="21"/>
                      <w:lang w:val="en-US" w:eastAsia="zh-CN"/>
                    </w:rPr>
                    <w:t>废气排放口</w:t>
                  </w:r>
                </w:p>
              </w:tc>
              <w:tc>
                <w:tcPr>
                  <w:tcW w:w="520" w:type="pct"/>
                  <w:vAlign w:val="center"/>
                </w:tcPr>
                <w:p w14:paraId="6CDC84DE">
                  <w:pPr>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一般排</w:t>
                  </w:r>
                  <w:r>
                    <w:rPr>
                      <w:rFonts w:hint="default" w:ascii="Times New Roman" w:hAnsi="Times New Roman" w:eastAsia="宋体" w:cs="Times New Roman"/>
                      <w:color w:val="auto"/>
                      <w:sz w:val="21"/>
                      <w:szCs w:val="21"/>
                      <w:lang w:val="en-US" w:eastAsia="zh-CN"/>
                    </w:rPr>
                    <w:t>放</w:t>
                  </w:r>
                  <w:r>
                    <w:rPr>
                      <w:rFonts w:hint="default" w:ascii="Times New Roman" w:hAnsi="Times New Roman" w:eastAsia="宋体" w:cs="Times New Roman"/>
                      <w:color w:val="auto"/>
                      <w:sz w:val="21"/>
                      <w:szCs w:val="21"/>
                    </w:rPr>
                    <w:t>口</w:t>
                  </w:r>
                </w:p>
              </w:tc>
            </w:tr>
            <w:tr w14:paraId="1132A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64" w:type="pct"/>
                  <w:vAlign w:val="center"/>
                </w:tcPr>
                <w:p w14:paraId="3A4E4748">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大米加工</w:t>
                  </w:r>
                </w:p>
              </w:tc>
              <w:tc>
                <w:tcPr>
                  <w:tcW w:w="569" w:type="pct"/>
                  <w:vAlign w:val="center"/>
                </w:tcPr>
                <w:p w14:paraId="4D09A232">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颗粒物</w:t>
                  </w:r>
                </w:p>
              </w:tc>
              <w:tc>
                <w:tcPr>
                  <w:tcW w:w="321" w:type="pct"/>
                  <w:vAlign w:val="center"/>
                </w:tcPr>
                <w:p w14:paraId="69866F58">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15</w:t>
                  </w:r>
                </w:p>
              </w:tc>
              <w:tc>
                <w:tcPr>
                  <w:tcW w:w="350" w:type="pct"/>
                  <w:vAlign w:val="center"/>
                </w:tcPr>
                <w:p w14:paraId="2FB0526C">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0.60</w:t>
                  </w:r>
                </w:p>
              </w:tc>
              <w:tc>
                <w:tcPr>
                  <w:tcW w:w="335" w:type="pct"/>
                  <w:vAlign w:val="center"/>
                </w:tcPr>
                <w:p w14:paraId="287CADFF">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w:t>
                  </w:r>
                </w:p>
              </w:tc>
              <w:tc>
                <w:tcPr>
                  <w:tcW w:w="350" w:type="pct"/>
                  <w:vAlign w:val="center"/>
                </w:tcPr>
                <w:p w14:paraId="69E7E86D">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DA002</w:t>
                  </w:r>
                </w:p>
              </w:tc>
              <w:tc>
                <w:tcPr>
                  <w:tcW w:w="1130" w:type="pct"/>
                  <w:vAlign w:val="center"/>
                </w:tcPr>
                <w:p w14:paraId="51A6916B">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116.942973°；32.727763°</w:t>
                  </w:r>
                </w:p>
              </w:tc>
              <w:tc>
                <w:tcPr>
                  <w:tcW w:w="856" w:type="pct"/>
                  <w:vAlign w:val="center"/>
                </w:tcPr>
                <w:p w14:paraId="49C5A427">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大米加工废气排放口</w:t>
                  </w:r>
                </w:p>
              </w:tc>
              <w:tc>
                <w:tcPr>
                  <w:tcW w:w="520" w:type="pct"/>
                  <w:vAlign w:val="center"/>
                </w:tcPr>
                <w:p w14:paraId="0772617D">
                  <w:pPr>
                    <w:spacing w:line="240" w:lineRule="auto"/>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一般排放口</w:t>
                  </w:r>
                </w:p>
              </w:tc>
            </w:tr>
          </w:tbl>
          <w:p w14:paraId="27120842">
            <w:pPr>
              <w:spacing w:line="360" w:lineRule="auto"/>
              <w:jc w:val="center"/>
              <w:rPr>
                <w:rFonts w:hint="eastAsia"/>
                <w:b/>
                <w:color w:val="auto"/>
                <w:szCs w:val="21"/>
              </w:rPr>
            </w:pPr>
            <w:r>
              <w:rPr>
                <w:rFonts w:hint="eastAsia"/>
                <w:b/>
                <w:color w:val="auto"/>
                <w:szCs w:val="21"/>
              </w:rPr>
              <w:t>表4-3  建设项目无组织废气排放情况一览表</w:t>
            </w:r>
          </w:p>
          <w:tbl>
            <w:tblPr>
              <w:tblStyle w:val="45"/>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3"/>
              <w:gridCol w:w="1830"/>
              <w:gridCol w:w="1499"/>
              <w:gridCol w:w="1534"/>
              <w:gridCol w:w="1378"/>
              <w:gridCol w:w="1851"/>
              <w:gridCol w:w="3923"/>
            </w:tblGrid>
            <w:tr w14:paraId="62ABD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Align w:val="center"/>
                </w:tcPr>
                <w:p w14:paraId="36B1A37D">
                  <w:pPr>
                    <w:jc w:val="center"/>
                    <w:rPr>
                      <w:b/>
                      <w:color w:val="auto"/>
                      <w:sz w:val="21"/>
                      <w:szCs w:val="21"/>
                    </w:rPr>
                  </w:pPr>
                  <w:r>
                    <w:rPr>
                      <w:rFonts w:hint="eastAsia"/>
                      <w:b/>
                      <w:color w:val="auto"/>
                      <w:sz w:val="21"/>
                      <w:szCs w:val="21"/>
                    </w:rPr>
                    <w:t>面源</w:t>
                  </w:r>
                </w:p>
              </w:tc>
              <w:tc>
                <w:tcPr>
                  <w:tcW w:w="692" w:type="pct"/>
                  <w:vAlign w:val="center"/>
                </w:tcPr>
                <w:p w14:paraId="1C8376BA">
                  <w:pPr>
                    <w:jc w:val="center"/>
                    <w:rPr>
                      <w:b/>
                      <w:color w:val="auto"/>
                      <w:sz w:val="21"/>
                      <w:szCs w:val="21"/>
                    </w:rPr>
                  </w:pPr>
                  <w:r>
                    <w:rPr>
                      <w:rFonts w:hint="eastAsia"/>
                      <w:b/>
                      <w:color w:val="auto"/>
                      <w:sz w:val="21"/>
                      <w:szCs w:val="21"/>
                    </w:rPr>
                    <w:t>面源面积（m</w:t>
                  </w:r>
                  <w:r>
                    <w:rPr>
                      <w:rFonts w:hint="eastAsia"/>
                      <w:b/>
                      <w:color w:val="auto"/>
                      <w:sz w:val="21"/>
                      <w:szCs w:val="21"/>
                      <w:vertAlign w:val="superscript"/>
                    </w:rPr>
                    <w:t>2</w:t>
                  </w:r>
                  <w:r>
                    <w:rPr>
                      <w:rFonts w:hint="eastAsia"/>
                      <w:b/>
                      <w:color w:val="auto"/>
                      <w:sz w:val="21"/>
                      <w:szCs w:val="21"/>
                    </w:rPr>
                    <w:t>）</w:t>
                  </w:r>
                </w:p>
              </w:tc>
              <w:tc>
                <w:tcPr>
                  <w:tcW w:w="567" w:type="pct"/>
                  <w:vAlign w:val="center"/>
                </w:tcPr>
                <w:p w14:paraId="383029DE">
                  <w:pPr>
                    <w:jc w:val="center"/>
                    <w:rPr>
                      <w:b/>
                      <w:color w:val="auto"/>
                      <w:sz w:val="21"/>
                      <w:szCs w:val="21"/>
                    </w:rPr>
                  </w:pPr>
                  <w:r>
                    <w:rPr>
                      <w:rFonts w:hint="eastAsia"/>
                      <w:b/>
                      <w:color w:val="auto"/>
                      <w:sz w:val="21"/>
                      <w:szCs w:val="21"/>
                    </w:rPr>
                    <w:t>面源高（m）</w:t>
                  </w:r>
                </w:p>
              </w:tc>
              <w:tc>
                <w:tcPr>
                  <w:tcW w:w="580" w:type="pct"/>
                  <w:vAlign w:val="center"/>
                </w:tcPr>
                <w:p w14:paraId="06899136">
                  <w:pPr>
                    <w:jc w:val="center"/>
                    <w:rPr>
                      <w:b/>
                      <w:color w:val="auto"/>
                      <w:sz w:val="21"/>
                      <w:szCs w:val="21"/>
                    </w:rPr>
                  </w:pPr>
                  <w:r>
                    <w:rPr>
                      <w:rFonts w:hint="eastAsia"/>
                      <w:b/>
                      <w:color w:val="auto"/>
                      <w:sz w:val="21"/>
                      <w:szCs w:val="21"/>
                    </w:rPr>
                    <w:t>污染物种类</w:t>
                  </w:r>
                </w:p>
              </w:tc>
              <w:tc>
                <w:tcPr>
                  <w:tcW w:w="521" w:type="pct"/>
                  <w:vAlign w:val="center"/>
                </w:tcPr>
                <w:p w14:paraId="274DB737">
                  <w:pPr>
                    <w:jc w:val="center"/>
                    <w:rPr>
                      <w:b/>
                      <w:color w:val="auto"/>
                      <w:sz w:val="21"/>
                      <w:szCs w:val="21"/>
                    </w:rPr>
                  </w:pPr>
                  <w:r>
                    <w:rPr>
                      <w:rFonts w:hint="eastAsia"/>
                      <w:b/>
                      <w:color w:val="auto"/>
                      <w:sz w:val="21"/>
                      <w:szCs w:val="21"/>
                    </w:rPr>
                    <w:t>排放（t/a）</w:t>
                  </w:r>
                </w:p>
              </w:tc>
              <w:tc>
                <w:tcPr>
                  <w:tcW w:w="700" w:type="pct"/>
                  <w:vAlign w:val="center"/>
                </w:tcPr>
                <w:p w14:paraId="40311C88">
                  <w:pPr>
                    <w:jc w:val="center"/>
                    <w:rPr>
                      <w:b/>
                      <w:color w:val="auto"/>
                      <w:sz w:val="21"/>
                      <w:szCs w:val="21"/>
                    </w:rPr>
                  </w:pPr>
                  <w:r>
                    <w:rPr>
                      <w:rFonts w:hint="eastAsia"/>
                      <w:b/>
                      <w:color w:val="auto"/>
                      <w:sz w:val="21"/>
                      <w:szCs w:val="21"/>
                    </w:rPr>
                    <w:t>排放速率（kg/h）</w:t>
                  </w:r>
                </w:p>
              </w:tc>
              <w:tc>
                <w:tcPr>
                  <w:tcW w:w="1483" w:type="pct"/>
                  <w:vAlign w:val="center"/>
                </w:tcPr>
                <w:p w14:paraId="58C36743">
                  <w:pPr>
                    <w:jc w:val="center"/>
                    <w:rPr>
                      <w:rFonts w:hint="eastAsia" w:eastAsia="宋体"/>
                      <w:b/>
                      <w:color w:val="auto"/>
                      <w:sz w:val="21"/>
                      <w:szCs w:val="21"/>
                      <w:lang w:eastAsia="zh-CN"/>
                    </w:rPr>
                  </w:pPr>
                  <w:r>
                    <w:rPr>
                      <w:rFonts w:hint="eastAsia"/>
                      <w:b/>
                      <w:color w:val="auto"/>
                      <w:sz w:val="21"/>
                      <w:szCs w:val="21"/>
                    </w:rPr>
                    <w:t>无组织排放浓度限值</w:t>
                  </w:r>
                  <w:r>
                    <w:rPr>
                      <w:rFonts w:hint="eastAsia"/>
                      <w:b/>
                      <w:bCs w:val="0"/>
                      <w:color w:val="auto"/>
                      <w:sz w:val="21"/>
                      <w:szCs w:val="21"/>
                      <w:lang w:eastAsia="zh-CN"/>
                    </w:rPr>
                    <w:t>（</w:t>
                  </w:r>
                  <w:r>
                    <w:rPr>
                      <w:rFonts w:hint="eastAsia" w:hAnsi="宋体"/>
                      <w:b/>
                      <w:bCs w:val="0"/>
                      <w:color w:val="auto"/>
                      <w:szCs w:val="21"/>
                    </w:rPr>
                    <w:t>mg/m</w:t>
                  </w:r>
                  <w:r>
                    <w:rPr>
                      <w:rFonts w:hint="eastAsia" w:hAnsi="宋体"/>
                      <w:b/>
                      <w:bCs w:val="0"/>
                      <w:color w:val="auto"/>
                      <w:szCs w:val="21"/>
                      <w:vertAlign w:val="superscript"/>
                    </w:rPr>
                    <w:t>3</w:t>
                  </w:r>
                  <w:r>
                    <w:rPr>
                      <w:rFonts w:hint="eastAsia"/>
                      <w:b/>
                      <w:color w:val="auto"/>
                      <w:sz w:val="21"/>
                      <w:szCs w:val="21"/>
                      <w:lang w:eastAsia="zh-CN"/>
                    </w:rPr>
                    <w:t>）</w:t>
                  </w:r>
                </w:p>
              </w:tc>
            </w:tr>
            <w:tr w14:paraId="277B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5" w:type="pct"/>
                  <w:vAlign w:val="center"/>
                </w:tcPr>
                <w:p w14:paraId="77A476E8">
                  <w:pPr>
                    <w:jc w:val="center"/>
                    <w:rPr>
                      <w:color w:val="auto"/>
                      <w:sz w:val="21"/>
                      <w:szCs w:val="21"/>
                    </w:rPr>
                  </w:pPr>
                  <w:r>
                    <w:rPr>
                      <w:rFonts w:hint="eastAsia"/>
                      <w:color w:val="auto"/>
                      <w:sz w:val="21"/>
                      <w:szCs w:val="21"/>
                      <w:lang w:val="en-US" w:eastAsia="zh-CN"/>
                    </w:rPr>
                    <w:t>生产</w:t>
                  </w:r>
                  <w:r>
                    <w:rPr>
                      <w:rFonts w:hint="eastAsia"/>
                      <w:color w:val="auto"/>
                      <w:sz w:val="21"/>
                      <w:szCs w:val="21"/>
                    </w:rPr>
                    <w:t>车间</w:t>
                  </w:r>
                </w:p>
              </w:tc>
              <w:tc>
                <w:tcPr>
                  <w:tcW w:w="692" w:type="pct"/>
                  <w:vAlign w:val="center"/>
                </w:tcPr>
                <w:p w14:paraId="281D83B3">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2600</w:t>
                  </w:r>
                </w:p>
              </w:tc>
              <w:tc>
                <w:tcPr>
                  <w:tcW w:w="567" w:type="pct"/>
                  <w:vAlign w:val="center"/>
                </w:tcPr>
                <w:p w14:paraId="1293FA11">
                  <w:pPr>
                    <w:jc w:val="center"/>
                    <w:rPr>
                      <w:rFonts w:hint="default" w:eastAsia="宋体"/>
                      <w:color w:val="auto"/>
                      <w:sz w:val="21"/>
                      <w:szCs w:val="21"/>
                      <w:lang w:val="en-US" w:eastAsia="zh-CN"/>
                    </w:rPr>
                  </w:pPr>
                  <w:r>
                    <w:rPr>
                      <w:rFonts w:hint="eastAsia"/>
                      <w:color w:val="auto"/>
                      <w:sz w:val="21"/>
                      <w:szCs w:val="21"/>
                      <w:lang w:val="en-US" w:eastAsia="zh-CN"/>
                    </w:rPr>
                    <w:t>10</w:t>
                  </w:r>
                </w:p>
              </w:tc>
              <w:tc>
                <w:tcPr>
                  <w:tcW w:w="580" w:type="pct"/>
                  <w:vAlign w:val="center"/>
                </w:tcPr>
                <w:p w14:paraId="1E3F431D">
                  <w:pPr>
                    <w:jc w:val="center"/>
                    <w:rPr>
                      <w:rFonts w:hint="eastAsia" w:eastAsia="宋体"/>
                      <w:color w:val="auto"/>
                      <w:sz w:val="21"/>
                      <w:szCs w:val="21"/>
                      <w:lang w:eastAsia="zh-CN"/>
                    </w:rPr>
                  </w:pPr>
                  <w:r>
                    <w:rPr>
                      <w:rFonts w:hint="eastAsia"/>
                      <w:color w:val="auto"/>
                      <w:sz w:val="21"/>
                      <w:szCs w:val="21"/>
                      <w:lang w:eastAsia="zh-CN"/>
                    </w:rPr>
                    <w:t>颗粒物</w:t>
                  </w:r>
                </w:p>
              </w:tc>
              <w:tc>
                <w:tcPr>
                  <w:tcW w:w="521" w:type="pct"/>
                  <w:vAlign w:val="center"/>
                </w:tcPr>
                <w:p w14:paraId="16BF1A25">
                  <w:pPr>
                    <w:spacing w:line="240" w:lineRule="auto"/>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3.25</w:t>
                  </w:r>
                </w:p>
              </w:tc>
              <w:tc>
                <w:tcPr>
                  <w:tcW w:w="700" w:type="pct"/>
                  <w:vAlign w:val="center"/>
                </w:tcPr>
                <w:p w14:paraId="20142F22">
                  <w:pPr>
                    <w:spacing w:line="240" w:lineRule="auto"/>
                    <w:jc w:val="center"/>
                    <w:rPr>
                      <w:rFonts w:hint="default" w:ascii="Times New Roman" w:hAnsi="Times New Roman" w:eastAsia="宋体" w:cs="Times New Roman"/>
                      <w:color w:val="auto"/>
                      <w:sz w:val="21"/>
                      <w:szCs w:val="21"/>
                      <w:lang w:val="en-US"/>
                    </w:rPr>
                  </w:pPr>
                  <w:r>
                    <w:rPr>
                      <w:rFonts w:hint="eastAsia" w:cs="Times New Roman"/>
                      <w:color w:val="auto"/>
                      <w:sz w:val="21"/>
                      <w:szCs w:val="21"/>
                      <w:lang w:val="en-US" w:eastAsia="zh-CN"/>
                    </w:rPr>
                    <w:t>1.354</w:t>
                  </w:r>
                </w:p>
              </w:tc>
              <w:tc>
                <w:tcPr>
                  <w:tcW w:w="1483" w:type="pct"/>
                  <w:vAlign w:val="center"/>
                </w:tcPr>
                <w:p w14:paraId="719ED90C">
                  <w:pPr>
                    <w:jc w:val="center"/>
                    <w:rPr>
                      <w:rFonts w:hint="default" w:eastAsia="宋体"/>
                      <w:color w:val="auto"/>
                      <w:sz w:val="21"/>
                      <w:szCs w:val="21"/>
                      <w:lang w:val="en-US" w:eastAsia="zh-CN"/>
                    </w:rPr>
                  </w:pPr>
                  <w:r>
                    <w:rPr>
                      <w:color w:val="auto"/>
                      <w:sz w:val="21"/>
                      <w:szCs w:val="21"/>
                    </w:rPr>
                    <w:t>厂界监控点浓度限值</w:t>
                  </w:r>
                  <w:r>
                    <w:rPr>
                      <w:rFonts w:hint="eastAsia"/>
                      <w:color w:val="auto"/>
                      <w:sz w:val="21"/>
                      <w:szCs w:val="21"/>
                      <w:lang w:val="en-US" w:eastAsia="zh-CN"/>
                    </w:rPr>
                    <w:t>1.0</w:t>
                  </w:r>
                </w:p>
              </w:tc>
            </w:tr>
          </w:tbl>
          <w:p w14:paraId="07281A1E">
            <w:pPr>
              <w:keepNext w:val="0"/>
              <w:keepLines w:val="0"/>
              <w:pageBreakBefore w:val="0"/>
              <w:widowControl w:val="0"/>
              <w:kinsoku/>
              <w:wordWrap/>
              <w:overflowPunct/>
              <w:topLinePunct w:val="0"/>
              <w:autoSpaceDE/>
              <w:autoSpaceDN/>
              <w:bidi w:val="0"/>
              <w:adjustRightInd w:val="0"/>
              <w:snapToGrid/>
              <w:spacing w:line="360" w:lineRule="auto"/>
              <w:ind w:firstLine="442" w:firstLineChars="200"/>
              <w:textAlignment w:val="auto"/>
              <w:rPr>
                <w:rFonts w:hint="eastAsia" w:ascii="Times New Roman" w:hAnsi="Times New Roman" w:eastAsia="宋体" w:cs="Times New Roman"/>
                <w:b/>
                <w:bCs/>
                <w:color w:val="auto"/>
                <w:spacing w:val="-10"/>
                <w:sz w:val="24"/>
                <w:lang w:eastAsia="zh-CN"/>
              </w:rPr>
            </w:pPr>
            <w:r>
              <w:rPr>
                <w:rFonts w:hint="default" w:ascii="Times New Roman" w:hAnsi="Times New Roman" w:cs="Times New Roman"/>
                <w:b/>
                <w:bCs/>
                <w:color w:val="auto"/>
                <w:spacing w:val="-10"/>
                <w:sz w:val="24"/>
              </w:rPr>
              <w:t>废气污染源强核算</w:t>
            </w:r>
            <w:r>
              <w:rPr>
                <w:rFonts w:hint="eastAsia" w:ascii="Times New Roman" w:hAnsi="Times New Roman" w:cs="Times New Roman"/>
                <w:b/>
                <w:bCs/>
                <w:color w:val="auto"/>
                <w:spacing w:val="-10"/>
                <w:sz w:val="24"/>
                <w:lang w:eastAsia="zh-CN"/>
              </w:rPr>
              <w:t>：</w:t>
            </w:r>
          </w:p>
          <w:p w14:paraId="1A8CC09C">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（1）</w:t>
            </w:r>
            <w:r>
              <w:rPr>
                <w:rFonts w:hint="eastAsia" w:ascii="宋体" w:hAnsi="宋体" w:eastAsia="宋体" w:cs="宋体"/>
                <w:color w:val="auto"/>
                <w:kern w:val="0"/>
                <w:sz w:val="24"/>
                <w:szCs w:val="24"/>
                <w:lang w:val="en-US" w:eastAsia="zh-CN" w:bidi="ar"/>
              </w:rPr>
              <w:t>卸料废气</w:t>
            </w:r>
            <w:r>
              <w:rPr>
                <w:rFonts w:hint="eastAsia" w:ascii="宋体" w:hAnsi="宋体" w:cs="宋体"/>
                <w:color w:val="auto"/>
                <w:kern w:val="0"/>
                <w:sz w:val="24"/>
                <w:szCs w:val="24"/>
                <w:lang w:val="en-US" w:eastAsia="zh-CN" w:bidi="ar"/>
              </w:rPr>
              <w:t>、清理废气</w:t>
            </w:r>
          </w:p>
          <w:p w14:paraId="76716E74">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宋体" w:hAnsi="宋体" w:cs="宋体"/>
                <w:color w:val="auto"/>
                <w:kern w:val="0"/>
                <w:sz w:val="24"/>
                <w:szCs w:val="24"/>
                <w:lang w:val="en-US" w:eastAsia="zh-CN" w:bidi="ar"/>
              </w:rPr>
            </w:pPr>
            <w:r>
              <w:rPr>
                <w:rFonts w:hint="eastAsia" w:ascii="宋体" w:hAnsi="宋体" w:cs="宋体"/>
                <w:color w:val="auto"/>
                <w:kern w:val="0"/>
                <w:sz w:val="24"/>
                <w:szCs w:val="24"/>
                <w:lang w:val="en-US" w:eastAsia="zh-CN" w:bidi="ar"/>
              </w:rPr>
              <w:t>①卸料废气</w:t>
            </w:r>
          </w:p>
          <w:p w14:paraId="5CB19333">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项目稻谷卸料过程中会有一定的卸料粉尘产生，参考《逸散性工业粉尘控制技术》第</w:t>
            </w:r>
            <w:r>
              <w:rPr>
                <w:rFonts w:hint="default" w:ascii="Times New Roman" w:hAnsi="Times New Roman" w:eastAsia="宋体" w:cs="Times New Roman"/>
                <w:color w:val="auto"/>
                <w:kern w:val="0"/>
                <w:sz w:val="24"/>
                <w:szCs w:val="24"/>
                <w:lang w:val="en-US" w:eastAsia="zh-CN" w:bidi="ar"/>
              </w:rPr>
              <w:t>五章表5-1</w:t>
            </w:r>
            <w:r>
              <w:rPr>
                <w:rFonts w:hint="eastAsia" w:ascii="宋体" w:hAnsi="宋体" w:eastAsia="宋体" w:cs="宋体"/>
                <w:color w:val="auto"/>
                <w:kern w:val="0"/>
                <w:sz w:val="24"/>
                <w:szCs w:val="24"/>
                <w:lang w:val="en-US" w:eastAsia="zh-CN" w:bidi="ar"/>
              </w:rPr>
              <w:t>“谷物贮存的逸散尘排放因子”</w:t>
            </w:r>
            <w:r>
              <w:rPr>
                <w:rFonts w:hint="default" w:ascii="Times New Roman" w:hAnsi="Times New Roman" w:eastAsia="宋体" w:cs="Times New Roman"/>
                <w:color w:val="auto"/>
                <w:kern w:val="0"/>
                <w:sz w:val="24"/>
                <w:szCs w:val="24"/>
                <w:lang w:val="en-US" w:eastAsia="zh-CN" w:bidi="ar"/>
              </w:rPr>
              <w:t>：卡车下料粉尘产污系数为0.3kg/t，本项目稻谷年用量为100000t/a，则卸粮粉尘产生量约为30t/a。项目拟在卸粮坑</w:t>
            </w:r>
            <w:r>
              <w:rPr>
                <w:rFonts w:hint="eastAsia" w:ascii="Times New Roman" w:hAnsi="Times New Roman" w:eastAsia="宋体" w:cs="Times New Roman"/>
                <w:color w:val="auto"/>
                <w:kern w:val="0"/>
                <w:sz w:val="24"/>
                <w:szCs w:val="24"/>
                <w:lang w:val="en-US" w:eastAsia="zh-CN" w:bidi="ar"/>
              </w:rPr>
              <w:t>上方</w:t>
            </w:r>
            <w:r>
              <w:rPr>
                <w:rFonts w:hint="default" w:ascii="Times New Roman" w:hAnsi="Times New Roman" w:eastAsia="宋体" w:cs="Times New Roman"/>
                <w:color w:val="auto"/>
                <w:kern w:val="0"/>
                <w:sz w:val="24"/>
                <w:szCs w:val="24"/>
                <w:lang w:val="en-US" w:eastAsia="zh-CN" w:bidi="ar"/>
              </w:rPr>
              <w:t>设置集气罩</w:t>
            </w:r>
            <w:r>
              <w:rPr>
                <w:rFonts w:hint="eastAsia" w:cs="Times New Roman"/>
                <w:color w:val="auto"/>
                <w:kern w:val="0"/>
                <w:sz w:val="24"/>
                <w:szCs w:val="24"/>
                <w:lang w:val="en-US" w:eastAsia="zh-CN" w:bidi="ar"/>
              </w:rPr>
              <w:t>（1m×1m）</w:t>
            </w:r>
            <w:r>
              <w:rPr>
                <w:rFonts w:hint="default" w:ascii="Times New Roman" w:hAnsi="Times New Roman" w:eastAsia="宋体" w:cs="Times New Roman"/>
                <w:color w:val="auto"/>
                <w:kern w:val="0"/>
                <w:sz w:val="24"/>
                <w:szCs w:val="24"/>
                <w:lang w:val="en-US" w:eastAsia="zh-CN" w:bidi="ar"/>
              </w:rPr>
              <w:t>收集粉尘，</w:t>
            </w:r>
            <w:r>
              <w:rPr>
                <w:rFonts w:hint="eastAsia" w:cs="Times New Roman"/>
                <w:color w:val="auto"/>
                <w:kern w:val="0"/>
                <w:sz w:val="24"/>
                <w:szCs w:val="24"/>
                <w:lang w:val="en-US" w:eastAsia="zh-CN" w:bidi="ar"/>
              </w:rPr>
              <w:t>收集到的粉尘经1套</w:t>
            </w:r>
            <w:r>
              <w:rPr>
                <w:rFonts w:hint="default" w:ascii="Times New Roman" w:hAnsi="Times New Roman" w:eastAsia="宋体" w:cs="Times New Roman"/>
                <w:color w:val="auto"/>
                <w:kern w:val="0"/>
                <w:sz w:val="24"/>
                <w:szCs w:val="24"/>
                <w:lang w:val="en-US" w:eastAsia="zh-CN" w:bidi="ar"/>
              </w:rPr>
              <w:t>旋风除尘器+布袋除尘器处理后，经1根15m高排气筒（DA001）排放。</w:t>
            </w:r>
          </w:p>
          <w:p w14:paraId="482A9674">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b w:val="0"/>
                <w:bCs w:val="0"/>
                <w:color w:val="auto"/>
                <w:sz w:val="24"/>
                <w:lang w:val="en-US" w:eastAsia="zh-CN"/>
              </w:rPr>
            </w:pPr>
            <w:r>
              <w:rPr>
                <w:rFonts w:hint="eastAsia"/>
                <w:b w:val="0"/>
                <w:bCs w:val="0"/>
                <w:color w:val="auto"/>
                <w:sz w:val="24"/>
                <w:lang w:val="en-US" w:eastAsia="zh-CN"/>
              </w:rPr>
              <w:t>②清理废气</w:t>
            </w:r>
          </w:p>
          <w:p w14:paraId="27CFA1D1">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项目稻谷在清理、去杂过程中会有一定的清理粉尘产生，</w:t>
            </w:r>
            <w:r>
              <w:rPr>
                <w:rFonts w:hint="eastAsia"/>
                <w:color w:val="auto"/>
                <w:sz w:val="24"/>
                <w:szCs w:val="24"/>
                <w:lang w:bidi="ar"/>
              </w:rPr>
              <w:t>主要污染物颗粒物产污系数</w:t>
            </w:r>
            <w:r>
              <w:rPr>
                <w:rFonts w:hint="eastAsia"/>
                <w:color w:val="auto"/>
                <w:sz w:val="24"/>
                <w:szCs w:val="24"/>
                <w:lang w:eastAsia="zh-CN" w:bidi="ar"/>
              </w:rPr>
              <w:t>根据</w:t>
            </w:r>
            <w:r>
              <w:rPr>
                <w:rFonts w:hint="eastAsia"/>
                <w:color w:val="auto"/>
                <w:sz w:val="24"/>
                <w:szCs w:val="28"/>
              </w:rPr>
              <w:t>《排放源统计调查产排污核算方法和系数手册》（2021年6月）中《</w:t>
            </w:r>
            <w:r>
              <w:rPr>
                <w:rFonts w:hint="eastAsia"/>
                <w:color w:val="auto"/>
                <w:sz w:val="24"/>
                <w:szCs w:val="28"/>
                <w:lang w:val="en-US" w:eastAsia="zh-CN"/>
              </w:rPr>
              <w:t>31 谷物磨制行业</w:t>
            </w:r>
            <w:r>
              <w:rPr>
                <w:rFonts w:hint="eastAsia"/>
                <w:color w:val="auto"/>
                <w:sz w:val="24"/>
                <w:szCs w:val="28"/>
              </w:rPr>
              <w:t>系数手册》</w:t>
            </w:r>
            <w:r>
              <w:rPr>
                <w:rFonts w:hint="eastAsia"/>
                <w:color w:val="auto"/>
                <w:sz w:val="24"/>
                <w:szCs w:val="24"/>
              </w:rPr>
              <w:t>中的“</w:t>
            </w:r>
            <w:r>
              <w:rPr>
                <w:rFonts w:hint="eastAsia"/>
                <w:color w:val="auto"/>
                <w:sz w:val="24"/>
                <w:szCs w:val="24"/>
                <w:lang w:eastAsia="zh-CN"/>
              </w:rPr>
              <w:t>原料名称：稻谷</w:t>
            </w:r>
            <w:r>
              <w:rPr>
                <w:rFonts w:hint="eastAsia"/>
                <w:color w:val="auto"/>
                <w:sz w:val="24"/>
                <w:szCs w:val="24"/>
                <w:lang w:val="en-US" w:eastAsia="zh-CN"/>
              </w:rPr>
              <w:t xml:space="preserve"> 工艺名称：清理、碾磨、除尘</w:t>
            </w:r>
            <w:r>
              <w:rPr>
                <w:rFonts w:hint="eastAsia"/>
                <w:color w:val="auto"/>
                <w:sz w:val="24"/>
                <w:szCs w:val="24"/>
              </w:rPr>
              <w:t>”的产污系数，取</w:t>
            </w:r>
            <w:r>
              <w:rPr>
                <w:rFonts w:hint="eastAsia"/>
                <w:color w:val="auto"/>
                <w:sz w:val="24"/>
                <w:szCs w:val="24"/>
                <w:lang w:eastAsia="zh-CN"/>
              </w:rPr>
              <w:t>清理</w:t>
            </w:r>
            <w:r>
              <w:rPr>
                <w:rFonts w:hint="eastAsia"/>
                <w:color w:val="auto"/>
                <w:sz w:val="24"/>
                <w:szCs w:val="24"/>
                <w:lang w:val="en-US" w:eastAsia="zh-CN"/>
              </w:rPr>
              <w:t>废气</w:t>
            </w:r>
            <w:r>
              <w:rPr>
                <w:rFonts w:hint="eastAsia"/>
                <w:color w:val="auto"/>
                <w:sz w:val="24"/>
                <w:szCs w:val="24"/>
              </w:rPr>
              <w:t>中主要污染物颗粒物产污系数为</w:t>
            </w:r>
            <w:r>
              <w:rPr>
                <w:rFonts w:hint="eastAsia"/>
                <w:color w:val="auto"/>
                <w:sz w:val="24"/>
                <w:szCs w:val="24"/>
                <w:lang w:val="en-US" w:eastAsia="zh-CN"/>
              </w:rPr>
              <w:t>0.015</w:t>
            </w:r>
            <w:r>
              <w:rPr>
                <w:rFonts w:hint="eastAsia"/>
                <w:color w:val="auto"/>
                <w:sz w:val="24"/>
                <w:szCs w:val="24"/>
              </w:rPr>
              <w:t>kg/</w:t>
            </w:r>
            <w:r>
              <w:rPr>
                <w:rFonts w:hint="eastAsia"/>
                <w:color w:val="auto"/>
                <w:sz w:val="24"/>
                <w:szCs w:val="24"/>
                <w:lang w:val="en-US" w:eastAsia="zh-CN"/>
              </w:rPr>
              <w:t>t</w:t>
            </w:r>
            <w:r>
              <w:rPr>
                <w:rFonts w:hint="eastAsia"/>
                <w:color w:val="auto"/>
                <w:sz w:val="24"/>
                <w:szCs w:val="24"/>
              </w:rPr>
              <w:t>·原料，</w:t>
            </w:r>
            <w:r>
              <w:rPr>
                <w:rFonts w:hint="eastAsia"/>
                <w:color w:val="auto"/>
                <w:sz w:val="24"/>
                <w:szCs w:val="24"/>
                <w:lang w:eastAsia="zh-CN"/>
              </w:rPr>
              <w:t>项目年用原料稻谷</w:t>
            </w:r>
            <w:r>
              <w:rPr>
                <w:rFonts w:hint="eastAsia"/>
                <w:color w:val="auto"/>
                <w:sz w:val="24"/>
                <w:szCs w:val="24"/>
                <w:lang w:val="en-US" w:eastAsia="zh-CN"/>
              </w:rPr>
              <w:t>100000t，产生的清理废气约为1.5t/a。</w:t>
            </w:r>
            <w:r>
              <w:rPr>
                <w:rFonts w:hint="default" w:ascii="Times New Roman" w:hAnsi="Times New Roman" w:eastAsia="宋体" w:cs="Times New Roman"/>
                <w:color w:val="auto"/>
                <w:kern w:val="0"/>
                <w:sz w:val="24"/>
                <w:szCs w:val="24"/>
                <w:lang w:val="en-US" w:eastAsia="zh-CN" w:bidi="ar"/>
              </w:rPr>
              <w:t>项目拟在</w:t>
            </w:r>
            <w:r>
              <w:rPr>
                <w:rFonts w:hint="eastAsia" w:ascii="Times New Roman" w:hAnsi="Times New Roman" w:eastAsia="宋体" w:cs="Times New Roman"/>
                <w:color w:val="auto"/>
                <w:kern w:val="0"/>
                <w:sz w:val="24"/>
                <w:szCs w:val="24"/>
                <w:lang w:val="en-US" w:eastAsia="zh-CN" w:bidi="ar"/>
              </w:rPr>
              <w:t>震动清理筛上方</w:t>
            </w:r>
            <w:r>
              <w:rPr>
                <w:rFonts w:hint="default" w:ascii="Times New Roman" w:hAnsi="Times New Roman" w:eastAsia="宋体" w:cs="Times New Roman"/>
                <w:color w:val="auto"/>
                <w:kern w:val="0"/>
                <w:sz w:val="24"/>
                <w:szCs w:val="24"/>
                <w:lang w:val="en-US" w:eastAsia="zh-CN" w:bidi="ar"/>
              </w:rPr>
              <w:t>设置集气罩</w:t>
            </w:r>
            <w:r>
              <w:rPr>
                <w:rFonts w:hint="eastAsia" w:cs="Times New Roman"/>
                <w:color w:val="auto"/>
                <w:kern w:val="0"/>
                <w:sz w:val="24"/>
                <w:szCs w:val="24"/>
                <w:lang w:val="en-US" w:eastAsia="zh-CN" w:bidi="ar"/>
              </w:rPr>
              <w:t>（0.5m×0.5m）</w:t>
            </w:r>
            <w:r>
              <w:rPr>
                <w:rFonts w:hint="default" w:ascii="Times New Roman" w:hAnsi="Times New Roman" w:eastAsia="宋体" w:cs="Times New Roman"/>
                <w:color w:val="auto"/>
                <w:kern w:val="0"/>
                <w:sz w:val="24"/>
                <w:szCs w:val="24"/>
                <w:lang w:val="en-US" w:eastAsia="zh-CN" w:bidi="ar"/>
              </w:rPr>
              <w:t>收集粉尘，</w:t>
            </w:r>
            <w:r>
              <w:rPr>
                <w:rFonts w:hint="eastAsia" w:cs="Times New Roman"/>
                <w:color w:val="auto"/>
                <w:kern w:val="0"/>
                <w:sz w:val="24"/>
                <w:szCs w:val="24"/>
                <w:lang w:val="en-US" w:eastAsia="zh-CN" w:bidi="ar"/>
              </w:rPr>
              <w:t>收集到的粉尘经1套</w:t>
            </w:r>
            <w:r>
              <w:rPr>
                <w:rFonts w:hint="default" w:ascii="Times New Roman" w:hAnsi="Times New Roman" w:eastAsia="宋体" w:cs="Times New Roman"/>
                <w:color w:val="auto"/>
                <w:kern w:val="0"/>
                <w:sz w:val="24"/>
                <w:szCs w:val="24"/>
                <w:lang w:val="en-US" w:eastAsia="zh-CN" w:bidi="ar"/>
              </w:rPr>
              <w:t>旋风除尘器+布袋除尘器处理后，经1根15m高排气筒（DA001）排放。</w:t>
            </w:r>
          </w:p>
          <w:p w14:paraId="0E9357B5">
            <w:pPr>
              <w:spacing w:line="360" w:lineRule="auto"/>
              <w:ind w:firstLine="723" w:firstLineChars="300"/>
              <w:jc w:val="left"/>
              <w:rPr>
                <w:rFonts w:hint="eastAsia" w:ascii="Times New Roman" w:hAnsi="Times New Roman" w:eastAsia="宋体" w:cs="Times New Roman"/>
                <w:color w:val="auto"/>
                <w:sz w:val="24"/>
                <w:szCs w:val="28"/>
                <w:lang w:eastAsia="zh-CN"/>
              </w:rPr>
            </w:pPr>
            <w:r>
              <w:rPr>
                <w:rFonts w:hint="eastAsia"/>
                <w:b/>
                <w:bCs/>
                <w:color w:val="auto"/>
                <w:sz w:val="24"/>
                <w:lang w:val="en-US" w:eastAsia="zh-CN"/>
              </w:rPr>
              <w:t>卸料废气、清理废气的</w:t>
            </w:r>
            <w:r>
              <w:rPr>
                <w:rFonts w:hint="eastAsia"/>
                <w:b/>
                <w:bCs/>
                <w:color w:val="auto"/>
                <w:sz w:val="24"/>
              </w:rPr>
              <w:t>收集效率取90%，</w:t>
            </w:r>
            <w:r>
              <w:rPr>
                <w:rFonts w:hint="eastAsia"/>
                <w:b/>
                <w:bCs/>
                <w:color w:val="auto"/>
                <w:sz w:val="24"/>
                <w:lang w:eastAsia="zh-CN"/>
              </w:rPr>
              <w:t>脉冲</w:t>
            </w:r>
            <w:r>
              <w:rPr>
                <w:rFonts w:hint="eastAsia"/>
                <w:b/>
                <w:bCs/>
                <w:color w:val="auto"/>
                <w:sz w:val="24"/>
              </w:rPr>
              <w:t>袋式除尘器的处理效率约为99%</w:t>
            </w:r>
            <w:r>
              <w:rPr>
                <w:rFonts w:hint="eastAsia"/>
                <w:b/>
                <w:bCs/>
                <w:color w:val="auto"/>
                <w:sz w:val="24"/>
                <w:lang w:eastAsia="zh-CN"/>
              </w:rPr>
              <w:t>，卸料工段和清理工段同时进行，年工作时间为</w:t>
            </w:r>
            <w:r>
              <w:rPr>
                <w:rFonts w:hint="eastAsia"/>
                <w:b/>
                <w:bCs/>
                <w:color w:val="auto"/>
                <w:sz w:val="24"/>
                <w:lang w:val="en-US" w:eastAsia="zh-CN"/>
              </w:rPr>
              <w:t>2400h</w:t>
            </w:r>
            <w:r>
              <w:rPr>
                <w:rFonts w:hint="eastAsia"/>
                <w:b/>
                <w:bCs/>
                <w:color w:val="auto"/>
                <w:sz w:val="24"/>
              </w:rPr>
              <w:t>。</w:t>
            </w:r>
          </w:p>
        </w:tc>
      </w:tr>
    </w:tbl>
    <w:p w14:paraId="7B489023">
      <w:pPr>
        <w:spacing w:line="360" w:lineRule="auto"/>
        <w:jc w:val="center"/>
        <w:outlineLvl w:val="0"/>
        <w:rPr>
          <w:rFonts w:hint="eastAsia" w:eastAsia="黑体"/>
          <w:b/>
          <w:bCs/>
          <w:color w:val="auto"/>
          <w:sz w:val="30"/>
          <w:szCs w:val="24"/>
        </w:rPr>
        <w:sectPr>
          <w:pgSz w:w="16838" w:h="11906" w:orient="landscape"/>
          <w:pgMar w:top="1701" w:right="1418" w:bottom="1701" w:left="1418"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5"/>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3"/>
        <w:gridCol w:w="8753"/>
      </w:tblGrid>
      <w:tr w14:paraId="3182E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33" w:type="dxa"/>
            <w:vAlign w:val="center"/>
          </w:tcPr>
          <w:p w14:paraId="59D3433F">
            <w:pPr>
              <w:spacing w:line="360" w:lineRule="auto"/>
              <w:jc w:val="center"/>
              <w:rPr>
                <w:rFonts w:eastAsia="黑体"/>
                <w:b/>
                <w:bCs/>
                <w:color w:val="auto"/>
                <w:sz w:val="30"/>
                <w:szCs w:val="24"/>
              </w:rPr>
            </w:pPr>
            <w:r>
              <w:rPr>
                <w:rFonts w:hint="eastAsia"/>
                <w:color w:val="auto"/>
                <w:szCs w:val="18"/>
              </w:rPr>
              <w:t>运营期环境影响和保护措施</w:t>
            </w:r>
          </w:p>
        </w:tc>
        <w:tc>
          <w:tcPr>
            <w:tcW w:w="8753" w:type="dxa"/>
            <w:vAlign w:val="center"/>
          </w:tcPr>
          <w:p w14:paraId="623B0890">
            <w:pPr>
              <w:spacing w:line="360" w:lineRule="auto"/>
              <w:ind w:firstLine="480" w:firstLineChars="200"/>
              <w:rPr>
                <w:rFonts w:hint="eastAsia"/>
                <w:color w:val="auto"/>
                <w:sz w:val="24"/>
                <w:szCs w:val="24"/>
              </w:rPr>
            </w:pPr>
            <w:r>
              <w:rPr>
                <w:rFonts w:hint="eastAsia"/>
                <w:color w:val="auto"/>
                <w:sz w:val="24"/>
                <w:szCs w:val="24"/>
              </w:rPr>
              <w:t>根据《局部排风设施控制风速检测与评估技术规范》（AQ/T4274-2016），设计抽风口截面积处的抽风风速按1.</w:t>
            </w:r>
            <w:r>
              <w:rPr>
                <w:rFonts w:hint="eastAsia"/>
                <w:color w:val="auto"/>
                <w:sz w:val="24"/>
                <w:szCs w:val="24"/>
                <w:lang w:val="en-US" w:eastAsia="zh-CN"/>
              </w:rPr>
              <w:t>2</w:t>
            </w:r>
            <w:r>
              <w:rPr>
                <w:rFonts w:hint="eastAsia"/>
                <w:color w:val="auto"/>
                <w:sz w:val="24"/>
                <w:szCs w:val="24"/>
              </w:rPr>
              <w:t>m/s计，按照《环境工程设计手册》（1.3.3章节第47页公式1.3.10）有关公式计算</w:t>
            </w:r>
            <w:r>
              <w:rPr>
                <w:rFonts w:hint="eastAsia"/>
                <w:color w:val="auto"/>
                <w:sz w:val="24"/>
                <w:szCs w:val="24"/>
                <w:lang w:eastAsia="zh-CN"/>
              </w:rPr>
              <w:t>上</w:t>
            </w:r>
            <w:r>
              <w:rPr>
                <w:rFonts w:hint="eastAsia"/>
                <w:color w:val="auto"/>
                <w:sz w:val="24"/>
                <w:szCs w:val="24"/>
              </w:rPr>
              <w:t>吸罩所需的风量。</w:t>
            </w:r>
          </w:p>
          <w:p w14:paraId="6E2715A9">
            <w:pPr>
              <w:spacing w:line="360" w:lineRule="auto"/>
              <w:jc w:val="center"/>
              <w:rPr>
                <w:rFonts w:hint="default" w:ascii="Times New Roman" w:hAnsi="Times New Roman" w:cs="Times New Roman"/>
                <w:color w:val="auto"/>
                <w:sz w:val="32"/>
                <w:szCs w:val="32"/>
                <w:lang w:val="en-US"/>
              </w:rPr>
            </w:pPr>
            <m:oMath>
              <m:r>
                <m:rPr/>
                <w:rPr>
                  <w:rFonts w:hint="default" w:ascii="Cambria Math" w:hAnsi="Cambria Math" w:cs="Times New Roman"/>
                  <w:color w:val="auto"/>
                  <w:kern w:val="2"/>
                  <w:sz w:val="32"/>
                  <w:szCs w:val="28"/>
                  <w:lang w:val="en-US" w:eastAsia="zh-CN" w:bidi="ar-SA"/>
                </w:rPr>
                <m:t>L=</m:t>
              </m:r>
              <m:f>
                <m:fPr>
                  <m:ctrlPr>
                    <w:rPr>
                      <w:rFonts w:hint="default" w:ascii="Cambria Math" w:hAnsi="Cambria Math" w:cs="Times New Roman"/>
                      <w:i/>
                      <w:iCs/>
                      <w:color w:val="auto"/>
                      <w:kern w:val="2"/>
                      <w:sz w:val="32"/>
                      <w:szCs w:val="28"/>
                      <w:lang w:val="en-US" w:eastAsia="zh-CN" w:bidi="ar-SA"/>
                    </w:rPr>
                  </m:ctrlPr>
                </m:fPr>
                <m:num>
                  <m:r>
                    <m:rPr/>
                    <w:rPr>
                      <w:rFonts w:hint="default" w:ascii="Cambria Math" w:hAnsi="Cambria Math" w:cs="Times New Roman"/>
                      <w:color w:val="auto"/>
                      <w:kern w:val="2"/>
                      <w:sz w:val="32"/>
                      <w:szCs w:val="28"/>
                      <w:lang w:val="en-US" w:eastAsia="zh-CN" w:bidi="ar-SA"/>
                    </w:rPr>
                    <m:t>1</m:t>
                  </m:r>
                  <m:ctrlPr>
                    <w:rPr>
                      <w:rFonts w:hint="default" w:ascii="Cambria Math" w:hAnsi="Cambria Math" w:cs="Times New Roman"/>
                      <w:i/>
                      <w:iCs/>
                      <w:color w:val="auto"/>
                      <w:kern w:val="2"/>
                      <w:sz w:val="32"/>
                      <w:szCs w:val="28"/>
                      <w:lang w:val="en-US" w:eastAsia="zh-CN" w:bidi="ar-SA"/>
                    </w:rPr>
                  </m:ctrlPr>
                </m:num>
                <m:den>
                  <m:r>
                    <m:rPr/>
                    <w:rPr>
                      <w:rFonts w:hint="default" w:ascii="Cambria Math" w:hAnsi="Cambria Math" w:cs="Times New Roman"/>
                      <w:color w:val="auto"/>
                      <w:kern w:val="2"/>
                      <w:sz w:val="32"/>
                      <w:szCs w:val="28"/>
                      <w:lang w:val="en-US" w:eastAsia="zh-CN" w:bidi="ar-SA"/>
                    </w:rPr>
                    <m:t>2</m:t>
                  </m:r>
                  <m:ctrlPr>
                    <w:rPr>
                      <w:rFonts w:hint="default" w:ascii="Cambria Math" w:hAnsi="Cambria Math" w:cs="Times New Roman"/>
                      <w:i/>
                      <w:iCs/>
                      <w:color w:val="auto"/>
                      <w:kern w:val="2"/>
                      <w:sz w:val="32"/>
                      <w:szCs w:val="28"/>
                      <w:lang w:val="en-US" w:eastAsia="zh-CN" w:bidi="ar-SA"/>
                    </w:rPr>
                  </m:ctrlPr>
                </m:den>
              </m:f>
              <m:r>
                <m:rPr/>
                <w:rPr>
                  <w:rFonts w:hint="default" w:ascii="Cambria Math" w:hAnsi="Cambria Math" w:cs="Times New Roman"/>
                  <w:color w:val="auto"/>
                  <w:kern w:val="2"/>
                  <w:sz w:val="32"/>
                  <w:szCs w:val="28"/>
                  <w:lang w:val="en-US" w:eastAsia="zh-CN" w:bidi="ar-SA"/>
                </w:rPr>
                <m:t>(10</m:t>
              </m:r>
              <m:sSup>
                <m:sSupPr>
                  <m:ctrlPr>
                    <w:rPr>
                      <w:rFonts w:hint="default" w:ascii="Cambria Math" w:hAnsi="Cambria Math" w:cs="Times New Roman"/>
                      <w:i/>
                      <w:iCs/>
                      <w:color w:val="auto"/>
                      <w:kern w:val="2"/>
                      <w:sz w:val="32"/>
                      <w:szCs w:val="28"/>
                      <w:lang w:val="en-US" w:eastAsia="zh-CN" w:bidi="ar-SA"/>
                    </w:rPr>
                  </m:ctrlPr>
                </m:sSupPr>
                <m:e>
                  <m:r>
                    <m:rPr/>
                    <w:rPr>
                      <w:rFonts w:hint="default" w:ascii="Cambria Math" w:hAnsi="Cambria Math" w:cs="Times New Roman"/>
                      <w:color w:val="auto"/>
                      <w:kern w:val="2"/>
                      <w:sz w:val="32"/>
                      <w:szCs w:val="28"/>
                      <w:lang w:val="en-US" w:eastAsia="zh-CN" w:bidi="ar-SA"/>
                    </w:rPr>
                    <m:t>X</m:t>
                  </m:r>
                  <m:ctrlPr>
                    <w:rPr>
                      <w:rFonts w:hint="default" w:ascii="Cambria Math" w:hAnsi="Cambria Math" w:cs="Times New Roman"/>
                      <w:i/>
                      <w:iCs/>
                      <w:color w:val="auto"/>
                      <w:kern w:val="2"/>
                      <w:sz w:val="32"/>
                      <w:szCs w:val="28"/>
                      <w:lang w:val="en-US" w:eastAsia="zh-CN" w:bidi="ar-SA"/>
                    </w:rPr>
                  </m:ctrlPr>
                </m:e>
                <m:sup>
                  <m:r>
                    <m:rPr/>
                    <w:rPr>
                      <w:rFonts w:hint="default" w:ascii="Cambria Math" w:hAnsi="Cambria Math" w:cs="Times New Roman"/>
                      <w:color w:val="auto"/>
                      <w:kern w:val="2"/>
                      <w:sz w:val="32"/>
                      <w:szCs w:val="28"/>
                      <w:lang w:val="en-US" w:eastAsia="zh-CN" w:bidi="ar-SA"/>
                    </w:rPr>
                    <m:t>2</m:t>
                  </m:r>
                  <m:ctrlPr>
                    <w:rPr>
                      <w:rFonts w:hint="default" w:ascii="Cambria Math" w:hAnsi="Cambria Math" w:cs="Times New Roman"/>
                      <w:i/>
                      <w:iCs/>
                      <w:color w:val="auto"/>
                      <w:kern w:val="2"/>
                      <w:sz w:val="32"/>
                      <w:szCs w:val="28"/>
                      <w:lang w:val="en-US" w:eastAsia="zh-CN" w:bidi="ar-SA"/>
                    </w:rPr>
                  </m:ctrlPr>
                </m:sup>
              </m:sSup>
              <m:r>
                <m:rPr/>
                <w:rPr>
                  <w:rFonts w:hint="default" w:ascii="Cambria Math" w:hAnsi="Cambria Math" w:cs="Times New Roman"/>
                  <w:color w:val="auto"/>
                  <w:kern w:val="2"/>
                  <w:sz w:val="32"/>
                  <w:szCs w:val="28"/>
                  <w:lang w:val="en-US" w:eastAsia="zh-CN" w:bidi="ar-SA"/>
                </w:rPr>
                <m:t>+2F)</m:t>
              </m:r>
              <m:sSub>
                <m:sSubPr>
                  <m:ctrlPr>
                    <w:rPr>
                      <w:rFonts w:hint="default" w:ascii="Cambria Math" w:hAnsi="Cambria Math" w:cs="Times New Roman"/>
                      <w:i/>
                      <w:iCs/>
                      <w:color w:val="auto"/>
                      <w:kern w:val="2"/>
                      <w:sz w:val="32"/>
                      <w:szCs w:val="28"/>
                      <w:lang w:val="en-US" w:eastAsia="zh-CN" w:bidi="ar-SA"/>
                    </w:rPr>
                  </m:ctrlPr>
                </m:sSubPr>
                <m:e>
                  <m:r>
                    <m:rPr/>
                    <w:rPr>
                      <w:rFonts w:hint="default" w:ascii="Cambria Math" w:hAnsi="Cambria Math" w:cs="Times New Roman"/>
                      <w:color w:val="auto"/>
                      <w:kern w:val="2"/>
                      <w:sz w:val="32"/>
                      <w:szCs w:val="28"/>
                      <w:lang w:val="en-US" w:eastAsia="zh-CN" w:bidi="ar-SA"/>
                    </w:rPr>
                    <m:t>V</m:t>
                  </m:r>
                  <m:ctrlPr>
                    <w:rPr>
                      <w:rFonts w:hint="default" w:ascii="Cambria Math" w:hAnsi="Cambria Math" w:cs="Times New Roman"/>
                      <w:i/>
                      <w:iCs/>
                      <w:color w:val="auto"/>
                      <w:kern w:val="2"/>
                      <w:sz w:val="32"/>
                      <w:szCs w:val="28"/>
                      <w:lang w:val="en-US" w:eastAsia="zh-CN" w:bidi="ar-SA"/>
                    </w:rPr>
                  </m:ctrlPr>
                </m:e>
                <m:sub>
                  <m:r>
                    <m:rPr/>
                    <w:rPr>
                      <w:rFonts w:hint="default" w:ascii="Cambria Math" w:hAnsi="Cambria Math" w:cs="Times New Roman"/>
                      <w:color w:val="auto"/>
                      <w:kern w:val="2"/>
                      <w:sz w:val="32"/>
                      <w:szCs w:val="28"/>
                      <w:lang w:val="en-US" w:eastAsia="zh-CN" w:bidi="ar-SA"/>
                    </w:rPr>
                    <m:t>x</m:t>
                  </m:r>
                  <m:ctrlPr>
                    <w:rPr>
                      <w:rFonts w:hint="default" w:ascii="Cambria Math" w:hAnsi="Cambria Math" w:cs="Times New Roman"/>
                      <w:i/>
                      <w:iCs/>
                      <w:color w:val="auto"/>
                      <w:kern w:val="2"/>
                      <w:sz w:val="32"/>
                      <w:szCs w:val="28"/>
                      <w:lang w:val="en-US" w:eastAsia="zh-CN" w:bidi="ar-SA"/>
                    </w:rPr>
                  </m:ctrlPr>
                </m:sub>
              </m:sSub>
              <m:r>
                <m:rPr/>
                <w:rPr>
                  <w:rFonts w:hint="default" w:ascii="Cambria Math" w:hAnsi="Cambria Math" w:cs="Times New Roman"/>
                  <w:color w:val="auto"/>
                  <w:kern w:val="2"/>
                  <w:sz w:val="32"/>
                  <w:szCs w:val="28"/>
                  <w:lang w:val="en-US" w:eastAsia="zh-CN" w:bidi="ar-SA"/>
                </w:rPr>
                <m:t>×360</m:t>
              </m:r>
            </m:oMath>
            <w:r>
              <w:rPr>
                <w:rFonts w:hint="default" w:ascii="Times New Roman" w:hAnsi="Times New Roman" w:cs="Times New Roman"/>
                <w:i w:val="0"/>
                <w:iCs/>
                <w:color w:val="auto"/>
                <w:kern w:val="2"/>
                <w:sz w:val="32"/>
                <w:szCs w:val="28"/>
                <w:lang w:val="en-US" w:eastAsia="zh-CN" w:bidi="ar-SA"/>
              </w:rPr>
              <w:t>0</w:t>
            </w:r>
          </w:p>
          <w:p w14:paraId="1104D15A">
            <w:pPr>
              <w:spacing w:line="360" w:lineRule="auto"/>
              <w:ind w:firstLine="480" w:firstLineChars="200"/>
              <w:rPr>
                <w:rFonts w:hint="eastAsia"/>
                <w:color w:val="auto"/>
                <w:sz w:val="24"/>
                <w:szCs w:val="24"/>
              </w:rPr>
            </w:pPr>
            <w:r>
              <w:rPr>
                <w:rFonts w:hint="eastAsia"/>
                <w:color w:val="auto"/>
                <w:sz w:val="24"/>
                <w:szCs w:val="24"/>
              </w:rPr>
              <w:t>L：侧吸罩的排风量m</w:t>
            </w:r>
            <w:r>
              <w:rPr>
                <w:rFonts w:hint="eastAsia"/>
                <w:color w:val="auto"/>
                <w:sz w:val="24"/>
                <w:szCs w:val="24"/>
                <w:vertAlign w:val="superscript"/>
              </w:rPr>
              <w:t>3</w:t>
            </w:r>
            <w:r>
              <w:rPr>
                <w:rFonts w:hint="eastAsia"/>
                <w:color w:val="auto"/>
                <w:sz w:val="24"/>
                <w:szCs w:val="24"/>
              </w:rPr>
              <w:t>/h；X：控制点至吸气口距离取0.</w:t>
            </w:r>
            <w:r>
              <w:rPr>
                <w:rFonts w:hint="eastAsia"/>
                <w:color w:val="auto"/>
                <w:sz w:val="24"/>
                <w:szCs w:val="24"/>
                <w:lang w:val="en-US" w:eastAsia="zh-CN"/>
              </w:rPr>
              <w:t>3</w:t>
            </w:r>
            <w:r>
              <w:rPr>
                <w:rFonts w:hint="eastAsia"/>
                <w:color w:val="auto"/>
                <w:sz w:val="24"/>
                <w:szCs w:val="24"/>
              </w:rPr>
              <w:t>m；</w:t>
            </w:r>
          </w:p>
          <w:p w14:paraId="6DAD0E4E">
            <w:pPr>
              <w:spacing w:line="360" w:lineRule="auto"/>
              <w:ind w:firstLine="480" w:firstLineChars="200"/>
              <w:rPr>
                <w:rFonts w:hint="eastAsia"/>
                <w:color w:val="auto"/>
                <w:sz w:val="24"/>
                <w:szCs w:val="24"/>
              </w:rPr>
            </w:pPr>
            <w:r>
              <w:rPr>
                <w:rFonts w:hint="eastAsia"/>
                <w:color w:val="auto"/>
                <w:sz w:val="24"/>
                <w:szCs w:val="24"/>
              </w:rPr>
              <w:t>F：</w:t>
            </w:r>
            <w:r>
              <w:rPr>
                <w:rFonts w:hint="eastAsia"/>
                <w:color w:val="auto"/>
                <w:sz w:val="24"/>
                <w:szCs w:val="24"/>
                <w:lang w:eastAsia="zh-CN"/>
              </w:rPr>
              <w:t>两个</w:t>
            </w:r>
            <w:r>
              <w:rPr>
                <w:rFonts w:hint="eastAsia"/>
                <w:color w:val="auto"/>
                <w:sz w:val="24"/>
                <w:szCs w:val="24"/>
              </w:rPr>
              <w:t>吸气口的面积取</w:t>
            </w:r>
            <w:r>
              <w:rPr>
                <w:rFonts w:hint="eastAsia"/>
                <w:color w:val="auto"/>
                <w:sz w:val="24"/>
                <w:szCs w:val="24"/>
                <w:lang w:val="en-US" w:eastAsia="zh-CN"/>
              </w:rPr>
              <w:t>1.25</w:t>
            </w:r>
            <w:r>
              <w:rPr>
                <w:rFonts w:hint="eastAsia"/>
                <w:color w:val="auto"/>
                <w:sz w:val="24"/>
                <w:szCs w:val="24"/>
              </w:rPr>
              <w:t>m</w:t>
            </w:r>
            <w:r>
              <w:rPr>
                <w:rFonts w:hint="eastAsia"/>
                <w:color w:val="auto"/>
                <w:sz w:val="24"/>
                <w:szCs w:val="24"/>
                <w:vertAlign w:val="superscript"/>
              </w:rPr>
              <w:t>2</w:t>
            </w:r>
            <w:r>
              <w:rPr>
                <w:rFonts w:hint="eastAsia"/>
                <w:color w:val="auto"/>
                <w:szCs w:val="21"/>
              </w:rPr>
              <w:t>（</w:t>
            </w:r>
            <w:r>
              <w:rPr>
                <w:rFonts w:hint="eastAsia"/>
                <w:color w:val="auto"/>
                <w:sz w:val="24"/>
                <w:szCs w:val="24"/>
                <w:lang w:val="en-US" w:eastAsia="zh-CN"/>
              </w:rPr>
              <w:t>1m×1</w:t>
            </w:r>
            <w:r>
              <w:rPr>
                <w:rFonts w:hint="eastAsia"/>
                <w:color w:val="auto"/>
                <w:sz w:val="24"/>
                <w:szCs w:val="24"/>
              </w:rPr>
              <w:t>m</w:t>
            </w:r>
            <w:r>
              <w:rPr>
                <w:rFonts w:hint="eastAsia"/>
                <w:color w:val="auto"/>
                <w:sz w:val="24"/>
                <w:szCs w:val="24"/>
                <w:lang w:eastAsia="zh-CN"/>
              </w:rPr>
              <w:t>，</w:t>
            </w:r>
            <w:r>
              <w:rPr>
                <w:rFonts w:hint="eastAsia"/>
                <w:color w:val="auto"/>
                <w:sz w:val="24"/>
                <w:szCs w:val="24"/>
                <w:lang w:val="en-US" w:eastAsia="zh-CN"/>
              </w:rPr>
              <w:t>0.5m×0.5m</w:t>
            </w:r>
            <w:r>
              <w:rPr>
                <w:rFonts w:hint="eastAsia"/>
                <w:color w:val="auto"/>
                <w:szCs w:val="21"/>
              </w:rPr>
              <w:t>）</w:t>
            </w:r>
            <w:r>
              <w:rPr>
                <w:rFonts w:hint="eastAsia"/>
                <w:color w:val="auto"/>
                <w:sz w:val="24"/>
                <w:szCs w:val="24"/>
              </w:rPr>
              <w:t>；Vx：控制点的风速1.0m/s。</w:t>
            </w:r>
          </w:p>
          <w:p w14:paraId="17C2639F">
            <w:pPr>
              <w:spacing w:line="360" w:lineRule="auto"/>
              <w:ind w:firstLine="480" w:firstLineChars="200"/>
              <w:rPr>
                <w:rFonts w:hint="eastAsia"/>
                <w:color w:val="auto"/>
                <w:sz w:val="24"/>
                <w:szCs w:val="24"/>
              </w:rPr>
            </w:pPr>
            <w:r>
              <w:rPr>
                <w:rFonts w:hint="eastAsia"/>
                <w:color w:val="auto"/>
                <w:sz w:val="24"/>
                <w:szCs w:val="24"/>
              </w:rPr>
              <w:t>经计算，</w:t>
            </w:r>
            <w:r>
              <w:rPr>
                <w:rFonts w:hint="eastAsia"/>
                <w:color w:val="auto"/>
                <w:sz w:val="24"/>
                <w:szCs w:val="24"/>
                <w:lang w:eastAsia="zh-CN"/>
              </w:rPr>
              <w:t>两个上</w:t>
            </w:r>
            <w:r>
              <w:rPr>
                <w:rFonts w:hint="eastAsia"/>
                <w:color w:val="auto"/>
                <w:sz w:val="24"/>
                <w:szCs w:val="24"/>
              </w:rPr>
              <w:t>吸罩的排风量</w:t>
            </w:r>
            <w:r>
              <w:rPr>
                <w:rFonts w:hint="eastAsia"/>
                <w:color w:val="auto"/>
                <w:sz w:val="24"/>
                <w:szCs w:val="24"/>
                <w:lang w:eastAsia="zh-CN"/>
              </w:rPr>
              <w:t>至少为</w:t>
            </w:r>
            <w:r>
              <w:rPr>
                <w:rFonts w:hint="eastAsia"/>
                <w:color w:val="auto"/>
                <w:sz w:val="24"/>
                <w:szCs w:val="24"/>
                <w:lang w:val="en-US" w:eastAsia="zh-CN"/>
              </w:rPr>
              <w:t>7344</w:t>
            </w:r>
            <w:r>
              <w:rPr>
                <w:rFonts w:hint="eastAsia"/>
                <w:color w:val="auto"/>
                <w:sz w:val="24"/>
                <w:szCs w:val="24"/>
              </w:rPr>
              <w:t>m</w:t>
            </w:r>
            <w:r>
              <w:rPr>
                <w:rFonts w:hint="eastAsia"/>
                <w:color w:val="auto"/>
                <w:sz w:val="24"/>
                <w:szCs w:val="24"/>
                <w:vertAlign w:val="superscript"/>
              </w:rPr>
              <w:t>3</w:t>
            </w:r>
            <w:r>
              <w:rPr>
                <w:rFonts w:hint="eastAsia"/>
                <w:color w:val="auto"/>
                <w:sz w:val="24"/>
                <w:szCs w:val="24"/>
              </w:rPr>
              <w:t>/h，考虑到弯头、压力损失等因素，抽风量设计为</w:t>
            </w:r>
            <w:r>
              <w:rPr>
                <w:rFonts w:hint="eastAsia"/>
                <w:color w:val="auto"/>
                <w:sz w:val="24"/>
                <w:szCs w:val="24"/>
                <w:lang w:val="en-US" w:eastAsia="zh-CN"/>
              </w:rPr>
              <w:t>8000</w:t>
            </w:r>
            <w:r>
              <w:rPr>
                <w:rFonts w:hint="eastAsia"/>
                <w:color w:val="auto"/>
                <w:sz w:val="24"/>
                <w:szCs w:val="24"/>
              </w:rPr>
              <w:t>m</w:t>
            </w:r>
            <w:r>
              <w:rPr>
                <w:rFonts w:hint="eastAsia"/>
                <w:color w:val="auto"/>
                <w:sz w:val="24"/>
                <w:szCs w:val="24"/>
                <w:vertAlign w:val="superscript"/>
              </w:rPr>
              <w:t>3</w:t>
            </w:r>
            <w:r>
              <w:rPr>
                <w:rFonts w:hint="eastAsia"/>
                <w:color w:val="auto"/>
                <w:sz w:val="24"/>
                <w:szCs w:val="24"/>
              </w:rPr>
              <w:t>/h。</w:t>
            </w:r>
          </w:p>
          <w:p w14:paraId="7CFC6B8B">
            <w:pPr>
              <w:spacing w:line="360" w:lineRule="auto"/>
              <w:ind w:firstLine="482" w:firstLineChars="200"/>
              <w:jc w:val="left"/>
              <w:rPr>
                <w:b/>
                <w:color w:val="auto"/>
                <w:sz w:val="24"/>
              </w:rPr>
            </w:pPr>
            <w:r>
              <w:rPr>
                <w:rFonts w:hint="eastAsia"/>
                <w:b/>
                <w:color w:val="auto"/>
                <w:sz w:val="24"/>
              </w:rPr>
              <w:t>有组织</w:t>
            </w:r>
            <w:r>
              <w:rPr>
                <w:rFonts w:hint="eastAsia"/>
                <w:b/>
                <w:color w:val="auto"/>
                <w:sz w:val="24"/>
                <w:lang w:eastAsia="zh-CN"/>
              </w:rPr>
              <w:t>卸料废气、清理废气</w:t>
            </w:r>
            <w:r>
              <w:rPr>
                <w:rFonts w:hint="eastAsia"/>
                <w:b/>
                <w:color w:val="auto"/>
                <w:sz w:val="24"/>
              </w:rPr>
              <w:t>：</w:t>
            </w:r>
          </w:p>
          <w:p w14:paraId="794684D0">
            <w:pPr>
              <w:spacing w:line="360" w:lineRule="auto"/>
              <w:ind w:firstLine="480" w:firstLineChars="200"/>
              <w:jc w:val="left"/>
              <w:rPr>
                <w:rFonts w:hint="eastAsia"/>
                <w:color w:val="auto"/>
                <w:sz w:val="24"/>
              </w:rPr>
            </w:pPr>
            <w:r>
              <w:rPr>
                <w:rFonts w:hint="eastAsia"/>
                <w:color w:val="auto"/>
                <w:sz w:val="24"/>
              </w:rPr>
              <w:t>经核算，有组织</w:t>
            </w:r>
            <w:r>
              <w:rPr>
                <w:rFonts w:hint="eastAsia"/>
                <w:color w:val="auto"/>
                <w:sz w:val="24"/>
                <w:lang w:eastAsia="zh-CN"/>
              </w:rPr>
              <w:t>卸料废气、清理废气</w:t>
            </w:r>
            <w:r>
              <w:rPr>
                <w:rFonts w:hint="eastAsia"/>
                <w:color w:val="auto"/>
                <w:sz w:val="24"/>
              </w:rPr>
              <w:t>中主要污染物颗粒物产生量约为</w:t>
            </w:r>
            <w:r>
              <w:rPr>
                <w:rFonts w:hint="eastAsia"/>
                <w:color w:val="auto"/>
                <w:sz w:val="24"/>
                <w:lang w:val="en-US" w:eastAsia="zh-CN"/>
              </w:rPr>
              <w:t>28.35</w:t>
            </w:r>
            <w:r>
              <w:rPr>
                <w:color w:val="auto"/>
                <w:sz w:val="24"/>
              </w:rPr>
              <w:t>t/a</w:t>
            </w:r>
            <w:r>
              <w:rPr>
                <w:rFonts w:hint="eastAsia"/>
                <w:color w:val="auto"/>
                <w:sz w:val="24"/>
              </w:rPr>
              <w:t>，产生速率约为</w:t>
            </w:r>
            <w:r>
              <w:rPr>
                <w:rFonts w:hint="eastAsia"/>
                <w:color w:val="auto"/>
                <w:sz w:val="24"/>
                <w:lang w:val="en-US" w:eastAsia="zh-CN"/>
              </w:rPr>
              <w:t>11.813</w:t>
            </w:r>
            <w:r>
              <w:rPr>
                <w:rFonts w:hint="eastAsia"/>
                <w:color w:val="auto"/>
                <w:sz w:val="24"/>
              </w:rPr>
              <w:t>kg/h，产生浓度约为</w:t>
            </w:r>
            <w:r>
              <w:rPr>
                <w:rFonts w:hint="eastAsia"/>
                <w:color w:val="auto"/>
                <w:sz w:val="24"/>
                <w:lang w:val="en-US" w:eastAsia="zh-CN"/>
              </w:rPr>
              <w:t>1476.56</w:t>
            </w:r>
            <w:r>
              <w:rPr>
                <w:rFonts w:hint="eastAsia"/>
                <w:color w:val="auto"/>
                <w:sz w:val="24"/>
              </w:rPr>
              <w:t>mg/m</w:t>
            </w:r>
            <w:r>
              <w:rPr>
                <w:rFonts w:hint="eastAsia"/>
                <w:color w:val="auto"/>
                <w:sz w:val="24"/>
                <w:vertAlign w:val="superscript"/>
              </w:rPr>
              <w:t>3</w:t>
            </w:r>
            <w:r>
              <w:rPr>
                <w:rFonts w:hint="eastAsia"/>
                <w:color w:val="auto"/>
                <w:sz w:val="24"/>
              </w:rPr>
              <w:t>，有组织</w:t>
            </w:r>
            <w:r>
              <w:rPr>
                <w:rFonts w:hint="eastAsia"/>
                <w:color w:val="auto"/>
                <w:sz w:val="24"/>
                <w:lang w:eastAsia="zh-CN"/>
              </w:rPr>
              <w:t>卸料废气</w:t>
            </w:r>
            <w:r>
              <w:rPr>
                <w:rFonts w:hint="eastAsia"/>
                <w:color w:val="auto"/>
                <w:sz w:val="24"/>
                <w:lang w:val="en-US" w:eastAsia="zh-CN"/>
              </w:rPr>
              <w:t>和清理废气</w:t>
            </w:r>
            <w:r>
              <w:rPr>
                <w:rFonts w:hint="eastAsia"/>
                <w:color w:val="auto"/>
                <w:sz w:val="24"/>
              </w:rPr>
              <w:t>经</w:t>
            </w:r>
            <w:r>
              <w:rPr>
                <w:rFonts w:hint="eastAsia"/>
                <w:color w:val="auto"/>
                <w:sz w:val="24"/>
                <w:lang w:eastAsia="zh-CN"/>
              </w:rPr>
              <w:t>旋风除尘器</w:t>
            </w:r>
            <w:r>
              <w:rPr>
                <w:rFonts w:hint="eastAsia"/>
                <w:color w:val="auto"/>
                <w:sz w:val="24"/>
                <w:lang w:val="en-US" w:eastAsia="zh-CN"/>
              </w:rPr>
              <w:t>+布袋除尘器装置</w:t>
            </w:r>
            <w:r>
              <w:rPr>
                <w:rFonts w:hint="eastAsia"/>
                <w:color w:val="auto"/>
                <w:sz w:val="24"/>
              </w:rPr>
              <w:t>处理后，主要污染物颗粒物的排放量约为</w:t>
            </w:r>
            <w:r>
              <w:rPr>
                <w:rFonts w:hint="eastAsia"/>
                <w:color w:val="auto"/>
                <w:sz w:val="24"/>
                <w:lang w:val="en-US" w:eastAsia="zh-CN"/>
              </w:rPr>
              <w:t>0.284</w:t>
            </w:r>
            <w:r>
              <w:rPr>
                <w:rFonts w:hint="eastAsia"/>
                <w:color w:val="auto"/>
                <w:sz w:val="24"/>
              </w:rPr>
              <w:t>t/a，排放速率约为0</w:t>
            </w:r>
            <w:r>
              <w:rPr>
                <w:color w:val="auto"/>
                <w:sz w:val="24"/>
              </w:rPr>
              <w:t>.</w:t>
            </w:r>
            <w:r>
              <w:rPr>
                <w:rFonts w:hint="eastAsia"/>
                <w:color w:val="auto"/>
                <w:sz w:val="24"/>
                <w:lang w:val="en-US" w:eastAsia="zh-CN"/>
              </w:rPr>
              <w:t>118</w:t>
            </w:r>
            <w:r>
              <w:rPr>
                <w:rFonts w:hint="eastAsia"/>
                <w:color w:val="auto"/>
                <w:sz w:val="24"/>
              </w:rPr>
              <w:t>kg/h，排放浓度约为</w:t>
            </w:r>
            <w:r>
              <w:rPr>
                <w:rFonts w:hint="eastAsia"/>
                <w:color w:val="auto"/>
                <w:sz w:val="24"/>
                <w:lang w:val="en-US" w:eastAsia="zh-CN"/>
              </w:rPr>
              <w:t>14.77</w:t>
            </w:r>
            <w:r>
              <w:rPr>
                <w:rFonts w:hint="eastAsia"/>
                <w:color w:val="auto"/>
                <w:sz w:val="24"/>
              </w:rPr>
              <w:t>mg/m</w:t>
            </w:r>
            <w:r>
              <w:rPr>
                <w:rFonts w:hint="eastAsia"/>
                <w:color w:val="auto"/>
                <w:sz w:val="24"/>
                <w:vertAlign w:val="superscript"/>
              </w:rPr>
              <w:t>3</w:t>
            </w:r>
            <w:r>
              <w:rPr>
                <w:rFonts w:hint="eastAsia"/>
                <w:color w:val="auto"/>
                <w:sz w:val="24"/>
              </w:rPr>
              <w:t>。</w:t>
            </w:r>
          </w:p>
          <w:p w14:paraId="0702884A">
            <w:pPr>
              <w:spacing w:line="360" w:lineRule="auto"/>
              <w:ind w:firstLine="482" w:firstLineChars="200"/>
              <w:jc w:val="left"/>
              <w:rPr>
                <w:b/>
                <w:color w:val="auto"/>
                <w:sz w:val="24"/>
              </w:rPr>
            </w:pPr>
            <w:r>
              <w:rPr>
                <w:rFonts w:hint="eastAsia"/>
                <w:b/>
                <w:color w:val="auto"/>
                <w:sz w:val="24"/>
              </w:rPr>
              <w:t>无组织</w:t>
            </w:r>
            <w:r>
              <w:rPr>
                <w:rFonts w:hint="eastAsia"/>
                <w:b/>
                <w:color w:val="auto"/>
                <w:sz w:val="24"/>
                <w:lang w:eastAsia="zh-CN"/>
              </w:rPr>
              <w:t>卸料废气、清理废气</w:t>
            </w:r>
            <w:r>
              <w:rPr>
                <w:rFonts w:hint="eastAsia"/>
                <w:b/>
                <w:color w:val="auto"/>
                <w:sz w:val="24"/>
              </w:rPr>
              <w:t>：</w:t>
            </w:r>
          </w:p>
          <w:p w14:paraId="4A526B7F">
            <w:pPr>
              <w:spacing w:line="360" w:lineRule="auto"/>
              <w:ind w:firstLine="600" w:firstLineChars="250"/>
              <w:jc w:val="left"/>
              <w:rPr>
                <w:rFonts w:hint="default" w:ascii="Times New Roman" w:hAnsi="Times New Roman" w:cs="Times New Roman"/>
                <w:b/>
                <w:color w:val="auto"/>
                <w:kern w:val="44"/>
                <w:sz w:val="21"/>
                <w:szCs w:val="21"/>
                <w:lang w:bidi="ar"/>
              </w:rPr>
            </w:pPr>
            <w:r>
              <w:rPr>
                <w:rFonts w:hint="eastAsia"/>
                <w:color w:val="auto"/>
                <w:sz w:val="24"/>
              </w:rPr>
              <w:t>本项目未捕集的</w:t>
            </w:r>
            <w:r>
              <w:rPr>
                <w:rFonts w:hint="eastAsia"/>
                <w:color w:val="auto"/>
                <w:sz w:val="24"/>
                <w:lang w:eastAsia="zh-CN"/>
              </w:rPr>
              <w:t>卸料废气和清理废气</w:t>
            </w:r>
            <w:r>
              <w:rPr>
                <w:rFonts w:hint="eastAsia"/>
                <w:color w:val="auto"/>
                <w:sz w:val="24"/>
              </w:rPr>
              <w:t>在</w:t>
            </w:r>
            <w:r>
              <w:rPr>
                <w:rFonts w:hint="eastAsia"/>
                <w:color w:val="auto"/>
                <w:sz w:val="24"/>
                <w:lang w:val="en-US" w:eastAsia="zh-CN"/>
              </w:rPr>
              <w:t>密闭车间</w:t>
            </w:r>
            <w:r>
              <w:rPr>
                <w:rFonts w:hint="eastAsia"/>
                <w:color w:val="auto"/>
                <w:sz w:val="24"/>
              </w:rPr>
              <w:t>内无组织排放，经核算，无组织</w:t>
            </w:r>
            <w:r>
              <w:rPr>
                <w:rFonts w:hint="eastAsia"/>
                <w:color w:val="auto"/>
                <w:sz w:val="24"/>
                <w:lang w:eastAsia="zh-CN"/>
              </w:rPr>
              <w:t>卸料废气和清理废气</w:t>
            </w:r>
            <w:r>
              <w:rPr>
                <w:rFonts w:hint="eastAsia"/>
                <w:color w:val="auto"/>
                <w:sz w:val="24"/>
              </w:rPr>
              <w:t>中的主要污染物颗粒物的排放量约为</w:t>
            </w:r>
            <w:r>
              <w:rPr>
                <w:rFonts w:hint="eastAsia"/>
                <w:color w:val="auto"/>
                <w:sz w:val="24"/>
                <w:lang w:val="en-US" w:eastAsia="zh-CN"/>
              </w:rPr>
              <w:t>3.15</w:t>
            </w:r>
            <w:r>
              <w:rPr>
                <w:rFonts w:hint="eastAsia"/>
                <w:color w:val="auto"/>
                <w:sz w:val="24"/>
              </w:rPr>
              <w:t>t/a，排放速率约为</w:t>
            </w:r>
            <w:r>
              <w:rPr>
                <w:rFonts w:hint="eastAsia"/>
                <w:color w:val="auto"/>
                <w:sz w:val="24"/>
                <w:lang w:val="en-US" w:eastAsia="zh-CN"/>
              </w:rPr>
              <w:t>1.313</w:t>
            </w:r>
            <w:r>
              <w:rPr>
                <w:rFonts w:hint="eastAsia"/>
                <w:color w:val="auto"/>
                <w:sz w:val="24"/>
              </w:rPr>
              <w:t>kg/h。</w:t>
            </w:r>
          </w:p>
          <w:p w14:paraId="5389D96A">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w:t>
            </w:r>
            <w:r>
              <w:rPr>
                <w:rFonts w:hint="eastAsia" w:cs="Times New Roman"/>
                <w:color w:val="auto"/>
                <w:kern w:val="0"/>
                <w:sz w:val="24"/>
                <w:szCs w:val="24"/>
                <w:lang w:val="en-US" w:eastAsia="zh-CN" w:bidi="ar"/>
              </w:rPr>
              <w:t>2</w:t>
            </w:r>
            <w:r>
              <w:rPr>
                <w:rFonts w:hint="default" w:ascii="Times New Roman" w:hAnsi="Times New Roman" w:eastAsia="宋体" w:cs="Times New Roman"/>
                <w:color w:val="auto"/>
                <w:kern w:val="0"/>
                <w:sz w:val="24"/>
                <w:szCs w:val="24"/>
                <w:lang w:val="en-US" w:eastAsia="zh-CN" w:bidi="ar"/>
              </w:rPr>
              <w:t>）大</w:t>
            </w:r>
            <w:r>
              <w:rPr>
                <w:rFonts w:hint="eastAsia" w:ascii="宋体" w:hAnsi="宋体" w:eastAsia="宋体" w:cs="宋体"/>
                <w:color w:val="auto"/>
                <w:kern w:val="0"/>
                <w:sz w:val="24"/>
                <w:szCs w:val="24"/>
                <w:lang w:val="en-US" w:eastAsia="zh-CN" w:bidi="ar"/>
              </w:rPr>
              <w:t>米加工废气</w:t>
            </w:r>
          </w:p>
          <w:p w14:paraId="73DD2A7E">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eastAsia" w:ascii="Times New Roman" w:hAnsi="Times New Roman" w:eastAsia="宋体" w:cs="Times New Roman"/>
                <w:color w:val="auto"/>
                <w:kern w:val="0"/>
                <w:sz w:val="24"/>
                <w:szCs w:val="24"/>
                <w:lang w:val="en-US" w:eastAsia="zh-CN" w:bidi="ar"/>
              </w:rPr>
            </w:pPr>
            <w:r>
              <w:rPr>
                <w:rFonts w:hint="eastAsia" w:ascii="宋体" w:hAnsi="宋体" w:eastAsia="宋体" w:cs="宋体"/>
                <w:color w:val="auto"/>
                <w:kern w:val="0"/>
                <w:sz w:val="24"/>
                <w:szCs w:val="24"/>
                <w:lang w:val="en-US" w:eastAsia="zh-CN" w:bidi="ar"/>
              </w:rPr>
              <w:t>本项目大米加工过程中，在砻谷、谷糙分离、碾米、白米分级、色选、抛光过程等各个工</w:t>
            </w:r>
            <w:r>
              <w:rPr>
                <w:rFonts w:hint="default" w:ascii="Times New Roman" w:hAnsi="Times New Roman" w:eastAsia="宋体" w:cs="Times New Roman"/>
                <w:color w:val="auto"/>
                <w:kern w:val="0"/>
                <w:sz w:val="24"/>
                <w:szCs w:val="24"/>
                <w:lang w:val="en-US" w:eastAsia="zh-CN" w:bidi="ar"/>
              </w:rPr>
              <w:t>序均会产生粉尘，</w:t>
            </w:r>
            <w:r>
              <w:rPr>
                <w:rFonts w:hint="eastAsia"/>
                <w:color w:val="auto"/>
                <w:sz w:val="24"/>
                <w:szCs w:val="24"/>
                <w:lang w:eastAsia="zh-CN" w:bidi="ar"/>
              </w:rPr>
              <w:t>根据</w:t>
            </w:r>
            <w:r>
              <w:rPr>
                <w:rFonts w:hint="eastAsia"/>
                <w:color w:val="auto"/>
                <w:sz w:val="24"/>
                <w:szCs w:val="28"/>
              </w:rPr>
              <w:t>《排放源统计调查产排污核算方法和系数手册》（2021年6月）中《</w:t>
            </w:r>
            <w:r>
              <w:rPr>
                <w:rFonts w:hint="eastAsia"/>
                <w:color w:val="auto"/>
                <w:sz w:val="24"/>
                <w:szCs w:val="28"/>
                <w:lang w:val="en-US" w:eastAsia="zh-CN"/>
              </w:rPr>
              <w:t>31 谷物磨制行业</w:t>
            </w:r>
            <w:r>
              <w:rPr>
                <w:rFonts w:hint="eastAsia"/>
                <w:color w:val="auto"/>
                <w:sz w:val="24"/>
                <w:szCs w:val="28"/>
              </w:rPr>
              <w:t>系数手册》</w:t>
            </w:r>
            <w:r>
              <w:rPr>
                <w:rFonts w:hint="eastAsia"/>
                <w:color w:val="auto"/>
                <w:sz w:val="24"/>
                <w:szCs w:val="24"/>
              </w:rPr>
              <w:t>中的“</w:t>
            </w:r>
            <w:r>
              <w:rPr>
                <w:rFonts w:hint="eastAsia"/>
                <w:color w:val="auto"/>
                <w:sz w:val="24"/>
                <w:szCs w:val="24"/>
                <w:lang w:eastAsia="zh-CN"/>
              </w:rPr>
              <w:t>原料名称：稻谷</w:t>
            </w:r>
            <w:r>
              <w:rPr>
                <w:rFonts w:hint="eastAsia"/>
                <w:color w:val="auto"/>
                <w:sz w:val="24"/>
                <w:szCs w:val="24"/>
                <w:lang w:val="en-US" w:eastAsia="zh-CN"/>
              </w:rPr>
              <w:t xml:space="preserve"> 工艺名称：清理、碾磨、除尘</w:t>
            </w:r>
            <w:r>
              <w:rPr>
                <w:rFonts w:hint="eastAsia"/>
                <w:color w:val="auto"/>
                <w:sz w:val="24"/>
                <w:szCs w:val="24"/>
              </w:rPr>
              <w:t>”的产污系数，取</w:t>
            </w:r>
            <w:r>
              <w:rPr>
                <w:rFonts w:hint="eastAsia"/>
                <w:color w:val="auto"/>
                <w:sz w:val="24"/>
                <w:szCs w:val="24"/>
                <w:lang w:eastAsia="zh-CN"/>
              </w:rPr>
              <w:t>大米加工</w:t>
            </w:r>
            <w:r>
              <w:rPr>
                <w:rFonts w:hint="eastAsia"/>
                <w:color w:val="auto"/>
                <w:sz w:val="24"/>
                <w:szCs w:val="24"/>
                <w:lang w:val="en-US" w:eastAsia="zh-CN"/>
              </w:rPr>
              <w:t>废气</w:t>
            </w:r>
            <w:r>
              <w:rPr>
                <w:rFonts w:hint="eastAsia"/>
                <w:color w:val="auto"/>
                <w:sz w:val="24"/>
                <w:szCs w:val="24"/>
              </w:rPr>
              <w:t>中主要污染物颗粒物产污系数为</w:t>
            </w:r>
            <w:r>
              <w:rPr>
                <w:rFonts w:hint="eastAsia"/>
                <w:color w:val="auto"/>
                <w:sz w:val="24"/>
                <w:szCs w:val="24"/>
                <w:lang w:val="en-US" w:eastAsia="zh-CN"/>
              </w:rPr>
              <w:t>0.015</w:t>
            </w:r>
            <w:r>
              <w:rPr>
                <w:rFonts w:hint="eastAsia"/>
                <w:color w:val="auto"/>
                <w:sz w:val="24"/>
                <w:szCs w:val="24"/>
              </w:rPr>
              <w:t>kg/</w:t>
            </w:r>
            <w:r>
              <w:rPr>
                <w:rFonts w:hint="eastAsia"/>
                <w:color w:val="auto"/>
                <w:sz w:val="24"/>
                <w:szCs w:val="24"/>
                <w:lang w:val="en-US" w:eastAsia="zh-CN"/>
              </w:rPr>
              <w:t>t</w:t>
            </w:r>
            <w:r>
              <w:rPr>
                <w:rFonts w:hint="eastAsia"/>
                <w:color w:val="auto"/>
                <w:sz w:val="24"/>
                <w:szCs w:val="24"/>
              </w:rPr>
              <w:t>·原料，</w:t>
            </w:r>
            <w:r>
              <w:rPr>
                <w:rFonts w:hint="default" w:ascii="Times New Roman" w:hAnsi="Times New Roman" w:eastAsia="宋体" w:cs="Times New Roman"/>
                <w:color w:val="auto"/>
                <w:kern w:val="0"/>
                <w:sz w:val="24"/>
                <w:szCs w:val="24"/>
                <w:lang w:val="en-US" w:eastAsia="zh-CN" w:bidi="ar"/>
              </w:rPr>
              <w:t>项目原料</w:t>
            </w:r>
            <w:r>
              <w:rPr>
                <w:rFonts w:hint="eastAsia" w:ascii="Times New Roman" w:hAnsi="Times New Roman" w:eastAsia="宋体" w:cs="Times New Roman"/>
                <w:color w:val="auto"/>
                <w:kern w:val="0"/>
                <w:sz w:val="24"/>
                <w:szCs w:val="24"/>
                <w:lang w:val="en-US" w:eastAsia="zh-CN" w:bidi="ar"/>
              </w:rPr>
              <w:t>年</w:t>
            </w:r>
            <w:r>
              <w:rPr>
                <w:rFonts w:hint="default" w:ascii="Times New Roman" w:hAnsi="Times New Roman" w:eastAsia="宋体" w:cs="Times New Roman"/>
                <w:color w:val="auto"/>
                <w:kern w:val="0"/>
                <w:sz w:val="24"/>
                <w:szCs w:val="24"/>
                <w:lang w:val="en-US" w:eastAsia="zh-CN" w:bidi="ar"/>
              </w:rPr>
              <w:t>用</w:t>
            </w:r>
            <w:r>
              <w:rPr>
                <w:rFonts w:hint="eastAsia" w:cs="Times New Roman"/>
                <w:color w:val="auto"/>
                <w:kern w:val="0"/>
                <w:sz w:val="24"/>
                <w:szCs w:val="24"/>
                <w:lang w:val="en-US" w:eastAsia="zh-CN" w:bidi="ar"/>
              </w:rPr>
              <w:t>量</w:t>
            </w:r>
            <w:r>
              <w:rPr>
                <w:rFonts w:hint="default" w:ascii="Times New Roman" w:hAnsi="Times New Roman" w:eastAsia="宋体" w:cs="Times New Roman"/>
                <w:color w:val="auto"/>
                <w:kern w:val="0"/>
                <w:sz w:val="24"/>
                <w:szCs w:val="24"/>
                <w:lang w:val="en-US" w:eastAsia="zh-CN" w:bidi="ar"/>
              </w:rPr>
              <w:t>为</w:t>
            </w:r>
            <w:r>
              <w:rPr>
                <w:rFonts w:hint="eastAsia" w:ascii="Times New Roman" w:hAnsi="Times New Roman" w:eastAsia="宋体" w:cs="Times New Roman"/>
                <w:color w:val="auto"/>
                <w:kern w:val="0"/>
                <w:sz w:val="24"/>
                <w:szCs w:val="24"/>
                <w:lang w:val="en-US" w:eastAsia="zh-CN" w:bidi="ar"/>
              </w:rPr>
              <w:t>10</w:t>
            </w:r>
            <w:r>
              <w:rPr>
                <w:rFonts w:hint="default" w:ascii="Times New Roman" w:hAnsi="Times New Roman" w:eastAsia="宋体" w:cs="Times New Roman"/>
                <w:color w:val="auto"/>
                <w:kern w:val="0"/>
                <w:sz w:val="24"/>
                <w:szCs w:val="24"/>
                <w:lang w:val="en-US" w:eastAsia="zh-CN" w:bidi="ar"/>
              </w:rPr>
              <w:t>0000吨，则粉尘产生量为1.</w:t>
            </w:r>
            <w:r>
              <w:rPr>
                <w:rFonts w:hint="eastAsia" w:ascii="Times New Roman" w:hAnsi="Times New Roman" w:eastAsia="宋体" w:cs="Times New Roman"/>
                <w:color w:val="auto"/>
                <w:kern w:val="0"/>
                <w:sz w:val="24"/>
                <w:szCs w:val="24"/>
                <w:lang w:val="en-US" w:eastAsia="zh-CN" w:bidi="ar"/>
              </w:rPr>
              <w:t>5</w:t>
            </w:r>
            <w:r>
              <w:rPr>
                <w:rFonts w:hint="default" w:ascii="Times New Roman" w:hAnsi="Times New Roman" w:eastAsia="宋体" w:cs="Times New Roman"/>
                <w:color w:val="auto"/>
                <w:kern w:val="0"/>
                <w:sz w:val="24"/>
                <w:szCs w:val="24"/>
                <w:lang w:val="en-US" w:eastAsia="zh-CN" w:bidi="ar"/>
              </w:rPr>
              <w:t>0t/a。大米加工工段使用全封闭设备，在各设备底部安装密闭管道收集粉尘，其中</w:t>
            </w:r>
            <w:r>
              <w:rPr>
                <w:rFonts w:hint="eastAsia" w:cs="Times New Roman"/>
                <w:color w:val="auto"/>
                <w:kern w:val="0"/>
                <w:sz w:val="24"/>
                <w:szCs w:val="24"/>
                <w:lang w:val="en-US" w:eastAsia="zh-CN" w:bidi="ar"/>
              </w:rPr>
              <w:t>2组</w:t>
            </w:r>
            <w:r>
              <w:rPr>
                <w:rFonts w:hint="default" w:ascii="Times New Roman" w:hAnsi="Times New Roman" w:eastAsia="宋体" w:cs="Times New Roman"/>
                <w:color w:val="auto"/>
                <w:kern w:val="0"/>
                <w:sz w:val="24"/>
                <w:szCs w:val="24"/>
                <w:lang w:val="en-US" w:eastAsia="zh-CN" w:bidi="ar"/>
              </w:rPr>
              <w:t>砻谷机产生的度气进入1套旋风除尘器+布袋除尘器</w:t>
            </w:r>
            <w:r>
              <w:rPr>
                <w:rFonts w:hint="eastAsia" w:cs="Times New Roman"/>
                <w:color w:val="auto"/>
                <w:kern w:val="0"/>
                <w:sz w:val="24"/>
                <w:szCs w:val="24"/>
                <w:lang w:val="en-US" w:eastAsia="zh-CN" w:bidi="ar"/>
              </w:rPr>
              <w:t>；1组谷糙分离筛</w:t>
            </w:r>
            <w:r>
              <w:rPr>
                <w:rFonts w:hint="default" w:ascii="Times New Roman" w:hAnsi="Times New Roman" w:eastAsia="宋体" w:cs="Times New Roman"/>
                <w:color w:val="auto"/>
                <w:kern w:val="0"/>
                <w:sz w:val="24"/>
                <w:szCs w:val="24"/>
                <w:lang w:val="en-US" w:eastAsia="zh-CN" w:bidi="ar"/>
              </w:rPr>
              <w:t>产生的废气进入1套旋风除尘器+布袋除尘器</w:t>
            </w:r>
            <w:r>
              <w:rPr>
                <w:rFonts w:hint="eastAsia" w:cs="Times New Roman"/>
                <w:color w:val="auto"/>
                <w:kern w:val="0"/>
                <w:sz w:val="24"/>
                <w:szCs w:val="24"/>
                <w:lang w:val="en-US" w:eastAsia="zh-CN" w:bidi="ar"/>
              </w:rPr>
              <w:t>；2套白米分级筛</w:t>
            </w:r>
            <w:r>
              <w:rPr>
                <w:rFonts w:hint="default" w:ascii="Times New Roman" w:hAnsi="Times New Roman" w:eastAsia="宋体" w:cs="Times New Roman"/>
                <w:color w:val="auto"/>
                <w:kern w:val="0"/>
                <w:sz w:val="24"/>
                <w:szCs w:val="24"/>
                <w:lang w:val="en-US" w:eastAsia="zh-CN" w:bidi="ar"/>
              </w:rPr>
              <w:t>产生的废气进入1套旋风除尘器+布袋除尘器</w:t>
            </w:r>
            <w:r>
              <w:rPr>
                <w:rFonts w:hint="eastAsia" w:cs="Times New Roman"/>
                <w:color w:val="auto"/>
                <w:kern w:val="0"/>
                <w:sz w:val="24"/>
                <w:szCs w:val="24"/>
                <w:lang w:val="en-US" w:eastAsia="zh-CN" w:bidi="ar"/>
              </w:rPr>
              <w:t>；2台色选机</w:t>
            </w:r>
            <w:r>
              <w:rPr>
                <w:rFonts w:hint="default" w:ascii="Times New Roman" w:hAnsi="Times New Roman" w:eastAsia="宋体" w:cs="Times New Roman"/>
                <w:color w:val="auto"/>
                <w:kern w:val="0"/>
                <w:sz w:val="24"/>
                <w:szCs w:val="24"/>
                <w:lang w:val="en-US" w:eastAsia="zh-CN" w:bidi="ar"/>
              </w:rPr>
              <w:t>产生的废气进入1套旋风除尘器+布袋除尘器</w:t>
            </w:r>
            <w:r>
              <w:rPr>
                <w:rFonts w:hint="eastAsia" w:cs="Times New Roman"/>
                <w:color w:val="auto"/>
                <w:kern w:val="0"/>
                <w:sz w:val="24"/>
                <w:szCs w:val="24"/>
                <w:lang w:val="en-US" w:eastAsia="zh-CN" w:bidi="ar"/>
              </w:rPr>
              <w:t>；4台抛光机</w:t>
            </w:r>
            <w:r>
              <w:rPr>
                <w:rFonts w:hint="default" w:ascii="Times New Roman" w:hAnsi="Times New Roman" w:eastAsia="宋体" w:cs="Times New Roman"/>
                <w:color w:val="auto"/>
                <w:kern w:val="0"/>
                <w:sz w:val="24"/>
                <w:szCs w:val="24"/>
                <w:lang w:val="en-US" w:eastAsia="zh-CN" w:bidi="ar"/>
              </w:rPr>
              <w:t>产生的废气进入1套旋风除尘器+布袋除尘器</w:t>
            </w:r>
            <w:r>
              <w:rPr>
                <w:rFonts w:hint="eastAsia" w:cs="Times New Roman"/>
                <w:color w:val="auto"/>
                <w:kern w:val="0"/>
                <w:sz w:val="24"/>
                <w:szCs w:val="24"/>
                <w:lang w:val="en-US" w:eastAsia="zh-CN" w:bidi="ar"/>
              </w:rPr>
              <w:t>；8台碾米机</w:t>
            </w:r>
            <w:r>
              <w:rPr>
                <w:rFonts w:hint="default" w:ascii="Times New Roman" w:hAnsi="Times New Roman" w:eastAsia="宋体" w:cs="Times New Roman"/>
                <w:color w:val="auto"/>
                <w:kern w:val="0"/>
                <w:sz w:val="24"/>
                <w:szCs w:val="24"/>
                <w:lang w:val="en-US" w:eastAsia="zh-CN" w:bidi="ar"/>
              </w:rPr>
              <w:t>产生的废气进入1套旋风除尘器+布袋除尘器</w:t>
            </w:r>
            <w:r>
              <w:rPr>
                <w:rFonts w:hint="eastAsia" w:cs="Times New Roman"/>
                <w:color w:val="auto"/>
                <w:kern w:val="0"/>
                <w:sz w:val="24"/>
                <w:szCs w:val="24"/>
                <w:lang w:val="en-US" w:eastAsia="zh-CN" w:bidi="ar"/>
              </w:rPr>
              <w:t>。</w:t>
            </w:r>
            <w:r>
              <w:rPr>
                <w:rFonts w:hint="default" w:ascii="Times New Roman" w:hAnsi="Times New Roman" w:eastAsia="宋体" w:cs="Times New Roman"/>
                <w:color w:val="auto"/>
                <w:kern w:val="0"/>
                <w:sz w:val="24"/>
                <w:szCs w:val="24"/>
                <w:lang w:val="en-US" w:eastAsia="zh-CN" w:bidi="ar"/>
              </w:rPr>
              <w:t>以上</w:t>
            </w:r>
            <w:r>
              <w:rPr>
                <w:rFonts w:hint="eastAsia" w:cs="Times New Roman"/>
                <w:color w:val="auto"/>
                <w:kern w:val="0"/>
                <w:sz w:val="24"/>
                <w:szCs w:val="24"/>
                <w:lang w:val="en-US" w:eastAsia="zh-CN" w:bidi="ar"/>
              </w:rPr>
              <w:t>6</w:t>
            </w:r>
            <w:r>
              <w:rPr>
                <w:rFonts w:hint="default" w:ascii="Times New Roman" w:hAnsi="Times New Roman" w:eastAsia="宋体" w:cs="Times New Roman"/>
                <w:color w:val="auto"/>
                <w:kern w:val="0"/>
                <w:sz w:val="24"/>
                <w:szCs w:val="24"/>
                <w:lang w:val="en-US" w:eastAsia="zh-CN" w:bidi="ar"/>
              </w:rPr>
              <w:t>套废气处理设备处理后的废气接入1</w:t>
            </w:r>
            <w:r>
              <w:rPr>
                <w:rFonts w:hint="eastAsia" w:cs="Times New Roman"/>
                <w:color w:val="auto"/>
                <w:kern w:val="0"/>
                <w:sz w:val="24"/>
                <w:szCs w:val="24"/>
                <w:lang w:val="en-US" w:eastAsia="zh-CN" w:bidi="ar"/>
              </w:rPr>
              <w:t>根</w:t>
            </w:r>
            <w:r>
              <w:rPr>
                <w:rFonts w:hint="default" w:ascii="Times New Roman" w:hAnsi="Times New Roman" w:eastAsia="宋体" w:cs="Times New Roman"/>
                <w:color w:val="auto"/>
                <w:kern w:val="0"/>
                <w:sz w:val="24"/>
                <w:szCs w:val="24"/>
                <w:lang w:val="en-US" w:eastAsia="zh-CN" w:bidi="ar"/>
              </w:rPr>
              <w:t>15m 高排气筒</w:t>
            </w:r>
            <w:r>
              <w:rPr>
                <w:rFonts w:hint="eastAsia" w:cs="Times New Roman"/>
                <w:color w:val="auto"/>
                <w:kern w:val="0"/>
                <w:sz w:val="24"/>
                <w:szCs w:val="24"/>
                <w:lang w:val="en-US" w:eastAsia="zh-CN" w:bidi="ar"/>
              </w:rPr>
              <w:t>（DA002）</w:t>
            </w:r>
            <w:r>
              <w:rPr>
                <w:rFonts w:hint="default" w:ascii="Times New Roman" w:hAnsi="Times New Roman" w:eastAsia="宋体" w:cs="Times New Roman"/>
                <w:color w:val="auto"/>
                <w:kern w:val="0"/>
                <w:sz w:val="24"/>
                <w:szCs w:val="24"/>
                <w:lang w:val="en-US" w:eastAsia="zh-CN" w:bidi="ar"/>
              </w:rPr>
              <w:t>排放。</w:t>
            </w:r>
            <w:r>
              <w:rPr>
                <w:rFonts w:hint="eastAsia" w:cs="Times New Roman"/>
                <w:color w:val="auto"/>
                <w:kern w:val="0"/>
                <w:sz w:val="24"/>
                <w:szCs w:val="24"/>
                <w:lang w:val="en-US" w:eastAsia="zh-CN" w:bidi="ar"/>
              </w:rPr>
              <w:t>单台风机</w:t>
            </w:r>
            <w:r>
              <w:rPr>
                <w:rFonts w:hint="default" w:ascii="Times New Roman" w:hAnsi="Times New Roman" w:eastAsia="宋体" w:cs="Times New Roman"/>
                <w:color w:val="auto"/>
                <w:kern w:val="0"/>
                <w:sz w:val="24"/>
                <w:szCs w:val="24"/>
                <w:lang w:val="en-US" w:eastAsia="zh-CN" w:bidi="ar"/>
              </w:rPr>
              <w:t>设计风量</w:t>
            </w:r>
            <w:r>
              <w:rPr>
                <w:rFonts w:hint="eastAsia" w:cs="Times New Roman"/>
                <w:color w:val="auto"/>
                <w:kern w:val="0"/>
                <w:sz w:val="24"/>
                <w:szCs w:val="24"/>
                <w:lang w:val="en-US" w:eastAsia="zh-CN" w:bidi="ar"/>
              </w:rPr>
              <w:t>约25</w:t>
            </w:r>
            <w:r>
              <w:rPr>
                <w:rFonts w:hint="default" w:ascii="Times New Roman" w:hAnsi="Times New Roman" w:eastAsia="宋体" w:cs="Times New Roman"/>
                <w:color w:val="auto"/>
                <w:kern w:val="0"/>
                <w:sz w:val="24"/>
                <w:szCs w:val="24"/>
                <w:lang w:val="en-US" w:eastAsia="zh-CN" w:bidi="ar"/>
              </w:rPr>
              <w:t>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cs="Times New Roman"/>
                <w:color w:val="auto"/>
                <w:kern w:val="0"/>
                <w:sz w:val="24"/>
                <w:szCs w:val="24"/>
                <w:lang w:val="en-US" w:eastAsia="zh-CN" w:bidi="ar"/>
              </w:rPr>
              <w:t>总风机风量约为150</w:t>
            </w:r>
            <w:r>
              <w:rPr>
                <w:rFonts w:hint="default" w:ascii="Times New Roman" w:hAnsi="Times New Roman" w:eastAsia="宋体" w:cs="Times New Roman"/>
                <w:color w:val="auto"/>
                <w:kern w:val="0"/>
                <w:sz w:val="24"/>
                <w:szCs w:val="24"/>
                <w:lang w:val="en-US" w:eastAsia="zh-CN" w:bidi="ar"/>
              </w:rPr>
              <w:t>00m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/h</w:t>
            </w:r>
            <w:r>
              <w:rPr>
                <w:rFonts w:hint="eastAsia" w:ascii="Times New Roman" w:hAnsi="Times New Roman" w:eastAsia="宋体" w:cs="Times New Roman"/>
                <w:color w:val="auto"/>
                <w:kern w:val="0"/>
                <w:sz w:val="24"/>
                <w:szCs w:val="24"/>
                <w:lang w:val="en-US" w:eastAsia="zh-CN" w:bidi="ar"/>
              </w:rPr>
              <w:t>。</w:t>
            </w:r>
          </w:p>
          <w:p w14:paraId="17905E60">
            <w:pPr>
              <w:keepNext w:val="0"/>
              <w:keepLines w:val="0"/>
              <w:pageBreakBefore w:val="0"/>
              <w:widowControl/>
              <w:suppressLineNumbers w:val="0"/>
              <w:kinsoku/>
              <w:wordWrap/>
              <w:overflowPunct/>
              <w:topLinePunct w:val="0"/>
              <w:autoSpaceDE/>
              <w:autoSpaceDN/>
              <w:bidi w:val="0"/>
              <w:snapToGrid/>
              <w:spacing w:line="360" w:lineRule="auto"/>
              <w:ind w:firstLine="482" w:firstLineChars="200"/>
              <w:jc w:val="left"/>
              <w:textAlignment w:val="auto"/>
              <w:rPr>
                <w:rFonts w:hint="default" w:ascii="宋体" w:hAnsi="宋体" w:eastAsia="宋体" w:cs="宋体"/>
                <w:b/>
                <w:bCs/>
                <w:color w:val="auto"/>
                <w:kern w:val="0"/>
                <w:sz w:val="24"/>
                <w:szCs w:val="24"/>
                <w:lang w:val="en-US" w:eastAsia="zh-CN" w:bidi="ar"/>
              </w:rPr>
            </w:pPr>
            <w:r>
              <w:rPr>
                <w:rFonts w:hint="eastAsia" w:ascii="Times New Roman" w:hAnsi="Times New Roman" w:eastAsia="宋体" w:cs="Times New Roman"/>
                <w:b/>
                <w:bCs/>
                <w:color w:val="auto"/>
                <w:kern w:val="0"/>
                <w:sz w:val="24"/>
                <w:szCs w:val="24"/>
                <w:lang w:val="en-US" w:eastAsia="zh-CN" w:bidi="ar"/>
              </w:rPr>
              <w:t>大米加工工段废气收集</w:t>
            </w:r>
            <w:r>
              <w:rPr>
                <w:rFonts w:hint="default" w:ascii="Times New Roman" w:hAnsi="Times New Roman" w:eastAsia="宋体" w:cs="Times New Roman"/>
                <w:b/>
                <w:bCs/>
                <w:color w:val="auto"/>
                <w:kern w:val="0"/>
                <w:sz w:val="24"/>
                <w:szCs w:val="24"/>
                <w:lang w:val="en-US" w:eastAsia="zh-CN" w:bidi="ar"/>
              </w:rPr>
              <w:t>效率按100%计，旋风除尘器+布袋除尘器处理效率为99%，</w:t>
            </w:r>
            <w:r>
              <w:rPr>
                <w:rFonts w:hint="eastAsia" w:cs="Times New Roman"/>
                <w:b/>
                <w:bCs/>
                <w:color w:val="auto"/>
                <w:kern w:val="0"/>
                <w:sz w:val="24"/>
                <w:szCs w:val="24"/>
                <w:lang w:val="en-US" w:eastAsia="zh-CN" w:bidi="ar"/>
              </w:rPr>
              <w:t>年工作时间为2400h。</w:t>
            </w:r>
          </w:p>
          <w:p w14:paraId="2EAA197C">
            <w:pPr>
              <w:keepNext w:val="0"/>
              <w:keepLines w:val="0"/>
              <w:pageBreakBefore w:val="0"/>
              <w:widowControl/>
              <w:suppressLineNumbers w:val="0"/>
              <w:kinsoku/>
              <w:wordWrap/>
              <w:overflowPunct/>
              <w:topLinePunct w:val="0"/>
              <w:autoSpaceDE/>
              <w:autoSpaceDN/>
              <w:bidi w:val="0"/>
              <w:snapToGrid/>
              <w:spacing w:line="360" w:lineRule="auto"/>
              <w:ind w:firstLine="482" w:firstLineChars="200"/>
              <w:jc w:val="left"/>
              <w:textAlignment w:val="auto"/>
              <w:rPr>
                <w:rFonts w:hint="default" w:ascii="宋体" w:hAnsi="宋体" w:eastAsia="宋体" w:cs="宋体"/>
                <w:b/>
                <w:bCs/>
                <w:color w:val="auto"/>
                <w:kern w:val="0"/>
                <w:sz w:val="24"/>
                <w:szCs w:val="24"/>
                <w:lang w:val="en-US" w:eastAsia="zh-CN" w:bidi="ar"/>
              </w:rPr>
            </w:pPr>
            <w:r>
              <w:rPr>
                <w:rFonts w:hint="eastAsia" w:ascii="宋体" w:hAnsi="宋体" w:cs="宋体"/>
                <w:b/>
                <w:bCs/>
                <w:color w:val="auto"/>
                <w:kern w:val="0"/>
                <w:sz w:val="24"/>
                <w:szCs w:val="24"/>
                <w:lang w:val="en-US" w:eastAsia="zh-CN" w:bidi="ar"/>
              </w:rPr>
              <w:t>有组织大米加工废气：</w:t>
            </w:r>
          </w:p>
          <w:p w14:paraId="12A46954">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宋体" w:hAnsi="宋体" w:eastAsia="宋体" w:cs="宋体"/>
                <w:color w:val="auto"/>
                <w:kern w:val="0"/>
                <w:sz w:val="24"/>
                <w:szCs w:val="24"/>
                <w:lang w:val="en-US" w:eastAsia="zh-CN" w:bidi="ar"/>
              </w:rPr>
            </w:pPr>
            <w:r>
              <w:rPr>
                <w:rFonts w:hint="eastAsia" w:ascii="宋体" w:hAnsi="宋体" w:cs="宋体"/>
                <w:color w:val="auto"/>
                <w:kern w:val="0"/>
                <w:sz w:val="24"/>
                <w:szCs w:val="24"/>
                <w:lang w:val="en-US" w:eastAsia="zh-CN" w:bidi="ar"/>
              </w:rPr>
              <w:t>经核算，有组织大米加工废气中主要污染物颗粒物产生量约为</w:t>
            </w:r>
            <w:r>
              <w:rPr>
                <w:rFonts w:hint="default" w:ascii="Times New Roman" w:hAnsi="Times New Roman" w:cs="Times New Roman"/>
                <w:color w:val="auto"/>
                <w:kern w:val="0"/>
                <w:sz w:val="24"/>
                <w:szCs w:val="24"/>
                <w:lang w:val="en-US" w:eastAsia="zh-CN" w:bidi="ar"/>
              </w:rPr>
              <w:t>1.5t/a，</w:t>
            </w:r>
            <w:r>
              <w:rPr>
                <w:rFonts w:hint="eastAsia"/>
                <w:color w:val="auto"/>
                <w:sz w:val="24"/>
              </w:rPr>
              <w:t>产生速率约为</w:t>
            </w:r>
            <w:r>
              <w:rPr>
                <w:rFonts w:hint="eastAsia"/>
                <w:color w:val="auto"/>
                <w:sz w:val="24"/>
                <w:lang w:val="en-US" w:eastAsia="zh-CN"/>
              </w:rPr>
              <w:t>0.625</w:t>
            </w:r>
            <w:r>
              <w:rPr>
                <w:rFonts w:hint="eastAsia"/>
                <w:color w:val="auto"/>
                <w:sz w:val="24"/>
              </w:rPr>
              <w:t>kg/h，产生浓度约为</w:t>
            </w:r>
            <w:r>
              <w:rPr>
                <w:rFonts w:hint="eastAsia"/>
                <w:color w:val="auto"/>
                <w:sz w:val="24"/>
                <w:lang w:val="en-US" w:eastAsia="zh-CN"/>
              </w:rPr>
              <w:t>41.67</w:t>
            </w:r>
            <w:r>
              <w:rPr>
                <w:rFonts w:hint="eastAsia"/>
                <w:color w:val="auto"/>
                <w:sz w:val="24"/>
              </w:rPr>
              <w:t>mg/m</w:t>
            </w:r>
            <w:r>
              <w:rPr>
                <w:rFonts w:hint="eastAsia"/>
                <w:color w:val="auto"/>
                <w:sz w:val="24"/>
                <w:vertAlign w:val="superscript"/>
              </w:rPr>
              <w:t>3</w:t>
            </w:r>
            <w:r>
              <w:rPr>
                <w:rFonts w:hint="eastAsia"/>
                <w:color w:val="auto"/>
                <w:sz w:val="24"/>
              </w:rPr>
              <w:t>，有组织</w:t>
            </w:r>
            <w:r>
              <w:rPr>
                <w:rFonts w:hint="eastAsia"/>
                <w:color w:val="auto"/>
                <w:sz w:val="24"/>
                <w:lang w:eastAsia="zh-CN"/>
              </w:rPr>
              <w:t>卸料废气</w:t>
            </w:r>
            <w:r>
              <w:rPr>
                <w:rFonts w:hint="eastAsia"/>
                <w:color w:val="auto"/>
                <w:sz w:val="24"/>
                <w:lang w:val="en-US" w:eastAsia="zh-CN"/>
              </w:rPr>
              <w:t>和清理废气</w:t>
            </w:r>
            <w:r>
              <w:rPr>
                <w:rFonts w:hint="eastAsia"/>
                <w:color w:val="auto"/>
                <w:sz w:val="24"/>
              </w:rPr>
              <w:t>经</w:t>
            </w:r>
            <w:r>
              <w:rPr>
                <w:rFonts w:hint="eastAsia"/>
                <w:color w:val="auto"/>
                <w:sz w:val="24"/>
                <w:lang w:eastAsia="zh-CN"/>
              </w:rPr>
              <w:t>旋风除尘器</w:t>
            </w:r>
            <w:r>
              <w:rPr>
                <w:rFonts w:hint="eastAsia"/>
                <w:color w:val="auto"/>
                <w:sz w:val="24"/>
                <w:lang w:val="en-US" w:eastAsia="zh-CN"/>
              </w:rPr>
              <w:t>+布袋除尘器装置</w:t>
            </w:r>
            <w:r>
              <w:rPr>
                <w:rFonts w:hint="eastAsia"/>
                <w:color w:val="auto"/>
                <w:sz w:val="24"/>
              </w:rPr>
              <w:t>处理后，主要污染物颗粒物的排放量约为</w:t>
            </w:r>
            <w:r>
              <w:rPr>
                <w:rFonts w:hint="eastAsia"/>
                <w:color w:val="auto"/>
                <w:sz w:val="24"/>
                <w:lang w:val="en-US" w:eastAsia="zh-CN"/>
              </w:rPr>
              <w:t>0.015</w:t>
            </w:r>
            <w:r>
              <w:rPr>
                <w:rFonts w:hint="eastAsia"/>
                <w:color w:val="auto"/>
                <w:sz w:val="24"/>
              </w:rPr>
              <w:t>t/a，排放速率约为</w:t>
            </w:r>
            <w:r>
              <w:rPr>
                <w:rFonts w:hint="eastAsia"/>
                <w:color w:val="auto"/>
                <w:sz w:val="24"/>
                <w:lang w:val="en-US" w:eastAsia="zh-CN"/>
              </w:rPr>
              <w:t>0.006</w:t>
            </w:r>
            <w:r>
              <w:rPr>
                <w:rFonts w:hint="eastAsia"/>
                <w:color w:val="auto"/>
                <w:sz w:val="24"/>
              </w:rPr>
              <w:t>kg/h，排放浓度约为</w:t>
            </w:r>
            <w:r>
              <w:rPr>
                <w:rFonts w:hint="eastAsia"/>
                <w:color w:val="auto"/>
                <w:sz w:val="24"/>
                <w:lang w:val="en-US" w:eastAsia="zh-CN"/>
              </w:rPr>
              <w:t>0.42</w:t>
            </w:r>
            <w:r>
              <w:rPr>
                <w:rFonts w:hint="eastAsia"/>
                <w:color w:val="auto"/>
                <w:sz w:val="24"/>
              </w:rPr>
              <w:t>mg/m</w:t>
            </w:r>
            <w:r>
              <w:rPr>
                <w:rFonts w:hint="eastAsia"/>
                <w:color w:val="auto"/>
                <w:sz w:val="24"/>
                <w:vertAlign w:val="superscript"/>
              </w:rPr>
              <w:t>3</w:t>
            </w:r>
            <w:r>
              <w:rPr>
                <w:rFonts w:hint="eastAsia"/>
                <w:color w:val="auto"/>
                <w:sz w:val="24"/>
              </w:rPr>
              <w:t>。</w:t>
            </w:r>
          </w:p>
          <w:p w14:paraId="30DF5A9C">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eastAsia" w:cs="Times New Roman"/>
                <w:color w:val="auto"/>
                <w:kern w:val="0"/>
                <w:sz w:val="24"/>
                <w:szCs w:val="24"/>
                <w:lang w:val="en-US" w:eastAsia="zh-CN" w:bidi="ar"/>
              </w:rPr>
              <w:t>（3）</w:t>
            </w:r>
            <w:r>
              <w:rPr>
                <w:rFonts w:hint="default" w:ascii="Times New Roman" w:hAnsi="Times New Roman" w:eastAsia="宋体" w:cs="Times New Roman"/>
                <w:color w:val="auto"/>
                <w:kern w:val="0"/>
                <w:sz w:val="24"/>
                <w:szCs w:val="24"/>
                <w:lang w:val="en-US" w:eastAsia="zh-CN" w:bidi="ar"/>
              </w:rPr>
              <w:t>贮存转运工序</w:t>
            </w:r>
          </w:p>
          <w:p w14:paraId="16FFE3A1">
            <w:pPr>
              <w:keepNext w:val="0"/>
              <w:keepLines w:val="0"/>
              <w:pageBreakBefore w:val="0"/>
              <w:widowControl/>
              <w:suppressLineNumbers w:val="0"/>
              <w:kinsoku/>
              <w:wordWrap/>
              <w:overflowPunct/>
              <w:topLinePunct w:val="0"/>
              <w:autoSpaceDE/>
              <w:autoSpaceDN/>
              <w:bidi w:val="0"/>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项目原料仓、中转仓及副产品</w:t>
            </w:r>
            <w:r>
              <w:rPr>
                <w:rFonts w:hint="eastAsia" w:ascii="Times New Roman" w:hAnsi="Times New Roman" w:eastAsia="宋体" w:cs="Times New Roman"/>
                <w:color w:val="auto"/>
                <w:kern w:val="0"/>
                <w:sz w:val="24"/>
                <w:szCs w:val="24"/>
                <w:lang w:val="en-US" w:eastAsia="zh-CN" w:bidi="ar"/>
              </w:rPr>
              <w:t>仓</w:t>
            </w:r>
            <w:r>
              <w:rPr>
                <w:rFonts w:hint="default" w:ascii="Times New Roman" w:hAnsi="Times New Roman" w:eastAsia="宋体" w:cs="Times New Roman"/>
                <w:color w:val="auto"/>
                <w:kern w:val="0"/>
                <w:sz w:val="24"/>
                <w:szCs w:val="24"/>
                <w:lang w:val="en-US" w:eastAsia="zh-CN" w:bidi="ar"/>
              </w:rPr>
              <w:t>物料贮存转运工序会产生粉尘；根据企业生产经验及同类项目对比；项目原料仓、中转仓及副产品物料贮存转运工序产物系数为原料用量的0.001%；即</w:t>
            </w:r>
            <w:r>
              <w:rPr>
                <w:rFonts w:hint="eastAsia" w:ascii="Times New Roman" w:hAnsi="Times New Roman" w:eastAsia="宋体" w:cs="Times New Roman"/>
                <w:color w:val="auto"/>
                <w:kern w:val="0"/>
                <w:sz w:val="24"/>
                <w:szCs w:val="24"/>
                <w:lang w:val="en-US" w:eastAsia="zh-CN" w:bidi="ar"/>
              </w:rPr>
              <w:t>1t/a；项目</w:t>
            </w:r>
            <w:r>
              <w:rPr>
                <w:rFonts w:hint="default" w:ascii="Times New Roman" w:hAnsi="Times New Roman" w:eastAsia="宋体" w:cs="Times New Roman"/>
                <w:color w:val="auto"/>
                <w:kern w:val="0"/>
                <w:sz w:val="24"/>
                <w:szCs w:val="24"/>
                <w:lang w:val="en-US" w:eastAsia="zh-CN" w:bidi="ar"/>
              </w:rPr>
              <w:t>原料仓、中转仓及副产品</w:t>
            </w:r>
            <w:r>
              <w:rPr>
                <w:rFonts w:hint="eastAsia" w:ascii="Times New Roman" w:hAnsi="Times New Roman" w:eastAsia="宋体" w:cs="Times New Roman"/>
                <w:color w:val="auto"/>
                <w:kern w:val="0"/>
                <w:sz w:val="24"/>
                <w:szCs w:val="24"/>
                <w:lang w:val="en-US" w:eastAsia="zh-CN" w:bidi="ar"/>
              </w:rPr>
              <w:t>仓仓顶上方均自带脉冲除尘装置，废气经脉冲除尘装置处理后仓顶排放。项目脉冲除尘装置处理效率为90%，则项目</w:t>
            </w:r>
            <w:r>
              <w:rPr>
                <w:rFonts w:hint="default" w:ascii="Times New Roman" w:hAnsi="Times New Roman" w:eastAsia="宋体" w:cs="Times New Roman"/>
                <w:color w:val="auto"/>
                <w:kern w:val="0"/>
                <w:sz w:val="24"/>
                <w:szCs w:val="24"/>
                <w:lang w:val="en-US" w:eastAsia="zh-CN" w:bidi="ar"/>
              </w:rPr>
              <w:t>原料仓、中转仓及副产品</w:t>
            </w:r>
            <w:r>
              <w:rPr>
                <w:rFonts w:hint="eastAsia" w:ascii="Times New Roman" w:hAnsi="Times New Roman" w:eastAsia="宋体" w:cs="Times New Roman"/>
                <w:color w:val="auto"/>
                <w:kern w:val="0"/>
                <w:sz w:val="24"/>
                <w:szCs w:val="24"/>
                <w:lang w:val="en-US" w:eastAsia="zh-CN" w:bidi="ar"/>
              </w:rPr>
              <w:t>仓</w:t>
            </w:r>
            <w:r>
              <w:rPr>
                <w:rFonts w:hint="default" w:ascii="Times New Roman" w:hAnsi="Times New Roman" w:eastAsia="宋体" w:cs="Times New Roman"/>
                <w:color w:val="auto"/>
                <w:kern w:val="0"/>
                <w:sz w:val="24"/>
                <w:szCs w:val="24"/>
                <w:lang w:val="en-US" w:eastAsia="zh-CN" w:bidi="ar"/>
              </w:rPr>
              <w:t>物料贮存转运工序</w:t>
            </w:r>
            <w:r>
              <w:rPr>
                <w:rFonts w:hint="eastAsia" w:ascii="Times New Roman" w:hAnsi="Times New Roman" w:eastAsia="宋体" w:cs="Times New Roman"/>
                <w:color w:val="auto"/>
                <w:kern w:val="0"/>
                <w:sz w:val="24"/>
                <w:szCs w:val="24"/>
                <w:lang w:val="en-US" w:eastAsia="zh-CN" w:bidi="ar"/>
              </w:rPr>
              <w:t>粉尘排放量为0.1t/a。</w:t>
            </w:r>
          </w:p>
          <w:p w14:paraId="502AF8CC">
            <w:pPr>
              <w:spacing w:line="360" w:lineRule="auto"/>
              <w:rPr>
                <w:b/>
                <w:color w:val="auto"/>
                <w:sz w:val="24"/>
                <w:szCs w:val="24"/>
              </w:rPr>
            </w:pPr>
            <w:r>
              <w:rPr>
                <w:rFonts w:hint="eastAsia"/>
                <w:b/>
                <w:color w:val="auto"/>
                <w:sz w:val="24"/>
                <w:szCs w:val="24"/>
              </w:rPr>
              <w:t>1.2废气达标情况判定</w:t>
            </w:r>
          </w:p>
          <w:p w14:paraId="7A4C2C91">
            <w:pPr>
              <w:numPr>
                <w:ilvl w:val="0"/>
                <w:numId w:val="0"/>
              </w:numPr>
              <w:spacing w:line="360" w:lineRule="auto"/>
              <w:ind w:firstLine="480" w:firstLineChars="200"/>
              <w:rPr>
                <w:rFonts w:hint="eastAsia" w:cs="Times New Roman"/>
                <w:color w:val="auto"/>
                <w:sz w:val="24"/>
                <w:szCs w:val="24"/>
                <w:lang w:val="en-US" w:eastAsia="zh-CN"/>
              </w:rPr>
            </w:pPr>
            <w:r>
              <w:rPr>
                <w:rFonts w:hint="eastAsia" w:ascii="Times New Roman" w:hAnsi="Times New Roman" w:eastAsia="宋体" w:cs="Times New Roman"/>
                <w:color w:val="auto"/>
                <w:kern w:val="2"/>
                <w:sz w:val="24"/>
                <w:szCs w:val="24"/>
                <w:lang w:val="en-US" w:eastAsia="zh-CN" w:bidi="ar-SA"/>
              </w:rPr>
              <w:t>（1）</w:t>
            </w:r>
            <w:r>
              <w:rPr>
                <w:rFonts w:hint="eastAsia" w:cs="Times New Roman"/>
                <w:color w:val="auto"/>
                <w:sz w:val="24"/>
                <w:szCs w:val="24"/>
                <w:lang w:val="en-US" w:eastAsia="zh-CN"/>
              </w:rPr>
              <w:t>卸料废气、清理废气</w:t>
            </w:r>
          </w:p>
          <w:p w14:paraId="45FF10C8">
            <w:pPr>
              <w:numPr>
                <w:ilvl w:val="0"/>
                <w:numId w:val="0"/>
              </w:num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本项目</w:t>
            </w:r>
            <w:r>
              <w:rPr>
                <w:rFonts w:hint="eastAsia" w:cs="Times New Roman"/>
                <w:color w:val="auto"/>
                <w:sz w:val="24"/>
                <w:szCs w:val="24"/>
                <w:lang w:val="en-US" w:eastAsia="zh-CN"/>
              </w:rPr>
              <w:t>卸料废气、清理废气</w:t>
            </w:r>
            <w:r>
              <w:rPr>
                <w:rFonts w:hint="default" w:ascii="Times New Roman" w:hAnsi="Times New Roman" w:cs="Times New Roman"/>
                <w:color w:val="auto"/>
                <w:sz w:val="24"/>
                <w:szCs w:val="24"/>
              </w:rPr>
              <w:t>经</w:t>
            </w:r>
            <w:r>
              <w:rPr>
                <w:rFonts w:hint="eastAsia" w:cs="Times New Roman"/>
                <w:color w:val="auto"/>
                <w:sz w:val="24"/>
                <w:szCs w:val="24"/>
                <w:lang w:val="en-US" w:eastAsia="zh-CN"/>
              </w:rPr>
              <w:t>集气罩</w:t>
            </w:r>
            <w:r>
              <w:rPr>
                <w:rFonts w:hint="default" w:ascii="Times New Roman" w:hAnsi="Times New Roman" w:cs="Times New Roman"/>
                <w:color w:val="auto"/>
                <w:sz w:val="24"/>
                <w:szCs w:val="24"/>
              </w:rPr>
              <w:t>收集后合并通过</w:t>
            </w:r>
            <w:r>
              <w:rPr>
                <w:rFonts w:hint="eastAsia" w:cs="Times New Roman"/>
                <w:color w:val="auto"/>
                <w:sz w:val="24"/>
                <w:szCs w:val="24"/>
                <w:lang w:eastAsia="zh-CN"/>
              </w:rPr>
              <w:t>旋风除尘器</w:t>
            </w:r>
            <w:r>
              <w:rPr>
                <w:rFonts w:hint="eastAsia" w:cs="Times New Roman"/>
                <w:color w:val="auto"/>
                <w:sz w:val="24"/>
                <w:szCs w:val="24"/>
                <w:lang w:val="en-US" w:eastAsia="zh-CN"/>
              </w:rPr>
              <w:t>+布袋除尘器</w:t>
            </w:r>
            <w:r>
              <w:rPr>
                <w:rFonts w:hint="default" w:ascii="Times New Roman" w:hAnsi="Times New Roman" w:cs="Times New Roman"/>
                <w:color w:val="auto"/>
                <w:sz w:val="24"/>
              </w:rPr>
              <w:t>处理，尾气经1根</w:t>
            </w:r>
            <w:r>
              <w:rPr>
                <w:rFonts w:hint="eastAsia" w:cs="Times New Roman"/>
                <w:color w:val="auto"/>
                <w:sz w:val="24"/>
                <w:lang w:val="en-US" w:eastAsia="zh-CN"/>
              </w:rPr>
              <w:t>15米</w:t>
            </w:r>
            <w:r>
              <w:rPr>
                <w:rFonts w:hint="default" w:ascii="Times New Roman" w:hAnsi="Times New Roman" w:cs="Times New Roman"/>
                <w:color w:val="auto"/>
                <w:sz w:val="24"/>
              </w:rPr>
              <w:t>高的排气筒（编号：DA00</w:t>
            </w:r>
            <w:r>
              <w:rPr>
                <w:rFonts w:hint="eastAsia" w:cs="Times New Roman"/>
                <w:color w:val="auto"/>
                <w:sz w:val="24"/>
                <w:lang w:val="en-US" w:eastAsia="zh-CN"/>
              </w:rPr>
              <w:t>1</w:t>
            </w:r>
            <w:r>
              <w:rPr>
                <w:rFonts w:hint="default" w:ascii="Times New Roman" w:hAnsi="Times New Roman" w:cs="Times New Roman"/>
                <w:color w:val="auto"/>
                <w:sz w:val="24"/>
              </w:rPr>
              <w:t>）排放，</w:t>
            </w:r>
            <w:r>
              <w:rPr>
                <w:rFonts w:hint="default" w:ascii="Times New Roman" w:hAnsi="Times New Roman" w:cs="Times New Roman"/>
                <w:color w:val="auto"/>
                <w:sz w:val="24"/>
                <w:szCs w:val="24"/>
              </w:rPr>
              <w:t>主要污染物颗粒物排放速率约为</w:t>
            </w:r>
            <w:r>
              <w:rPr>
                <w:rFonts w:hint="eastAsia" w:cs="Times New Roman"/>
                <w:color w:val="auto"/>
                <w:sz w:val="24"/>
                <w:szCs w:val="24"/>
                <w:lang w:val="en-US" w:eastAsia="zh-CN"/>
              </w:rPr>
              <w:t>0.118</w:t>
            </w:r>
            <w:r>
              <w:rPr>
                <w:rFonts w:hint="default" w:ascii="Times New Roman" w:hAnsi="Times New Roman" w:cs="Times New Roman"/>
                <w:color w:val="auto"/>
                <w:sz w:val="24"/>
                <w:szCs w:val="24"/>
              </w:rPr>
              <w:t>kg/h，排放浓度约为</w:t>
            </w:r>
            <w:r>
              <w:rPr>
                <w:rFonts w:hint="eastAsia" w:cs="Times New Roman"/>
                <w:color w:val="auto"/>
                <w:sz w:val="24"/>
                <w:szCs w:val="24"/>
                <w:lang w:val="en-US" w:eastAsia="zh-CN"/>
              </w:rPr>
              <w:t>14.77</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，满足《大气污染物综合排放标准》（GB16297-1996）表2中的排放限值要求（颗粒物最高允许排放浓度≤1</w:t>
            </w:r>
            <w:r>
              <w:rPr>
                <w:rFonts w:hint="eastAsia" w:cs="Times New Roman"/>
                <w:color w:val="auto"/>
                <w:sz w:val="24"/>
                <w:szCs w:val="24"/>
                <w:lang w:eastAsia="zh-CN"/>
              </w:rPr>
              <w:t>2</w:t>
            </w:r>
            <w:r>
              <w:rPr>
                <w:rFonts w:hint="eastAsia" w:cs="Times New Roman"/>
                <w:color w:val="auto"/>
                <w:sz w:val="24"/>
                <w:szCs w:val="24"/>
                <w:lang w:val="en-US" w:eastAsia="zh-CN"/>
              </w:rPr>
              <w:t>0</w:t>
            </w:r>
            <w:r>
              <w:rPr>
                <w:rFonts w:hint="eastAsia" w:cs="Times New Roman"/>
                <w:color w:val="auto"/>
                <w:sz w:val="24"/>
                <w:szCs w:val="24"/>
                <w:lang w:eastAsia="zh-CN"/>
              </w:rPr>
              <w:t>m</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，最高允许排放速率≤</w:t>
            </w:r>
            <w:r>
              <w:rPr>
                <w:rFonts w:hint="eastAsia" w:cs="Times New Roman"/>
                <w:color w:val="auto"/>
                <w:sz w:val="24"/>
                <w:szCs w:val="24"/>
                <w:lang w:val="en-US" w:eastAsia="zh-CN"/>
              </w:rPr>
              <w:t>3.5</w:t>
            </w:r>
            <w:r>
              <w:rPr>
                <w:rFonts w:hint="default" w:ascii="Times New Roman" w:hAnsi="Times New Roman" w:eastAsia="宋体" w:cs="Times New Roman"/>
                <w:color w:val="auto"/>
                <w:sz w:val="24"/>
                <w:szCs w:val="24"/>
              </w:rPr>
              <w:t>kg/h）。</w:t>
            </w:r>
          </w:p>
          <w:p w14:paraId="31E4BF83">
            <w:pPr>
              <w:spacing w:line="360" w:lineRule="auto"/>
              <w:ind w:firstLine="480" w:firstLineChars="200"/>
              <w:rPr>
                <w:rFonts w:hint="default" w:ascii="Times New Roman" w:hAnsi="Times New Roman" w:cs="Times New Roman"/>
                <w:color w:val="auto"/>
              </w:rPr>
            </w:pPr>
            <w:r>
              <w:rPr>
                <w:rFonts w:hint="default" w:ascii="Times New Roman" w:hAnsi="Times New Roman" w:eastAsia="宋体" w:cs="Times New Roman"/>
                <w:color w:val="auto"/>
                <w:sz w:val="24"/>
                <w:szCs w:val="24"/>
              </w:rPr>
              <w:t>（2）</w:t>
            </w:r>
            <w:r>
              <w:rPr>
                <w:rFonts w:hint="eastAsia" w:cs="Times New Roman"/>
                <w:color w:val="auto"/>
                <w:sz w:val="24"/>
                <w:szCs w:val="24"/>
                <w:lang w:val="en-US" w:eastAsia="zh-CN"/>
              </w:rPr>
              <w:t>大米加工废气</w:t>
            </w:r>
          </w:p>
          <w:p w14:paraId="16C302BD">
            <w:pPr>
              <w:numPr>
                <w:ilvl w:val="0"/>
                <w:numId w:val="0"/>
              </w:num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cs="Times New Roman"/>
                <w:color w:val="auto"/>
                <w:sz w:val="24"/>
                <w:szCs w:val="24"/>
              </w:rPr>
              <w:t>本项目</w:t>
            </w:r>
            <w:r>
              <w:rPr>
                <w:rFonts w:hint="eastAsia" w:cs="Times New Roman"/>
                <w:color w:val="auto"/>
                <w:sz w:val="24"/>
                <w:szCs w:val="24"/>
                <w:lang w:val="en-US" w:eastAsia="zh-CN"/>
              </w:rPr>
              <w:t>大米加工废气经密闭收集后通过</w:t>
            </w:r>
            <w:r>
              <w:rPr>
                <w:rFonts w:hint="eastAsia" w:cs="Times New Roman"/>
                <w:color w:val="auto"/>
                <w:sz w:val="24"/>
                <w:szCs w:val="24"/>
                <w:lang w:eastAsia="zh-CN"/>
              </w:rPr>
              <w:t>旋风除尘器</w:t>
            </w:r>
            <w:r>
              <w:rPr>
                <w:rFonts w:hint="eastAsia" w:cs="Times New Roman"/>
                <w:color w:val="auto"/>
                <w:sz w:val="24"/>
                <w:szCs w:val="24"/>
                <w:lang w:val="en-US" w:eastAsia="zh-CN"/>
              </w:rPr>
              <w:t>+布袋除尘器装置处理，尾气</w:t>
            </w:r>
            <w:r>
              <w:rPr>
                <w:rFonts w:hint="default" w:ascii="Times New Roman" w:hAnsi="Times New Roman" w:cs="Times New Roman"/>
                <w:color w:val="auto"/>
                <w:sz w:val="24"/>
              </w:rPr>
              <w:t>经1根</w:t>
            </w:r>
            <w:r>
              <w:rPr>
                <w:rFonts w:hint="eastAsia" w:cs="Times New Roman"/>
                <w:color w:val="auto"/>
                <w:sz w:val="24"/>
                <w:lang w:val="en-US" w:eastAsia="zh-CN"/>
              </w:rPr>
              <w:t>15米</w:t>
            </w:r>
            <w:r>
              <w:rPr>
                <w:rFonts w:hint="default" w:ascii="Times New Roman" w:hAnsi="Times New Roman" w:cs="Times New Roman"/>
                <w:color w:val="auto"/>
                <w:sz w:val="24"/>
              </w:rPr>
              <w:t>高的排气筒（编号：DA00</w:t>
            </w:r>
            <w:r>
              <w:rPr>
                <w:rFonts w:hint="eastAsia" w:cs="Times New Roman"/>
                <w:color w:val="auto"/>
                <w:sz w:val="24"/>
                <w:lang w:val="en-US" w:eastAsia="zh-CN"/>
              </w:rPr>
              <w:t>2</w:t>
            </w:r>
            <w:r>
              <w:rPr>
                <w:rFonts w:hint="default" w:ascii="Times New Roman" w:hAnsi="Times New Roman" w:cs="Times New Roman"/>
                <w:color w:val="auto"/>
                <w:sz w:val="24"/>
              </w:rPr>
              <w:t>）排放，</w:t>
            </w:r>
            <w:r>
              <w:rPr>
                <w:rFonts w:hint="default" w:ascii="Times New Roman" w:hAnsi="Times New Roman" w:cs="Times New Roman"/>
                <w:color w:val="auto"/>
                <w:sz w:val="24"/>
                <w:szCs w:val="24"/>
              </w:rPr>
              <w:t>主要污染物</w:t>
            </w:r>
            <w:r>
              <w:rPr>
                <w:rFonts w:hint="eastAsia" w:cs="Times New Roman"/>
                <w:color w:val="auto"/>
                <w:sz w:val="24"/>
                <w:szCs w:val="24"/>
                <w:lang w:val="en-US" w:eastAsia="zh-CN"/>
              </w:rPr>
              <w:t>颗粒物</w:t>
            </w:r>
            <w:r>
              <w:rPr>
                <w:rFonts w:hint="default" w:ascii="Times New Roman" w:hAnsi="Times New Roman" w:cs="Times New Roman"/>
                <w:color w:val="auto"/>
                <w:sz w:val="24"/>
                <w:szCs w:val="24"/>
              </w:rPr>
              <w:t>排放速率约为</w:t>
            </w:r>
            <w:r>
              <w:rPr>
                <w:rFonts w:hint="eastAsia" w:cs="Times New Roman"/>
                <w:color w:val="auto"/>
                <w:sz w:val="24"/>
                <w:szCs w:val="24"/>
                <w:lang w:val="en-US" w:eastAsia="zh-CN"/>
              </w:rPr>
              <w:t>0.006</w:t>
            </w:r>
            <w:r>
              <w:rPr>
                <w:rFonts w:hint="default" w:ascii="Times New Roman" w:hAnsi="Times New Roman" w:cs="Times New Roman"/>
                <w:color w:val="auto"/>
                <w:sz w:val="24"/>
                <w:szCs w:val="24"/>
              </w:rPr>
              <w:t>kg/h，排放浓度约为</w:t>
            </w:r>
            <w:r>
              <w:rPr>
                <w:rFonts w:hint="eastAsia" w:cs="Times New Roman"/>
                <w:color w:val="auto"/>
                <w:sz w:val="24"/>
                <w:szCs w:val="24"/>
                <w:lang w:val="en-US" w:eastAsia="zh-CN"/>
              </w:rPr>
              <w:t>0.42</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，满足《大气污染物综合排放标准》（GB16297-1996）表2中的排放限值要求（颗粒物最高允许排放浓度≤1</w:t>
            </w:r>
            <w:r>
              <w:rPr>
                <w:rFonts w:hint="eastAsia" w:cs="Times New Roman"/>
                <w:color w:val="auto"/>
                <w:sz w:val="24"/>
                <w:szCs w:val="24"/>
                <w:lang w:eastAsia="zh-CN"/>
              </w:rPr>
              <w:t>2</w:t>
            </w:r>
            <w:r>
              <w:rPr>
                <w:rFonts w:hint="eastAsia" w:cs="Times New Roman"/>
                <w:color w:val="auto"/>
                <w:sz w:val="24"/>
                <w:szCs w:val="24"/>
                <w:lang w:val="en-US" w:eastAsia="zh-CN"/>
              </w:rPr>
              <w:t>0</w:t>
            </w:r>
            <w:r>
              <w:rPr>
                <w:rFonts w:hint="eastAsia" w:cs="Times New Roman"/>
                <w:color w:val="auto"/>
                <w:sz w:val="24"/>
                <w:szCs w:val="24"/>
                <w:lang w:eastAsia="zh-CN"/>
              </w:rPr>
              <w:t>m</w:t>
            </w:r>
            <w:r>
              <w:rPr>
                <w:rFonts w:hint="default" w:ascii="Times New Roman" w:hAnsi="Times New Roman" w:cs="Times New Roman"/>
                <w:color w:val="auto"/>
                <w:sz w:val="24"/>
                <w:szCs w:val="24"/>
              </w:rPr>
              <w:t>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，最高允许排放速率≤</w:t>
            </w:r>
            <w:r>
              <w:rPr>
                <w:rFonts w:hint="eastAsia" w:cs="Times New Roman"/>
                <w:color w:val="auto"/>
                <w:sz w:val="24"/>
                <w:szCs w:val="24"/>
                <w:lang w:val="en-US" w:eastAsia="zh-CN"/>
              </w:rPr>
              <w:t>3.5</w:t>
            </w:r>
            <w:r>
              <w:rPr>
                <w:rFonts w:hint="default" w:ascii="Times New Roman" w:hAnsi="Times New Roman" w:eastAsia="宋体" w:cs="Times New Roman"/>
                <w:color w:val="auto"/>
                <w:sz w:val="24"/>
                <w:szCs w:val="24"/>
              </w:rPr>
              <w:t>kg/h）。</w:t>
            </w:r>
          </w:p>
          <w:p w14:paraId="2E046C34">
            <w:pPr>
              <w:numPr>
                <w:ilvl w:val="0"/>
                <w:numId w:val="0"/>
              </w:numPr>
              <w:spacing w:line="360" w:lineRule="auto"/>
              <w:ind w:firstLine="480" w:firstLineChars="200"/>
              <w:rPr>
                <w:rFonts w:hint="default" w:ascii="Times New Roman" w:hAnsi="Times New Roman" w:eastAsia="宋体" w:cs="Times New Roman"/>
                <w:color w:val="auto"/>
                <w:sz w:val="24"/>
                <w:szCs w:val="24"/>
              </w:rPr>
            </w:pPr>
          </w:p>
          <w:p w14:paraId="35ECD82A">
            <w:pPr>
              <w:numPr>
                <w:ilvl w:val="0"/>
                <w:numId w:val="0"/>
              </w:numPr>
              <w:spacing w:line="360" w:lineRule="auto"/>
              <w:ind w:firstLine="480" w:firstLineChars="200"/>
              <w:rPr>
                <w:rFonts w:hint="default" w:ascii="Times New Roman" w:hAnsi="Times New Roman" w:eastAsia="宋体" w:cs="Times New Roman"/>
                <w:color w:val="auto"/>
                <w:sz w:val="24"/>
                <w:szCs w:val="24"/>
              </w:rPr>
            </w:pPr>
          </w:p>
          <w:p w14:paraId="763BC93B">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lang w:val="en-US"/>
              </w:rPr>
            </w:pPr>
            <w:r>
              <w:rPr>
                <w:rFonts w:hint="eastAsia"/>
                <w:b/>
                <w:color w:val="auto"/>
                <w:sz w:val="24"/>
                <w:szCs w:val="24"/>
              </w:rPr>
              <w:t>1.</w:t>
            </w:r>
            <w:r>
              <w:rPr>
                <w:rFonts w:hint="eastAsia"/>
                <w:b/>
                <w:color w:val="auto"/>
                <w:sz w:val="24"/>
                <w:szCs w:val="24"/>
                <w:lang w:val="en-US" w:eastAsia="zh-CN"/>
              </w:rPr>
              <w:t>3废气收集处理措施可行性分析</w:t>
            </w:r>
          </w:p>
          <w:p w14:paraId="43E8D75F">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 xml:space="preserve">项目粉尘采用旋风除尘器+布袋除尘器收集处理，除尘效率达 </w:t>
            </w:r>
            <w:r>
              <w:rPr>
                <w:rFonts w:hint="eastAsia" w:eastAsia="宋体" w:cs="Times New Roman"/>
                <w:b w:val="0"/>
                <w:bCs w:val="0"/>
                <w:color w:val="auto"/>
                <w:sz w:val="24"/>
                <w:szCs w:val="24"/>
                <w:lang w:val="en-US" w:eastAsia="zh-CN"/>
              </w:rPr>
              <w:t>99</w:t>
            </w:r>
            <w:r>
              <w:rPr>
                <w:rFonts w:hint="eastAsia" w:ascii="Times New Roman" w:hAnsi="Times New Roman" w:eastAsia="宋体" w:cs="Times New Roman"/>
                <w:b w:val="0"/>
                <w:bCs w:val="0"/>
                <w:color w:val="auto"/>
                <w:sz w:val="24"/>
                <w:szCs w:val="24"/>
                <w:lang w:val="en-US" w:eastAsia="zh-CN"/>
              </w:rPr>
              <w:t>%。</w:t>
            </w:r>
          </w:p>
          <w:p w14:paraId="786A83B5">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 xml:space="preserve">旋风除尘器原理：是利用气流旋转过程产生的离心力，使粉尘从含尘气流中分离出来的。含尘气流由除尘器进口沿切线方向进入除尘器后，沿外壁向下做旋转运动，这股向下旋转的气流称为外漩涡。外漩涡到达锥体底部后，转而向上，沿轴心向上旋转，最后从排出管排出。这股向上的气流成为内漩涡。向下的外漩涡和向上的内漩涡旋转方向是相同的，即统一为顺时针或统一为逆时针。气流做旋转运动时，粉尘在离心力的作用下甩向外壁，到达外壁的粉尘在下旋气流和重力的共同作用下沿壁面落入灰。 </w:t>
            </w:r>
          </w:p>
          <w:p w14:paraId="2A0A78CA">
            <w:pPr>
              <w:spacing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旋风除尘器优点：</w:t>
            </w:r>
          </w:p>
          <w:p w14:paraId="5C7E5583">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①旋风除尘器内部没有运动部件，维护方便；</w:t>
            </w:r>
          </w:p>
          <w:p w14:paraId="10325BE1">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②制作、管理十分方便；</w:t>
            </w:r>
          </w:p>
          <w:p w14:paraId="19C7182B">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③处理相同风量的情况下体积小，结构简单，价格便宜；</w:t>
            </w:r>
          </w:p>
          <w:p w14:paraId="21B37811">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④作为预除尘器使用时，可以立式安装，使用方便。</w:t>
            </w:r>
          </w:p>
          <w:p w14:paraId="6C811967">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⑤处理大风量时便于多台并联使用，效率阻力不受影响。</w:t>
            </w:r>
          </w:p>
          <w:p w14:paraId="557450F7">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⑥可耐600℃高温，如采用特殊的耐高温材料，还可以耐受更高的温度。</w:t>
            </w:r>
          </w:p>
          <w:p w14:paraId="283C5DB4">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⑦除尘器内设耐磨内衬后，可用以净化含高磨蚀性粉尘的烟气。</w:t>
            </w:r>
          </w:p>
          <w:p w14:paraId="1902538F">
            <w:pPr>
              <w:spacing w:line="360" w:lineRule="auto"/>
              <w:ind w:firstLine="480"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val="0"/>
                <w:bCs w:val="0"/>
                <w:color w:val="auto"/>
                <w:sz w:val="24"/>
                <w:szCs w:val="24"/>
                <w:lang w:val="en-US" w:eastAsia="zh-CN"/>
              </w:rPr>
              <w:t xml:space="preserve">⑧可以干法清灰，有利于回收有价值的粉尘。 </w:t>
            </w:r>
          </w:p>
          <w:p w14:paraId="01B84AB3">
            <w:pPr>
              <w:spacing w:line="360" w:lineRule="auto"/>
              <w:ind w:firstLine="482" w:firstLineChars="200"/>
              <w:rPr>
                <w:rFonts w:hint="eastAsia" w:ascii="Times New Roman" w:hAnsi="Times New Roman" w:eastAsia="宋体" w:cs="Times New Roman"/>
                <w:b w:val="0"/>
                <w:bCs w:val="0"/>
                <w:color w:val="auto"/>
                <w:sz w:val="24"/>
                <w:szCs w:val="24"/>
                <w:lang w:val="en-US" w:eastAsia="zh-CN"/>
              </w:rPr>
            </w:pPr>
            <w:r>
              <w:rPr>
                <w:rFonts w:hint="eastAsia" w:ascii="Times New Roman" w:hAnsi="Times New Roman" w:eastAsia="宋体" w:cs="Times New Roman"/>
                <w:b/>
                <w:bCs/>
                <w:color w:val="auto"/>
                <w:sz w:val="24"/>
                <w:szCs w:val="24"/>
                <w:lang w:val="en-US" w:eastAsia="zh-CN"/>
              </w:rPr>
              <w:t>袋式除尘器原理：</w:t>
            </w:r>
            <w:r>
              <w:rPr>
                <w:rFonts w:hint="eastAsia" w:ascii="Times New Roman" w:hAnsi="Times New Roman" w:eastAsia="宋体" w:cs="Times New Roman"/>
                <w:b w:val="0"/>
                <w:bCs w:val="0"/>
                <w:color w:val="auto"/>
                <w:sz w:val="24"/>
                <w:szCs w:val="24"/>
                <w:lang w:val="en-US" w:eastAsia="zh-CN"/>
              </w:rPr>
              <w:t>袋式除尘器是基于过滤原理的过滤式除尘设备，利用有机纤维或无机纤维过滤布将气体中的粉尘过滤出来。含尘气体由进气口进入中部箱体，从袋外进入布袋内，粉尘被阻挡在滤袋外的表面，净化的空气进入袋内，再由布袋上部进入上箱体，最后由排气管排出。</w:t>
            </w:r>
          </w:p>
          <w:p w14:paraId="3EDD2DAF">
            <w:pPr>
              <w:spacing w:line="360" w:lineRule="auto"/>
              <w:ind w:firstLine="482" w:firstLineChars="200"/>
              <w:rPr>
                <w:rFonts w:hint="default"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袋式</w:t>
            </w:r>
            <w:r>
              <w:rPr>
                <w:rFonts w:hint="default" w:ascii="Times New Roman" w:hAnsi="Times New Roman" w:eastAsia="宋体" w:cs="Times New Roman"/>
                <w:b/>
                <w:bCs/>
                <w:color w:val="auto"/>
                <w:sz w:val="24"/>
                <w:szCs w:val="24"/>
                <w:lang w:val="en-US" w:eastAsia="zh-CN"/>
              </w:rPr>
              <w:t>除尘器优点：</w:t>
            </w:r>
          </w:p>
          <w:p w14:paraId="61DE059D">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①净化效率高。符合国家和地方所规定的排放标准。</w:t>
            </w:r>
          </w:p>
          <w:p w14:paraId="78C8F10B">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②且运行稳定。检修方便，检修人员在上箱体换滤袋可不与灰尘接触。</w:t>
            </w:r>
          </w:p>
          <w:p w14:paraId="7D7BB0EC">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③合理地利用空间，尽可能地占地面积小。</w:t>
            </w:r>
          </w:p>
          <w:p w14:paraId="1B8F881B">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④所收集的粉尘属干式，且集尘量大，清灰方便。</w:t>
            </w:r>
          </w:p>
          <w:p w14:paraId="2CBAF606">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⑤不会产生二次污染。</w:t>
            </w:r>
          </w:p>
          <w:p w14:paraId="5139F3FE">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⑥采用自动控制，是目前国内外各行各业首选的除尘设备。</w:t>
            </w:r>
          </w:p>
          <w:p w14:paraId="0A955F9E">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根据工程分析可知，本项目各工序产生的粉尘通过旋风除尘器+袋式除尘器处理后，均能满足《大气污染物综合排放标准》（GB16297-1996）中相关限值标准。</w:t>
            </w:r>
          </w:p>
          <w:p w14:paraId="2BEEA880">
            <w:pPr>
              <w:spacing w:line="360" w:lineRule="auto"/>
              <w:ind w:firstLine="480" w:firstLineChars="200"/>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t>综上，项目产生的颗粒物控制措施是可行的。</w:t>
            </w:r>
          </w:p>
          <w:p w14:paraId="7A2A7906">
            <w:pPr>
              <w:spacing w:line="360" w:lineRule="auto"/>
              <w:rPr>
                <w:b/>
                <w:color w:val="auto"/>
                <w:sz w:val="24"/>
                <w:szCs w:val="24"/>
              </w:rPr>
            </w:pPr>
            <w:r>
              <w:rPr>
                <w:rFonts w:hint="eastAsia"/>
                <w:b/>
                <w:color w:val="auto"/>
                <w:sz w:val="24"/>
                <w:szCs w:val="24"/>
              </w:rPr>
              <w:t>1.</w:t>
            </w:r>
            <w:r>
              <w:rPr>
                <w:rFonts w:hint="eastAsia"/>
                <w:b/>
                <w:color w:val="auto"/>
                <w:sz w:val="24"/>
                <w:szCs w:val="24"/>
                <w:lang w:val="en-US" w:eastAsia="zh-CN"/>
              </w:rPr>
              <w:t>4</w:t>
            </w:r>
            <w:r>
              <w:rPr>
                <w:rFonts w:hint="eastAsia"/>
                <w:b/>
                <w:color w:val="auto"/>
                <w:sz w:val="24"/>
                <w:szCs w:val="24"/>
              </w:rPr>
              <w:t>大气污染物非正常排放分析</w:t>
            </w:r>
          </w:p>
          <w:p w14:paraId="46CEE2AB">
            <w:pPr>
              <w:spacing w:line="360" w:lineRule="auto"/>
              <w:ind w:firstLine="480" w:firstLineChars="200"/>
              <w:rPr>
                <w:color w:val="auto"/>
              </w:rPr>
            </w:pPr>
            <w:r>
              <w:rPr>
                <w:rFonts w:hint="eastAsia"/>
                <w:color w:val="auto"/>
                <w:sz w:val="24"/>
                <w:szCs w:val="24"/>
              </w:rPr>
              <w:t>项目非正常工况指生产过程中开停</w:t>
            </w:r>
            <w:r>
              <w:rPr>
                <w:rFonts w:hint="eastAsia"/>
                <w:color w:val="auto"/>
                <w:sz w:val="24"/>
                <w:szCs w:val="24"/>
                <w:lang w:eastAsia="zh-CN"/>
              </w:rPr>
              <w:t>设备</w:t>
            </w:r>
            <w:r>
              <w:rPr>
                <w:rFonts w:hint="eastAsia"/>
                <w:color w:val="auto"/>
                <w:sz w:val="24"/>
                <w:szCs w:val="24"/>
              </w:rPr>
              <w:t>、设备检修、工艺设备运转异常等非正常工况下的污染物排放，以及污染物排放控制措施达不到应有效率等情况下的排放。拟建项目最不利非正常工况为废气污染物排放控制措施达不到应有效率，根据工程分析，项目非正常工况污染物排放情况核算内容见下表。</w:t>
            </w:r>
          </w:p>
          <w:p w14:paraId="56F58155">
            <w:pPr>
              <w:spacing w:line="360" w:lineRule="auto"/>
              <w:jc w:val="center"/>
              <w:rPr>
                <w:b/>
                <w:color w:val="auto"/>
                <w:szCs w:val="21"/>
              </w:rPr>
            </w:pPr>
            <w:r>
              <w:rPr>
                <w:rFonts w:hint="eastAsia"/>
                <w:b/>
                <w:color w:val="auto"/>
                <w:szCs w:val="21"/>
              </w:rPr>
              <w:t>表4</w:t>
            </w:r>
            <w:r>
              <w:rPr>
                <w:rFonts w:hint="eastAsia"/>
                <w:b/>
                <w:color w:val="auto"/>
                <w:szCs w:val="21"/>
                <w:lang w:val="en-US" w:eastAsia="zh-CN"/>
              </w:rPr>
              <w:t>-4</w:t>
            </w:r>
            <w:r>
              <w:rPr>
                <w:rFonts w:hint="eastAsia"/>
                <w:b/>
                <w:color w:val="auto"/>
                <w:szCs w:val="21"/>
              </w:rPr>
              <w:t xml:space="preserve">  建设项目废气污染源非正常排放量核算表</w:t>
            </w:r>
          </w:p>
          <w:tbl>
            <w:tblPr>
              <w:tblStyle w:val="45"/>
              <w:tblW w:w="839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580"/>
              <w:gridCol w:w="1202"/>
              <w:gridCol w:w="940"/>
              <w:gridCol w:w="1012"/>
              <w:gridCol w:w="911"/>
              <w:gridCol w:w="954"/>
              <w:gridCol w:w="1039"/>
              <w:gridCol w:w="758"/>
            </w:tblGrid>
            <w:tr w14:paraId="3E26AB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0" w:type="dxa"/>
                  <w:shd w:val="clear" w:color="auto" w:fill="auto"/>
                  <w:vAlign w:val="center"/>
                </w:tcPr>
                <w:p w14:paraId="50AB432D">
                  <w:pPr>
                    <w:jc w:val="center"/>
                    <w:rPr>
                      <w:b/>
                      <w:iCs/>
                      <w:color w:val="auto"/>
                      <w:szCs w:val="21"/>
                    </w:rPr>
                  </w:pPr>
                  <w:r>
                    <w:rPr>
                      <w:rFonts w:hint="eastAsia"/>
                      <w:b/>
                      <w:iCs/>
                      <w:color w:val="auto"/>
                      <w:szCs w:val="21"/>
                    </w:rPr>
                    <w:t>非正常排放源</w:t>
                  </w:r>
                </w:p>
              </w:tc>
              <w:tc>
                <w:tcPr>
                  <w:tcW w:w="1202" w:type="dxa"/>
                  <w:shd w:val="clear" w:color="auto" w:fill="auto"/>
                  <w:vAlign w:val="center"/>
                </w:tcPr>
                <w:p w14:paraId="76BAB896">
                  <w:pPr>
                    <w:jc w:val="center"/>
                    <w:rPr>
                      <w:b/>
                      <w:iCs/>
                      <w:color w:val="auto"/>
                      <w:szCs w:val="21"/>
                    </w:rPr>
                  </w:pPr>
                  <w:r>
                    <w:rPr>
                      <w:rFonts w:hint="eastAsia"/>
                      <w:b/>
                      <w:iCs/>
                      <w:color w:val="auto"/>
                      <w:szCs w:val="21"/>
                    </w:rPr>
                    <w:t>非正常排放原因</w:t>
                  </w:r>
                </w:p>
              </w:tc>
              <w:tc>
                <w:tcPr>
                  <w:tcW w:w="940" w:type="dxa"/>
                  <w:shd w:val="clear" w:color="auto" w:fill="auto"/>
                  <w:vAlign w:val="center"/>
                </w:tcPr>
                <w:p w14:paraId="48033E3C">
                  <w:pPr>
                    <w:jc w:val="center"/>
                    <w:rPr>
                      <w:b/>
                      <w:iCs/>
                      <w:color w:val="auto"/>
                      <w:szCs w:val="21"/>
                    </w:rPr>
                  </w:pPr>
                  <w:r>
                    <w:rPr>
                      <w:rFonts w:hint="eastAsia"/>
                      <w:b/>
                      <w:iCs/>
                      <w:color w:val="auto"/>
                      <w:szCs w:val="21"/>
                    </w:rPr>
                    <w:t>污染物</w:t>
                  </w:r>
                </w:p>
              </w:tc>
              <w:tc>
                <w:tcPr>
                  <w:tcW w:w="1012" w:type="dxa"/>
                  <w:shd w:val="clear" w:color="auto" w:fill="auto"/>
                  <w:vAlign w:val="center"/>
                </w:tcPr>
                <w:p w14:paraId="423B27C3">
                  <w:pPr>
                    <w:jc w:val="center"/>
                    <w:rPr>
                      <w:b/>
                      <w:iCs/>
                      <w:color w:val="auto"/>
                      <w:szCs w:val="21"/>
                    </w:rPr>
                  </w:pPr>
                  <w:r>
                    <w:rPr>
                      <w:rFonts w:hint="eastAsia"/>
                      <w:b/>
                      <w:iCs/>
                      <w:color w:val="auto"/>
                      <w:szCs w:val="21"/>
                    </w:rPr>
                    <w:t>排放浓度</w:t>
                  </w:r>
                  <w:r>
                    <w:rPr>
                      <w:rFonts w:hint="eastAsia"/>
                      <w:b/>
                      <w:iCs/>
                      <w:color w:val="auto"/>
                      <w:spacing w:val="-8"/>
                      <w:szCs w:val="21"/>
                    </w:rPr>
                    <w:t>（mg/m</w:t>
                  </w:r>
                  <w:r>
                    <w:rPr>
                      <w:rFonts w:hint="eastAsia"/>
                      <w:b/>
                      <w:iCs/>
                      <w:color w:val="auto"/>
                      <w:spacing w:val="-8"/>
                      <w:szCs w:val="21"/>
                      <w:vertAlign w:val="superscript"/>
                    </w:rPr>
                    <w:t>3</w:t>
                  </w:r>
                  <w:r>
                    <w:rPr>
                      <w:rFonts w:hint="eastAsia"/>
                      <w:b/>
                      <w:iCs/>
                      <w:color w:val="auto"/>
                      <w:spacing w:val="-8"/>
                      <w:szCs w:val="21"/>
                    </w:rPr>
                    <w:t>）</w:t>
                  </w:r>
                </w:p>
              </w:tc>
              <w:tc>
                <w:tcPr>
                  <w:tcW w:w="911" w:type="dxa"/>
                  <w:shd w:val="clear" w:color="auto" w:fill="auto"/>
                  <w:vAlign w:val="center"/>
                </w:tcPr>
                <w:p w14:paraId="7691CA4C">
                  <w:pPr>
                    <w:jc w:val="center"/>
                    <w:rPr>
                      <w:b/>
                      <w:iCs/>
                      <w:color w:val="auto"/>
                      <w:szCs w:val="21"/>
                    </w:rPr>
                  </w:pPr>
                  <w:r>
                    <w:rPr>
                      <w:rFonts w:hint="eastAsia"/>
                      <w:b/>
                      <w:iCs/>
                      <w:color w:val="auto"/>
                      <w:szCs w:val="21"/>
                    </w:rPr>
                    <w:t>排放量</w:t>
                  </w:r>
                  <w:r>
                    <w:rPr>
                      <w:rFonts w:hint="eastAsia"/>
                      <w:b/>
                      <w:iCs/>
                      <w:color w:val="auto"/>
                      <w:spacing w:val="-10"/>
                      <w:szCs w:val="21"/>
                    </w:rPr>
                    <w:t>（kg/次）</w:t>
                  </w:r>
                </w:p>
              </w:tc>
              <w:tc>
                <w:tcPr>
                  <w:tcW w:w="954" w:type="dxa"/>
                  <w:shd w:val="clear" w:color="auto" w:fill="auto"/>
                  <w:vAlign w:val="center"/>
                </w:tcPr>
                <w:p w14:paraId="4C982064">
                  <w:pPr>
                    <w:jc w:val="center"/>
                    <w:rPr>
                      <w:b/>
                      <w:iCs/>
                      <w:color w:val="auto"/>
                      <w:szCs w:val="21"/>
                    </w:rPr>
                  </w:pPr>
                  <w:r>
                    <w:rPr>
                      <w:rFonts w:hint="eastAsia"/>
                      <w:b/>
                      <w:iCs/>
                      <w:color w:val="auto"/>
                      <w:szCs w:val="21"/>
                    </w:rPr>
                    <w:t>单次持续时间（min）</w:t>
                  </w:r>
                </w:p>
              </w:tc>
              <w:tc>
                <w:tcPr>
                  <w:tcW w:w="1039" w:type="dxa"/>
                  <w:shd w:val="clear" w:color="auto" w:fill="auto"/>
                  <w:vAlign w:val="center"/>
                </w:tcPr>
                <w:p w14:paraId="75C33849">
                  <w:pPr>
                    <w:jc w:val="center"/>
                    <w:rPr>
                      <w:b/>
                      <w:iCs/>
                      <w:color w:val="auto"/>
                      <w:szCs w:val="21"/>
                    </w:rPr>
                  </w:pPr>
                  <w:r>
                    <w:rPr>
                      <w:rFonts w:hint="eastAsia"/>
                      <w:b/>
                      <w:iCs/>
                      <w:color w:val="auto"/>
                      <w:szCs w:val="21"/>
                    </w:rPr>
                    <w:t>年最大发生频次</w:t>
                  </w:r>
                </w:p>
              </w:tc>
              <w:tc>
                <w:tcPr>
                  <w:tcW w:w="758" w:type="dxa"/>
                  <w:shd w:val="clear" w:color="auto" w:fill="auto"/>
                  <w:vAlign w:val="center"/>
                </w:tcPr>
                <w:p w14:paraId="2B151E2F">
                  <w:pPr>
                    <w:jc w:val="center"/>
                    <w:rPr>
                      <w:rFonts w:hint="eastAsia"/>
                      <w:b/>
                      <w:iCs/>
                      <w:color w:val="auto"/>
                      <w:szCs w:val="21"/>
                    </w:rPr>
                  </w:pPr>
                  <w:r>
                    <w:rPr>
                      <w:rFonts w:hint="eastAsia"/>
                      <w:b/>
                      <w:iCs/>
                      <w:color w:val="auto"/>
                      <w:szCs w:val="21"/>
                    </w:rPr>
                    <w:t>应对</w:t>
                  </w:r>
                </w:p>
                <w:p w14:paraId="5ED9ABCE">
                  <w:pPr>
                    <w:jc w:val="center"/>
                    <w:rPr>
                      <w:b/>
                      <w:iCs/>
                      <w:color w:val="auto"/>
                      <w:szCs w:val="21"/>
                    </w:rPr>
                  </w:pPr>
                  <w:r>
                    <w:rPr>
                      <w:rFonts w:hint="eastAsia"/>
                      <w:b/>
                      <w:iCs/>
                      <w:color w:val="auto"/>
                      <w:szCs w:val="21"/>
                    </w:rPr>
                    <w:t>措施</w:t>
                  </w:r>
                </w:p>
              </w:tc>
            </w:tr>
            <w:tr w14:paraId="0061F6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0" w:type="dxa"/>
                  <w:shd w:val="clear" w:color="auto" w:fill="auto"/>
                  <w:vAlign w:val="center"/>
                </w:tcPr>
                <w:p w14:paraId="4268001B">
                  <w:pPr>
                    <w:spacing w:line="240" w:lineRule="auto"/>
                    <w:jc w:val="center"/>
                    <w:rPr>
                      <w:color w:val="auto"/>
                      <w:kern w:val="0"/>
                      <w:szCs w:val="21"/>
                    </w:rPr>
                  </w:pPr>
                  <w:r>
                    <w:rPr>
                      <w:rFonts w:hint="eastAsia" w:eastAsia="宋体" w:cs="Times New Roman"/>
                      <w:color w:val="auto"/>
                      <w:sz w:val="21"/>
                      <w:szCs w:val="21"/>
                      <w:lang w:val="en-US" w:eastAsia="zh-CN"/>
                    </w:rPr>
                    <w:t>卸料废气、清理</w:t>
                  </w:r>
                  <w:r>
                    <w:rPr>
                      <w:rFonts w:hint="eastAsia" w:cs="Times New Roman"/>
                      <w:color w:val="auto"/>
                      <w:sz w:val="21"/>
                      <w:szCs w:val="21"/>
                      <w:lang w:val="en-US" w:eastAsia="zh-CN"/>
                    </w:rPr>
                    <w:t>废气排放口</w:t>
                  </w:r>
                </w:p>
              </w:tc>
              <w:tc>
                <w:tcPr>
                  <w:tcW w:w="1202" w:type="dxa"/>
                  <w:vMerge w:val="restart"/>
                  <w:shd w:val="clear" w:color="auto" w:fill="auto"/>
                  <w:vAlign w:val="center"/>
                </w:tcPr>
                <w:p w14:paraId="6E358251">
                  <w:pPr>
                    <w:jc w:val="center"/>
                    <w:rPr>
                      <w:rFonts w:hint="default" w:eastAsia="宋体"/>
                      <w:color w:val="auto"/>
                      <w:lang w:val="en-US" w:eastAsia="zh-CN"/>
                    </w:rPr>
                  </w:pPr>
                  <w:r>
                    <w:rPr>
                      <w:rFonts w:hint="eastAsia"/>
                      <w:color w:val="auto"/>
                      <w:lang w:val="en-US" w:eastAsia="zh-CN"/>
                    </w:rPr>
                    <w:t>废气处理装置损坏，废气处理效率为0</w:t>
                  </w:r>
                </w:p>
              </w:tc>
              <w:tc>
                <w:tcPr>
                  <w:tcW w:w="940" w:type="dxa"/>
                  <w:shd w:val="clear" w:color="auto" w:fill="auto"/>
                  <w:vAlign w:val="center"/>
                </w:tcPr>
                <w:p w14:paraId="43AF956A">
                  <w:pPr>
                    <w:jc w:val="center"/>
                    <w:rPr>
                      <w:color w:val="auto"/>
                      <w:szCs w:val="21"/>
                    </w:rPr>
                  </w:pPr>
                  <w:r>
                    <w:rPr>
                      <w:rFonts w:hint="eastAsia"/>
                      <w:color w:val="auto"/>
                      <w:szCs w:val="21"/>
                    </w:rPr>
                    <w:t>颗粒物</w:t>
                  </w:r>
                </w:p>
              </w:tc>
              <w:tc>
                <w:tcPr>
                  <w:tcW w:w="1012" w:type="dxa"/>
                  <w:shd w:val="clear" w:color="auto" w:fill="auto"/>
                  <w:vAlign w:val="center"/>
                </w:tcPr>
                <w:p w14:paraId="0F6DEF62">
                  <w:pPr>
                    <w:keepNext w:val="0"/>
                    <w:keepLines w:val="0"/>
                    <w:widowControl/>
                    <w:suppressLineNumbers w:val="0"/>
                    <w:spacing w:line="240" w:lineRule="auto"/>
                    <w:jc w:val="center"/>
                    <w:textAlignment w:val="center"/>
                    <w:rPr>
                      <w:rFonts w:hint="default" w:eastAsia="宋体"/>
                      <w:color w:val="auto"/>
                      <w:sz w:val="21"/>
                      <w:szCs w:val="21"/>
                      <w:lang w:val="en-US" w:eastAsia="zh-CN"/>
                    </w:rPr>
                  </w:pPr>
                  <w:r>
                    <w:rPr>
                      <w:rFonts w:hint="eastAsia" w:cs="Times New Roman"/>
                      <w:i w:val="0"/>
                      <w:iCs w:val="0"/>
                      <w:color w:val="auto"/>
                      <w:kern w:val="0"/>
                      <w:sz w:val="21"/>
                      <w:szCs w:val="21"/>
                      <w:u w:val="none"/>
                      <w:lang w:val="en-US" w:eastAsia="zh-CN" w:bidi="ar"/>
                    </w:rPr>
                    <w:t>1476.56</w:t>
                  </w:r>
                </w:p>
              </w:tc>
              <w:tc>
                <w:tcPr>
                  <w:tcW w:w="911" w:type="dxa"/>
                  <w:shd w:val="clear" w:color="auto" w:fill="auto"/>
                  <w:vAlign w:val="center"/>
                </w:tcPr>
                <w:p w14:paraId="1FA1B53C">
                  <w:pPr>
                    <w:keepNext w:val="0"/>
                    <w:keepLines w:val="0"/>
                    <w:widowControl/>
                    <w:suppressLineNumbers w:val="0"/>
                    <w:spacing w:line="240" w:lineRule="auto"/>
                    <w:jc w:val="center"/>
                    <w:textAlignment w:val="center"/>
                    <w:rPr>
                      <w:rFonts w:hint="default"/>
                      <w:color w:val="auto"/>
                      <w:sz w:val="21"/>
                      <w:szCs w:val="21"/>
                      <w:lang w:val="en-US"/>
                    </w:rPr>
                  </w:pPr>
                  <w:r>
                    <w:rPr>
                      <w:rFonts w:hint="eastAsia" w:eastAsia="宋体" w:cs="Times New Roman"/>
                      <w:i w:val="0"/>
                      <w:iCs w:val="0"/>
                      <w:color w:val="auto"/>
                      <w:kern w:val="0"/>
                      <w:sz w:val="21"/>
                      <w:szCs w:val="21"/>
                      <w:u w:val="none"/>
                      <w:lang w:val="en-US" w:eastAsia="zh-CN" w:bidi="ar"/>
                    </w:rPr>
                    <w:t>11.813</w:t>
                  </w:r>
                </w:p>
              </w:tc>
              <w:tc>
                <w:tcPr>
                  <w:tcW w:w="954" w:type="dxa"/>
                  <w:vMerge w:val="restart"/>
                  <w:shd w:val="clear" w:color="auto" w:fill="auto"/>
                  <w:vAlign w:val="center"/>
                </w:tcPr>
                <w:p w14:paraId="4431FD86">
                  <w:pPr>
                    <w:jc w:val="center"/>
                    <w:rPr>
                      <w:color w:val="auto"/>
                      <w:szCs w:val="21"/>
                    </w:rPr>
                  </w:pPr>
                  <w:r>
                    <w:rPr>
                      <w:rFonts w:hint="eastAsia"/>
                      <w:color w:val="auto"/>
                      <w:szCs w:val="21"/>
                    </w:rPr>
                    <w:t>60</w:t>
                  </w:r>
                </w:p>
              </w:tc>
              <w:tc>
                <w:tcPr>
                  <w:tcW w:w="1039" w:type="dxa"/>
                  <w:vMerge w:val="restart"/>
                  <w:shd w:val="clear" w:color="auto" w:fill="auto"/>
                  <w:vAlign w:val="center"/>
                </w:tcPr>
                <w:p w14:paraId="0BA5A7C8">
                  <w:pPr>
                    <w:jc w:val="center"/>
                    <w:rPr>
                      <w:color w:val="auto"/>
                      <w:szCs w:val="21"/>
                    </w:rPr>
                  </w:pPr>
                  <w:r>
                    <w:rPr>
                      <w:rFonts w:hint="eastAsia"/>
                      <w:color w:val="auto"/>
                      <w:szCs w:val="21"/>
                    </w:rPr>
                    <w:t>1次</w:t>
                  </w:r>
                </w:p>
              </w:tc>
              <w:tc>
                <w:tcPr>
                  <w:tcW w:w="758" w:type="dxa"/>
                  <w:vMerge w:val="restart"/>
                  <w:shd w:val="clear" w:color="auto" w:fill="auto"/>
                  <w:vAlign w:val="center"/>
                </w:tcPr>
                <w:p w14:paraId="6EC4D696">
                  <w:pPr>
                    <w:jc w:val="center"/>
                    <w:rPr>
                      <w:color w:val="auto"/>
                      <w:szCs w:val="21"/>
                    </w:rPr>
                  </w:pPr>
                  <w:r>
                    <w:rPr>
                      <w:rFonts w:hint="eastAsia"/>
                      <w:color w:val="auto"/>
                      <w:szCs w:val="21"/>
                    </w:rPr>
                    <w:t>立即停止相关产污环节生产，维修废气处理设施</w:t>
                  </w:r>
                </w:p>
              </w:tc>
            </w:tr>
            <w:tr w14:paraId="1F245B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580" w:type="dxa"/>
                  <w:shd w:val="clear" w:color="auto" w:fill="auto"/>
                  <w:vAlign w:val="center"/>
                </w:tcPr>
                <w:p w14:paraId="40345117">
                  <w:pPr>
                    <w:spacing w:line="240" w:lineRule="auto"/>
                    <w:jc w:val="center"/>
                    <w:rPr>
                      <w:rFonts w:hint="eastAsia" w:eastAsia="宋体"/>
                      <w:color w:val="auto"/>
                      <w:szCs w:val="21"/>
                      <w:lang w:eastAsia="zh-CN"/>
                    </w:rPr>
                  </w:pPr>
                  <w:r>
                    <w:rPr>
                      <w:rFonts w:hint="eastAsia" w:cs="Times New Roman"/>
                      <w:color w:val="auto"/>
                      <w:sz w:val="21"/>
                      <w:szCs w:val="21"/>
                      <w:lang w:val="en-US" w:eastAsia="zh-CN"/>
                    </w:rPr>
                    <w:t>大米加工废气排放口</w:t>
                  </w:r>
                </w:p>
              </w:tc>
              <w:tc>
                <w:tcPr>
                  <w:tcW w:w="1202" w:type="dxa"/>
                  <w:vMerge w:val="continue"/>
                  <w:shd w:val="clear" w:color="auto" w:fill="auto"/>
                  <w:vAlign w:val="center"/>
                </w:tcPr>
                <w:p w14:paraId="1DB459AD">
                  <w:pPr>
                    <w:jc w:val="center"/>
                    <w:rPr>
                      <w:color w:val="auto"/>
                      <w:szCs w:val="21"/>
                    </w:rPr>
                  </w:pPr>
                </w:p>
              </w:tc>
              <w:tc>
                <w:tcPr>
                  <w:tcW w:w="940" w:type="dxa"/>
                  <w:shd w:val="clear" w:color="auto" w:fill="auto"/>
                  <w:vAlign w:val="center"/>
                </w:tcPr>
                <w:p w14:paraId="23E12754">
                  <w:pPr>
                    <w:jc w:val="center"/>
                    <w:rPr>
                      <w:rFonts w:hint="default" w:eastAsia="宋体"/>
                      <w:color w:val="auto"/>
                      <w:szCs w:val="21"/>
                      <w:lang w:val="en-US" w:eastAsia="zh-CN"/>
                    </w:rPr>
                  </w:pPr>
                  <w:r>
                    <w:rPr>
                      <w:rFonts w:hint="eastAsia"/>
                      <w:color w:val="auto"/>
                      <w:szCs w:val="21"/>
                      <w:lang w:val="en-US" w:eastAsia="zh-CN"/>
                    </w:rPr>
                    <w:t>颗粒物</w:t>
                  </w:r>
                </w:p>
              </w:tc>
              <w:tc>
                <w:tcPr>
                  <w:tcW w:w="1012" w:type="dxa"/>
                  <w:shd w:val="clear" w:color="auto" w:fill="auto"/>
                  <w:vAlign w:val="center"/>
                </w:tcPr>
                <w:p w14:paraId="0827E111">
                  <w:pPr>
                    <w:keepNext w:val="0"/>
                    <w:keepLines w:val="0"/>
                    <w:widowControl/>
                    <w:suppressLineNumbers w:val="0"/>
                    <w:spacing w:line="240" w:lineRule="auto"/>
                    <w:jc w:val="center"/>
                    <w:textAlignment w:val="center"/>
                    <w:rPr>
                      <w:rFonts w:hint="default" w:eastAsia="宋体"/>
                      <w:color w:val="auto"/>
                      <w:sz w:val="21"/>
                      <w:szCs w:val="21"/>
                      <w:lang w:val="en-US" w:eastAsia="zh-CN"/>
                    </w:rPr>
                  </w:pPr>
                  <w:r>
                    <w:rPr>
                      <w:rFonts w:hint="eastAsia" w:cs="Times New Roman"/>
                      <w:i w:val="0"/>
                      <w:iCs w:val="0"/>
                      <w:color w:val="auto"/>
                      <w:kern w:val="0"/>
                      <w:sz w:val="21"/>
                      <w:szCs w:val="21"/>
                      <w:u w:val="none"/>
                      <w:lang w:val="en-US" w:eastAsia="zh-CN" w:bidi="ar"/>
                    </w:rPr>
                    <w:t>41.67</w:t>
                  </w:r>
                </w:p>
              </w:tc>
              <w:tc>
                <w:tcPr>
                  <w:tcW w:w="911" w:type="dxa"/>
                  <w:shd w:val="clear" w:color="auto" w:fill="auto"/>
                  <w:vAlign w:val="center"/>
                </w:tcPr>
                <w:p w14:paraId="1CE1C573">
                  <w:pPr>
                    <w:keepNext w:val="0"/>
                    <w:keepLines w:val="0"/>
                    <w:widowControl/>
                    <w:suppressLineNumbers w:val="0"/>
                    <w:spacing w:line="240" w:lineRule="auto"/>
                    <w:jc w:val="center"/>
                    <w:textAlignment w:val="center"/>
                    <w:rPr>
                      <w:rFonts w:hint="default" w:eastAsia="宋体"/>
                      <w:color w:val="auto"/>
                      <w:sz w:val="21"/>
                      <w:szCs w:val="21"/>
                      <w:lang w:val="en-US" w:eastAsia="zh-CN"/>
                    </w:rPr>
                  </w:pPr>
                  <w:r>
                    <w:rPr>
                      <w:rFonts w:hint="eastAsia"/>
                      <w:color w:val="auto"/>
                      <w:sz w:val="21"/>
                      <w:szCs w:val="21"/>
                      <w:lang w:val="en-US" w:eastAsia="zh-CN"/>
                    </w:rPr>
                    <w:t>0.625</w:t>
                  </w:r>
                </w:p>
              </w:tc>
              <w:tc>
                <w:tcPr>
                  <w:tcW w:w="954" w:type="dxa"/>
                  <w:vMerge w:val="continue"/>
                  <w:shd w:val="clear" w:color="auto" w:fill="auto"/>
                  <w:vAlign w:val="center"/>
                </w:tcPr>
                <w:p w14:paraId="27F7EA1E">
                  <w:pPr>
                    <w:jc w:val="center"/>
                    <w:rPr>
                      <w:color w:val="auto"/>
                      <w:szCs w:val="21"/>
                    </w:rPr>
                  </w:pPr>
                  <w:r>
                    <w:rPr>
                      <w:rFonts w:hint="eastAsia"/>
                      <w:color w:val="auto"/>
                      <w:szCs w:val="21"/>
                    </w:rPr>
                    <w:t>60</w:t>
                  </w:r>
                </w:p>
              </w:tc>
              <w:tc>
                <w:tcPr>
                  <w:tcW w:w="1039" w:type="dxa"/>
                  <w:vMerge w:val="continue"/>
                  <w:shd w:val="clear" w:color="auto" w:fill="auto"/>
                  <w:vAlign w:val="center"/>
                </w:tcPr>
                <w:p w14:paraId="6E83B4AF">
                  <w:pPr>
                    <w:jc w:val="center"/>
                    <w:rPr>
                      <w:color w:val="auto"/>
                      <w:szCs w:val="21"/>
                    </w:rPr>
                  </w:pPr>
                  <w:r>
                    <w:rPr>
                      <w:rFonts w:hint="eastAsia"/>
                      <w:color w:val="auto"/>
                      <w:szCs w:val="21"/>
                    </w:rPr>
                    <w:t>1次</w:t>
                  </w:r>
                </w:p>
              </w:tc>
              <w:tc>
                <w:tcPr>
                  <w:tcW w:w="758" w:type="dxa"/>
                  <w:vMerge w:val="continue"/>
                  <w:shd w:val="clear" w:color="auto" w:fill="auto"/>
                  <w:vAlign w:val="center"/>
                </w:tcPr>
                <w:p w14:paraId="5DB3526B">
                  <w:pPr>
                    <w:jc w:val="center"/>
                    <w:rPr>
                      <w:color w:val="auto"/>
                      <w:szCs w:val="21"/>
                    </w:rPr>
                  </w:pPr>
                </w:p>
              </w:tc>
            </w:tr>
          </w:tbl>
          <w:p w14:paraId="7030DC77">
            <w:pPr>
              <w:spacing w:line="360" w:lineRule="auto"/>
              <w:rPr>
                <w:b/>
                <w:color w:val="auto"/>
                <w:sz w:val="24"/>
                <w:szCs w:val="24"/>
              </w:rPr>
            </w:pPr>
            <w:r>
              <w:rPr>
                <w:rFonts w:hint="eastAsia"/>
                <w:b/>
                <w:color w:val="auto"/>
                <w:sz w:val="24"/>
                <w:szCs w:val="24"/>
              </w:rPr>
              <w:t>1.</w:t>
            </w:r>
            <w:r>
              <w:rPr>
                <w:rFonts w:hint="eastAsia"/>
                <w:b/>
                <w:color w:val="auto"/>
                <w:sz w:val="24"/>
                <w:szCs w:val="24"/>
                <w:lang w:val="en-US" w:eastAsia="zh-CN"/>
              </w:rPr>
              <w:t>5</w:t>
            </w:r>
            <w:r>
              <w:rPr>
                <w:rFonts w:hint="eastAsia"/>
                <w:b/>
                <w:color w:val="auto"/>
                <w:sz w:val="24"/>
                <w:szCs w:val="24"/>
              </w:rPr>
              <w:t>废气污染源监测计划</w:t>
            </w:r>
          </w:p>
          <w:p w14:paraId="74324DB9">
            <w:pPr>
              <w:spacing w:line="360" w:lineRule="auto"/>
              <w:ind w:firstLine="480" w:firstLineChars="200"/>
              <w:outlineLvl w:val="0"/>
              <w:rPr>
                <w:color w:val="auto"/>
                <w:sz w:val="24"/>
                <w:szCs w:val="24"/>
              </w:rPr>
            </w:pPr>
            <w:bookmarkStart w:id="14" w:name="_Toc2507"/>
            <w:bookmarkStart w:id="15" w:name="_Toc19355"/>
            <w:r>
              <w:rPr>
                <w:rFonts w:hint="eastAsia" w:ascii="Times New Roman" w:hAnsi="Times New Roman" w:cs="Times New Roman"/>
                <w:color w:val="auto"/>
                <w:sz w:val="24"/>
                <w:szCs w:val="24"/>
                <w:lang w:val="en-US" w:eastAsia="zh-CN"/>
              </w:rPr>
              <w:t>参照《排污单位自行监测技术指南   农副食品加工业》（HJ986-2018）</w:t>
            </w:r>
            <w:r>
              <w:rPr>
                <w:rFonts w:hint="default" w:ascii="Times New Roman" w:hAnsi="Times New Roman" w:cs="Times New Roman"/>
                <w:color w:val="auto"/>
                <w:sz w:val="24"/>
                <w:szCs w:val="24"/>
              </w:rPr>
              <w:t>、《环境影响评价技术导则  大气环境》（HJ2.2-2018）附录C.7自行监测计划</w:t>
            </w:r>
            <w:r>
              <w:rPr>
                <w:rFonts w:hint="eastAsia"/>
                <w:color w:val="auto"/>
                <w:sz w:val="24"/>
                <w:szCs w:val="24"/>
              </w:rPr>
              <w:t>，</w:t>
            </w:r>
            <w:r>
              <w:rPr>
                <w:color w:val="auto"/>
                <w:sz w:val="24"/>
                <w:szCs w:val="24"/>
              </w:rPr>
              <w:t>建设项目废气污染源监测计划详见表4-</w:t>
            </w:r>
            <w:r>
              <w:rPr>
                <w:rFonts w:hint="eastAsia"/>
                <w:color w:val="auto"/>
                <w:sz w:val="24"/>
                <w:szCs w:val="24"/>
                <w:lang w:val="en-US" w:eastAsia="zh-CN"/>
              </w:rPr>
              <w:t>5</w:t>
            </w:r>
            <w:r>
              <w:rPr>
                <w:color w:val="auto"/>
                <w:sz w:val="24"/>
                <w:szCs w:val="24"/>
              </w:rPr>
              <w:t>。</w:t>
            </w:r>
            <w:bookmarkEnd w:id="14"/>
            <w:bookmarkEnd w:id="15"/>
          </w:p>
          <w:p w14:paraId="43C8FB59">
            <w:pPr>
              <w:spacing w:line="360" w:lineRule="auto"/>
              <w:ind w:firstLine="422" w:firstLineChars="200"/>
              <w:jc w:val="center"/>
              <w:outlineLvl w:val="0"/>
              <w:rPr>
                <w:color w:val="auto"/>
                <w:sz w:val="24"/>
                <w:szCs w:val="24"/>
              </w:rPr>
            </w:pPr>
            <w:bookmarkStart w:id="16" w:name="_Toc19180"/>
            <w:bookmarkStart w:id="17" w:name="_Toc11439"/>
            <w:r>
              <w:rPr>
                <w:b/>
                <w:color w:val="auto"/>
                <w:szCs w:val="21"/>
              </w:rPr>
              <w:t>表4-</w:t>
            </w:r>
            <w:r>
              <w:rPr>
                <w:rFonts w:hint="eastAsia"/>
                <w:b/>
                <w:color w:val="auto"/>
                <w:szCs w:val="21"/>
                <w:lang w:val="en-US" w:eastAsia="zh-CN"/>
              </w:rPr>
              <w:t>5</w:t>
            </w:r>
            <w:r>
              <w:rPr>
                <w:b/>
                <w:color w:val="auto"/>
                <w:szCs w:val="21"/>
              </w:rPr>
              <w:t xml:space="preserve"> 建设项目废气污染源监测计划一览表</w:t>
            </w:r>
            <w:bookmarkEnd w:id="16"/>
            <w:bookmarkEnd w:id="17"/>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34"/>
              <w:gridCol w:w="2446"/>
              <w:gridCol w:w="2447"/>
            </w:tblGrid>
            <w:tr w14:paraId="53FD6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30" w:type="pct"/>
                  <w:noWrap w:val="0"/>
                  <w:vAlign w:val="center"/>
                </w:tcPr>
                <w:p w14:paraId="585F44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Cs w:val="21"/>
                    </w:rPr>
                  </w:pPr>
                  <w:r>
                    <w:rPr>
                      <w:rFonts w:hint="eastAsia"/>
                      <w:b/>
                      <w:color w:val="auto"/>
                      <w:szCs w:val="21"/>
                    </w:rPr>
                    <w:t>监测点位</w:t>
                  </w:r>
                </w:p>
              </w:tc>
              <w:tc>
                <w:tcPr>
                  <w:tcW w:w="1434" w:type="pct"/>
                  <w:noWrap w:val="0"/>
                  <w:vAlign w:val="center"/>
                </w:tcPr>
                <w:p w14:paraId="76B4475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Cs w:val="21"/>
                    </w:rPr>
                  </w:pPr>
                  <w:r>
                    <w:rPr>
                      <w:rFonts w:hint="eastAsia"/>
                      <w:b/>
                      <w:color w:val="auto"/>
                      <w:szCs w:val="21"/>
                    </w:rPr>
                    <w:t>监测因子</w:t>
                  </w:r>
                </w:p>
              </w:tc>
              <w:tc>
                <w:tcPr>
                  <w:tcW w:w="1434" w:type="pct"/>
                  <w:noWrap w:val="0"/>
                  <w:vAlign w:val="center"/>
                </w:tcPr>
                <w:p w14:paraId="16015C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b/>
                      <w:color w:val="auto"/>
                      <w:szCs w:val="21"/>
                    </w:rPr>
                  </w:pPr>
                  <w:r>
                    <w:rPr>
                      <w:rFonts w:hint="eastAsia"/>
                      <w:b/>
                      <w:color w:val="auto"/>
                      <w:szCs w:val="21"/>
                    </w:rPr>
                    <w:t>监测频次</w:t>
                  </w:r>
                </w:p>
              </w:tc>
            </w:tr>
            <w:tr w14:paraId="737A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130" w:type="pct"/>
                  <w:noWrap w:val="0"/>
                  <w:vAlign w:val="center"/>
                </w:tcPr>
                <w:p w14:paraId="086F3A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kern w:val="0"/>
                      <w:szCs w:val="21"/>
                    </w:rPr>
                  </w:pPr>
                  <w:r>
                    <w:rPr>
                      <w:rFonts w:hint="eastAsia"/>
                      <w:color w:val="auto"/>
                      <w:kern w:val="0"/>
                      <w:szCs w:val="21"/>
                      <w:lang w:eastAsia="zh-CN"/>
                    </w:rPr>
                    <w:t>卸料废气、清理</w:t>
                  </w:r>
                  <w:r>
                    <w:rPr>
                      <w:rFonts w:hint="eastAsia"/>
                      <w:color w:val="auto"/>
                      <w:kern w:val="0"/>
                      <w:szCs w:val="21"/>
                      <w:lang w:val="en-US" w:eastAsia="zh-CN"/>
                    </w:rPr>
                    <w:t>废气</w:t>
                  </w:r>
                  <w:r>
                    <w:rPr>
                      <w:rFonts w:hint="eastAsia"/>
                      <w:color w:val="auto"/>
                      <w:kern w:val="0"/>
                      <w:szCs w:val="21"/>
                    </w:rPr>
                    <w:t>排放口（D</w:t>
                  </w:r>
                  <w:r>
                    <w:rPr>
                      <w:color w:val="auto"/>
                      <w:kern w:val="0"/>
                      <w:szCs w:val="21"/>
                    </w:rPr>
                    <w:t>A00</w:t>
                  </w:r>
                  <w:r>
                    <w:rPr>
                      <w:rFonts w:hint="eastAsia"/>
                      <w:color w:val="auto"/>
                      <w:kern w:val="0"/>
                      <w:szCs w:val="21"/>
                      <w:lang w:val="en-US" w:eastAsia="zh-CN"/>
                    </w:rPr>
                    <w:t>1</w:t>
                  </w:r>
                  <w:r>
                    <w:rPr>
                      <w:rFonts w:hint="eastAsia"/>
                      <w:color w:val="auto"/>
                      <w:kern w:val="0"/>
                      <w:szCs w:val="21"/>
                    </w:rPr>
                    <w:t>）</w:t>
                  </w:r>
                </w:p>
              </w:tc>
              <w:tc>
                <w:tcPr>
                  <w:tcW w:w="1434" w:type="pct"/>
                  <w:noWrap w:val="0"/>
                  <w:vAlign w:val="center"/>
                </w:tcPr>
                <w:p w14:paraId="518728A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Cs w:val="21"/>
                    </w:rPr>
                  </w:pPr>
                  <w:r>
                    <w:rPr>
                      <w:rFonts w:hint="eastAsia"/>
                      <w:color w:val="auto"/>
                      <w:szCs w:val="21"/>
                    </w:rPr>
                    <w:t>颗粒物</w:t>
                  </w:r>
                </w:p>
              </w:tc>
              <w:tc>
                <w:tcPr>
                  <w:tcW w:w="1434" w:type="pct"/>
                  <w:noWrap w:val="0"/>
                  <w:vAlign w:val="center"/>
                </w:tcPr>
                <w:p w14:paraId="289A94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Cs w:val="21"/>
                    </w:rPr>
                  </w:pPr>
                  <w:r>
                    <w:rPr>
                      <w:rFonts w:hint="eastAsia"/>
                      <w:color w:val="auto"/>
                      <w:szCs w:val="21"/>
                    </w:rPr>
                    <w:t>1次/</w:t>
                  </w:r>
                  <w:r>
                    <w:rPr>
                      <w:rFonts w:hint="eastAsia"/>
                      <w:color w:val="auto"/>
                      <w:szCs w:val="21"/>
                      <w:lang w:eastAsia="zh-CN"/>
                    </w:rPr>
                    <w:t>半</w:t>
                  </w:r>
                  <w:r>
                    <w:rPr>
                      <w:rFonts w:hint="eastAsia"/>
                      <w:color w:val="auto"/>
                      <w:szCs w:val="21"/>
                    </w:rPr>
                    <w:t>年</w:t>
                  </w:r>
                </w:p>
              </w:tc>
            </w:tr>
            <w:tr w14:paraId="28F9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130" w:type="pct"/>
                  <w:noWrap w:val="0"/>
                  <w:vAlign w:val="center"/>
                </w:tcPr>
                <w:p w14:paraId="4827738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kern w:val="0"/>
                      <w:szCs w:val="21"/>
                    </w:rPr>
                  </w:pPr>
                  <w:r>
                    <w:rPr>
                      <w:rFonts w:hint="eastAsia"/>
                      <w:color w:val="auto"/>
                      <w:kern w:val="0"/>
                      <w:szCs w:val="21"/>
                      <w:lang w:val="en-US" w:eastAsia="zh-CN"/>
                    </w:rPr>
                    <w:t>大米加工废气</w:t>
                  </w:r>
                  <w:r>
                    <w:rPr>
                      <w:rFonts w:hint="eastAsia"/>
                      <w:color w:val="auto"/>
                      <w:kern w:val="0"/>
                      <w:szCs w:val="21"/>
                    </w:rPr>
                    <w:t>排放口（D</w:t>
                  </w:r>
                  <w:r>
                    <w:rPr>
                      <w:color w:val="auto"/>
                      <w:kern w:val="0"/>
                      <w:szCs w:val="21"/>
                    </w:rPr>
                    <w:t>A00</w:t>
                  </w:r>
                  <w:r>
                    <w:rPr>
                      <w:rFonts w:hint="eastAsia"/>
                      <w:color w:val="auto"/>
                      <w:kern w:val="0"/>
                      <w:szCs w:val="21"/>
                      <w:lang w:val="en-US" w:eastAsia="zh-CN"/>
                    </w:rPr>
                    <w:t>2</w:t>
                  </w:r>
                  <w:r>
                    <w:rPr>
                      <w:rFonts w:hint="eastAsia"/>
                      <w:color w:val="auto"/>
                      <w:kern w:val="0"/>
                      <w:szCs w:val="21"/>
                    </w:rPr>
                    <w:t>）</w:t>
                  </w:r>
                </w:p>
              </w:tc>
              <w:tc>
                <w:tcPr>
                  <w:tcW w:w="1434" w:type="pct"/>
                  <w:noWrap w:val="0"/>
                  <w:vAlign w:val="center"/>
                </w:tcPr>
                <w:p w14:paraId="25D0209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宋体"/>
                      <w:color w:val="auto"/>
                      <w:szCs w:val="21"/>
                      <w:lang w:eastAsia="zh-CN"/>
                    </w:rPr>
                  </w:pPr>
                  <w:r>
                    <w:rPr>
                      <w:rFonts w:hint="eastAsia"/>
                      <w:color w:val="auto"/>
                      <w:szCs w:val="21"/>
                      <w:lang w:val="en-US" w:eastAsia="zh-CN"/>
                    </w:rPr>
                    <w:t>颗粒物</w:t>
                  </w:r>
                </w:p>
              </w:tc>
              <w:tc>
                <w:tcPr>
                  <w:tcW w:w="1434" w:type="pct"/>
                  <w:noWrap w:val="0"/>
                  <w:vAlign w:val="center"/>
                </w:tcPr>
                <w:p w14:paraId="726C54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Cs w:val="21"/>
                    </w:rPr>
                  </w:pPr>
                  <w:r>
                    <w:rPr>
                      <w:rFonts w:hint="eastAsia"/>
                      <w:color w:val="auto"/>
                      <w:szCs w:val="21"/>
                    </w:rPr>
                    <w:t>1次/</w:t>
                  </w:r>
                  <w:r>
                    <w:rPr>
                      <w:rFonts w:hint="eastAsia"/>
                      <w:color w:val="auto"/>
                      <w:szCs w:val="21"/>
                      <w:lang w:eastAsia="zh-CN"/>
                    </w:rPr>
                    <w:t>半</w:t>
                  </w:r>
                  <w:r>
                    <w:rPr>
                      <w:rFonts w:hint="eastAsia"/>
                      <w:color w:val="auto"/>
                      <w:szCs w:val="21"/>
                    </w:rPr>
                    <w:t>年</w:t>
                  </w:r>
                </w:p>
              </w:tc>
            </w:tr>
            <w:tr w14:paraId="229E6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2130" w:type="pct"/>
                  <w:noWrap w:val="0"/>
                  <w:vAlign w:val="center"/>
                </w:tcPr>
                <w:p w14:paraId="7E7825E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kern w:val="0"/>
                      <w:szCs w:val="21"/>
                    </w:rPr>
                  </w:pPr>
                  <w:r>
                    <w:rPr>
                      <w:rFonts w:hint="eastAsia"/>
                      <w:color w:val="auto"/>
                      <w:szCs w:val="21"/>
                    </w:rPr>
                    <w:t>无组织排放厂界监控点</w:t>
                  </w:r>
                </w:p>
              </w:tc>
              <w:tc>
                <w:tcPr>
                  <w:tcW w:w="1434" w:type="pct"/>
                  <w:noWrap w:val="0"/>
                  <w:vAlign w:val="center"/>
                </w:tcPr>
                <w:p w14:paraId="43FD49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Cs w:val="21"/>
                    </w:rPr>
                  </w:pPr>
                  <w:r>
                    <w:rPr>
                      <w:rFonts w:hint="eastAsia"/>
                      <w:color w:val="auto"/>
                      <w:szCs w:val="21"/>
                    </w:rPr>
                    <w:t>颗粒物</w:t>
                  </w:r>
                </w:p>
              </w:tc>
              <w:tc>
                <w:tcPr>
                  <w:tcW w:w="1434" w:type="pct"/>
                  <w:noWrap w:val="0"/>
                  <w:vAlign w:val="center"/>
                </w:tcPr>
                <w:p w14:paraId="7D904F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Cs w:val="21"/>
                    </w:rPr>
                  </w:pPr>
                  <w:r>
                    <w:rPr>
                      <w:rFonts w:hint="eastAsia"/>
                      <w:color w:val="auto"/>
                      <w:szCs w:val="21"/>
                    </w:rPr>
                    <w:t>1次/</w:t>
                  </w:r>
                  <w:r>
                    <w:rPr>
                      <w:rFonts w:hint="eastAsia"/>
                      <w:color w:val="auto"/>
                      <w:szCs w:val="21"/>
                      <w:lang w:eastAsia="zh-CN"/>
                    </w:rPr>
                    <w:t>半</w:t>
                  </w:r>
                  <w:r>
                    <w:rPr>
                      <w:rFonts w:hint="eastAsia"/>
                      <w:color w:val="auto"/>
                      <w:szCs w:val="21"/>
                    </w:rPr>
                    <w:t>年</w:t>
                  </w:r>
                </w:p>
              </w:tc>
            </w:tr>
          </w:tbl>
          <w:p w14:paraId="246584AE">
            <w:pPr>
              <w:spacing w:line="360" w:lineRule="auto"/>
              <w:rPr>
                <w:b/>
                <w:color w:val="auto"/>
                <w:sz w:val="24"/>
                <w:szCs w:val="24"/>
              </w:rPr>
            </w:pPr>
            <w:r>
              <w:rPr>
                <w:rFonts w:hint="eastAsia"/>
                <w:b/>
                <w:color w:val="auto"/>
                <w:sz w:val="24"/>
                <w:szCs w:val="24"/>
              </w:rPr>
              <w:t>1.</w:t>
            </w:r>
            <w:r>
              <w:rPr>
                <w:rFonts w:hint="eastAsia"/>
                <w:b/>
                <w:color w:val="auto"/>
                <w:sz w:val="24"/>
                <w:szCs w:val="24"/>
                <w:lang w:val="en-US" w:eastAsia="zh-CN"/>
              </w:rPr>
              <w:t>6</w:t>
            </w:r>
            <w:r>
              <w:rPr>
                <w:rFonts w:hint="eastAsia"/>
                <w:b/>
                <w:color w:val="auto"/>
                <w:sz w:val="24"/>
                <w:szCs w:val="24"/>
              </w:rPr>
              <w:t>大气环境影响分析</w:t>
            </w:r>
          </w:p>
          <w:p w14:paraId="4D1570C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rPr>
            </w:pPr>
            <w:r>
              <w:rPr>
                <w:rFonts w:hint="eastAsia"/>
                <w:color w:val="auto"/>
                <w:sz w:val="24"/>
                <w:szCs w:val="24"/>
              </w:rPr>
              <w:t>本项目所在区域属于</w:t>
            </w:r>
            <w:r>
              <w:rPr>
                <w:rFonts w:hint="eastAsia"/>
                <w:color w:val="auto"/>
                <w:sz w:val="24"/>
                <w:szCs w:val="24"/>
                <w:lang w:val="en-US" w:eastAsia="zh-CN"/>
              </w:rPr>
              <w:t>不</w:t>
            </w:r>
            <w:r>
              <w:rPr>
                <w:rFonts w:hint="eastAsia"/>
                <w:color w:val="auto"/>
                <w:sz w:val="24"/>
                <w:szCs w:val="24"/>
              </w:rPr>
              <w:t>达标区域，建设项目运营过程中产生的废气通过参照</w:t>
            </w:r>
            <w:r>
              <w:rPr>
                <w:rFonts w:hint="eastAsia"/>
                <w:color w:val="auto"/>
                <w:sz w:val="24"/>
              </w:rPr>
              <w:t xml:space="preserve">《排污许可证申请与核发技术规范 </w:t>
            </w:r>
            <w:r>
              <w:rPr>
                <w:rFonts w:hint="eastAsia"/>
                <w:color w:val="auto"/>
                <w:sz w:val="24"/>
                <w:lang w:val="en-US" w:eastAsia="zh-CN"/>
              </w:rPr>
              <w:t>总则</w:t>
            </w:r>
            <w:r>
              <w:rPr>
                <w:rFonts w:hint="eastAsia"/>
                <w:color w:val="auto"/>
                <w:sz w:val="24"/>
              </w:rPr>
              <w:t xml:space="preserve">（HJ </w:t>
            </w:r>
            <w:r>
              <w:rPr>
                <w:rFonts w:hint="eastAsia"/>
                <w:color w:val="auto"/>
                <w:sz w:val="24"/>
                <w:lang w:val="en-US" w:eastAsia="zh-CN"/>
              </w:rPr>
              <w:t>942</w:t>
            </w:r>
            <w:r>
              <w:rPr>
                <w:rFonts w:hint="eastAsia"/>
                <w:color w:val="auto"/>
                <w:sz w:val="24"/>
              </w:rPr>
              <w:t>-20</w:t>
            </w:r>
            <w:r>
              <w:rPr>
                <w:rFonts w:hint="eastAsia"/>
                <w:color w:val="auto"/>
                <w:sz w:val="24"/>
                <w:lang w:val="en-US" w:eastAsia="zh-CN"/>
              </w:rPr>
              <w:t>18</w:t>
            </w:r>
            <w:r>
              <w:rPr>
                <w:rFonts w:hint="eastAsia"/>
                <w:color w:val="auto"/>
                <w:sz w:val="24"/>
              </w:rPr>
              <w:t>）》</w:t>
            </w:r>
            <w:r>
              <w:rPr>
                <w:rFonts w:hint="eastAsia"/>
                <w:color w:val="auto"/>
                <w:sz w:val="24"/>
                <w:szCs w:val="24"/>
              </w:rPr>
              <w:t>中可行的废气治理措施处理后，主要污染物排放均能满足相应的排放标准要求，对周边大气环境影响较小。</w:t>
            </w:r>
          </w:p>
          <w:p w14:paraId="2CD17F12">
            <w:pPr>
              <w:spacing w:line="360" w:lineRule="auto"/>
              <w:ind w:firstLine="480" w:firstLineChars="200"/>
              <w:rPr>
                <w:color w:val="auto"/>
                <w:sz w:val="24"/>
                <w:szCs w:val="24"/>
              </w:rPr>
            </w:pPr>
          </w:p>
        </w:tc>
      </w:tr>
    </w:tbl>
    <w:p w14:paraId="5052C514">
      <w:pPr>
        <w:outlineLvl w:val="0"/>
        <w:rPr>
          <w:rFonts w:eastAsia="黑体"/>
          <w:b/>
          <w:bCs/>
          <w:color w:val="auto"/>
          <w:sz w:val="30"/>
          <w:szCs w:val="24"/>
        </w:rPr>
        <w:sectPr>
          <w:footerReference r:id="rId5" w:type="default"/>
          <w:footerReference r:id="rId6" w:type="even"/>
          <w:pgSz w:w="11906" w:h="16838"/>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3002"/>
      </w:tblGrid>
      <w:tr w14:paraId="3821F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236CC677">
            <w:pPr>
              <w:spacing w:line="360" w:lineRule="auto"/>
              <w:jc w:val="center"/>
              <w:rPr>
                <w:rFonts w:eastAsia="黑体"/>
                <w:b/>
                <w:bCs/>
                <w:color w:val="auto"/>
                <w:sz w:val="30"/>
                <w:szCs w:val="24"/>
              </w:rPr>
            </w:pPr>
            <w:r>
              <w:rPr>
                <w:rFonts w:hint="eastAsia"/>
                <w:color w:val="auto"/>
                <w:szCs w:val="18"/>
              </w:rPr>
              <w:t>运营期环境影响和保护措施</w:t>
            </w:r>
          </w:p>
        </w:tc>
        <w:tc>
          <w:tcPr>
            <w:tcW w:w="13002" w:type="dxa"/>
            <w:vAlign w:val="center"/>
          </w:tcPr>
          <w:p w14:paraId="713E101F">
            <w:pPr>
              <w:spacing w:line="360" w:lineRule="auto"/>
              <w:rPr>
                <w:b/>
                <w:color w:val="auto"/>
                <w:sz w:val="24"/>
                <w:szCs w:val="24"/>
              </w:rPr>
            </w:pPr>
            <w:r>
              <w:rPr>
                <w:rFonts w:hint="eastAsia"/>
                <w:b/>
                <w:color w:val="auto"/>
                <w:sz w:val="24"/>
                <w:szCs w:val="24"/>
              </w:rPr>
              <w:t>2、废水环境影响及保护措施</w:t>
            </w:r>
          </w:p>
          <w:p w14:paraId="5F20B6D0">
            <w:pPr>
              <w:spacing w:line="360" w:lineRule="auto"/>
              <w:rPr>
                <w:b/>
                <w:color w:val="auto"/>
                <w:sz w:val="24"/>
                <w:szCs w:val="24"/>
              </w:rPr>
            </w:pPr>
            <w:r>
              <w:rPr>
                <w:rFonts w:hint="eastAsia"/>
                <w:b/>
                <w:color w:val="auto"/>
                <w:sz w:val="24"/>
                <w:szCs w:val="24"/>
              </w:rPr>
              <w:t>2.1废水污染源分析</w:t>
            </w:r>
          </w:p>
          <w:p w14:paraId="5516F68E">
            <w:pPr>
              <w:widowControl/>
              <w:spacing w:line="360" w:lineRule="auto"/>
              <w:ind w:firstLine="480" w:firstLineChars="200"/>
              <w:jc w:val="left"/>
              <w:rPr>
                <w:bCs/>
                <w:color w:val="auto"/>
                <w:sz w:val="24"/>
                <w:szCs w:val="24"/>
              </w:rPr>
            </w:pPr>
            <w:r>
              <w:rPr>
                <w:rFonts w:hint="eastAsia"/>
                <w:bCs/>
                <w:color w:val="auto"/>
                <w:sz w:val="24"/>
                <w:szCs w:val="24"/>
              </w:rPr>
              <w:t>根据建设项目工程分析，本项目废水主要为职工生活污水。</w:t>
            </w:r>
          </w:p>
          <w:p w14:paraId="1024CA7E">
            <w:pPr>
              <w:spacing w:line="360" w:lineRule="auto"/>
              <w:jc w:val="center"/>
              <w:rPr>
                <w:b/>
                <w:color w:val="auto"/>
                <w:szCs w:val="21"/>
              </w:rPr>
            </w:pPr>
            <w:r>
              <w:rPr>
                <w:rFonts w:hint="eastAsia"/>
                <w:b/>
                <w:color w:val="auto"/>
                <w:szCs w:val="21"/>
              </w:rPr>
              <w:t>表4-</w:t>
            </w:r>
            <w:r>
              <w:rPr>
                <w:rFonts w:hint="eastAsia"/>
                <w:b/>
                <w:color w:val="auto"/>
                <w:szCs w:val="21"/>
                <w:lang w:val="en-US" w:eastAsia="zh-CN"/>
              </w:rPr>
              <w:t>6</w:t>
            </w:r>
            <w:r>
              <w:rPr>
                <w:rFonts w:hint="eastAsia"/>
                <w:b/>
                <w:color w:val="auto"/>
                <w:szCs w:val="21"/>
              </w:rPr>
              <w:t xml:space="preserve">  建设项目废水产生及排放情况一览表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577"/>
              <w:gridCol w:w="871"/>
              <w:gridCol w:w="728"/>
              <w:gridCol w:w="1116"/>
              <w:gridCol w:w="872"/>
              <w:gridCol w:w="987"/>
              <w:gridCol w:w="1056"/>
              <w:gridCol w:w="848"/>
              <w:gridCol w:w="739"/>
              <w:gridCol w:w="871"/>
              <w:gridCol w:w="1116"/>
              <w:gridCol w:w="873"/>
              <w:gridCol w:w="578"/>
              <w:gridCol w:w="798"/>
            </w:tblGrid>
            <w:tr w14:paraId="42980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 w:type="pct"/>
                  <w:vMerge w:val="restart"/>
                  <w:vAlign w:val="center"/>
                </w:tcPr>
                <w:p w14:paraId="337AF741">
                  <w:pPr>
                    <w:spacing w:line="360" w:lineRule="auto"/>
                    <w:jc w:val="center"/>
                    <w:rPr>
                      <w:b/>
                      <w:color w:val="auto"/>
                      <w:sz w:val="21"/>
                      <w:szCs w:val="21"/>
                    </w:rPr>
                  </w:pPr>
                  <w:r>
                    <w:rPr>
                      <w:rFonts w:hint="eastAsia"/>
                      <w:b/>
                      <w:color w:val="auto"/>
                      <w:sz w:val="21"/>
                      <w:szCs w:val="21"/>
                    </w:rPr>
                    <w:t>产排污</w:t>
                  </w:r>
                </w:p>
                <w:p w14:paraId="212C7DFA">
                  <w:pPr>
                    <w:spacing w:line="360" w:lineRule="auto"/>
                    <w:jc w:val="center"/>
                    <w:rPr>
                      <w:b/>
                      <w:color w:val="auto"/>
                      <w:sz w:val="21"/>
                      <w:szCs w:val="21"/>
                    </w:rPr>
                  </w:pPr>
                  <w:r>
                    <w:rPr>
                      <w:rFonts w:hint="eastAsia"/>
                      <w:b/>
                      <w:color w:val="auto"/>
                      <w:sz w:val="21"/>
                      <w:szCs w:val="21"/>
                    </w:rPr>
                    <w:t>环节</w:t>
                  </w:r>
                </w:p>
              </w:tc>
              <w:tc>
                <w:tcPr>
                  <w:tcW w:w="226" w:type="pct"/>
                  <w:vMerge w:val="restart"/>
                  <w:vAlign w:val="center"/>
                </w:tcPr>
                <w:p w14:paraId="49B8DE92">
                  <w:pPr>
                    <w:spacing w:line="360" w:lineRule="auto"/>
                    <w:jc w:val="center"/>
                    <w:rPr>
                      <w:b/>
                      <w:color w:val="auto"/>
                      <w:sz w:val="21"/>
                      <w:szCs w:val="21"/>
                    </w:rPr>
                  </w:pPr>
                  <w:r>
                    <w:rPr>
                      <w:rFonts w:hint="eastAsia"/>
                      <w:b/>
                      <w:color w:val="auto"/>
                      <w:sz w:val="21"/>
                      <w:szCs w:val="21"/>
                    </w:rPr>
                    <w:t>废水</w:t>
                  </w:r>
                </w:p>
                <w:p w14:paraId="46AA14FA">
                  <w:pPr>
                    <w:spacing w:line="360" w:lineRule="auto"/>
                    <w:jc w:val="center"/>
                    <w:rPr>
                      <w:b/>
                      <w:color w:val="auto"/>
                      <w:sz w:val="21"/>
                      <w:szCs w:val="21"/>
                    </w:rPr>
                  </w:pPr>
                  <w:r>
                    <w:rPr>
                      <w:rFonts w:hint="eastAsia"/>
                      <w:b/>
                      <w:color w:val="auto"/>
                      <w:sz w:val="21"/>
                      <w:szCs w:val="21"/>
                    </w:rPr>
                    <w:t>类别</w:t>
                  </w:r>
                </w:p>
              </w:tc>
              <w:tc>
                <w:tcPr>
                  <w:tcW w:w="340" w:type="pct"/>
                  <w:vMerge w:val="restart"/>
                  <w:vAlign w:val="center"/>
                </w:tcPr>
                <w:p w14:paraId="27DAC381">
                  <w:pPr>
                    <w:spacing w:line="360" w:lineRule="auto"/>
                    <w:jc w:val="center"/>
                    <w:rPr>
                      <w:b/>
                      <w:color w:val="auto"/>
                      <w:sz w:val="21"/>
                      <w:szCs w:val="21"/>
                    </w:rPr>
                  </w:pPr>
                  <w:r>
                    <w:rPr>
                      <w:rFonts w:hint="eastAsia"/>
                      <w:b/>
                      <w:color w:val="auto"/>
                      <w:sz w:val="21"/>
                      <w:szCs w:val="21"/>
                    </w:rPr>
                    <w:t>废水产</w:t>
                  </w:r>
                </w:p>
                <w:p w14:paraId="57B3C309">
                  <w:pPr>
                    <w:spacing w:line="360" w:lineRule="auto"/>
                    <w:jc w:val="center"/>
                    <w:rPr>
                      <w:b/>
                      <w:color w:val="auto"/>
                      <w:sz w:val="21"/>
                      <w:szCs w:val="21"/>
                    </w:rPr>
                  </w:pPr>
                  <w:r>
                    <w:rPr>
                      <w:rFonts w:hint="eastAsia"/>
                      <w:b/>
                      <w:color w:val="auto"/>
                      <w:sz w:val="21"/>
                      <w:szCs w:val="21"/>
                    </w:rPr>
                    <w:t>生量</w:t>
                  </w:r>
                </w:p>
                <w:p w14:paraId="77040004">
                  <w:pPr>
                    <w:spacing w:line="360" w:lineRule="auto"/>
                    <w:jc w:val="center"/>
                    <w:rPr>
                      <w:b/>
                      <w:color w:val="auto"/>
                      <w:sz w:val="21"/>
                      <w:szCs w:val="21"/>
                    </w:rPr>
                  </w:pPr>
                  <w:r>
                    <w:rPr>
                      <w:rFonts w:hint="eastAsia"/>
                      <w:b/>
                      <w:color w:val="auto"/>
                      <w:sz w:val="21"/>
                      <w:szCs w:val="21"/>
                    </w:rPr>
                    <w:t>（t/a）</w:t>
                  </w:r>
                </w:p>
              </w:tc>
              <w:tc>
                <w:tcPr>
                  <w:tcW w:w="284" w:type="pct"/>
                  <w:vMerge w:val="restart"/>
                  <w:vAlign w:val="center"/>
                </w:tcPr>
                <w:p w14:paraId="5D1E6848">
                  <w:pPr>
                    <w:spacing w:line="360" w:lineRule="auto"/>
                    <w:jc w:val="center"/>
                    <w:rPr>
                      <w:b/>
                      <w:color w:val="auto"/>
                      <w:sz w:val="21"/>
                      <w:szCs w:val="21"/>
                    </w:rPr>
                  </w:pPr>
                  <w:r>
                    <w:rPr>
                      <w:rFonts w:hint="eastAsia"/>
                      <w:b/>
                      <w:color w:val="auto"/>
                      <w:sz w:val="21"/>
                      <w:szCs w:val="21"/>
                    </w:rPr>
                    <w:t>污染物种类</w:t>
                  </w:r>
                </w:p>
              </w:tc>
              <w:tc>
                <w:tcPr>
                  <w:tcW w:w="777" w:type="pct"/>
                  <w:gridSpan w:val="2"/>
                  <w:vAlign w:val="center"/>
                </w:tcPr>
                <w:p w14:paraId="59449034">
                  <w:pPr>
                    <w:spacing w:line="360" w:lineRule="auto"/>
                    <w:jc w:val="center"/>
                    <w:rPr>
                      <w:b/>
                      <w:color w:val="auto"/>
                      <w:sz w:val="21"/>
                      <w:szCs w:val="21"/>
                    </w:rPr>
                  </w:pPr>
                  <w:r>
                    <w:rPr>
                      <w:rFonts w:hint="eastAsia"/>
                      <w:b/>
                      <w:color w:val="auto"/>
                      <w:sz w:val="21"/>
                      <w:szCs w:val="21"/>
                    </w:rPr>
                    <w:t>污染物产生情况</w:t>
                  </w:r>
                </w:p>
              </w:tc>
              <w:tc>
                <w:tcPr>
                  <w:tcW w:w="1419" w:type="pct"/>
                  <w:gridSpan w:val="4"/>
                  <w:vAlign w:val="center"/>
                </w:tcPr>
                <w:p w14:paraId="3E844CCC">
                  <w:pPr>
                    <w:spacing w:line="360" w:lineRule="auto"/>
                    <w:jc w:val="center"/>
                    <w:rPr>
                      <w:b/>
                      <w:color w:val="auto"/>
                      <w:sz w:val="21"/>
                      <w:szCs w:val="21"/>
                    </w:rPr>
                  </w:pPr>
                  <w:r>
                    <w:rPr>
                      <w:rFonts w:hint="eastAsia"/>
                      <w:b/>
                      <w:color w:val="auto"/>
                      <w:sz w:val="21"/>
                      <w:szCs w:val="21"/>
                    </w:rPr>
                    <w:t>治理设施</w:t>
                  </w:r>
                </w:p>
              </w:tc>
              <w:tc>
                <w:tcPr>
                  <w:tcW w:w="340" w:type="pct"/>
                  <w:vMerge w:val="restart"/>
                  <w:vAlign w:val="center"/>
                </w:tcPr>
                <w:p w14:paraId="46525868">
                  <w:pPr>
                    <w:spacing w:line="360" w:lineRule="auto"/>
                    <w:jc w:val="center"/>
                    <w:rPr>
                      <w:b/>
                      <w:color w:val="auto"/>
                      <w:sz w:val="21"/>
                      <w:szCs w:val="21"/>
                    </w:rPr>
                  </w:pPr>
                  <w:r>
                    <w:rPr>
                      <w:rFonts w:hint="eastAsia"/>
                      <w:b/>
                      <w:color w:val="auto"/>
                      <w:sz w:val="21"/>
                      <w:szCs w:val="21"/>
                    </w:rPr>
                    <w:t>废水排放量</w:t>
                  </w:r>
                </w:p>
                <w:p w14:paraId="06D10221">
                  <w:pPr>
                    <w:spacing w:line="360" w:lineRule="auto"/>
                    <w:jc w:val="center"/>
                    <w:rPr>
                      <w:b/>
                      <w:color w:val="auto"/>
                      <w:sz w:val="21"/>
                      <w:szCs w:val="21"/>
                    </w:rPr>
                  </w:pPr>
                  <w:r>
                    <w:rPr>
                      <w:rFonts w:hint="eastAsia"/>
                      <w:b/>
                      <w:color w:val="auto"/>
                      <w:sz w:val="21"/>
                      <w:szCs w:val="21"/>
                    </w:rPr>
                    <w:t>（t/a）</w:t>
                  </w:r>
                </w:p>
              </w:tc>
              <w:tc>
                <w:tcPr>
                  <w:tcW w:w="777" w:type="pct"/>
                  <w:gridSpan w:val="2"/>
                  <w:vAlign w:val="center"/>
                </w:tcPr>
                <w:p w14:paraId="71A02E22">
                  <w:pPr>
                    <w:spacing w:line="360" w:lineRule="auto"/>
                    <w:jc w:val="center"/>
                    <w:rPr>
                      <w:b/>
                      <w:color w:val="auto"/>
                      <w:sz w:val="21"/>
                      <w:szCs w:val="21"/>
                    </w:rPr>
                  </w:pPr>
                  <w:r>
                    <w:rPr>
                      <w:rFonts w:hint="eastAsia"/>
                      <w:b/>
                      <w:color w:val="auto"/>
                      <w:sz w:val="21"/>
                      <w:szCs w:val="21"/>
                    </w:rPr>
                    <w:t>污染物排放情况</w:t>
                  </w:r>
                </w:p>
              </w:tc>
              <w:tc>
                <w:tcPr>
                  <w:tcW w:w="226" w:type="pct"/>
                  <w:vMerge w:val="restart"/>
                  <w:vAlign w:val="center"/>
                </w:tcPr>
                <w:p w14:paraId="39EAEAEF">
                  <w:pPr>
                    <w:spacing w:line="360" w:lineRule="auto"/>
                    <w:jc w:val="center"/>
                    <w:rPr>
                      <w:b/>
                      <w:color w:val="auto"/>
                      <w:sz w:val="21"/>
                      <w:szCs w:val="21"/>
                    </w:rPr>
                  </w:pPr>
                  <w:r>
                    <w:rPr>
                      <w:rFonts w:hint="eastAsia"/>
                      <w:b/>
                      <w:color w:val="auto"/>
                      <w:sz w:val="21"/>
                      <w:szCs w:val="21"/>
                    </w:rPr>
                    <w:t>排放方式</w:t>
                  </w:r>
                </w:p>
              </w:tc>
              <w:tc>
                <w:tcPr>
                  <w:tcW w:w="312" w:type="pct"/>
                  <w:vMerge w:val="restart"/>
                  <w:vAlign w:val="center"/>
                </w:tcPr>
                <w:p w14:paraId="493A104A">
                  <w:pPr>
                    <w:spacing w:line="360" w:lineRule="auto"/>
                    <w:jc w:val="center"/>
                    <w:rPr>
                      <w:b/>
                      <w:color w:val="auto"/>
                      <w:sz w:val="21"/>
                      <w:szCs w:val="21"/>
                    </w:rPr>
                  </w:pPr>
                  <w:r>
                    <w:rPr>
                      <w:rFonts w:hint="eastAsia"/>
                      <w:b/>
                      <w:color w:val="auto"/>
                      <w:sz w:val="21"/>
                      <w:szCs w:val="21"/>
                    </w:rPr>
                    <w:t>排放</w:t>
                  </w:r>
                </w:p>
                <w:p w14:paraId="4BAE98F2">
                  <w:pPr>
                    <w:spacing w:line="360" w:lineRule="auto"/>
                    <w:jc w:val="center"/>
                    <w:rPr>
                      <w:b/>
                      <w:color w:val="auto"/>
                      <w:sz w:val="21"/>
                      <w:szCs w:val="21"/>
                    </w:rPr>
                  </w:pPr>
                  <w:r>
                    <w:rPr>
                      <w:rFonts w:hint="eastAsia"/>
                      <w:b/>
                      <w:color w:val="auto"/>
                      <w:sz w:val="21"/>
                      <w:szCs w:val="21"/>
                    </w:rPr>
                    <w:t>去向</w:t>
                  </w:r>
                </w:p>
              </w:tc>
            </w:tr>
            <w:tr w14:paraId="1F0E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 w:type="pct"/>
                  <w:vMerge w:val="continue"/>
                  <w:vAlign w:val="center"/>
                </w:tcPr>
                <w:p w14:paraId="23926098">
                  <w:pPr>
                    <w:spacing w:line="360" w:lineRule="auto"/>
                    <w:jc w:val="center"/>
                    <w:rPr>
                      <w:b/>
                      <w:color w:val="auto"/>
                      <w:sz w:val="21"/>
                      <w:szCs w:val="21"/>
                    </w:rPr>
                  </w:pPr>
                </w:p>
              </w:tc>
              <w:tc>
                <w:tcPr>
                  <w:tcW w:w="226" w:type="pct"/>
                  <w:vMerge w:val="continue"/>
                  <w:vAlign w:val="center"/>
                </w:tcPr>
                <w:p w14:paraId="03F37334">
                  <w:pPr>
                    <w:spacing w:line="360" w:lineRule="auto"/>
                    <w:jc w:val="center"/>
                    <w:rPr>
                      <w:b/>
                      <w:color w:val="auto"/>
                      <w:sz w:val="21"/>
                      <w:szCs w:val="21"/>
                    </w:rPr>
                  </w:pPr>
                </w:p>
              </w:tc>
              <w:tc>
                <w:tcPr>
                  <w:tcW w:w="340" w:type="pct"/>
                  <w:vMerge w:val="continue"/>
                  <w:vAlign w:val="center"/>
                </w:tcPr>
                <w:p w14:paraId="254C1AC4">
                  <w:pPr>
                    <w:spacing w:line="360" w:lineRule="auto"/>
                    <w:jc w:val="center"/>
                    <w:rPr>
                      <w:b/>
                      <w:color w:val="auto"/>
                      <w:sz w:val="21"/>
                      <w:szCs w:val="21"/>
                    </w:rPr>
                  </w:pPr>
                </w:p>
              </w:tc>
              <w:tc>
                <w:tcPr>
                  <w:tcW w:w="284" w:type="pct"/>
                  <w:vMerge w:val="continue"/>
                  <w:vAlign w:val="center"/>
                </w:tcPr>
                <w:p w14:paraId="5C1B3DFC">
                  <w:pPr>
                    <w:spacing w:line="360" w:lineRule="auto"/>
                    <w:jc w:val="center"/>
                    <w:rPr>
                      <w:b/>
                      <w:color w:val="auto"/>
                      <w:sz w:val="21"/>
                      <w:szCs w:val="21"/>
                    </w:rPr>
                  </w:pPr>
                </w:p>
              </w:tc>
              <w:tc>
                <w:tcPr>
                  <w:tcW w:w="436" w:type="pct"/>
                  <w:vAlign w:val="center"/>
                </w:tcPr>
                <w:p w14:paraId="77AD5298">
                  <w:pPr>
                    <w:spacing w:line="360" w:lineRule="auto"/>
                    <w:jc w:val="center"/>
                    <w:rPr>
                      <w:b/>
                      <w:color w:val="auto"/>
                      <w:sz w:val="21"/>
                      <w:szCs w:val="21"/>
                    </w:rPr>
                  </w:pPr>
                  <w:r>
                    <w:rPr>
                      <w:rFonts w:hint="eastAsia"/>
                      <w:b/>
                      <w:color w:val="auto"/>
                      <w:sz w:val="21"/>
                      <w:szCs w:val="21"/>
                    </w:rPr>
                    <w:t>产生浓度（mg/L）</w:t>
                  </w:r>
                </w:p>
              </w:tc>
              <w:tc>
                <w:tcPr>
                  <w:tcW w:w="340" w:type="pct"/>
                  <w:vAlign w:val="center"/>
                </w:tcPr>
                <w:p w14:paraId="33724307">
                  <w:pPr>
                    <w:spacing w:line="360" w:lineRule="auto"/>
                    <w:jc w:val="center"/>
                    <w:rPr>
                      <w:b/>
                      <w:color w:val="auto"/>
                      <w:sz w:val="21"/>
                      <w:szCs w:val="21"/>
                    </w:rPr>
                  </w:pPr>
                  <w:r>
                    <w:rPr>
                      <w:rFonts w:hint="eastAsia"/>
                      <w:b/>
                      <w:color w:val="auto"/>
                      <w:sz w:val="21"/>
                      <w:szCs w:val="21"/>
                    </w:rPr>
                    <w:t>产生量</w:t>
                  </w:r>
                </w:p>
                <w:p w14:paraId="4DA0BD5A">
                  <w:pPr>
                    <w:spacing w:line="360" w:lineRule="auto"/>
                    <w:jc w:val="center"/>
                    <w:rPr>
                      <w:b/>
                      <w:color w:val="auto"/>
                      <w:sz w:val="21"/>
                      <w:szCs w:val="21"/>
                    </w:rPr>
                  </w:pPr>
                  <w:r>
                    <w:rPr>
                      <w:rFonts w:hint="eastAsia"/>
                      <w:b/>
                      <w:color w:val="auto"/>
                      <w:sz w:val="21"/>
                      <w:szCs w:val="21"/>
                    </w:rPr>
                    <w:t>（t/a）</w:t>
                  </w:r>
                </w:p>
              </w:tc>
              <w:tc>
                <w:tcPr>
                  <w:tcW w:w="386" w:type="pct"/>
                  <w:vAlign w:val="center"/>
                </w:tcPr>
                <w:p w14:paraId="42468488">
                  <w:pPr>
                    <w:spacing w:line="360" w:lineRule="auto"/>
                    <w:jc w:val="center"/>
                    <w:rPr>
                      <w:b/>
                      <w:color w:val="auto"/>
                      <w:sz w:val="21"/>
                      <w:szCs w:val="21"/>
                    </w:rPr>
                  </w:pPr>
                  <w:r>
                    <w:rPr>
                      <w:rFonts w:hint="eastAsia"/>
                      <w:b/>
                      <w:color w:val="auto"/>
                      <w:sz w:val="21"/>
                      <w:szCs w:val="21"/>
                    </w:rPr>
                    <w:t>治理设施名称及工艺</w:t>
                  </w:r>
                </w:p>
              </w:tc>
              <w:tc>
                <w:tcPr>
                  <w:tcW w:w="413" w:type="pct"/>
                  <w:vAlign w:val="center"/>
                </w:tcPr>
                <w:p w14:paraId="3BB36C19">
                  <w:pPr>
                    <w:spacing w:line="360" w:lineRule="auto"/>
                    <w:jc w:val="center"/>
                    <w:rPr>
                      <w:b/>
                      <w:color w:val="auto"/>
                      <w:sz w:val="21"/>
                      <w:szCs w:val="21"/>
                    </w:rPr>
                  </w:pPr>
                  <w:r>
                    <w:rPr>
                      <w:rFonts w:hint="eastAsia"/>
                      <w:b/>
                      <w:color w:val="auto"/>
                      <w:sz w:val="21"/>
                      <w:szCs w:val="21"/>
                    </w:rPr>
                    <w:t>处理能力（m</w:t>
                  </w:r>
                  <w:r>
                    <w:rPr>
                      <w:rFonts w:hint="eastAsia"/>
                      <w:b/>
                      <w:color w:val="auto"/>
                      <w:sz w:val="21"/>
                      <w:szCs w:val="21"/>
                      <w:vertAlign w:val="superscript"/>
                    </w:rPr>
                    <w:t>3</w:t>
                  </w:r>
                  <w:r>
                    <w:rPr>
                      <w:rFonts w:hint="eastAsia"/>
                      <w:b/>
                      <w:color w:val="auto"/>
                      <w:sz w:val="21"/>
                      <w:szCs w:val="21"/>
                    </w:rPr>
                    <w:t>/d）</w:t>
                  </w:r>
                </w:p>
              </w:tc>
              <w:tc>
                <w:tcPr>
                  <w:tcW w:w="331" w:type="pct"/>
                  <w:vAlign w:val="center"/>
                </w:tcPr>
                <w:p w14:paraId="0112027E">
                  <w:pPr>
                    <w:spacing w:line="360" w:lineRule="auto"/>
                    <w:jc w:val="center"/>
                    <w:rPr>
                      <w:b/>
                      <w:color w:val="auto"/>
                      <w:sz w:val="21"/>
                      <w:szCs w:val="21"/>
                    </w:rPr>
                  </w:pPr>
                  <w:r>
                    <w:rPr>
                      <w:rFonts w:hint="eastAsia"/>
                      <w:b/>
                      <w:color w:val="auto"/>
                      <w:sz w:val="21"/>
                      <w:szCs w:val="21"/>
                    </w:rPr>
                    <w:t>治理效率（%）</w:t>
                  </w:r>
                </w:p>
              </w:tc>
              <w:tc>
                <w:tcPr>
                  <w:tcW w:w="287" w:type="pct"/>
                  <w:vAlign w:val="center"/>
                </w:tcPr>
                <w:p w14:paraId="3E37AA5F">
                  <w:pPr>
                    <w:spacing w:line="360" w:lineRule="auto"/>
                    <w:jc w:val="center"/>
                    <w:rPr>
                      <w:b/>
                      <w:color w:val="auto"/>
                      <w:sz w:val="21"/>
                      <w:szCs w:val="21"/>
                    </w:rPr>
                  </w:pPr>
                  <w:r>
                    <w:rPr>
                      <w:rFonts w:hint="eastAsia"/>
                      <w:b/>
                      <w:color w:val="auto"/>
                      <w:sz w:val="21"/>
                      <w:szCs w:val="21"/>
                    </w:rPr>
                    <w:t>是否为可行技术</w:t>
                  </w:r>
                </w:p>
              </w:tc>
              <w:tc>
                <w:tcPr>
                  <w:tcW w:w="340" w:type="pct"/>
                  <w:vMerge w:val="continue"/>
                  <w:vAlign w:val="center"/>
                </w:tcPr>
                <w:p w14:paraId="2853B2DD">
                  <w:pPr>
                    <w:spacing w:line="360" w:lineRule="auto"/>
                    <w:jc w:val="center"/>
                    <w:rPr>
                      <w:b/>
                      <w:color w:val="auto"/>
                      <w:sz w:val="21"/>
                      <w:szCs w:val="21"/>
                    </w:rPr>
                  </w:pPr>
                </w:p>
              </w:tc>
              <w:tc>
                <w:tcPr>
                  <w:tcW w:w="436" w:type="pct"/>
                  <w:vAlign w:val="center"/>
                </w:tcPr>
                <w:p w14:paraId="14C1B056">
                  <w:pPr>
                    <w:spacing w:line="360" w:lineRule="auto"/>
                    <w:jc w:val="center"/>
                    <w:rPr>
                      <w:b/>
                      <w:color w:val="auto"/>
                      <w:sz w:val="21"/>
                      <w:szCs w:val="21"/>
                    </w:rPr>
                  </w:pPr>
                  <w:r>
                    <w:rPr>
                      <w:rFonts w:hint="eastAsia"/>
                      <w:b/>
                      <w:color w:val="auto"/>
                      <w:sz w:val="21"/>
                      <w:szCs w:val="21"/>
                    </w:rPr>
                    <w:t>排放浓度（mg/L）</w:t>
                  </w:r>
                </w:p>
              </w:tc>
              <w:tc>
                <w:tcPr>
                  <w:tcW w:w="340" w:type="pct"/>
                  <w:vAlign w:val="center"/>
                </w:tcPr>
                <w:p w14:paraId="28E95924">
                  <w:pPr>
                    <w:spacing w:line="360" w:lineRule="auto"/>
                    <w:jc w:val="center"/>
                    <w:rPr>
                      <w:b/>
                      <w:color w:val="auto"/>
                      <w:sz w:val="21"/>
                      <w:szCs w:val="21"/>
                    </w:rPr>
                  </w:pPr>
                  <w:r>
                    <w:rPr>
                      <w:rFonts w:hint="eastAsia"/>
                      <w:b/>
                      <w:color w:val="auto"/>
                      <w:sz w:val="21"/>
                      <w:szCs w:val="21"/>
                    </w:rPr>
                    <w:t>排放量</w:t>
                  </w:r>
                </w:p>
                <w:p w14:paraId="64DA03CD">
                  <w:pPr>
                    <w:spacing w:line="360" w:lineRule="auto"/>
                    <w:jc w:val="center"/>
                    <w:rPr>
                      <w:b/>
                      <w:color w:val="auto"/>
                      <w:sz w:val="21"/>
                      <w:szCs w:val="21"/>
                    </w:rPr>
                  </w:pPr>
                  <w:r>
                    <w:rPr>
                      <w:rFonts w:hint="eastAsia"/>
                      <w:b/>
                      <w:color w:val="auto"/>
                      <w:sz w:val="21"/>
                      <w:szCs w:val="21"/>
                    </w:rPr>
                    <w:t>（t/a）</w:t>
                  </w:r>
                </w:p>
              </w:tc>
              <w:tc>
                <w:tcPr>
                  <w:tcW w:w="226" w:type="pct"/>
                  <w:vMerge w:val="continue"/>
                  <w:vAlign w:val="center"/>
                </w:tcPr>
                <w:p w14:paraId="691A6FFE">
                  <w:pPr>
                    <w:spacing w:line="360" w:lineRule="auto"/>
                    <w:jc w:val="center"/>
                    <w:rPr>
                      <w:b/>
                      <w:color w:val="auto"/>
                      <w:sz w:val="21"/>
                      <w:szCs w:val="21"/>
                    </w:rPr>
                  </w:pPr>
                </w:p>
              </w:tc>
              <w:tc>
                <w:tcPr>
                  <w:tcW w:w="312" w:type="pct"/>
                  <w:vMerge w:val="continue"/>
                  <w:vAlign w:val="center"/>
                </w:tcPr>
                <w:p w14:paraId="2812C866">
                  <w:pPr>
                    <w:spacing w:line="360" w:lineRule="auto"/>
                    <w:jc w:val="center"/>
                    <w:rPr>
                      <w:b/>
                      <w:color w:val="auto"/>
                      <w:sz w:val="21"/>
                      <w:szCs w:val="21"/>
                    </w:rPr>
                  </w:pPr>
                </w:p>
              </w:tc>
            </w:tr>
            <w:tr w14:paraId="52956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 w:type="pct"/>
                  <w:vMerge w:val="restart"/>
                  <w:vAlign w:val="center"/>
                </w:tcPr>
                <w:p w14:paraId="319317CF">
                  <w:pPr>
                    <w:spacing w:line="360" w:lineRule="auto"/>
                    <w:jc w:val="center"/>
                    <w:rPr>
                      <w:color w:val="auto"/>
                      <w:sz w:val="21"/>
                      <w:szCs w:val="21"/>
                    </w:rPr>
                  </w:pPr>
                  <w:r>
                    <w:rPr>
                      <w:rFonts w:hint="eastAsia"/>
                      <w:color w:val="auto"/>
                      <w:sz w:val="21"/>
                      <w:szCs w:val="21"/>
                    </w:rPr>
                    <w:t>职工</w:t>
                  </w:r>
                </w:p>
                <w:p w14:paraId="1F97EE05">
                  <w:pPr>
                    <w:spacing w:line="360" w:lineRule="auto"/>
                    <w:jc w:val="center"/>
                    <w:rPr>
                      <w:color w:val="auto"/>
                      <w:sz w:val="21"/>
                      <w:szCs w:val="21"/>
                    </w:rPr>
                  </w:pPr>
                  <w:r>
                    <w:rPr>
                      <w:rFonts w:hint="eastAsia"/>
                      <w:color w:val="auto"/>
                      <w:sz w:val="21"/>
                      <w:szCs w:val="21"/>
                    </w:rPr>
                    <w:t>生活</w:t>
                  </w:r>
                </w:p>
              </w:tc>
              <w:tc>
                <w:tcPr>
                  <w:tcW w:w="226" w:type="pct"/>
                  <w:vMerge w:val="restart"/>
                  <w:vAlign w:val="center"/>
                </w:tcPr>
                <w:p w14:paraId="443E8018">
                  <w:pPr>
                    <w:spacing w:line="360" w:lineRule="auto"/>
                    <w:jc w:val="center"/>
                    <w:rPr>
                      <w:color w:val="auto"/>
                      <w:sz w:val="21"/>
                      <w:szCs w:val="21"/>
                    </w:rPr>
                  </w:pPr>
                  <w:r>
                    <w:rPr>
                      <w:rFonts w:hint="eastAsia"/>
                      <w:color w:val="auto"/>
                      <w:sz w:val="21"/>
                      <w:szCs w:val="21"/>
                    </w:rPr>
                    <w:t>生活污水</w:t>
                  </w:r>
                </w:p>
              </w:tc>
              <w:tc>
                <w:tcPr>
                  <w:tcW w:w="340" w:type="pct"/>
                  <w:vMerge w:val="restart"/>
                  <w:vAlign w:val="center"/>
                </w:tcPr>
                <w:p w14:paraId="085EF814">
                  <w:pPr>
                    <w:spacing w:line="360" w:lineRule="auto"/>
                    <w:jc w:val="center"/>
                    <w:rPr>
                      <w:rFonts w:hint="default" w:eastAsia="宋体"/>
                      <w:color w:val="auto"/>
                      <w:sz w:val="21"/>
                      <w:szCs w:val="21"/>
                      <w:lang w:val="en-US" w:eastAsia="zh-CN"/>
                    </w:rPr>
                  </w:pPr>
                  <w:r>
                    <w:rPr>
                      <w:rFonts w:hint="eastAsia"/>
                      <w:color w:val="auto"/>
                      <w:sz w:val="21"/>
                      <w:szCs w:val="21"/>
                      <w:lang w:val="en-US" w:eastAsia="zh-CN"/>
                    </w:rPr>
                    <w:t>384</w:t>
                  </w:r>
                </w:p>
              </w:tc>
              <w:tc>
                <w:tcPr>
                  <w:tcW w:w="284" w:type="pct"/>
                  <w:vAlign w:val="center"/>
                </w:tcPr>
                <w:p w14:paraId="176AACEA">
                  <w:pPr>
                    <w:spacing w:line="360" w:lineRule="auto"/>
                    <w:jc w:val="center"/>
                    <w:rPr>
                      <w:color w:val="auto"/>
                      <w:sz w:val="21"/>
                      <w:szCs w:val="21"/>
                    </w:rPr>
                  </w:pPr>
                  <w:r>
                    <w:rPr>
                      <w:rFonts w:hint="eastAsia"/>
                      <w:color w:val="auto"/>
                      <w:sz w:val="21"/>
                      <w:szCs w:val="21"/>
                    </w:rPr>
                    <w:t>COD</w:t>
                  </w:r>
                </w:p>
              </w:tc>
              <w:tc>
                <w:tcPr>
                  <w:tcW w:w="436" w:type="pct"/>
                  <w:vAlign w:val="center"/>
                </w:tcPr>
                <w:p w14:paraId="590613E6">
                  <w:pPr>
                    <w:spacing w:line="360" w:lineRule="auto"/>
                    <w:jc w:val="center"/>
                    <w:rPr>
                      <w:color w:val="auto"/>
                      <w:sz w:val="21"/>
                      <w:szCs w:val="21"/>
                    </w:rPr>
                  </w:pPr>
                  <w:r>
                    <w:rPr>
                      <w:rFonts w:hint="eastAsia"/>
                      <w:color w:val="auto"/>
                      <w:sz w:val="21"/>
                      <w:szCs w:val="21"/>
                    </w:rPr>
                    <w:t>300</w:t>
                  </w:r>
                </w:p>
              </w:tc>
              <w:tc>
                <w:tcPr>
                  <w:tcW w:w="340" w:type="pct"/>
                  <w:vAlign w:val="center"/>
                </w:tcPr>
                <w:p w14:paraId="3695A719">
                  <w:pPr>
                    <w:spacing w:line="360" w:lineRule="auto"/>
                    <w:jc w:val="center"/>
                    <w:rPr>
                      <w:rFonts w:hint="default" w:eastAsia="宋体"/>
                      <w:color w:val="auto"/>
                      <w:sz w:val="21"/>
                      <w:szCs w:val="21"/>
                      <w:lang w:val="en-US" w:eastAsia="zh-CN"/>
                    </w:rPr>
                  </w:pPr>
                  <w:r>
                    <w:rPr>
                      <w:rFonts w:hint="eastAsia"/>
                      <w:color w:val="auto"/>
                      <w:sz w:val="21"/>
                      <w:szCs w:val="21"/>
                      <w:lang w:val="en-US" w:eastAsia="zh-CN"/>
                    </w:rPr>
                    <w:t>0.115</w:t>
                  </w:r>
                </w:p>
              </w:tc>
              <w:tc>
                <w:tcPr>
                  <w:tcW w:w="386" w:type="pct"/>
                  <w:vMerge w:val="restart"/>
                  <w:vAlign w:val="center"/>
                </w:tcPr>
                <w:p w14:paraId="2D0B6A9D">
                  <w:pPr>
                    <w:spacing w:line="360" w:lineRule="auto"/>
                    <w:jc w:val="center"/>
                    <w:rPr>
                      <w:rFonts w:hint="eastAsia" w:eastAsia="宋体"/>
                      <w:color w:val="auto"/>
                      <w:sz w:val="21"/>
                      <w:szCs w:val="21"/>
                      <w:lang w:eastAsia="zh-CN"/>
                    </w:rPr>
                  </w:pPr>
                  <w:r>
                    <w:rPr>
                      <w:rFonts w:hint="eastAsia"/>
                      <w:color w:val="auto"/>
                      <w:sz w:val="21"/>
                      <w:szCs w:val="21"/>
                      <w:lang w:eastAsia="zh-CN"/>
                    </w:rPr>
                    <w:t>化粪池</w:t>
                  </w:r>
                </w:p>
              </w:tc>
              <w:tc>
                <w:tcPr>
                  <w:tcW w:w="413" w:type="pct"/>
                  <w:vMerge w:val="restart"/>
                  <w:vAlign w:val="center"/>
                </w:tcPr>
                <w:p w14:paraId="00803BD5">
                  <w:pPr>
                    <w:spacing w:line="360" w:lineRule="auto"/>
                    <w:jc w:val="center"/>
                    <w:rPr>
                      <w:color w:val="auto"/>
                      <w:sz w:val="21"/>
                      <w:szCs w:val="21"/>
                    </w:rPr>
                  </w:pPr>
                  <w:r>
                    <w:rPr>
                      <w:rFonts w:hint="eastAsia"/>
                      <w:color w:val="auto"/>
                      <w:sz w:val="21"/>
                      <w:szCs w:val="21"/>
                    </w:rPr>
                    <w:t>/</w:t>
                  </w:r>
                </w:p>
              </w:tc>
              <w:tc>
                <w:tcPr>
                  <w:tcW w:w="331" w:type="pct"/>
                  <w:vAlign w:val="center"/>
                </w:tcPr>
                <w:p w14:paraId="76875516">
                  <w:pPr>
                    <w:spacing w:line="360" w:lineRule="auto"/>
                    <w:jc w:val="center"/>
                    <w:rPr>
                      <w:color w:val="auto"/>
                      <w:sz w:val="21"/>
                      <w:szCs w:val="21"/>
                    </w:rPr>
                  </w:pPr>
                  <w:r>
                    <w:rPr>
                      <w:rFonts w:hint="eastAsia"/>
                      <w:color w:val="auto"/>
                      <w:sz w:val="21"/>
                      <w:szCs w:val="21"/>
                    </w:rPr>
                    <w:t>--</w:t>
                  </w:r>
                </w:p>
              </w:tc>
              <w:tc>
                <w:tcPr>
                  <w:tcW w:w="287" w:type="pct"/>
                  <w:vMerge w:val="restart"/>
                  <w:vAlign w:val="center"/>
                </w:tcPr>
                <w:p w14:paraId="6F18294E">
                  <w:pPr>
                    <w:spacing w:line="360" w:lineRule="auto"/>
                    <w:jc w:val="center"/>
                    <w:rPr>
                      <w:color w:val="auto"/>
                      <w:sz w:val="21"/>
                      <w:szCs w:val="21"/>
                    </w:rPr>
                  </w:pPr>
                  <w:r>
                    <w:rPr>
                      <w:rFonts w:hint="eastAsia"/>
                      <w:color w:val="auto"/>
                      <w:sz w:val="21"/>
                      <w:szCs w:val="21"/>
                    </w:rPr>
                    <w:t>是</w:t>
                  </w:r>
                </w:p>
              </w:tc>
              <w:tc>
                <w:tcPr>
                  <w:tcW w:w="871" w:type="dxa"/>
                  <w:vMerge w:val="restart"/>
                  <w:vAlign w:val="center"/>
                </w:tcPr>
                <w:p w14:paraId="1C345F60">
                  <w:pPr>
                    <w:keepNext w:val="0"/>
                    <w:keepLines w:val="0"/>
                    <w:suppressLineNumbers w:val="0"/>
                    <w:spacing w:before="0" w:beforeAutospacing="0" w:after="0" w:afterAutospacing="0"/>
                    <w:ind w:left="0" w:leftChars="0" w:right="0" w:rightChars="0"/>
                    <w:jc w:val="center"/>
                    <w:rPr>
                      <w:rFonts w:hint="default" w:eastAsia="宋体"/>
                      <w:color w:val="auto"/>
                      <w:sz w:val="21"/>
                      <w:szCs w:val="21"/>
                      <w:lang w:val="en-US" w:eastAsia="zh-CN"/>
                    </w:rPr>
                  </w:pPr>
                  <w:r>
                    <w:rPr>
                      <w:rFonts w:hint="eastAsia"/>
                      <w:color w:val="auto"/>
                      <w:sz w:val="18"/>
                      <w:szCs w:val="18"/>
                      <w:lang w:val="en-US" w:eastAsia="zh-CN"/>
                    </w:rPr>
                    <w:t>/</w:t>
                  </w:r>
                </w:p>
              </w:tc>
              <w:tc>
                <w:tcPr>
                  <w:tcW w:w="1116" w:type="dxa"/>
                  <w:vAlign w:val="center"/>
                </w:tcPr>
                <w:p w14:paraId="56243E9B">
                  <w:pPr>
                    <w:keepNext w:val="0"/>
                    <w:keepLines w:val="0"/>
                    <w:suppressLineNumbers w:val="0"/>
                    <w:spacing w:before="0" w:beforeAutospacing="0" w:after="0" w:afterAutospacing="0"/>
                    <w:ind w:left="0" w:leftChars="0" w:right="0" w:rightChars="0"/>
                    <w:jc w:val="center"/>
                    <w:rPr>
                      <w:color w:val="auto"/>
                      <w:sz w:val="21"/>
                      <w:szCs w:val="21"/>
                    </w:rPr>
                  </w:pPr>
                  <w:r>
                    <w:rPr>
                      <w:rFonts w:hint="eastAsia"/>
                      <w:color w:val="auto"/>
                      <w:sz w:val="18"/>
                      <w:szCs w:val="18"/>
                    </w:rPr>
                    <w:t>/</w:t>
                  </w:r>
                </w:p>
              </w:tc>
              <w:tc>
                <w:tcPr>
                  <w:tcW w:w="873" w:type="dxa"/>
                  <w:vAlign w:val="center"/>
                </w:tcPr>
                <w:p w14:paraId="5766A5F6">
                  <w:pPr>
                    <w:keepNext w:val="0"/>
                    <w:keepLines w:val="0"/>
                    <w:suppressLineNumbers w:val="0"/>
                    <w:spacing w:before="0" w:beforeAutospacing="0" w:after="0" w:afterAutospacing="0"/>
                    <w:ind w:left="0" w:leftChars="0" w:right="0" w:rightChars="0"/>
                    <w:jc w:val="center"/>
                    <w:rPr>
                      <w:color w:val="auto"/>
                      <w:sz w:val="21"/>
                      <w:szCs w:val="21"/>
                    </w:rPr>
                  </w:pPr>
                  <w:r>
                    <w:rPr>
                      <w:rFonts w:hint="eastAsia"/>
                      <w:color w:val="auto"/>
                      <w:sz w:val="18"/>
                      <w:szCs w:val="18"/>
                    </w:rPr>
                    <w:t>/</w:t>
                  </w:r>
                </w:p>
              </w:tc>
              <w:tc>
                <w:tcPr>
                  <w:tcW w:w="226" w:type="pct"/>
                  <w:vMerge w:val="restart"/>
                  <w:vAlign w:val="center"/>
                </w:tcPr>
                <w:p w14:paraId="5989C2DC">
                  <w:pPr>
                    <w:spacing w:line="360" w:lineRule="auto"/>
                    <w:jc w:val="center"/>
                    <w:rPr>
                      <w:rFonts w:hint="eastAsia" w:eastAsia="宋体"/>
                      <w:color w:val="auto"/>
                      <w:sz w:val="21"/>
                      <w:szCs w:val="21"/>
                      <w:lang w:eastAsia="zh-CN"/>
                    </w:rPr>
                  </w:pPr>
                  <w:r>
                    <w:rPr>
                      <w:rFonts w:hint="eastAsia"/>
                      <w:color w:val="auto"/>
                      <w:sz w:val="21"/>
                      <w:szCs w:val="21"/>
                      <w:lang w:val="en-US" w:eastAsia="zh-CN"/>
                    </w:rPr>
                    <w:t>/</w:t>
                  </w:r>
                </w:p>
              </w:tc>
              <w:tc>
                <w:tcPr>
                  <w:tcW w:w="312" w:type="pct"/>
                  <w:vMerge w:val="restart"/>
                  <w:vAlign w:val="center"/>
                </w:tcPr>
                <w:p w14:paraId="72694995">
                  <w:pPr>
                    <w:spacing w:line="360" w:lineRule="auto"/>
                    <w:jc w:val="center"/>
                    <w:rPr>
                      <w:rFonts w:hint="default" w:eastAsia="宋体"/>
                      <w:color w:val="auto"/>
                      <w:sz w:val="21"/>
                      <w:szCs w:val="21"/>
                      <w:lang w:val="en-US" w:eastAsia="zh-CN"/>
                    </w:rPr>
                  </w:pPr>
                  <w:r>
                    <w:rPr>
                      <w:rFonts w:hint="eastAsia"/>
                      <w:color w:val="auto"/>
                      <w:sz w:val="21"/>
                      <w:szCs w:val="21"/>
                      <w:lang w:val="en-US" w:eastAsia="zh-CN"/>
                    </w:rPr>
                    <w:t>周边农田灌溉</w:t>
                  </w:r>
                </w:p>
              </w:tc>
            </w:tr>
            <w:tr w14:paraId="010CF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 w:type="pct"/>
                  <w:vMerge w:val="continue"/>
                  <w:vAlign w:val="center"/>
                </w:tcPr>
                <w:p w14:paraId="4B608168">
                  <w:pPr>
                    <w:spacing w:line="360" w:lineRule="auto"/>
                    <w:jc w:val="center"/>
                    <w:rPr>
                      <w:color w:val="auto"/>
                      <w:sz w:val="21"/>
                      <w:szCs w:val="21"/>
                    </w:rPr>
                  </w:pPr>
                </w:p>
              </w:tc>
              <w:tc>
                <w:tcPr>
                  <w:tcW w:w="226" w:type="pct"/>
                  <w:vMerge w:val="continue"/>
                  <w:vAlign w:val="center"/>
                </w:tcPr>
                <w:p w14:paraId="2C8FA649">
                  <w:pPr>
                    <w:spacing w:line="360" w:lineRule="auto"/>
                    <w:jc w:val="center"/>
                    <w:rPr>
                      <w:color w:val="auto"/>
                      <w:sz w:val="21"/>
                      <w:szCs w:val="21"/>
                    </w:rPr>
                  </w:pPr>
                </w:p>
              </w:tc>
              <w:tc>
                <w:tcPr>
                  <w:tcW w:w="340" w:type="pct"/>
                  <w:vMerge w:val="continue"/>
                  <w:vAlign w:val="center"/>
                </w:tcPr>
                <w:p w14:paraId="16F15103">
                  <w:pPr>
                    <w:spacing w:line="360" w:lineRule="auto"/>
                    <w:jc w:val="center"/>
                    <w:rPr>
                      <w:color w:val="auto"/>
                      <w:sz w:val="21"/>
                      <w:szCs w:val="21"/>
                    </w:rPr>
                  </w:pPr>
                </w:p>
              </w:tc>
              <w:tc>
                <w:tcPr>
                  <w:tcW w:w="284" w:type="pct"/>
                  <w:vAlign w:val="center"/>
                </w:tcPr>
                <w:p w14:paraId="18CC9B1F">
                  <w:pPr>
                    <w:spacing w:line="360" w:lineRule="auto"/>
                    <w:jc w:val="center"/>
                    <w:rPr>
                      <w:color w:val="auto"/>
                      <w:sz w:val="21"/>
                      <w:szCs w:val="21"/>
                    </w:rPr>
                  </w:pPr>
                  <w:r>
                    <w:rPr>
                      <w:rFonts w:hint="eastAsia"/>
                      <w:color w:val="auto"/>
                      <w:sz w:val="21"/>
                      <w:szCs w:val="21"/>
                    </w:rPr>
                    <w:t>BOD</w:t>
                  </w:r>
                  <w:r>
                    <w:rPr>
                      <w:rFonts w:hint="eastAsia"/>
                      <w:color w:val="auto"/>
                      <w:sz w:val="21"/>
                      <w:szCs w:val="21"/>
                      <w:vertAlign w:val="subscript"/>
                    </w:rPr>
                    <w:t>5</w:t>
                  </w:r>
                </w:p>
              </w:tc>
              <w:tc>
                <w:tcPr>
                  <w:tcW w:w="436" w:type="pct"/>
                  <w:vAlign w:val="center"/>
                </w:tcPr>
                <w:p w14:paraId="20F90A3B">
                  <w:pPr>
                    <w:spacing w:line="360" w:lineRule="auto"/>
                    <w:jc w:val="center"/>
                    <w:rPr>
                      <w:color w:val="auto"/>
                      <w:sz w:val="21"/>
                      <w:szCs w:val="21"/>
                    </w:rPr>
                  </w:pPr>
                  <w:r>
                    <w:rPr>
                      <w:rFonts w:hint="eastAsia"/>
                      <w:color w:val="auto"/>
                      <w:sz w:val="21"/>
                      <w:szCs w:val="21"/>
                    </w:rPr>
                    <w:t>180</w:t>
                  </w:r>
                </w:p>
              </w:tc>
              <w:tc>
                <w:tcPr>
                  <w:tcW w:w="340" w:type="pct"/>
                  <w:vAlign w:val="center"/>
                </w:tcPr>
                <w:p w14:paraId="67610EE1">
                  <w:pPr>
                    <w:spacing w:line="360" w:lineRule="auto"/>
                    <w:jc w:val="center"/>
                    <w:rPr>
                      <w:rFonts w:hint="default" w:eastAsia="宋体"/>
                      <w:color w:val="auto"/>
                      <w:sz w:val="21"/>
                      <w:szCs w:val="21"/>
                      <w:lang w:val="en-US" w:eastAsia="zh-CN"/>
                    </w:rPr>
                  </w:pPr>
                  <w:r>
                    <w:rPr>
                      <w:color w:val="auto"/>
                      <w:sz w:val="21"/>
                      <w:szCs w:val="21"/>
                    </w:rPr>
                    <w:t>0.</w:t>
                  </w:r>
                  <w:r>
                    <w:rPr>
                      <w:rFonts w:hint="eastAsia"/>
                      <w:color w:val="auto"/>
                      <w:sz w:val="21"/>
                      <w:szCs w:val="21"/>
                      <w:lang w:val="en-US" w:eastAsia="zh-CN"/>
                    </w:rPr>
                    <w:t>069</w:t>
                  </w:r>
                </w:p>
              </w:tc>
              <w:tc>
                <w:tcPr>
                  <w:tcW w:w="386" w:type="pct"/>
                  <w:vMerge w:val="continue"/>
                  <w:vAlign w:val="center"/>
                </w:tcPr>
                <w:p w14:paraId="2D460566">
                  <w:pPr>
                    <w:spacing w:line="360" w:lineRule="auto"/>
                    <w:jc w:val="center"/>
                    <w:rPr>
                      <w:color w:val="auto"/>
                      <w:sz w:val="21"/>
                      <w:szCs w:val="21"/>
                    </w:rPr>
                  </w:pPr>
                </w:p>
              </w:tc>
              <w:tc>
                <w:tcPr>
                  <w:tcW w:w="413" w:type="pct"/>
                  <w:vMerge w:val="continue"/>
                  <w:vAlign w:val="center"/>
                </w:tcPr>
                <w:p w14:paraId="1285251C">
                  <w:pPr>
                    <w:spacing w:line="360" w:lineRule="auto"/>
                    <w:jc w:val="center"/>
                    <w:rPr>
                      <w:color w:val="auto"/>
                      <w:sz w:val="21"/>
                      <w:szCs w:val="21"/>
                    </w:rPr>
                  </w:pPr>
                </w:p>
              </w:tc>
              <w:tc>
                <w:tcPr>
                  <w:tcW w:w="331" w:type="pct"/>
                  <w:vAlign w:val="center"/>
                </w:tcPr>
                <w:p w14:paraId="6A38A911">
                  <w:pPr>
                    <w:spacing w:line="360" w:lineRule="auto"/>
                    <w:jc w:val="center"/>
                    <w:rPr>
                      <w:color w:val="auto"/>
                      <w:sz w:val="21"/>
                      <w:szCs w:val="21"/>
                    </w:rPr>
                  </w:pPr>
                  <w:r>
                    <w:rPr>
                      <w:rFonts w:hint="eastAsia"/>
                      <w:color w:val="auto"/>
                      <w:sz w:val="21"/>
                      <w:szCs w:val="21"/>
                    </w:rPr>
                    <w:t>--</w:t>
                  </w:r>
                </w:p>
              </w:tc>
              <w:tc>
                <w:tcPr>
                  <w:tcW w:w="287" w:type="pct"/>
                  <w:vMerge w:val="continue"/>
                  <w:vAlign w:val="center"/>
                </w:tcPr>
                <w:p w14:paraId="3C5C4913">
                  <w:pPr>
                    <w:spacing w:line="360" w:lineRule="auto"/>
                    <w:jc w:val="center"/>
                    <w:rPr>
                      <w:color w:val="auto"/>
                      <w:sz w:val="21"/>
                      <w:szCs w:val="21"/>
                    </w:rPr>
                  </w:pPr>
                </w:p>
              </w:tc>
              <w:tc>
                <w:tcPr>
                  <w:tcW w:w="871" w:type="dxa"/>
                  <w:vMerge w:val="continue"/>
                  <w:vAlign w:val="center"/>
                </w:tcPr>
                <w:p w14:paraId="681C15E2">
                  <w:pPr>
                    <w:keepNext w:val="0"/>
                    <w:keepLines w:val="0"/>
                    <w:suppressLineNumbers w:val="0"/>
                    <w:spacing w:before="0" w:beforeAutospacing="0" w:after="0" w:afterAutospacing="0"/>
                    <w:ind w:left="0" w:leftChars="0" w:right="0" w:rightChars="0"/>
                    <w:jc w:val="center"/>
                    <w:rPr>
                      <w:color w:val="auto"/>
                      <w:sz w:val="21"/>
                      <w:szCs w:val="21"/>
                    </w:rPr>
                  </w:pPr>
                </w:p>
              </w:tc>
              <w:tc>
                <w:tcPr>
                  <w:tcW w:w="1116" w:type="dxa"/>
                  <w:vAlign w:val="center"/>
                </w:tcPr>
                <w:p w14:paraId="14004450">
                  <w:pPr>
                    <w:keepNext w:val="0"/>
                    <w:keepLines w:val="0"/>
                    <w:suppressLineNumbers w:val="0"/>
                    <w:spacing w:before="0" w:beforeAutospacing="0" w:after="0" w:afterAutospacing="0"/>
                    <w:ind w:left="0" w:leftChars="0" w:right="0" w:rightChars="0"/>
                    <w:jc w:val="center"/>
                    <w:rPr>
                      <w:color w:val="auto"/>
                      <w:sz w:val="21"/>
                      <w:szCs w:val="21"/>
                    </w:rPr>
                  </w:pPr>
                  <w:r>
                    <w:rPr>
                      <w:rFonts w:hint="eastAsia"/>
                      <w:color w:val="auto"/>
                      <w:sz w:val="18"/>
                      <w:szCs w:val="18"/>
                    </w:rPr>
                    <w:t>/</w:t>
                  </w:r>
                </w:p>
              </w:tc>
              <w:tc>
                <w:tcPr>
                  <w:tcW w:w="873" w:type="dxa"/>
                  <w:vAlign w:val="center"/>
                </w:tcPr>
                <w:p w14:paraId="755A0056">
                  <w:pPr>
                    <w:keepNext w:val="0"/>
                    <w:keepLines w:val="0"/>
                    <w:suppressLineNumbers w:val="0"/>
                    <w:spacing w:before="0" w:beforeAutospacing="0" w:after="0" w:afterAutospacing="0"/>
                    <w:ind w:left="0" w:leftChars="0" w:right="0" w:rightChars="0"/>
                    <w:jc w:val="center"/>
                    <w:rPr>
                      <w:color w:val="auto"/>
                      <w:sz w:val="21"/>
                      <w:szCs w:val="21"/>
                    </w:rPr>
                  </w:pPr>
                  <w:r>
                    <w:rPr>
                      <w:rFonts w:hint="eastAsia"/>
                      <w:color w:val="auto"/>
                      <w:sz w:val="18"/>
                      <w:szCs w:val="18"/>
                    </w:rPr>
                    <w:t>/</w:t>
                  </w:r>
                </w:p>
              </w:tc>
              <w:tc>
                <w:tcPr>
                  <w:tcW w:w="226" w:type="pct"/>
                  <w:vMerge w:val="continue"/>
                  <w:vAlign w:val="center"/>
                </w:tcPr>
                <w:p w14:paraId="305CA7C6">
                  <w:pPr>
                    <w:spacing w:line="360" w:lineRule="auto"/>
                    <w:jc w:val="center"/>
                    <w:rPr>
                      <w:color w:val="auto"/>
                      <w:sz w:val="21"/>
                      <w:szCs w:val="21"/>
                    </w:rPr>
                  </w:pPr>
                </w:p>
              </w:tc>
              <w:tc>
                <w:tcPr>
                  <w:tcW w:w="312" w:type="pct"/>
                  <w:vMerge w:val="continue"/>
                  <w:vAlign w:val="center"/>
                </w:tcPr>
                <w:p w14:paraId="72C9B57F">
                  <w:pPr>
                    <w:spacing w:line="360" w:lineRule="auto"/>
                    <w:jc w:val="center"/>
                    <w:rPr>
                      <w:color w:val="auto"/>
                      <w:sz w:val="21"/>
                      <w:szCs w:val="21"/>
                    </w:rPr>
                  </w:pPr>
                </w:p>
              </w:tc>
            </w:tr>
            <w:tr w14:paraId="2AC26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 w:type="pct"/>
                  <w:vMerge w:val="continue"/>
                  <w:vAlign w:val="center"/>
                </w:tcPr>
                <w:p w14:paraId="4B2EF634">
                  <w:pPr>
                    <w:spacing w:line="360" w:lineRule="auto"/>
                    <w:jc w:val="center"/>
                    <w:rPr>
                      <w:color w:val="auto"/>
                      <w:sz w:val="21"/>
                      <w:szCs w:val="21"/>
                    </w:rPr>
                  </w:pPr>
                </w:p>
              </w:tc>
              <w:tc>
                <w:tcPr>
                  <w:tcW w:w="226" w:type="pct"/>
                  <w:vMerge w:val="continue"/>
                  <w:vAlign w:val="center"/>
                </w:tcPr>
                <w:p w14:paraId="1993F032">
                  <w:pPr>
                    <w:spacing w:line="360" w:lineRule="auto"/>
                    <w:jc w:val="center"/>
                    <w:rPr>
                      <w:color w:val="auto"/>
                      <w:sz w:val="21"/>
                      <w:szCs w:val="21"/>
                    </w:rPr>
                  </w:pPr>
                </w:p>
              </w:tc>
              <w:tc>
                <w:tcPr>
                  <w:tcW w:w="340" w:type="pct"/>
                  <w:vMerge w:val="continue"/>
                  <w:vAlign w:val="center"/>
                </w:tcPr>
                <w:p w14:paraId="595E2F1D">
                  <w:pPr>
                    <w:spacing w:line="360" w:lineRule="auto"/>
                    <w:jc w:val="center"/>
                    <w:rPr>
                      <w:color w:val="auto"/>
                      <w:sz w:val="21"/>
                      <w:szCs w:val="21"/>
                    </w:rPr>
                  </w:pPr>
                </w:p>
              </w:tc>
              <w:tc>
                <w:tcPr>
                  <w:tcW w:w="284" w:type="pct"/>
                  <w:vAlign w:val="center"/>
                </w:tcPr>
                <w:p w14:paraId="2EF86E2F">
                  <w:pPr>
                    <w:spacing w:line="360" w:lineRule="auto"/>
                    <w:jc w:val="center"/>
                    <w:rPr>
                      <w:color w:val="auto"/>
                      <w:sz w:val="21"/>
                      <w:szCs w:val="21"/>
                    </w:rPr>
                  </w:pPr>
                  <w:r>
                    <w:rPr>
                      <w:rFonts w:hint="eastAsia"/>
                      <w:color w:val="auto"/>
                      <w:sz w:val="21"/>
                      <w:szCs w:val="21"/>
                    </w:rPr>
                    <w:t>SS</w:t>
                  </w:r>
                </w:p>
              </w:tc>
              <w:tc>
                <w:tcPr>
                  <w:tcW w:w="436" w:type="pct"/>
                  <w:vAlign w:val="center"/>
                </w:tcPr>
                <w:p w14:paraId="03A940FB">
                  <w:pPr>
                    <w:spacing w:line="360" w:lineRule="auto"/>
                    <w:jc w:val="center"/>
                    <w:rPr>
                      <w:color w:val="auto"/>
                      <w:sz w:val="21"/>
                      <w:szCs w:val="21"/>
                    </w:rPr>
                  </w:pPr>
                  <w:r>
                    <w:rPr>
                      <w:rFonts w:hint="eastAsia"/>
                      <w:color w:val="auto"/>
                      <w:sz w:val="21"/>
                      <w:szCs w:val="21"/>
                    </w:rPr>
                    <w:t>150</w:t>
                  </w:r>
                </w:p>
              </w:tc>
              <w:tc>
                <w:tcPr>
                  <w:tcW w:w="340" w:type="pct"/>
                  <w:vAlign w:val="center"/>
                </w:tcPr>
                <w:p w14:paraId="49E17758">
                  <w:pPr>
                    <w:spacing w:line="360" w:lineRule="auto"/>
                    <w:jc w:val="center"/>
                    <w:rPr>
                      <w:rFonts w:hint="default" w:eastAsia="宋体"/>
                      <w:color w:val="auto"/>
                      <w:sz w:val="21"/>
                      <w:szCs w:val="21"/>
                      <w:lang w:val="en-US" w:eastAsia="zh-CN"/>
                    </w:rPr>
                  </w:pPr>
                  <w:r>
                    <w:rPr>
                      <w:color w:val="auto"/>
                      <w:sz w:val="21"/>
                      <w:szCs w:val="21"/>
                    </w:rPr>
                    <w:t>0.</w:t>
                  </w:r>
                  <w:r>
                    <w:rPr>
                      <w:rFonts w:hint="eastAsia"/>
                      <w:color w:val="auto"/>
                      <w:sz w:val="21"/>
                      <w:szCs w:val="21"/>
                      <w:lang w:val="en-US" w:eastAsia="zh-CN"/>
                    </w:rPr>
                    <w:t>058</w:t>
                  </w:r>
                </w:p>
              </w:tc>
              <w:tc>
                <w:tcPr>
                  <w:tcW w:w="386" w:type="pct"/>
                  <w:vMerge w:val="continue"/>
                  <w:vAlign w:val="center"/>
                </w:tcPr>
                <w:p w14:paraId="62A895B1">
                  <w:pPr>
                    <w:spacing w:line="360" w:lineRule="auto"/>
                    <w:jc w:val="center"/>
                    <w:rPr>
                      <w:color w:val="auto"/>
                      <w:sz w:val="21"/>
                      <w:szCs w:val="21"/>
                    </w:rPr>
                  </w:pPr>
                </w:p>
              </w:tc>
              <w:tc>
                <w:tcPr>
                  <w:tcW w:w="413" w:type="pct"/>
                  <w:vMerge w:val="continue"/>
                  <w:vAlign w:val="center"/>
                </w:tcPr>
                <w:p w14:paraId="245E5780">
                  <w:pPr>
                    <w:spacing w:line="360" w:lineRule="auto"/>
                    <w:jc w:val="center"/>
                    <w:rPr>
                      <w:color w:val="auto"/>
                      <w:sz w:val="21"/>
                      <w:szCs w:val="21"/>
                    </w:rPr>
                  </w:pPr>
                </w:p>
              </w:tc>
              <w:tc>
                <w:tcPr>
                  <w:tcW w:w="331" w:type="pct"/>
                  <w:vAlign w:val="center"/>
                </w:tcPr>
                <w:p w14:paraId="0A485F1A">
                  <w:pPr>
                    <w:spacing w:line="360" w:lineRule="auto"/>
                    <w:jc w:val="center"/>
                    <w:rPr>
                      <w:color w:val="auto"/>
                      <w:sz w:val="21"/>
                      <w:szCs w:val="21"/>
                    </w:rPr>
                  </w:pPr>
                  <w:r>
                    <w:rPr>
                      <w:rFonts w:hint="eastAsia"/>
                      <w:color w:val="auto"/>
                      <w:sz w:val="21"/>
                      <w:szCs w:val="21"/>
                    </w:rPr>
                    <w:t>--</w:t>
                  </w:r>
                </w:p>
              </w:tc>
              <w:tc>
                <w:tcPr>
                  <w:tcW w:w="287" w:type="pct"/>
                  <w:vMerge w:val="continue"/>
                  <w:vAlign w:val="center"/>
                </w:tcPr>
                <w:p w14:paraId="6123DC7A">
                  <w:pPr>
                    <w:spacing w:line="360" w:lineRule="auto"/>
                    <w:jc w:val="center"/>
                    <w:rPr>
                      <w:color w:val="auto"/>
                      <w:sz w:val="21"/>
                      <w:szCs w:val="21"/>
                    </w:rPr>
                  </w:pPr>
                </w:p>
              </w:tc>
              <w:tc>
                <w:tcPr>
                  <w:tcW w:w="871" w:type="dxa"/>
                  <w:vMerge w:val="continue"/>
                  <w:vAlign w:val="center"/>
                </w:tcPr>
                <w:p w14:paraId="05D25324">
                  <w:pPr>
                    <w:keepNext w:val="0"/>
                    <w:keepLines w:val="0"/>
                    <w:suppressLineNumbers w:val="0"/>
                    <w:spacing w:before="0" w:beforeAutospacing="0" w:after="0" w:afterAutospacing="0"/>
                    <w:ind w:left="0" w:leftChars="0" w:right="0" w:rightChars="0"/>
                    <w:jc w:val="center"/>
                    <w:rPr>
                      <w:color w:val="auto"/>
                      <w:sz w:val="21"/>
                      <w:szCs w:val="21"/>
                    </w:rPr>
                  </w:pPr>
                </w:p>
              </w:tc>
              <w:tc>
                <w:tcPr>
                  <w:tcW w:w="1116" w:type="dxa"/>
                  <w:vAlign w:val="center"/>
                </w:tcPr>
                <w:p w14:paraId="196DC535">
                  <w:pPr>
                    <w:keepNext w:val="0"/>
                    <w:keepLines w:val="0"/>
                    <w:suppressLineNumbers w:val="0"/>
                    <w:spacing w:before="0" w:beforeAutospacing="0" w:after="0" w:afterAutospacing="0"/>
                    <w:ind w:left="0" w:leftChars="0" w:right="0" w:rightChars="0"/>
                    <w:jc w:val="center"/>
                    <w:rPr>
                      <w:color w:val="auto"/>
                      <w:sz w:val="21"/>
                      <w:szCs w:val="21"/>
                    </w:rPr>
                  </w:pPr>
                  <w:r>
                    <w:rPr>
                      <w:rFonts w:hint="eastAsia"/>
                      <w:color w:val="auto"/>
                      <w:sz w:val="18"/>
                      <w:szCs w:val="18"/>
                    </w:rPr>
                    <w:t>/</w:t>
                  </w:r>
                </w:p>
              </w:tc>
              <w:tc>
                <w:tcPr>
                  <w:tcW w:w="873" w:type="dxa"/>
                  <w:vAlign w:val="center"/>
                </w:tcPr>
                <w:p w14:paraId="6E07D6B7">
                  <w:pPr>
                    <w:keepNext w:val="0"/>
                    <w:keepLines w:val="0"/>
                    <w:suppressLineNumbers w:val="0"/>
                    <w:spacing w:before="0" w:beforeAutospacing="0" w:after="0" w:afterAutospacing="0"/>
                    <w:ind w:left="0" w:leftChars="0" w:right="0" w:rightChars="0"/>
                    <w:jc w:val="center"/>
                    <w:rPr>
                      <w:color w:val="auto"/>
                      <w:sz w:val="21"/>
                      <w:szCs w:val="21"/>
                    </w:rPr>
                  </w:pPr>
                  <w:r>
                    <w:rPr>
                      <w:rFonts w:hint="eastAsia"/>
                      <w:color w:val="auto"/>
                      <w:sz w:val="18"/>
                      <w:szCs w:val="18"/>
                    </w:rPr>
                    <w:t>/</w:t>
                  </w:r>
                </w:p>
              </w:tc>
              <w:tc>
                <w:tcPr>
                  <w:tcW w:w="226" w:type="pct"/>
                  <w:vMerge w:val="continue"/>
                  <w:vAlign w:val="center"/>
                </w:tcPr>
                <w:p w14:paraId="19AC5656">
                  <w:pPr>
                    <w:spacing w:line="360" w:lineRule="auto"/>
                    <w:jc w:val="center"/>
                    <w:rPr>
                      <w:color w:val="auto"/>
                      <w:sz w:val="21"/>
                      <w:szCs w:val="21"/>
                    </w:rPr>
                  </w:pPr>
                </w:p>
              </w:tc>
              <w:tc>
                <w:tcPr>
                  <w:tcW w:w="312" w:type="pct"/>
                  <w:vMerge w:val="continue"/>
                  <w:vAlign w:val="center"/>
                </w:tcPr>
                <w:p w14:paraId="15C70E00">
                  <w:pPr>
                    <w:spacing w:line="360" w:lineRule="auto"/>
                    <w:jc w:val="center"/>
                    <w:rPr>
                      <w:color w:val="auto"/>
                      <w:sz w:val="21"/>
                      <w:szCs w:val="21"/>
                    </w:rPr>
                  </w:pPr>
                </w:p>
              </w:tc>
            </w:tr>
            <w:tr w14:paraId="3BF4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92" w:type="pct"/>
                  <w:vMerge w:val="continue"/>
                  <w:vAlign w:val="center"/>
                </w:tcPr>
                <w:p w14:paraId="431AFBFE">
                  <w:pPr>
                    <w:spacing w:line="360" w:lineRule="auto"/>
                    <w:jc w:val="center"/>
                    <w:rPr>
                      <w:color w:val="auto"/>
                      <w:sz w:val="21"/>
                      <w:szCs w:val="21"/>
                    </w:rPr>
                  </w:pPr>
                </w:p>
              </w:tc>
              <w:tc>
                <w:tcPr>
                  <w:tcW w:w="226" w:type="pct"/>
                  <w:vMerge w:val="continue"/>
                  <w:vAlign w:val="center"/>
                </w:tcPr>
                <w:p w14:paraId="07BCCC95">
                  <w:pPr>
                    <w:spacing w:line="360" w:lineRule="auto"/>
                    <w:jc w:val="center"/>
                    <w:rPr>
                      <w:color w:val="auto"/>
                      <w:sz w:val="21"/>
                      <w:szCs w:val="21"/>
                    </w:rPr>
                  </w:pPr>
                </w:p>
              </w:tc>
              <w:tc>
                <w:tcPr>
                  <w:tcW w:w="340" w:type="pct"/>
                  <w:vMerge w:val="continue"/>
                  <w:vAlign w:val="center"/>
                </w:tcPr>
                <w:p w14:paraId="4CB829AA">
                  <w:pPr>
                    <w:spacing w:line="360" w:lineRule="auto"/>
                    <w:jc w:val="center"/>
                    <w:rPr>
                      <w:color w:val="auto"/>
                      <w:sz w:val="21"/>
                      <w:szCs w:val="21"/>
                    </w:rPr>
                  </w:pPr>
                </w:p>
              </w:tc>
              <w:tc>
                <w:tcPr>
                  <w:tcW w:w="284" w:type="pct"/>
                  <w:vAlign w:val="center"/>
                </w:tcPr>
                <w:p w14:paraId="452FD701">
                  <w:pPr>
                    <w:spacing w:line="360" w:lineRule="auto"/>
                    <w:jc w:val="center"/>
                    <w:rPr>
                      <w:color w:val="auto"/>
                      <w:sz w:val="21"/>
                      <w:szCs w:val="21"/>
                    </w:rPr>
                  </w:pPr>
                  <w:r>
                    <w:rPr>
                      <w:rFonts w:hint="eastAsia"/>
                      <w:color w:val="auto"/>
                      <w:sz w:val="21"/>
                      <w:szCs w:val="21"/>
                    </w:rPr>
                    <w:t>氨氮</w:t>
                  </w:r>
                </w:p>
              </w:tc>
              <w:tc>
                <w:tcPr>
                  <w:tcW w:w="436" w:type="pct"/>
                  <w:vAlign w:val="center"/>
                </w:tcPr>
                <w:p w14:paraId="0223373E">
                  <w:pPr>
                    <w:spacing w:line="360" w:lineRule="auto"/>
                    <w:jc w:val="center"/>
                    <w:rPr>
                      <w:color w:val="auto"/>
                      <w:sz w:val="21"/>
                      <w:szCs w:val="21"/>
                    </w:rPr>
                  </w:pPr>
                  <w:r>
                    <w:rPr>
                      <w:rFonts w:hint="eastAsia"/>
                      <w:color w:val="auto"/>
                      <w:sz w:val="21"/>
                      <w:szCs w:val="21"/>
                    </w:rPr>
                    <w:t>25</w:t>
                  </w:r>
                </w:p>
              </w:tc>
              <w:tc>
                <w:tcPr>
                  <w:tcW w:w="340" w:type="pct"/>
                  <w:vAlign w:val="center"/>
                </w:tcPr>
                <w:p w14:paraId="3F2299D7">
                  <w:pPr>
                    <w:spacing w:line="360" w:lineRule="auto"/>
                    <w:jc w:val="center"/>
                    <w:rPr>
                      <w:rFonts w:hint="default" w:eastAsia="宋体"/>
                      <w:color w:val="auto"/>
                      <w:sz w:val="21"/>
                      <w:szCs w:val="21"/>
                      <w:lang w:val="en-US" w:eastAsia="zh-CN"/>
                    </w:rPr>
                  </w:pPr>
                  <w:r>
                    <w:rPr>
                      <w:color w:val="auto"/>
                      <w:sz w:val="21"/>
                      <w:szCs w:val="21"/>
                    </w:rPr>
                    <w:t>0.</w:t>
                  </w:r>
                  <w:r>
                    <w:rPr>
                      <w:rFonts w:hint="eastAsia"/>
                      <w:color w:val="auto"/>
                      <w:sz w:val="21"/>
                      <w:szCs w:val="21"/>
                      <w:lang w:val="en-US" w:eastAsia="zh-CN"/>
                    </w:rPr>
                    <w:t>010</w:t>
                  </w:r>
                </w:p>
              </w:tc>
              <w:tc>
                <w:tcPr>
                  <w:tcW w:w="386" w:type="pct"/>
                  <w:vMerge w:val="continue"/>
                  <w:vAlign w:val="center"/>
                </w:tcPr>
                <w:p w14:paraId="5C0AC9ED">
                  <w:pPr>
                    <w:spacing w:line="360" w:lineRule="auto"/>
                    <w:jc w:val="center"/>
                    <w:rPr>
                      <w:color w:val="auto"/>
                      <w:sz w:val="21"/>
                      <w:szCs w:val="21"/>
                    </w:rPr>
                  </w:pPr>
                </w:p>
              </w:tc>
              <w:tc>
                <w:tcPr>
                  <w:tcW w:w="413" w:type="pct"/>
                  <w:vMerge w:val="continue"/>
                  <w:vAlign w:val="center"/>
                </w:tcPr>
                <w:p w14:paraId="6743F092">
                  <w:pPr>
                    <w:spacing w:line="360" w:lineRule="auto"/>
                    <w:jc w:val="center"/>
                    <w:rPr>
                      <w:color w:val="auto"/>
                      <w:sz w:val="21"/>
                      <w:szCs w:val="21"/>
                    </w:rPr>
                  </w:pPr>
                </w:p>
              </w:tc>
              <w:tc>
                <w:tcPr>
                  <w:tcW w:w="331" w:type="pct"/>
                  <w:vAlign w:val="center"/>
                </w:tcPr>
                <w:p w14:paraId="7A361A65">
                  <w:pPr>
                    <w:spacing w:line="360" w:lineRule="auto"/>
                    <w:jc w:val="center"/>
                    <w:rPr>
                      <w:color w:val="auto"/>
                      <w:sz w:val="21"/>
                      <w:szCs w:val="21"/>
                    </w:rPr>
                  </w:pPr>
                  <w:r>
                    <w:rPr>
                      <w:rFonts w:hint="eastAsia"/>
                      <w:color w:val="auto"/>
                      <w:sz w:val="21"/>
                      <w:szCs w:val="21"/>
                    </w:rPr>
                    <w:t>--</w:t>
                  </w:r>
                </w:p>
              </w:tc>
              <w:tc>
                <w:tcPr>
                  <w:tcW w:w="287" w:type="pct"/>
                  <w:vMerge w:val="continue"/>
                  <w:vAlign w:val="center"/>
                </w:tcPr>
                <w:p w14:paraId="12324474">
                  <w:pPr>
                    <w:spacing w:line="360" w:lineRule="auto"/>
                    <w:jc w:val="center"/>
                    <w:rPr>
                      <w:color w:val="auto"/>
                      <w:sz w:val="21"/>
                      <w:szCs w:val="21"/>
                    </w:rPr>
                  </w:pPr>
                </w:p>
              </w:tc>
              <w:tc>
                <w:tcPr>
                  <w:tcW w:w="871" w:type="dxa"/>
                  <w:vMerge w:val="continue"/>
                  <w:vAlign w:val="center"/>
                </w:tcPr>
                <w:p w14:paraId="50ED7DC3">
                  <w:pPr>
                    <w:keepNext w:val="0"/>
                    <w:keepLines w:val="0"/>
                    <w:suppressLineNumbers w:val="0"/>
                    <w:spacing w:before="0" w:beforeAutospacing="0" w:after="0" w:afterAutospacing="0"/>
                    <w:ind w:left="0" w:leftChars="0" w:right="0" w:rightChars="0"/>
                    <w:jc w:val="center"/>
                    <w:rPr>
                      <w:color w:val="auto"/>
                      <w:sz w:val="21"/>
                      <w:szCs w:val="21"/>
                    </w:rPr>
                  </w:pPr>
                </w:p>
              </w:tc>
              <w:tc>
                <w:tcPr>
                  <w:tcW w:w="1116" w:type="dxa"/>
                  <w:vAlign w:val="center"/>
                </w:tcPr>
                <w:p w14:paraId="0E3B9978">
                  <w:pPr>
                    <w:keepNext w:val="0"/>
                    <w:keepLines w:val="0"/>
                    <w:suppressLineNumbers w:val="0"/>
                    <w:spacing w:before="0" w:beforeAutospacing="0" w:after="0" w:afterAutospacing="0"/>
                    <w:ind w:left="0" w:leftChars="0" w:right="0" w:rightChars="0"/>
                    <w:jc w:val="center"/>
                    <w:rPr>
                      <w:color w:val="auto"/>
                      <w:sz w:val="21"/>
                      <w:szCs w:val="21"/>
                    </w:rPr>
                  </w:pPr>
                  <w:r>
                    <w:rPr>
                      <w:rFonts w:hint="eastAsia"/>
                      <w:color w:val="auto"/>
                      <w:sz w:val="18"/>
                      <w:szCs w:val="18"/>
                    </w:rPr>
                    <w:t>/</w:t>
                  </w:r>
                </w:p>
              </w:tc>
              <w:tc>
                <w:tcPr>
                  <w:tcW w:w="873" w:type="dxa"/>
                  <w:vAlign w:val="center"/>
                </w:tcPr>
                <w:p w14:paraId="73D49AB8">
                  <w:pPr>
                    <w:keepNext w:val="0"/>
                    <w:keepLines w:val="0"/>
                    <w:suppressLineNumbers w:val="0"/>
                    <w:spacing w:before="0" w:beforeAutospacing="0" w:after="0" w:afterAutospacing="0"/>
                    <w:ind w:left="0" w:leftChars="0" w:right="0" w:rightChars="0"/>
                    <w:jc w:val="center"/>
                    <w:rPr>
                      <w:color w:val="auto"/>
                      <w:sz w:val="21"/>
                      <w:szCs w:val="21"/>
                    </w:rPr>
                  </w:pPr>
                  <w:r>
                    <w:rPr>
                      <w:rFonts w:hint="eastAsia"/>
                      <w:color w:val="auto"/>
                      <w:sz w:val="18"/>
                      <w:szCs w:val="18"/>
                    </w:rPr>
                    <w:t>/</w:t>
                  </w:r>
                </w:p>
              </w:tc>
              <w:tc>
                <w:tcPr>
                  <w:tcW w:w="226" w:type="pct"/>
                  <w:vMerge w:val="continue"/>
                  <w:vAlign w:val="center"/>
                </w:tcPr>
                <w:p w14:paraId="3A985E8B">
                  <w:pPr>
                    <w:spacing w:line="360" w:lineRule="auto"/>
                    <w:jc w:val="center"/>
                    <w:rPr>
                      <w:color w:val="auto"/>
                      <w:sz w:val="21"/>
                      <w:szCs w:val="21"/>
                    </w:rPr>
                  </w:pPr>
                </w:p>
              </w:tc>
              <w:tc>
                <w:tcPr>
                  <w:tcW w:w="312" w:type="pct"/>
                  <w:vMerge w:val="continue"/>
                  <w:vAlign w:val="center"/>
                </w:tcPr>
                <w:p w14:paraId="1321BBD5">
                  <w:pPr>
                    <w:spacing w:line="360" w:lineRule="auto"/>
                    <w:jc w:val="center"/>
                    <w:rPr>
                      <w:color w:val="auto"/>
                      <w:sz w:val="21"/>
                      <w:szCs w:val="21"/>
                    </w:rPr>
                  </w:pPr>
                </w:p>
              </w:tc>
            </w:tr>
          </w:tbl>
          <w:p w14:paraId="28488154">
            <w:pPr>
              <w:spacing w:line="360" w:lineRule="auto"/>
              <w:rPr>
                <w:b/>
                <w:color w:val="auto"/>
                <w:sz w:val="24"/>
                <w:szCs w:val="24"/>
              </w:rPr>
            </w:pPr>
            <w:r>
              <w:rPr>
                <w:rFonts w:hint="eastAsia"/>
                <w:b/>
                <w:color w:val="auto"/>
                <w:sz w:val="24"/>
                <w:szCs w:val="24"/>
              </w:rPr>
              <w:t>2.2废水处理工艺可行性</w:t>
            </w:r>
          </w:p>
          <w:p w14:paraId="41AD1B95">
            <w:pPr>
              <w:spacing w:line="360" w:lineRule="auto"/>
              <w:ind w:firstLine="482"/>
              <w:rPr>
                <w:color w:val="auto"/>
                <w:sz w:val="24"/>
              </w:rPr>
            </w:pPr>
            <w:r>
              <w:rPr>
                <w:rFonts w:hint="eastAsia"/>
                <w:color w:val="auto"/>
                <w:sz w:val="24"/>
              </w:rPr>
              <w:t>（1）废水处理工艺可行性分析</w:t>
            </w:r>
          </w:p>
          <w:p w14:paraId="260CDE4E">
            <w:pPr>
              <w:spacing w:line="360" w:lineRule="auto"/>
              <w:ind w:firstLine="482"/>
              <w:rPr>
                <w:rFonts w:hint="eastAsia"/>
                <w:color w:val="auto"/>
                <w:sz w:val="24"/>
                <w:lang w:eastAsia="zh-CN"/>
              </w:rPr>
            </w:pPr>
            <w:r>
              <w:rPr>
                <w:rFonts w:hint="eastAsia"/>
                <w:color w:val="auto"/>
                <w:sz w:val="24"/>
              </w:rPr>
              <w:t>根据《排污许可证申请与核发技术规范 总则》（HJ942-2018），</w:t>
            </w:r>
            <w:r>
              <w:rPr>
                <w:rFonts w:hint="eastAsia"/>
                <w:color w:val="auto"/>
                <w:sz w:val="24"/>
                <w:lang w:eastAsia="zh-CN"/>
              </w:rPr>
              <w:t>废水类别分别对应为对应工艺（工序）的生产废水、综合废水、生活污水、初期雨水、循环冷却水等。</w:t>
            </w:r>
          </w:p>
          <w:p w14:paraId="28FFF30F">
            <w:pPr>
              <w:spacing w:line="360" w:lineRule="auto"/>
              <w:ind w:firstLine="482"/>
              <w:rPr>
                <w:rFonts w:hint="eastAsia"/>
                <w:color w:val="auto"/>
                <w:sz w:val="24"/>
                <w:lang w:eastAsia="zh-CN"/>
              </w:rPr>
            </w:pPr>
            <w:r>
              <w:rPr>
                <w:rFonts w:hint="eastAsia"/>
                <w:color w:val="auto"/>
                <w:sz w:val="24"/>
                <w:lang w:eastAsia="zh-CN"/>
              </w:rPr>
              <w:t>废水污染治理工艺分为一级处理（过滤、沉淀、气浮、其他），二级处理（</w:t>
            </w:r>
            <w:r>
              <w:rPr>
                <w:rFonts w:hint="eastAsia"/>
                <w:color w:val="auto"/>
                <w:sz w:val="24"/>
                <w:lang w:val="en-US" w:eastAsia="zh-CN"/>
              </w:rPr>
              <w:t>A/O、A</w:t>
            </w:r>
            <w:r>
              <w:rPr>
                <w:rFonts w:hint="eastAsia"/>
                <w:color w:val="auto"/>
                <w:sz w:val="24"/>
                <w:vertAlign w:val="superscript"/>
                <w:lang w:val="en-US" w:eastAsia="zh-CN"/>
              </w:rPr>
              <w:t>2</w:t>
            </w:r>
            <w:r>
              <w:rPr>
                <w:rFonts w:hint="eastAsia"/>
                <w:color w:val="auto"/>
                <w:sz w:val="24"/>
                <w:lang w:val="en-US" w:eastAsia="zh-CN"/>
              </w:rPr>
              <w:t>/O、SBR、活性污泥法、生物接触氧化、其他</w:t>
            </w:r>
            <w:r>
              <w:rPr>
                <w:rFonts w:hint="eastAsia"/>
                <w:color w:val="auto"/>
                <w:sz w:val="24"/>
                <w:lang w:eastAsia="zh-CN"/>
              </w:rPr>
              <w:t>）、深度处理（超滤</w:t>
            </w:r>
            <w:r>
              <w:rPr>
                <w:rFonts w:hint="eastAsia"/>
                <w:color w:val="auto"/>
                <w:sz w:val="24"/>
                <w:lang w:val="en-US" w:eastAsia="zh-CN"/>
              </w:rPr>
              <w:t>/纳滤</w:t>
            </w:r>
            <w:r>
              <w:rPr>
                <w:rFonts w:hint="eastAsia"/>
                <w:color w:val="auto"/>
                <w:sz w:val="24"/>
                <w:lang w:eastAsia="zh-CN"/>
              </w:rPr>
              <w:t>、反渗透、吸附过滤、蒸发结晶、其他）、其他</w:t>
            </w:r>
          </w:p>
          <w:p w14:paraId="4CC926D1">
            <w:pPr>
              <w:spacing w:line="360" w:lineRule="auto"/>
              <w:ind w:firstLine="482"/>
              <w:rPr>
                <w:rFonts w:eastAsia="黑体"/>
                <w:b/>
                <w:bCs/>
                <w:color w:val="auto"/>
                <w:sz w:val="30"/>
                <w:szCs w:val="24"/>
              </w:rPr>
            </w:pPr>
            <w:r>
              <w:rPr>
                <w:rFonts w:hint="eastAsia"/>
                <w:color w:val="auto"/>
                <w:sz w:val="24"/>
                <w:lang w:eastAsia="zh-CN"/>
              </w:rPr>
              <w:t>本项目废水只有生活污水，通过化粪池处理后用于周边农田施肥，不排放。属于废水污染处理工艺中的“其他”</w:t>
            </w:r>
            <w:r>
              <w:rPr>
                <w:rFonts w:hint="eastAsia"/>
                <w:color w:val="auto"/>
                <w:sz w:val="24"/>
              </w:rPr>
              <w:t>。</w:t>
            </w:r>
          </w:p>
        </w:tc>
      </w:tr>
    </w:tbl>
    <w:p w14:paraId="08754A32">
      <w:pPr>
        <w:spacing w:line="360" w:lineRule="auto"/>
        <w:jc w:val="center"/>
        <w:rPr>
          <w:color w:val="auto"/>
          <w:sz w:val="24"/>
        </w:rPr>
        <w:sectPr>
          <w:pgSz w:w="16838" w:h="11906" w:orient="landscape"/>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8752"/>
      </w:tblGrid>
      <w:tr w14:paraId="523D3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Align w:val="center"/>
          </w:tcPr>
          <w:p w14:paraId="7D63013D">
            <w:pPr>
              <w:spacing w:line="360" w:lineRule="auto"/>
              <w:jc w:val="center"/>
              <w:rPr>
                <w:color w:val="auto"/>
                <w:sz w:val="24"/>
              </w:rPr>
            </w:pPr>
            <w:r>
              <w:rPr>
                <w:rFonts w:hint="eastAsia"/>
                <w:color w:val="auto"/>
                <w:szCs w:val="18"/>
              </w:rPr>
              <w:t>运营期环境影响和保护措施</w:t>
            </w:r>
          </w:p>
        </w:tc>
        <w:tc>
          <w:tcPr>
            <w:tcW w:w="8752" w:type="dxa"/>
            <w:vAlign w:val="center"/>
          </w:tcPr>
          <w:p w14:paraId="04DA366C">
            <w:pPr>
              <w:spacing w:line="360" w:lineRule="auto"/>
              <w:ind w:firstLine="482"/>
              <w:rPr>
                <w:color w:val="auto"/>
                <w:sz w:val="24"/>
              </w:rPr>
            </w:pPr>
            <w:r>
              <w:rPr>
                <w:rFonts w:hint="eastAsia"/>
                <w:color w:val="auto"/>
                <w:sz w:val="24"/>
                <w:lang w:eastAsia="zh-CN"/>
              </w:rPr>
              <w:t>故</w:t>
            </w:r>
            <w:r>
              <w:rPr>
                <w:rFonts w:hint="eastAsia"/>
                <w:color w:val="auto"/>
                <w:sz w:val="24"/>
              </w:rPr>
              <w:t>本项目生活污水采用</w:t>
            </w:r>
            <w:r>
              <w:rPr>
                <w:rFonts w:hint="eastAsia"/>
                <w:color w:val="auto"/>
                <w:sz w:val="24"/>
                <w:lang w:eastAsia="zh-CN"/>
              </w:rPr>
              <w:t>化粪池</w:t>
            </w:r>
            <w:r>
              <w:rPr>
                <w:rFonts w:hint="eastAsia"/>
                <w:color w:val="auto"/>
                <w:sz w:val="24"/>
              </w:rPr>
              <w:t>处理符合可行技术要求。</w:t>
            </w:r>
          </w:p>
          <w:p w14:paraId="1C23AC52">
            <w:pPr>
              <w:spacing w:line="360" w:lineRule="auto"/>
              <w:rPr>
                <w:b/>
                <w:color w:val="auto"/>
                <w:sz w:val="24"/>
                <w:szCs w:val="24"/>
              </w:rPr>
            </w:pPr>
            <w:r>
              <w:rPr>
                <w:rFonts w:hint="eastAsia"/>
                <w:b/>
                <w:color w:val="auto"/>
                <w:sz w:val="24"/>
                <w:szCs w:val="24"/>
              </w:rPr>
              <w:t>2.</w:t>
            </w:r>
            <w:r>
              <w:rPr>
                <w:rFonts w:hint="eastAsia"/>
                <w:b/>
                <w:color w:val="auto"/>
                <w:sz w:val="24"/>
                <w:szCs w:val="24"/>
                <w:lang w:val="en-US" w:eastAsia="zh-CN"/>
              </w:rPr>
              <w:t>3</w:t>
            </w:r>
            <w:r>
              <w:rPr>
                <w:rFonts w:hint="eastAsia"/>
                <w:b/>
                <w:color w:val="auto"/>
                <w:sz w:val="24"/>
                <w:szCs w:val="24"/>
              </w:rPr>
              <w:t>废水污染源监测计划</w:t>
            </w:r>
          </w:p>
          <w:p w14:paraId="0273FD91">
            <w:pPr>
              <w:spacing w:line="360" w:lineRule="auto"/>
              <w:ind w:firstLine="480" w:firstLineChars="200"/>
              <w:rPr>
                <w:rFonts w:hint="eastAsia" w:eastAsia="宋体"/>
                <w:color w:val="auto"/>
                <w:sz w:val="24"/>
                <w:szCs w:val="28"/>
                <w:lang w:eastAsia="zh-CN"/>
              </w:rPr>
            </w:pPr>
            <w:r>
              <w:rPr>
                <w:rFonts w:hint="eastAsia"/>
                <w:color w:val="auto"/>
                <w:sz w:val="24"/>
              </w:rPr>
              <w:t>根据《排污</w:t>
            </w:r>
            <w:r>
              <w:rPr>
                <w:rFonts w:hint="eastAsia"/>
                <w:color w:val="auto"/>
                <w:sz w:val="24"/>
                <w:lang w:eastAsia="zh-CN"/>
              </w:rPr>
              <w:t>单位自行监测技术指南</w:t>
            </w:r>
            <w:r>
              <w:rPr>
                <w:rFonts w:hint="eastAsia"/>
                <w:color w:val="auto"/>
                <w:sz w:val="24"/>
                <w:lang w:val="en-US" w:eastAsia="zh-CN"/>
              </w:rPr>
              <w:t xml:space="preserve"> 总则</w:t>
            </w:r>
            <w:r>
              <w:rPr>
                <w:rFonts w:hint="eastAsia"/>
                <w:color w:val="auto"/>
                <w:sz w:val="24"/>
              </w:rPr>
              <w:t>》（HJ</w:t>
            </w:r>
            <w:r>
              <w:rPr>
                <w:rFonts w:hint="eastAsia"/>
                <w:color w:val="auto"/>
                <w:sz w:val="24"/>
                <w:lang w:val="en-US" w:eastAsia="zh-CN"/>
              </w:rPr>
              <w:t>819-2017</w:t>
            </w:r>
            <w:r>
              <w:rPr>
                <w:rFonts w:hint="eastAsia"/>
                <w:color w:val="auto"/>
                <w:sz w:val="24"/>
              </w:rPr>
              <w:t>）</w:t>
            </w:r>
            <w:r>
              <w:rPr>
                <w:rFonts w:hint="eastAsia"/>
                <w:color w:val="auto"/>
                <w:sz w:val="24"/>
                <w:lang w:eastAsia="zh-CN"/>
              </w:rPr>
              <w:t>和</w:t>
            </w:r>
            <w:r>
              <w:rPr>
                <w:rFonts w:hint="eastAsia" w:ascii="Times New Roman" w:hAnsi="Times New Roman" w:cs="Times New Roman"/>
                <w:color w:val="auto"/>
                <w:sz w:val="24"/>
                <w:szCs w:val="24"/>
                <w:lang w:val="en-US" w:eastAsia="zh-CN"/>
              </w:rPr>
              <w:t>《排污单位自行监测技术指南   农副食品加工业》（HJ986-2018）</w:t>
            </w:r>
            <w:r>
              <w:rPr>
                <w:rFonts w:hint="eastAsia"/>
                <w:color w:val="auto"/>
                <w:sz w:val="24"/>
                <w:lang w:eastAsia="zh-CN"/>
              </w:rPr>
              <w:t>中相关要求，本项目无生产废水产生，生活污水经化粪池处理后用于周边农田施肥，不外排，无需进行监测。</w:t>
            </w:r>
          </w:p>
          <w:p w14:paraId="59C9874D">
            <w:pPr>
              <w:spacing w:line="360" w:lineRule="auto"/>
              <w:rPr>
                <w:rFonts w:hint="default" w:ascii="Times New Roman" w:hAnsi="Times New Roman" w:eastAsia="宋体" w:cs="Times New Roman"/>
                <w:b/>
                <w:color w:val="auto"/>
                <w:sz w:val="24"/>
                <w:szCs w:val="24"/>
                <w:lang w:val="en-US" w:eastAsia="zh-CN"/>
              </w:rPr>
            </w:pPr>
            <w:r>
              <w:rPr>
                <w:rFonts w:hint="eastAsia" w:ascii="Times New Roman" w:hAnsi="Times New Roman" w:eastAsia="宋体" w:cs="Times New Roman"/>
                <w:b/>
                <w:color w:val="auto"/>
                <w:sz w:val="24"/>
                <w:szCs w:val="24"/>
                <w:lang w:val="en-US" w:eastAsia="zh-CN"/>
              </w:rPr>
              <w:t>2.4水环境影响分析</w:t>
            </w:r>
          </w:p>
          <w:p w14:paraId="2CEB0B73">
            <w:pPr>
              <w:spacing w:line="360" w:lineRule="auto"/>
              <w:ind w:firstLine="480" w:firstLineChars="200"/>
              <w:rPr>
                <w:rFonts w:hint="eastAsia" w:eastAsia="宋体"/>
                <w:color w:val="auto"/>
                <w:sz w:val="24"/>
                <w:szCs w:val="28"/>
                <w:lang w:eastAsia="zh-CN"/>
              </w:rPr>
            </w:pPr>
            <w:r>
              <w:rPr>
                <w:rFonts w:hint="eastAsia"/>
                <w:color w:val="auto"/>
                <w:sz w:val="24"/>
                <w:szCs w:val="28"/>
                <w:lang w:eastAsia="zh-CN"/>
              </w:rPr>
              <w:t>综上所述，本项目在落实各项污水处理措施后，项目运营期无废水外排，对区域水环境影响较小，对周边地表水环境影响是可以接受的。</w:t>
            </w:r>
          </w:p>
          <w:p w14:paraId="51DFD7A5">
            <w:pPr>
              <w:spacing w:line="360" w:lineRule="auto"/>
              <w:rPr>
                <w:b/>
                <w:color w:val="auto"/>
                <w:sz w:val="24"/>
                <w:szCs w:val="24"/>
              </w:rPr>
            </w:pPr>
            <w:r>
              <w:rPr>
                <w:rFonts w:hint="eastAsia"/>
                <w:b/>
                <w:color w:val="auto"/>
                <w:sz w:val="24"/>
                <w:szCs w:val="24"/>
              </w:rPr>
              <w:t>3、噪声环境影响及保护措施</w:t>
            </w:r>
          </w:p>
          <w:p w14:paraId="617CF145">
            <w:pPr>
              <w:spacing w:line="360" w:lineRule="auto"/>
              <w:rPr>
                <w:b/>
                <w:color w:val="auto"/>
                <w:sz w:val="24"/>
                <w:szCs w:val="24"/>
              </w:rPr>
            </w:pPr>
            <w:r>
              <w:rPr>
                <w:rFonts w:hint="eastAsia"/>
                <w:b/>
                <w:color w:val="auto"/>
                <w:sz w:val="24"/>
                <w:szCs w:val="24"/>
              </w:rPr>
              <w:t>3.1建设项目声源情况</w:t>
            </w:r>
          </w:p>
          <w:p w14:paraId="562F735F">
            <w:pPr>
              <w:spacing w:line="360" w:lineRule="auto"/>
              <w:ind w:firstLine="480" w:firstLineChars="200"/>
              <w:rPr>
                <w:color w:val="auto"/>
                <w:sz w:val="24"/>
              </w:rPr>
            </w:pPr>
            <w:r>
              <w:rPr>
                <w:color w:val="auto"/>
                <w:sz w:val="24"/>
                <w:szCs w:val="28"/>
              </w:rPr>
              <w:t>本项目建成后，调查所有声源种类（包括设备型号）与数量、各声源的空间位置、声源的作用时间等，用类比测量法与引用已有的数据相结合确定声源声功率级。本次噪声评价厂界按整个厂界计算，坐标原点设在</w:t>
            </w:r>
            <w:r>
              <w:rPr>
                <w:rFonts w:hint="eastAsia"/>
                <w:color w:val="auto"/>
                <w:sz w:val="24"/>
                <w:szCs w:val="28"/>
              </w:rPr>
              <w:t>厂区的西南角</w:t>
            </w:r>
            <w:r>
              <w:rPr>
                <w:color w:val="auto"/>
                <w:sz w:val="24"/>
                <w:szCs w:val="28"/>
              </w:rPr>
              <w:t>，X轴正向为东方向，Y轴正向为北方向。本项目的噪声源情况见</w:t>
            </w:r>
            <w:r>
              <w:rPr>
                <w:rFonts w:hint="eastAsia"/>
                <w:color w:val="auto"/>
                <w:sz w:val="24"/>
                <w:szCs w:val="28"/>
              </w:rPr>
              <w:t>下表</w:t>
            </w:r>
            <w:r>
              <w:rPr>
                <w:color w:val="auto"/>
                <w:sz w:val="24"/>
                <w:szCs w:val="28"/>
              </w:rPr>
              <w:t>。</w:t>
            </w:r>
          </w:p>
          <w:p w14:paraId="61BDF947">
            <w:pPr>
              <w:spacing w:line="360" w:lineRule="auto"/>
              <w:jc w:val="center"/>
              <w:rPr>
                <w:color w:val="auto"/>
                <w:sz w:val="24"/>
              </w:rPr>
            </w:pPr>
          </w:p>
          <w:p w14:paraId="677FCE77">
            <w:pPr>
              <w:spacing w:line="360" w:lineRule="auto"/>
              <w:jc w:val="center"/>
              <w:rPr>
                <w:color w:val="auto"/>
                <w:sz w:val="24"/>
              </w:rPr>
            </w:pPr>
          </w:p>
          <w:p w14:paraId="471D74F6">
            <w:pPr>
              <w:spacing w:line="360" w:lineRule="auto"/>
              <w:jc w:val="center"/>
              <w:rPr>
                <w:color w:val="auto"/>
                <w:sz w:val="24"/>
              </w:rPr>
            </w:pPr>
          </w:p>
          <w:p w14:paraId="4A5BA8B0">
            <w:pPr>
              <w:spacing w:line="360" w:lineRule="auto"/>
              <w:jc w:val="center"/>
              <w:rPr>
                <w:color w:val="auto"/>
                <w:sz w:val="24"/>
              </w:rPr>
            </w:pPr>
          </w:p>
          <w:p w14:paraId="0B2AFDEB">
            <w:pPr>
              <w:spacing w:line="360" w:lineRule="auto"/>
              <w:jc w:val="center"/>
              <w:rPr>
                <w:color w:val="auto"/>
                <w:sz w:val="24"/>
              </w:rPr>
            </w:pPr>
          </w:p>
          <w:p w14:paraId="07216CEC">
            <w:pPr>
              <w:spacing w:line="360" w:lineRule="auto"/>
              <w:jc w:val="center"/>
              <w:rPr>
                <w:color w:val="auto"/>
                <w:sz w:val="24"/>
              </w:rPr>
            </w:pPr>
          </w:p>
          <w:p w14:paraId="231D8D24">
            <w:pPr>
              <w:spacing w:line="360" w:lineRule="auto"/>
              <w:jc w:val="center"/>
              <w:rPr>
                <w:color w:val="auto"/>
                <w:sz w:val="24"/>
              </w:rPr>
            </w:pPr>
          </w:p>
          <w:p w14:paraId="47CFE8A0">
            <w:pPr>
              <w:spacing w:line="360" w:lineRule="auto"/>
              <w:jc w:val="center"/>
              <w:rPr>
                <w:color w:val="auto"/>
                <w:sz w:val="24"/>
              </w:rPr>
            </w:pPr>
          </w:p>
          <w:p w14:paraId="437E13FE">
            <w:pPr>
              <w:spacing w:line="360" w:lineRule="auto"/>
              <w:jc w:val="center"/>
              <w:rPr>
                <w:color w:val="auto"/>
                <w:sz w:val="24"/>
              </w:rPr>
            </w:pPr>
          </w:p>
          <w:p w14:paraId="70EA6E9C">
            <w:pPr>
              <w:spacing w:line="360" w:lineRule="auto"/>
              <w:jc w:val="center"/>
              <w:rPr>
                <w:color w:val="auto"/>
                <w:sz w:val="24"/>
              </w:rPr>
            </w:pPr>
          </w:p>
          <w:p w14:paraId="5380A270">
            <w:pPr>
              <w:spacing w:line="360" w:lineRule="auto"/>
              <w:jc w:val="center"/>
              <w:rPr>
                <w:color w:val="auto"/>
                <w:sz w:val="24"/>
              </w:rPr>
            </w:pPr>
          </w:p>
          <w:p w14:paraId="75CFB28D">
            <w:pPr>
              <w:spacing w:line="360" w:lineRule="auto"/>
              <w:jc w:val="center"/>
              <w:rPr>
                <w:color w:val="auto"/>
                <w:sz w:val="24"/>
              </w:rPr>
            </w:pPr>
          </w:p>
          <w:p w14:paraId="4CD0F99C">
            <w:pPr>
              <w:spacing w:line="360" w:lineRule="auto"/>
              <w:jc w:val="center"/>
              <w:rPr>
                <w:color w:val="auto"/>
                <w:sz w:val="24"/>
              </w:rPr>
            </w:pPr>
          </w:p>
          <w:p w14:paraId="6EABF1CD">
            <w:pPr>
              <w:spacing w:line="360" w:lineRule="auto"/>
              <w:jc w:val="center"/>
              <w:rPr>
                <w:color w:val="auto"/>
                <w:sz w:val="24"/>
              </w:rPr>
            </w:pPr>
          </w:p>
          <w:p w14:paraId="244E275A">
            <w:pPr>
              <w:spacing w:line="360" w:lineRule="auto"/>
              <w:jc w:val="center"/>
              <w:rPr>
                <w:color w:val="auto"/>
                <w:sz w:val="24"/>
              </w:rPr>
            </w:pPr>
          </w:p>
        </w:tc>
      </w:tr>
    </w:tbl>
    <w:p w14:paraId="3AAE23AC">
      <w:pPr>
        <w:spacing w:line="360" w:lineRule="auto"/>
        <w:ind w:firstLine="480" w:firstLineChars="200"/>
        <w:rPr>
          <w:color w:val="auto"/>
          <w:sz w:val="24"/>
        </w:rPr>
        <w:sectPr>
          <w:pgSz w:w="11906" w:h="16838"/>
          <w:pgMar w:top="1701" w:right="1418" w:bottom="1701" w:left="1418"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2835"/>
      </w:tblGrid>
      <w:tr w14:paraId="74873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14:paraId="3BA29344">
            <w:pPr>
              <w:spacing w:line="360" w:lineRule="auto"/>
              <w:jc w:val="center"/>
              <w:rPr>
                <w:color w:val="auto"/>
                <w:sz w:val="24"/>
              </w:rPr>
            </w:pPr>
            <w:r>
              <w:rPr>
                <w:rFonts w:hint="eastAsia" w:ascii="宋体" w:hAnsi="宋体"/>
                <w:bCs/>
                <w:color w:val="auto"/>
                <w:szCs w:val="21"/>
              </w:rPr>
              <w:t>运营期环境影响和保护措施</w:t>
            </w:r>
          </w:p>
        </w:tc>
        <w:tc>
          <w:tcPr>
            <w:tcW w:w="12835" w:type="dxa"/>
            <w:vAlign w:val="center"/>
          </w:tcPr>
          <w:p w14:paraId="3A6330FF">
            <w:pPr>
              <w:spacing w:line="360" w:lineRule="auto"/>
              <w:ind w:firstLine="422" w:firstLineChars="200"/>
              <w:jc w:val="center"/>
              <w:rPr>
                <w:b/>
                <w:color w:val="auto"/>
                <w:szCs w:val="21"/>
              </w:rPr>
            </w:pPr>
            <w:r>
              <w:rPr>
                <w:rFonts w:hint="eastAsia"/>
                <w:b/>
                <w:color w:val="auto"/>
                <w:szCs w:val="21"/>
              </w:rPr>
              <w:t>表4-</w:t>
            </w:r>
            <w:r>
              <w:rPr>
                <w:rFonts w:hint="eastAsia"/>
                <w:b/>
                <w:color w:val="auto"/>
                <w:szCs w:val="21"/>
                <w:lang w:val="en-US" w:eastAsia="zh-CN"/>
              </w:rPr>
              <w:t>7</w:t>
            </w:r>
            <w:r>
              <w:rPr>
                <w:rFonts w:hint="eastAsia"/>
                <w:b/>
                <w:color w:val="auto"/>
                <w:szCs w:val="21"/>
              </w:rPr>
              <w:t xml:space="preserve">  建设项目噪声源强调查清单（室外声源）</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8"/>
              <w:gridCol w:w="2117"/>
              <w:gridCol w:w="2107"/>
              <w:gridCol w:w="1123"/>
              <w:gridCol w:w="1136"/>
              <w:gridCol w:w="1127"/>
              <w:gridCol w:w="1504"/>
              <w:gridCol w:w="1404"/>
              <w:gridCol w:w="1463"/>
            </w:tblGrid>
            <w:tr w14:paraId="087C5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Merge w:val="restart"/>
                  <w:vAlign w:val="center"/>
                </w:tcPr>
                <w:p w14:paraId="5CC543D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序号</w:t>
                  </w:r>
                </w:p>
              </w:tc>
              <w:tc>
                <w:tcPr>
                  <w:tcW w:w="2117" w:type="dxa"/>
                  <w:vMerge w:val="restart"/>
                  <w:vAlign w:val="center"/>
                </w:tcPr>
                <w:p w14:paraId="3D972F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声源名称</w:t>
                  </w:r>
                </w:p>
              </w:tc>
              <w:tc>
                <w:tcPr>
                  <w:tcW w:w="2107" w:type="dxa"/>
                  <w:vMerge w:val="restart"/>
                  <w:vAlign w:val="center"/>
                </w:tcPr>
                <w:p w14:paraId="32CD43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型号</w:t>
                  </w:r>
                </w:p>
              </w:tc>
              <w:tc>
                <w:tcPr>
                  <w:tcW w:w="3386" w:type="dxa"/>
                  <w:gridSpan w:val="3"/>
                  <w:vAlign w:val="center"/>
                </w:tcPr>
                <w:p w14:paraId="24A633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空间相对位置（m）</w:t>
                  </w:r>
                </w:p>
              </w:tc>
              <w:tc>
                <w:tcPr>
                  <w:tcW w:w="1504" w:type="dxa"/>
                  <w:vMerge w:val="restart"/>
                  <w:vAlign w:val="center"/>
                </w:tcPr>
                <w:p w14:paraId="14F130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声压级/距声源距离（dB(A)/m</w:t>
                  </w:r>
                  <w:r>
                    <w:rPr>
                      <w:rFonts w:hint="eastAsia"/>
                      <w:b/>
                      <w:color w:val="auto"/>
                      <w:szCs w:val="21"/>
                      <w:lang w:eastAsia="zh-CN"/>
                    </w:rPr>
                    <w:t>）</w:t>
                  </w:r>
                  <w:r>
                    <w:rPr>
                      <w:rFonts w:hint="eastAsia"/>
                      <w:b/>
                      <w:color w:val="auto"/>
                      <w:szCs w:val="21"/>
                    </w:rPr>
                    <w:t>）</w:t>
                  </w:r>
                </w:p>
              </w:tc>
              <w:tc>
                <w:tcPr>
                  <w:tcW w:w="1404" w:type="dxa"/>
                  <w:vMerge w:val="restart"/>
                  <w:vAlign w:val="center"/>
                </w:tcPr>
                <w:p w14:paraId="69D67E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声源控制措施</w:t>
                  </w:r>
                </w:p>
              </w:tc>
              <w:tc>
                <w:tcPr>
                  <w:tcW w:w="1463" w:type="dxa"/>
                  <w:vMerge w:val="restart"/>
                  <w:vAlign w:val="center"/>
                </w:tcPr>
                <w:p w14:paraId="1683D1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运行时段</w:t>
                  </w:r>
                </w:p>
              </w:tc>
            </w:tr>
            <w:tr w14:paraId="6AF26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Merge w:val="continue"/>
                  <w:vAlign w:val="center"/>
                </w:tcPr>
                <w:p w14:paraId="645809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p>
              </w:tc>
              <w:tc>
                <w:tcPr>
                  <w:tcW w:w="2117" w:type="dxa"/>
                  <w:vMerge w:val="continue"/>
                  <w:vAlign w:val="center"/>
                </w:tcPr>
                <w:p w14:paraId="3DCAC7C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p>
              </w:tc>
              <w:tc>
                <w:tcPr>
                  <w:tcW w:w="2107" w:type="dxa"/>
                  <w:vMerge w:val="continue"/>
                  <w:vAlign w:val="center"/>
                </w:tcPr>
                <w:p w14:paraId="7B759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p>
              </w:tc>
              <w:tc>
                <w:tcPr>
                  <w:tcW w:w="1123" w:type="dxa"/>
                  <w:vAlign w:val="center"/>
                </w:tcPr>
                <w:p w14:paraId="49F65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X</w:t>
                  </w:r>
                </w:p>
              </w:tc>
              <w:tc>
                <w:tcPr>
                  <w:tcW w:w="1136" w:type="dxa"/>
                  <w:vAlign w:val="center"/>
                </w:tcPr>
                <w:p w14:paraId="7A58F4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Y</w:t>
                  </w:r>
                </w:p>
              </w:tc>
              <w:tc>
                <w:tcPr>
                  <w:tcW w:w="1127" w:type="dxa"/>
                  <w:vAlign w:val="center"/>
                </w:tcPr>
                <w:p w14:paraId="7A90E1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b/>
                      <w:color w:val="auto"/>
                      <w:szCs w:val="21"/>
                    </w:rPr>
                  </w:pPr>
                  <w:r>
                    <w:rPr>
                      <w:rFonts w:hint="eastAsia"/>
                      <w:b/>
                      <w:color w:val="auto"/>
                      <w:szCs w:val="21"/>
                    </w:rPr>
                    <w:t>Z</w:t>
                  </w:r>
                </w:p>
              </w:tc>
              <w:tc>
                <w:tcPr>
                  <w:tcW w:w="1504" w:type="dxa"/>
                  <w:vMerge w:val="continue"/>
                  <w:vAlign w:val="center"/>
                </w:tcPr>
                <w:p w14:paraId="278730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p>
              </w:tc>
              <w:tc>
                <w:tcPr>
                  <w:tcW w:w="1404" w:type="dxa"/>
                  <w:vMerge w:val="continue"/>
                  <w:vAlign w:val="center"/>
                </w:tcPr>
                <w:p w14:paraId="0756B11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p>
              </w:tc>
              <w:tc>
                <w:tcPr>
                  <w:tcW w:w="1463" w:type="dxa"/>
                  <w:vMerge w:val="continue"/>
                  <w:vAlign w:val="center"/>
                </w:tcPr>
                <w:p w14:paraId="48E6395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p>
              </w:tc>
            </w:tr>
            <w:tr w14:paraId="01A96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Align w:val="center"/>
                </w:tcPr>
                <w:p w14:paraId="6A192B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1</w:t>
                  </w:r>
                </w:p>
              </w:tc>
              <w:tc>
                <w:tcPr>
                  <w:tcW w:w="2117" w:type="dxa"/>
                  <w:vAlign w:val="center"/>
                </w:tcPr>
                <w:p w14:paraId="60D544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eastAsia="zh-CN"/>
                    </w:rPr>
                  </w:pPr>
                  <w:r>
                    <w:rPr>
                      <w:rFonts w:hint="eastAsia"/>
                      <w:color w:val="auto"/>
                      <w:szCs w:val="21"/>
                    </w:rPr>
                    <w:t>1#</w:t>
                  </w:r>
                  <w:r>
                    <w:rPr>
                      <w:rFonts w:hint="eastAsia"/>
                      <w:color w:val="auto"/>
                      <w:szCs w:val="21"/>
                      <w:lang w:eastAsia="zh-CN"/>
                    </w:rPr>
                    <w:t>风机</w:t>
                  </w:r>
                </w:p>
              </w:tc>
              <w:tc>
                <w:tcPr>
                  <w:tcW w:w="2107" w:type="dxa"/>
                  <w:vAlign w:val="center"/>
                </w:tcPr>
                <w:p w14:paraId="08FE5D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eastAsia="zh-CN"/>
                    </w:rPr>
                  </w:pPr>
                  <w:r>
                    <w:rPr>
                      <w:rFonts w:hint="eastAsia"/>
                      <w:color w:val="auto"/>
                      <w:kern w:val="0"/>
                      <w:szCs w:val="21"/>
                      <w:lang w:val="en-US" w:eastAsia="zh-CN"/>
                    </w:rPr>
                    <w:t>/</w:t>
                  </w:r>
                </w:p>
              </w:tc>
              <w:tc>
                <w:tcPr>
                  <w:tcW w:w="1123" w:type="dxa"/>
                  <w:vAlign w:val="center"/>
                </w:tcPr>
                <w:p w14:paraId="6646318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eastAsia="zh-CN"/>
                    </w:rPr>
                  </w:pPr>
                  <w:r>
                    <w:rPr>
                      <w:rFonts w:hint="eastAsia"/>
                      <w:color w:val="auto"/>
                      <w:szCs w:val="21"/>
                      <w:lang w:val="en-US" w:eastAsia="zh-CN"/>
                    </w:rPr>
                    <w:t>8</w:t>
                  </w:r>
                </w:p>
              </w:tc>
              <w:tc>
                <w:tcPr>
                  <w:tcW w:w="1136" w:type="dxa"/>
                  <w:vAlign w:val="center"/>
                </w:tcPr>
                <w:p w14:paraId="46CD67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6</w:t>
                  </w:r>
                </w:p>
              </w:tc>
              <w:tc>
                <w:tcPr>
                  <w:tcW w:w="1127" w:type="dxa"/>
                  <w:vAlign w:val="center"/>
                </w:tcPr>
                <w:p w14:paraId="4C9663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1.5</w:t>
                  </w:r>
                </w:p>
              </w:tc>
              <w:tc>
                <w:tcPr>
                  <w:tcW w:w="1504" w:type="dxa"/>
                  <w:vAlign w:val="center"/>
                </w:tcPr>
                <w:p w14:paraId="6048E0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rPr>
                    <w:t>85</w:t>
                  </w:r>
                  <w:r>
                    <w:rPr>
                      <w:rFonts w:hint="eastAsia"/>
                      <w:color w:val="auto"/>
                      <w:szCs w:val="21"/>
                      <w:lang w:val="en-US" w:eastAsia="zh-CN"/>
                    </w:rPr>
                    <w:t>/1</w:t>
                  </w:r>
                </w:p>
              </w:tc>
              <w:tc>
                <w:tcPr>
                  <w:tcW w:w="1404" w:type="dxa"/>
                  <w:vMerge w:val="restart"/>
                  <w:vAlign w:val="center"/>
                </w:tcPr>
                <w:p w14:paraId="3AFD64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减振、隔声</w:t>
                  </w:r>
                </w:p>
              </w:tc>
              <w:tc>
                <w:tcPr>
                  <w:tcW w:w="1463" w:type="dxa"/>
                  <w:vAlign w:val="center"/>
                </w:tcPr>
                <w:p w14:paraId="7A1D41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bCs/>
                      <w:color w:val="auto"/>
                      <w:szCs w:val="21"/>
                    </w:rPr>
                    <w:t>8</w:t>
                  </w:r>
                  <w:r>
                    <w:rPr>
                      <w:rFonts w:hint="eastAsia"/>
                      <w:bCs/>
                      <w:color w:val="auto"/>
                      <w:szCs w:val="21"/>
                      <w:lang w:eastAsia="zh-CN"/>
                    </w:rPr>
                    <w:t>:</w:t>
                  </w:r>
                  <w:r>
                    <w:rPr>
                      <w:bCs/>
                      <w:color w:val="auto"/>
                      <w:szCs w:val="21"/>
                    </w:rPr>
                    <w:t>00-12:00，14:00-18:00</w:t>
                  </w:r>
                </w:p>
              </w:tc>
            </w:tr>
            <w:tr w14:paraId="05581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Align w:val="center"/>
                </w:tcPr>
                <w:p w14:paraId="2A5E6C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rFonts w:hint="eastAsia"/>
                      <w:color w:val="auto"/>
                      <w:szCs w:val="21"/>
                      <w:lang w:val="en-US" w:eastAsia="zh-CN"/>
                    </w:rPr>
                    <w:t>2</w:t>
                  </w:r>
                </w:p>
              </w:tc>
              <w:tc>
                <w:tcPr>
                  <w:tcW w:w="2117" w:type="dxa"/>
                  <w:vAlign w:val="center"/>
                </w:tcPr>
                <w:p w14:paraId="2CF8E3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lang w:val="en-US" w:eastAsia="zh-CN"/>
                    </w:rPr>
                    <w:t>2</w:t>
                  </w:r>
                  <w:r>
                    <w:rPr>
                      <w:rFonts w:hint="eastAsia"/>
                      <w:color w:val="auto"/>
                      <w:szCs w:val="21"/>
                    </w:rPr>
                    <w:t>#</w:t>
                  </w:r>
                  <w:r>
                    <w:rPr>
                      <w:rFonts w:hint="eastAsia"/>
                      <w:color w:val="auto"/>
                      <w:szCs w:val="21"/>
                      <w:lang w:eastAsia="zh-CN"/>
                    </w:rPr>
                    <w:t>风机</w:t>
                  </w:r>
                </w:p>
              </w:tc>
              <w:tc>
                <w:tcPr>
                  <w:tcW w:w="2107" w:type="dxa"/>
                  <w:vAlign w:val="center"/>
                </w:tcPr>
                <w:p w14:paraId="691E8E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Cs w:val="21"/>
                      <w:lang w:val="en-US" w:eastAsia="zh-CN"/>
                    </w:rPr>
                  </w:pPr>
                  <w:r>
                    <w:rPr>
                      <w:rFonts w:hint="eastAsia"/>
                      <w:color w:val="auto"/>
                      <w:kern w:val="0"/>
                      <w:szCs w:val="21"/>
                      <w:lang w:val="en-US" w:eastAsia="zh-CN"/>
                    </w:rPr>
                    <w:t>/</w:t>
                  </w:r>
                </w:p>
              </w:tc>
              <w:tc>
                <w:tcPr>
                  <w:tcW w:w="1123" w:type="dxa"/>
                  <w:vAlign w:val="center"/>
                </w:tcPr>
                <w:p w14:paraId="43FD96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10</w:t>
                  </w:r>
                </w:p>
              </w:tc>
              <w:tc>
                <w:tcPr>
                  <w:tcW w:w="1136" w:type="dxa"/>
                  <w:vAlign w:val="center"/>
                </w:tcPr>
                <w:p w14:paraId="03366A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6</w:t>
                  </w:r>
                </w:p>
              </w:tc>
              <w:tc>
                <w:tcPr>
                  <w:tcW w:w="1127" w:type="dxa"/>
                  <w:vAlign w:val="center"/>
                </w:tcPr>
                <w:p w14:paraId="696CF79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1.5</w:t>
                  </w:r>
                </w:p>
              </w:tc>
              <w:tc>
                <w:tcPr>
                  <w:tcW w:w="1504" w:type="dxa"/>
                  <w:vAlign w:val="center"/>
                </w:tcPr>
                <w:p w14:paraId="69BF74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85</w:t>
                  </w:r>
                  <w:r>
                    <w:rPr>
                      <w:rFonts w:hint="eastAsia"/>
                      <w:color w:val="auto"/>
                      <w:szCs w:val="21"/>
                      <w:lang w:val="en-US" w:eastAsia="zh-CN"/>
                    </w:rPr>
                    <w:t>/1</w:t>
                  </w:r>
                </w:p>
              </w:tc>
              <w:tc>
                <w:tcPr>
                  <w:tcW w:w="1404" w:type="dxa"/>
                  <w:vMerge w:val="continue"/>
                  <w:vAlign w:val="center"/>
                </w:tcPr>
                <w:p w14:paraId="764E41C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tc>
              <w:tc>
                <w:tcPr>
                  <w:tcW w:w="1463" w:type="dxa"/>
                  <w:vAlign w:val="center"/>
                </w:tcPr>
                <w:p w14:paraId="4F5573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bCs/>
                      <w:color w:val="auto"/>
                      <w:szCs w:val="21"/>
                    </w:rPr>
                    <w:t>8</w:t>
                  </w:r>
                  <w:r>
                    <w:rPr>
                      <w:rFonts w:hint="eastAsia"/>
                      <w:bCs/>
                      <w:color w:val="auto"/>
                      <w:szCs w:val="21"/>
                      <w:lang w:eastAsia="zh-CN"/>
                    </w:rPr>
                    <w:t>:</w:t>
                  </w:r>
                  <w:r>
                    <w:rPr>
                      <w:bCs/>
                      <w:color w:val="auto"/>
                      <w:szCs w:val="21"/>
                    </w:rPr>
                    <w:t>00-12:00，14:00-18:00</w:t>
                  </w:r>
                </w:p>
              </w:tc>
            </w:tr>
            <w:tr w14:paraId="7755E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Align w:val="center"/>
                </w:tcPr>
                <w:p w14:paraId="55AFDD1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rFonts w:hint="eastAsia"/>
                      <w:color w:val="auto"/>
                      <w:szCs w:val="21"/>
                      <w:lang w:val="en-US" w:eastAsia="zh-CN"/>
                    </w:rPr>
                    <w:t>3</w:t>
                  </w:r>
                </w:p>
              </w:tc>
              <w:tc>
                <w:tcPr>
                  <w:tcW w:w="2117" w:type="dxa"/>
                  <w:vAlign w:val="center"/>
                </w:tcPr>
                <w:p w14:paraId="38826E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lang w:val="en-US" w:eastAsia="zh-CN"/>
                    </w:rPr>
                    <w:t>3</w:t>
                  </w:r>
                  <w:r>
                    <w:rPr>
                      <w:rFonts w:hint="eastAsia"/>
                      <w:color w:val="auto"/>
                      <w:szCs w:val="21"/>
                    </w:rPr>
                    <w:t>#</w:t>
                  </w:r>
                  <w:r>
                    <w:rPr>
                      <w:rFonts w:hint="eastAsia"/>
                      <w:color w:val="auto"/>
                      <w:szCs w:val="21"/>
                      <w:lang w:eastAsia="zh-CN"/>
                    </w:rPr>
                    <w:t>风机</w:t>
                  </w:r>
                </w:p>
              </w:tc>
              <w:tc>
                <w:tcPr>
                  <w:tcW w:w="2107" w:type="dxa"/>
                  <w:vAlign w:val="center"/>
                </w:tcPr>
                <w:p w14:paraId="2CCE3C8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Cs w:val="21"/>
                      <w:lang w:val="en-US" w:eastAsia="zh-CN"/>
                    </w:rPr>
                  </w:pPr>
                  <w:r>
                    <w:rPr>
                      <w:rFonts w:hint="eastAsia"/>
                      <w:color w:val="auto"/>
                      <w:kern w:val="0"/>
                      <w:szCs w:val="21"/>
                      <w:lang w:val="en-US" w:eastAsia="zh-CN"/>
                    </w:rPr>
                    <w:t>/</w:t>
                  </w:r>
                </w:p>
              </w:tc>
              <w:tc>
                <w:tcPr>
                  <w:tcW w:w="1123" w:type="dxa"/>
                  <w:vAlign w:val="center"/>
                </w:tcPr>
                <w:p w14:paraId="6D29B3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25</w:t>
                  </w:r>
                </w:p>
              </w:tc>
              <w:tc>
                <w:tcPr>
                  <w:tcW w:w="1136" w:type="dxa"/>
                  <w:vAlign w:val="center"/>
                </w:tcPr>
                <w:p w14:paraId="076BE3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6</w:t>
                  </w:r>
                </w:p>
              </w:tc>
              <w:tc>
                <w:tcPr>
                  <w:tcW w:w="1127" w:type="dxa"/>
                  <w:vAlign w:val="center"/>
                </w:tcPr>
                <w:p w14:paraId="0E4F25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val="en-US" w:eastAsia="zh-CN"/>
                    </w:rPr>
                  </w:pPr>
                  <w:r>
                    <w:rPr>
                      <w:rFonts w:hint="eastAsia"/>
                      <w:color w:val="auto"/>
                      <w:szCs w:val="21"/>
                      <w:lang w:val="en-US" w:eastAsia="zh-CN"/>
                    </w:rPr>
                    <w:t>1.5</w:t>
                  </w:r>
                </w:p>
              </w:tc>
              <w:tc>
                <w:tcPr>
                  <w:tcW w:w="1504" w:type="dxa"/>
                  <w:vAlign w:val="center"/>
                </w:tcPr>
                <w:p w14:paraId="7372DD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85</w:t>
                  </w:r>
                  <w:r>
                    <w:rPr>
                      <w:rFonts w:hint="eastAsia"/>
                      <w:color w:val="auto"/>
                      <w:szCs w:val="21"/>
                      <w:lang w:val="en-US" w:eastAsia="zh-CN"/>
                    </w:rPr>
                    <w:t>/1</w:t>
                  </w:r>
                </w:p>
              </w:tc>
              <w:tc>
                <w:tcPr>
                  <w:tcW w:w="1404" w:type="dxa"/>
                  <w:vMerge w:val="continue"/>
                  <w:vAlign w:val="center"/>
                </w:tcPr>
                <w:p w14:paraId="6B1F2C4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tc>
              <w:tc>
                <w:tcPr>
                  <w:tcW w:w="1463" w:type="dxa"/>
                  <w:vAlign w:val="center"/>
                </w:tcPr>
                <w:p w14:paraId="4BCBD3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bCs/>
                      <w:color w:val="auto"/>
                      <w:szCs w:val="21"/>
                    </w:rPr>
                    <w:t>8</w:t>
                  </w:r>
                  <w:r>
                    <w:rPr>
                      <w:rFonts w:hint="eastAsia"/>
                      <w:bCs/>
                      <w:color w:val="auto"/>
                      <w:szCs w:val="21"/>
                      <w:lang w:eastAsia="zh-CN"/>
                    </w:rPr>
                    <w:t>:</w:t>
                  </w:r>
                  <w:r>
                    <w:rPr>
                      <w:bCs/>
                      <w:color w:val="auto"/>
                      <w:szCs w:val="21"/>
                    </w:rPr>
                    <w:t>00-12:00，14:00-18:00</w:t>
                  </w:r>
                </w:p>
              </w:tc>
            </w:tr>
            <w:tr w14:paraId="371AE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Align w:val="center"/>
                </w:tcPr>
                <w:p w14:paraId="648D62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rFonts w:hint="eastAsia"/>
                      <w:color w:val="auto"/>
                      <w:szCs w:val="21"/>
                      <w:lang w:val="en-US" w:eastAsia="zh-CN"/>
                    </w:rPr>
                    <w:t>4</w:t>
                  </w:r>
                </w:p>
              </w:tc>
              <w:tc>
                <w:tcPr>
                  <w:tcW w:w="2117" w:type="dxa"/>
                  <w:vAlign w:val="center"/>
                </w:tcPr>
                <w:p w14:paraId="1101FB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lang w:val="en-US" w:eastAsia="zh-CN"/>
                    </w:rPr>
                    <w:t>4</w:t>
                  </w:r>
                  <w:r>
                    <w:rPr>
                      <w:rFonts w:hint="eastAsia"/>
                      <w:color w:val="auto"/>
                      <w:szCs w:val="21"/>
                    </w:rPr>
                    <w:t>#</w:t>
                  </w:r>
                  <w:r>
                    <w:rPr>
                      <w:rFonts w:hint="eastAsia"/>
                      <w:color w:val="auto"/>
                      <w:szCs w:val="21"/>
                      <w:lang w:eastAsia="zh-CN"/>
                    </w:rPr>
                    <w:t>风机</w:t>
                  </w:r>
                </w:p>
              </w:tc>
              <w:tc>
                <w:tcPr>
                  <w:tcW w:w="2107" w:type="dxa"/>
                  <w:vAlign w:val="center"/>
                </w:tcPr>
                <w:p w14:paraId="518919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Cs w:val="21"/>
                      <w:lang w:val="en-US" w:eastAsia="zh-CN"/>
                    </w:rPr>
                  </w:pPr>
                  <w:r>
                    <w:rPr>
                      <w:rFonts w:hint="eastAsia"/>
                      <w:color w:val="auto"/>
                      <w:kern w:val="0"/>
                      <w:szCs w:val="21"/>
                      <w:lang w:val="en-US" w:eastAsia="zh-CN"/>
                    </w:rPr>
                    <w:t>/</w:t>
                  </w:r>
                </w:p>
              </w:tc>
              <w:tc>
                <w:tcPr>
                  <w:tcW w:w="1123" w:type="dxa"/>
                  <w:vAlign w:val="center"/>
                </w:tcPr>
                <w:p w14:paraId="4053A2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30</w:t>
                  </w:r>
                </w:p>
              </w:tc>
              <w:tc>
                <w:tcPr>
                  <w:tcW w:w="1136" w:type="dxa"/>
                  <w:vAlign w:val="center"/>
                </w:tcPr>
                <w:p w14:paraId="611774B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6</w:t>
                  </w:r>
                </w:p>
              </w:tc>
              <w:tc>
                <w:tcPr>
                  <w:tcW w:w="1127" w:type="dxa"/>
                  <w:vAlign w:val="center"/>
                </w:tcPr>
                <w:p w14:paraId="158D2C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val="en-US" w:eastAsia="zh-CN"/>
                    </w:rPr>
                  </w:pPr>
                  <w:r>
                    <w:rPr>
                      <w:rFonts w:hint="eastAsia"/>
                      <w:color w:val="auto"/>
                      <w:szCs w:val="21"/>
                      <w:lang w:val="en-US" w:eastAsia="zh-CN"/>
                    </w:rPr>
                    <w:t>1.5</w:t>
                  </w:r>
                </w:p>
              </w:tc>
              <w:tc>
                <w:tcPr>
                  <w:tcW w:w="1504" w:type="dxa"/>
                  <w:vAlign w:val="center"/>
                </w:tcPr>
                <w:p w14:paraId="27E0E8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85</w:t>
                  </w:r>
                  <w:r>
                    <w:rPr>
                      <w:rFonts w:hint="eastAsia"/>
                      <w:color w:val="auto"/>
                      <w:szCs w:val="21"/>
                      <w:lang w:val="en-US" w:eastAsia="zh-CN"/>
                    </w:rPr>
                    <w:t>/1</w:t>
                  </w:r>
                </w:p>
              </w:tc>
              <w:tc>
                <w:tcPr>
                  <w:tcW w:w="1404" w:type="dxa"/>
                  <w:vMerge w:val="continue"/>
                  <w:vAlign w:val="center"/>
                </w:tcPr>
                <w:p w14:paraId="631E65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tc>
              <w:tc>
                <w:tcPr>
                  <w:tcW w:w="1463" w:type="dxa"/>
                  <w:vAlign w:val="center"/>
                </w:tcPr>
                <w:p w14:paraId="63E912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bCs/>
                      <w:color w:val="auto"/>
                      <w:szCs w:val="21"/>
                    </w:rPr>
                    <w:t>8</w:t>
                  </w:r>
                  <w:r>
                    <w:rPr>
                      <w:rFonts w:hint="eastAsia"/>
                      <w:bCs/>
                      <w:color w:val="auto"/>
                      <w:szCs w:val="21"/>
                      <w:lang w:eastAsia="zh-CN"/>
                    </w:rPr>
                    <w:t>:</w:t>
                  </w:r>
                  <w:r>
                    <w:rPr>
                      <w:bCs/>
                      <w:color w:val="auto"/>
                      <w:szCs w:val="21"/>
                    </w:rPr>
                    <w:t>00-12:00，14:00-18:00</w:t>
                  </w:r>
                </w:p>
              </w:tc>
            </w:tr>
            <w:tr w14:paraId="5E22D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Align w:val="center"/>
                </w:tcPr>
                <w:p w14:paraId="3992EC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rFonts w:hint="eastAsia"/>
                      <w:color w:val="auto"/>
                      <w:szCs w:val="21"/>
                      <w:lang w:val="en-US" w:eastAsia="zh-CN"/>
                    </w:rPr>
                    <w:t>5</w:t>
                  </w:r>
                </w:p>
              </w:tc>
              <w:tc>
                <w:tcPr>
                  <w:tcW w:w="2117" w:type="dxa"/>
                  <w:vAlign w:val="center"/>
                </w:tcPr>
                <w:p w14:paraId="5ECDA1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lang w:val="en-US" w:eastAsia="zh-CN"/>
                    </w:rPr>
                    <w:t>5</w:t>
                  </w:r>
                  <w:r>
                    <w:rPr>
                      <w:rFonts w:hint="eastAsia"/>
                      <w:color w:val="auto"/>
                      <w:szCs w:val="21"/>
                    </w:rPr>
                    <w:t>#</w:t>
                  </w:r>
                  <w:r>
                    <w:rPr>
                      <w:rFonts w:hint="eastAsia"/>
                      <w:color w:val="auto"/>
                      <w:szCs w:val="21"/>
                      <w:lang w:eastAsia="zh-CN"/>
                    </w:rPr>
                    <w:t>风机</w:t>
                  </w:r>
                </w:p>
              </w:tc>
              <w:tc>
                <w:tcPr>
                  <w:tcW w:w="2107" w:type="dxa"/>
                  <w:vAlign w:val="center"/>
                </w:tcPr>
                <w:p w14:paraId="61EE169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Cs w:val="21"/>
                      <w:lang w:val="en-US" w:eastAsia="zh-CN"/>
                    </w:rPr>
                  </w:pPr>
                  <w:r>
                    <w:rPr>
                      <w:rFonts w:hint="eastAsia"/>
                      <w:color w:val="auto"/>
                      <w:kern w:val="0"/>
                      <w:szCs w:val="21"/>
                      <w:lang w:val="en-US" w:eastAsia="zh-CN"/>
                    </w:rPr>
                    <w:t>/</w:t>
                  </w:r>
                </w:p>
              </w:tc>
              <w:tc>
                <w:tcPr>
                  <w:tcW w:w="1123" w:type="dxa"/>
                  <w:vAlign w:val="center"/>
                </w:tcPr>
                <w:p w14:paraId="57ECB8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35</w:t>
                  </w:r>
                </w:p>
              </w:tc>
              <w:tc>
                <w:tcPr>
                  <w:tcW w:w="1136" w:type="dxa"/>
                  <w:vAlign w:val="center"/>
                </w:tcPr>
                <w:p w14:paraId="7EDBDF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6</w:t>
                  </w:r>
                </w:p>
              </w:tc>
              <w:tc>
                <w:tcPr>
                  <w:tcW w:w="1127" w:type="dxa"/>
                  <w:vAlign w:val="center"/>
                </w:tcPr>
                <w:p w14:paraId="35391F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val="en-US" w:eastAsia="zh-CN"/>
                    </w:rPr>
                  </w:pPr>
                  <w:r>
                    <w:rPr>
                      <w:rFonts w:hint="eastAsia"/>
                      <w:color w:val="auto"/>
                      <w:szCs w:val="21"/>
                      <w:lang w:val="en-US" w:eastAsia="zh-CN"/>
                    </w:rPr>
                    <w:t>1.5</w:t>
                  </w:r>
                </w:p>
              </w:tc>
              <w:tc>
                <w:tcPr>
                  <w:tcW w:w="1504" w:type="dxa"/>
                  <w:vAlign w:val="center"/>
                </w:tcPr>
                <w:p w14:paraId="376491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85</w:t>
                  </w:r>
                  <w:r>
                    <w:rPr>
                      <w:rFonts w:hint="eastAsia"/>
                      <w:color w:val="auto"/>
                      <w:szCs w:val="21"/>
                      <w:lang w:val="en-US" w:eastAsia="zh-CN"/>
                    </w:rPr>
                    <w:t>/1</w:t>
                  </w:r>
                </w:p>
              </w:tc>
              <w:tc>
                <w:tcPr>
                  <w:tcW w:w="1404" w:type="dxa"/>
                  <w:vMerge w:val="continue"/>
                  <w:vAlign w:val="center"/>
                </w:tcPr>
                <w:p w14:paraId="790D27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tc>
              <w:tc>
                <w:tcPr>
                  <w:tcW w:w="1463" w:type="dxa"/>
                  <w:vAlign w:val="center"/>
                </w:tcPr>
                <w:p w14:paraId="33C7504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bCs/>
                      <w:color w:val="auto"/>
                      <w:szCs w:val="21"/>
                    </w:rPr>
                    <w:t>8</w:t>
                  </w:r>
                  <w:r>
                    <w:rPr>
                      <w:rFonts w:hint="eastAsia"/>
                      <w:bCs/>
                      <w:color w:val="auto"/>
                      <w:szCs w:val="21"/>
                      <w:lang w:eastAsia="zh-CN"/>
                    </w:rPr>
                    <w:t>:</w:t>
                  </w:r>
                  <w:r>
                    <w:rPr>
                      <w:bCs/>
                      <w:color w:val="auto"/>
                      <w:szCs w:val="21"/>
                    </w:rPr>
                    <w:t>00-12:00，14:00-18:00</w:t>
                  </w:r>
                </w:p>
              </w:tc>
            </w:tr>
            <w:tr w14:paraId="37FE0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Align w:val="center"/>
                </w:tcPr>
                <w:p w14:paraId="798A6D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rFonts w:hint="eastAsia"/>
                      <w:color w:val="auto"/>
                      <w:szCs w:val="21"/>
                      <w:lang w:val="en-US" w:eastAsia="zh-CN"/>
                    </w:rPr>
                    <w:t>6</w:t>
                  </w:r>
                </w:p>
              </w:tc>
              <w:tc>
                <w:tcPr>
                  <w:tcW w:w="2117" w:type="dxa"/>
                  <w:vAlign w:val="center"/>
                </w:tcPr>
                <w:p w14:paraId="4D9259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lang w:val="en-US" w:eastAsia="zh-CN"/>
                    </w:rPr>
                    <w:t>6</w:t>
                  </w:r>
                  <w:r>
                    <w:rPr>
                      <w:rFonts w:hint="eastAsia"/>
                      <w:color w:val="auto"/>
                      <w:szCs w:val="21"/>
                    </w:rPr>
                    <w:t>#</w:t>
                  </w:r>
                  <w:r>
                    <w:rPr>
                      <w:rFonts w:hint="eastAsia"/>
                      <w:color w:val="auto"/>
                      <w:szCs w:val="21"/>
                      <w:lang w:eastAsia="zh-CN"/>
                    </w:rPr>
                    <w:t>风机</w:t>
                  </w:r>
                </w:p>
              </w:tc>
              <w:tc>
                <w:tcPr>
                  <w:tcW w:w="2107" w:type="dxa"/>
                  <w:vAlign w:val="center"/>
                </w:tcPr>
                <w:p w14:paraId="140C8B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Cs w:val="21"/>
                      <w:lang w:val="en-US" w:eastAsia="zh-CN"/>
                    </w:rPr>
                  </w:pPr>
                  <w:r>
                    <w:rPr>
                      <w:rFonts w:hint="eastAsia"/>
                      <w:color w:val="auto"/>
                      <w:kern w:val="0"/>
                      <w:szCs w:val="21"/>
                      <w:lang w:val="en-US" w:eastAsia="zh-CN"/>
                    </w:rPr>
                    <w:t>/</w:t>
                  </w:r>
                </w:p>
              </w:tc>
              <w:tc>
                <w:tcPr>
                  <w:tcW w:w="1123" w:type="dxa"/>
                  <w:vAlign w:val="center"/>
                </w:tcPr>
                <w:p w14:paraId="750ACE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40</w:t>
                  </w:r>
                </w:p>
              </w:tc>
              <w:tc>
                <w:tcPr>
                  <w:tcW w:w="1136" w:type="dxa"/>
                  <w:vAlign w:val="center"/>
                </w:tcPr>
                <w:p w14:paraId="2BBE19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6</w:t>
                  </w:r>
                </w:p>
              </w:tc>
              <w:tc>
                <w:tcPr>
                  <w:tcW w:w="1127" w:type="dxa"/>
                  <w:vAlign w:val="center"/>
                </w:tcPr>
                <w:p w14:paraId="08C97F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val="en-US" w:eastAsia="zh-CN"/>
                    </w:rPr>
                  </w:pPr>
                  <w:r>
                    <w:rPr>
                      <w:rFonts w:hint="eastAsia"/>
                      <w:color w:val="auto"/>
                      <w:szCs w:val="21"/>
                      <w:lang w:val="en-US" w:eastAsia="zh-CN"/>
                    </w:rPr>
                    <w:t>1.5</w:t>
                  </w:r>
                </w:p>
              </w:tc>
              <w:tc>
                <w:tcPr>
                  <w:tcW w:w="1504" w:type="dxa"/>
                  <w:vAlign w:val="center"/>
                </w:tcPr>
                <w:p w14:paraId="519E2E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85</w:t>
                  </w:r>
                  <w:r>
                    <w:rPr>
                      <w:rFonts w:hint="eastAsia"/>
                      <w:color w:val="auto"/>
                      <w:szCs w:val="21"/>
                      <w:lang w:val="en-US" w:eastAsia="zh-CN"/>
                    </w:rPr>
                    <w:t>/1</w:t>
                  </w:r>
                </w:p>
              </w:tc>
              <w:tc>
                <w:tcPr>
                  <w:tcW w:w="1404" w:type="dxa"/>
                  <w:vMerge w:val="continue"/>
                  <w:vAlign w:val="center"/>
                </w:tcPr>
                <w:p w14:paraId="4526ED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tc>
              <w:tc>
                <w:tcPr>
                  <w:tcW w:w="1463" w:type="dxa"/>
                  <w:vAlign w:val="center"/>
                </w:tcPr>
                <w:p w14:paraId="306160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bCs/>
                      <w:color w:val="auto"/>
                      <w:szCs w:val="21"/>
                    </w:rPr>
                    <w:t>8</w:t>
                  </w:r>
                  <w:r>
                    <w:rPr>
                      <w:rFonts w:hint="eastAsia"/>
                      <w:bCs/>
                      <w:color w:val="auto"/>
                      <w:szCs w:val="21"/>
                      <w:lang w:eastAsia="zh-CN"/>
                    </w:rPr>
                    <w:t>:</w:t>
                  </w:r>
                  <w:r>
                    <w:rPr>
                      <w:bCs/>
                      <w:color w:val="auto"/>
                      <w:szCs w:val="21"/>
                    </w:rPr>
                    <w:t>00-12:00，14:00-18:00</w:t>
                  </w:r>
                </w:p>
              </w:tc>
            </w:tr>
            <w:tr w14:paraId="1D478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Align w:val="center"/>
                </w:tcPr>
                <w:p w14:paraId="5E0372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rFonts w:hint="eastAsia"/>
                      <w:color w:val="auto"/>
                      <w:szCs w:val="21"/>
                      <w:lang w:val="en-US" w:eastAsia="zh-CN"/>
                    </w:rPr>
                    <w:t>7</w:t>
                  </w:r>
                </w:p>
              </w:tc>
              <w:tc>
                <w:tcPr>
                  <w:tcW w:w="2117" w:type="dxa"/>
                  <w:vAlign w:val="center"/>
                </w:tcPr>
                <w:p w14:paraId="06B420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lang w:val="en-US" w:eastAsia="zh-CN"/>
                    </w:rPr>
                    <w:t>7</w:t>
                  </w:r>
                  <w:r>
                    <w:rPr>
                      <w:rFonts w:hint="eastAsia"/>
                      <w:color w:val="auto"/>
                      <w:szCs w:val="21"/>
                    </w:rPr>
                    <w:t>#</w:t>
                  </w:r>
                  <w:r>
                    <w:rPr>
                      <w:rFonts w:hint="eastAsia"/>
                      <w:color w:val="auto"/>
                      <w:szCs w:val="21"/>
                      <w:lang w:eastAsia="zh-CN"/>
                    </w:rPr>
                    <w:t>风机</w:t>
                  </w:r>
                </w:p>
              </w:tc>
              <w:tc>
                <w:tcPr>
                  <w:tcW w:w="2107" w:type="dxa"/>
                  <w:vAlign w:val="center"/>
                </w:tcPr>
                <w:p w14:paraId="3C32AA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Cs w:val="21"/>
                      <w:lang w:val="en-US" w:eastAsia="zh-CN"/>
                    </w:rPr>
                  </w:pPr>
                  <w:r>
                    <w:rPr>
                      <w:rFonts w:hint="eastAsia"/>
                      <w:color w:val="auto"/>
                      <w:kern w:val="0"/>
                      <w:szCs w:val="21"/>
                      <w:lang w:val="en-US" w:eastAsia="zh-CN"/>
                    </w:rPr>
                    <w:t>/</w:t>
                  </w:r>
                </w:p>
              </w:tc>
              <w:tc>
                <w:tcPr>
                  <w:tcW w:w="1123" w:type="dxa"/>
                  <w:vAlign w:val="center"/>
                </w:tcPr>
                <w:p w14:paraId="4DA104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45</w:t>
                  </w:r>
                </w:p>
              </w:tc>
              <w:tc>
                <w:tcPr>
                  <w:tcW w:w="1136" w:type="dxa"/>
                  <w:vAlign w:val="center"/>
                </w:tcPr>
                <w:p w14:paraId="5D960B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6</w:t>
                  </w:r>
                </w:p>
              </w:tc>
              <w:tc>
                <w:tcPr>
                  <w:tcW w:w="1127" w:type="dxa"/>
                  <w:vAlign w:val="center"/>
                </w:tcPr>
                <w:p w14:paraId="4E933E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val="en-US" w:eastAsia="zh-CN"/>
                    </w:rPr>
                  </w:pPr>
                  <w:r>
                    <w:rPr>
                      <w:rFonts w:hint="eastAsia"/>
                      <w:color w:val="auto"/>
                      <w:szCs w:val="21"/>
                      <w:lang w:val="en-US" w:eastAsia="zh-CN"/>
                    </w:rPr>
                    <w:t>1.5</w:t>
                  </w:r>
                </w:p>
              </w:tc>
              <w:tc>
                <w:tcPr>
                  <w:tcW w:w="1504" w:type="dxa"/>
                  <w:vAlign w:val="center"/>
                </w:tcPr>
                <w:p w14:paraId="2E7BB6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85</w:t>
                  </w:r>
                  <w:r>
                    <w:rPr>
                      <w:rFonts w:hint="eastAsia"/>
                      <w:color w:val="auto"/>
                      <w:szCs w:val="21"/>
                      <w:lang w:val="en-US" w:eastAsia="zh-CN"/>
                    </w:rPr>
                    <w:t>/1</w:t>
                  </w:r>
                </w:p>
              </w:tc>
              <w:tc>
                <w:tcPr>
                  <w:tcW w:w="1404" w:type="dxa"/>
                  <w:vMerge w:val="continue"/>
                  <w:vAlign w:val="center"/>
                </w:tcPr>
                <w:p w14:paraId="7384F1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tc>
              <w:tc>
                <w:tcPr>
                  <w:tcW w:w="1463" w:type="dxa"/>
                  <w:vAlign w:val="center"/>
                </w:tcPr>
                <w:p w14:paraId="0945FB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bCs/>
                      <w:color w:val="auto"/>
                      <w:szCs w:val="21"/>
                    </w:rPr>
                    <w:t>8</w:t>
                  </w:r>
                  <w:r>
                    <w:rPr>
                      <w:rFonts w:hint="eastAsia"/>
                      <w:bCs/>
                      <w:color w:val="auto"/>
                      <w:szCs w:val="21"/>
                      <w:lang w:eastAsia="zh-CN"/>
                    </w:rPr>
                    <w:t>:</w:t>
                  </w:r>
                  <w:r>
                    <w:rPr>
                      <w:bCs/>
                      <w:color w:val="auto"/>
                      <w:szCs w:val="21"/>
                    </w:rPr>
                    <w:t>00-12:00，14:00-18:00</w:t>
                  </w:r>
                </w:p>
              </w:tc>
            </w:tr>
            <w:tr w14:paraId="65434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28" w:type="dxa"/>
                  <w:vAlign w:val="center"/>
                </w:tcPr>
                <w:p w14:paraId="7CA2738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val="en-US" w:eastAsia="zh-CN"/>
                    </w:rPr>
                  </w:pPr>
                  <w:r>
                    <w:rPr>
                      <w:rFonts w:hint="eastAsia"/>
                      <w:color w:val="auto"/>
                      <w:szCs w:val="21"/>
                      <w:lang w:val="en-US" w:eastAsia="zh-CN"/>
                    </w:rPr>
                    <w:t>8</w:t>
                  </w:r>
                </w:p>
              </w:tc>
              <w:tc>
                <w:tcPr>
                  <w:tcW w:w="2117" w:type="dxa"/>
                  <w:vAlign w:val="center"/>
                </w:tcPr>
                <w:p w14:paraId="308C27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lang w:val="en-US" w:eastAsia="zh-CN"/>
                    </w:rPr>
                    <w:t>8</w:t>
                  </w:r>
                  <w:r>
                    <w:rPr>
                      <w:rFonts w:hint="eastAsia"/>
                      <w:color w:val="auto"/>
                      <w:szCs w:val="21"/>
                    </w:rPr>
                    <w:t>#</w:t>
                  </w:r>
                  <w:r>
                    <w:rPr>
                      <w:rFonts w:hint="eastAsia"/>
                      <w:color w:val="auto"/>
                      <w:szCs w:val="21"/>
                      <w:lang w:eastAsia="zh-CN"/>
                    </w:rPr>
                    <w:t>风机</w:t>
                  </w:r>
                </w:p>
              </w:tc>
              <w:tc>
                <w:tcPr>
                  <w:tcW w:w="2107" w:type="dxa"/>
                  <w:vAlign w:val="center"/>
                </w:tcPr>
                <w:p w14:paraId="4F5163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kern w:val="0"/>
                      <w:szCs w:val="21"/>
                      <w:lang w:val="en-US" w:eastAsia="zh-CN"/>
                    </w:rPr>
                  </w:pPr>
                  <w:r>
                    <w:rPr>
                      <w:rFonts w:hint="eastAsia"/>
                      <w:color w:val="auto"/>
                      <w:kern w:val="0"/>
                      <w:szCs w:val="21"/>
                      <w:lang w:val="en-US" w:eastAsia="zh-CN"/>
                    </w:rPr>
                    <w:t>/</w:t>
                  </w:r>
                </w:p>
              </w:tc>
              <w:tc>
                <w:tcPr>
                  <w:tcW w:w="1123" w:type="dxa"/>
                  <w:vAlign w:val="center"/>
                </w:tcPr>
                <w:p w14:paraId="02DD02B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50</w:t>
                  </w:r>
                </w:p>
              </w:tc>
              <w:tc>
                <w:tcPr>
                  <w:tcW w:w="1136" w:type="dxa"/>
                  <w:vAlign w:val="center"/>
                </w:tcPr>
                <w:p w14:paraId="55A7389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6</w:t>
                  </w:r>
                </w:p>
              </w:tc>
              <w:tc>
                <w:tcPr>
                  <w:tcW w:w="1127" w:type="dxa"/>
                  <w:vAlign w:val="center"/>
                </w:tcPr>
                <w:p w14:paraId="2A7B33E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val="en-US" w:eastAsia="zh-CN"/>
                    </w:rPr>
                  </w:pPr>
                  <w:r>
                    <w:rPr>
                      <w:rFonts w:hint="eastAsia"/>
                      <w:color w:val="auto"/>
                      <w:szCs w:val="21"/>
                      <w:lang w:val="en-US" w:eastAsia="zh-CN"/>
                    </w:rPr>
                    <w:t>1.5</w:t>
                  </w:r>
                </w:p>
              </w:tc>
              <w:tc>
                <w:tcPr>
                  <w:tcW w:w="1504" w:type="dxa"/>
                  <w:vAlign w:val="center"/>
                </w:tcPr>
                <w:p w14:paraId="73119B6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rFonts w:hint="eastAsia"/>
                      <w:color w:val="auto"/>
                      <w:szCs w:val="21"/>
                    </w:rPr>
                    <w:t>85</w:t>
                  </w:r>
                  <w:r>
                    <w:rPr>
                      <w:rFonts w:hint="eastAsia"/>
                      <w:color w:val="auto"/>
                      <w:szCs w:val="21"/>
                      <w:lang w:val="en-US" w:eastAsia="zh-CN"/>
                    </w:rPr>
                    <w:t>/1</w:t>
                  </w:r>
                </w:p>
              </w:tc>
              <w:tc>
                <w:tcPr>
                  <w:tcW w:w="1404" w:type="dxa"/>
                  <w:vMerge w:val="continue"/>
                  <w:vAlign w:val="center"/>
                </w:tcPr>
                <w:p w14:paraId="651995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p>
              </w:tc>
              <w:tc>
                <w:tcPr>
                  <w:tcW w:w="1463" w:type="dxa"/>
                  <w:vAlign w:val="center"/>
                </w:tcPr>
                <w:p w14:paraId="161CC1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rPr>
                  </w:pPr>
                  <w:r>
                    <w:rPr>
                      <w:bCs/>
                      <w:color w:val="auto"/>
                      <w:szCs w:val="21"/>
                    </w:rPr>
                    <w:t>8</w:t>
                  </w:r>
                  <w:r>
                    <w:rPr>
                      <w:rFonts w:hint="eastAsia"/>
                      <w:bCs/>
                      <w:color w:val="auto"/>
                      <w:szCs w:val="21"/>
                      <w:lang w:eastAsia="zh-CN"/>
                    </w:rPr>
                    <w:t>:</w:t>
                  </w:r>
                  <w:r>
                    <w:rPr>
                      <w:bCs/>
                      <w:color w:val="auto"/>
                      <w:szCs w:val="21"/>
                    </w:rPr>
                    <w:t>00-12:00，14:00-18:00</w:t>
                  </w:r>
                </w:p>
              </w:tc>
            </w:tr>
          </w:tbl>
          <w:p w14:paraId="09977441">
            <w:pPr>
              <w:spacing w:line="360" w:lineRule="auto"/>
              <w:ind w:firstLine="422" w:firstLineChars="200"/>
              <w:jc w:val="center"/>
              <w:rPr>
                <w:b/>
                <w:color w:val="auto"/>
                <w:szCs w:val="21"/>
              </w:rPr>
            </w:pPr>
            <w:r>
              <w:rPr>
                <w:rFonts w:hint="eastAsia"/>
                <w:b/>
                <w:color w:val="auto"/>
                <w:szCs w:val="21"/>
              </w:rPr>
              <w:t>表4-</w:t>
            </w:r>
            <w:r>
              <w:rPr>
                <w:rFonts w:hint="eastAsia"/>
                <w:b/>
                <w:color w:val="auto"/>
                <w:szCs w:val="21"/>
                <w:lang w:val="en-US" w:eastAsia="zh-CN"/>
              </w:rPr>
              <w:t>8</w:t>
            </w:r>
            <w:r>
              <w:rPr>
                <w:rFonts w:hint="eastAsia"/>
                <w:b/>
                <w:color w:val="auto"/>
                <w:szCs w:val="21"/>
              </w:rPr>
              <w:t xml:space="preserve">  建设项目噪声源强调查清单（室内声源）</w:t>
            </w:r>
          </w:p>
          <w:tbl>
            <w:tblPr>
              <w:tblStyle w:val="4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9"/>
              <w:gridCol w:w="558"/>
              <w:gridCol w:w="860"/>
              <w:gridCol w:w="1526"/>
              <w:gridCol w:w="1731"/>
              <w:gridCol w:w="802"/>
              <w:gridCol w:w="444"/>
              <w:gridCol w:w="444"/>
              <w:gridCol w:w="371"/>
              <w:gridCol w:w="681"/>
              <w:gridCol w:w="886"/>
              <w:gridCol w:w="1526"/>
              <w:gridCol w:w="737"/>
              <w:gridCol w:w="926"/>
              <w:gridCol w:w="648"/>
            </w:tblGrid>
            <w:tr w14:paraId="2A65C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Merge w:val="restart"/>
                  <w:vAlign w:val="center"/>
                </w:tcPr>
                <w:p w14:paraId="02A12E86">
                  <w:pPr>
                    <w:jc w:val="center"/>
                    <w:rPr>
                      <w:b/>
                      <w:color w:val="auto"/>
                      <w:sz w:val="18"/>
                      <w:szCs w:val="18"/>
                    </w:rPr>
                  </w:pPr>
                  <w:r>
                    <w:rPr>
                      <w:rFonts w:hint="eastAsia"/>
                      <w:b/>
                      <w:color w:val="auto"/>
                      <w:sz w:val="18"/>
                      <w:szCs w:val="18"/>
                    </w:rPr>
                    <w:t>序号</w:t>
                  </w:r>
                </w:p>
              </w:tc>
              <w:tc>
                <w:tcPr>
                  <w:tcW w:w="221" w:type="pct"/>
                  <w:vMerge w:val="restart"/>
                  <w:vAlign w:val="center"/>
                </w:tcPr>
                <w:p w14:paraId="3884AAD7">
                  <w:pPr>
                    <w:jc w:val="center"/>
                    <w:rPr>
                      <w:b/>
                      <w:color w:val="auto"/>
                      <w:sz w:val="18"/>
                      <w:szCs w:val="18"/>
                    </w:rPr>
                  </w:pPr>
                  <w:r>
                    <w:rPr>
                      <w:rFonts w:hint="eastAsia"/>
                      <w:b/>
                      <w:color w:val="auto"/>
                      <w:sz w:val="18"/>
                      <w:szCs w:val="18"/>
                    </w:rPr>
                    <w:t>建筑物名称</w:t>
                  </w:r>
                </w:p>
              </w:tc>
              <w:tc>
                <w:tcPr>
                  <w:tcW w:w="341" w:type="pct"/>
                  <w:vMerge w:val="restart"/>
                  <w:vAlign w:val="center"/>
                </w:tcPr>
                <w:p w14:paraId="185DB81B">
                  <w:pPr>
                    <w:jc w:val="center"/>
                    <w:rPr>
                      <w:b/>
                      <w:color w:val="auto"/>
                      <w:sz w:val="18"/>
                      <w:szCs w:val="18"/>
                    </w:rPr>
                  </w:pPr>
                  <w:r>
                    <w:rPr>
                      <w:rFonts w:hint="eastAsia"/>
                      <w:b/>
                      <w:color w:val="auto"/>
                      <w:sz w:val="18"/>
                      <w:szCs w:val="18"/>
                    </w:rPr>
                    <w:t>声源名称</w:t>
                  </w:r>
                </w:p>
              </w:tc>
              <w:tc>
                <w:tcPr>
                  <w:tcW w:w="605" w:type="pct"/>
                  <w:vMerge w:val="restart"/>
                  <w:vAlign w:val="center"/>
                </w:tcPr>
                <w:p w14:paraId="3165FBDC">
                  <w:pPr>
                    <w:jc w:val="center"/>
                    <w:rPr>
                      <w:b/>
                      <w:color w:val="auto"/>
                      <w:sz w:val="18"/>
                      <w:szCs w:val="18"/>
                    </w:rPr>
                  </w:pPr>
                  <w:r>
                    <w:rPr>
                      <w:rFonts w:hint="eastAsia"/>
                      <w:b/>
                      <w:color w:val="auto"/>
                      <w:sz w:val="18"/>
                      <w:szCs w:val="18"/>
                    </w:rPr>
                    <w:t>型号</w:t>
                  </w:r>
                </w:p>
              </w:tc>
              <w:tc>
                <w:tcPr>
                  <w:tcW w:w="686" w:type="pct"/>
                  <w:vMerge w:val="restart"/>
                  <w:vAlign w:val="center"/>
                </w:tcPr>
                <w:p w14:paraId="0EED5A46">
                  <w:pPr>
                    <w:jc w:val="center"/>
                    <w:rPr>
                      <w:b/>
                      <w:color w:val="auto"/>
                      <w:sz w:val="18"/>
                      <w:szCs w:val="18"/>
                    </w:rPr>
                  </w:pPr>
                  <w:r>
                    <w:rPr>
                      <w:b/>
                      <w:color w:val="auto"/>
                      <w:sz w:val="18"/>
                      <w:szCs w:val="18"/>
                    </w:rPr>
                    <w:t>声压级/距声源距离）（dB(A)/m）</w:t>
                  </w:r>
                </w:p>
              </w:tc>
              <w:tc>
                <w:tcPr>
                  <w:tcW w:w="318" w:type="pct"/>
                  <w:vMerge w:val="restart"/>
                  <w:vAlign w:val="center"/>
                </w:tcPr>
                <w:p w14:paraId="7C71994F">
                  <w:pPr>
                    <w:jc w:val="center"/>
                    <w:rPr>
                      <w:b/>
                      <w:color w:val="auto"/>
                      <w:sz w:val="18"/>
                      <w:szCs w:val="18"/>
                    </w:rPr>
                  </w:pPr>
                  <w:r>
                    <w:rPr>
                      <w:rFonts w:hint="eastAsia"/>
                      <w:b/>
                      <w:color w:val="auto"/>
                      <w:sz w:val="18"/>
                      <w:szCs w:val="18"/>
                    </w:rPr>
                    <w:t>声源控制措施</w:t>
                  </w:r>
                </w:p>
              </w:tc>
              <w:tc>
                <w:tcPr>
                  <w:tcW w:w="499" w:type="pct"/>
                  <w:gridSpan w:val="3"/>
                  <w:vAlign w:val="center"/>
                </w:tcPr>
                <w:p w14:paraId="43785921">
                  <w:pPr>
                    <w:jc w:val="center"/>
                    <w:rPr>
                      <w:b/>
                      <w:color w:val="auto"/>
                      <w:sz w:val="18"/>
                      <w:szCs w:val="18"/>
                    </w:rPr>
                  </w:pPr>
                  <w:r>
                    <w:rPr>
                      <w:rFonts w:hint="eastAsia"/>
                      <w:b/>
                      <w:color w:val="auto"/>
                      <w:sz w:val="18"/>
                      <w:szCs w:val="18"/>
                    </w:rPr>
                    <w:t>空间相对位置</w:t>
                  </w:r>
                </w:p>
              </w:tc>
              <w:tc>
                <w:tcPr>
                  <w:tcW w:w="270" w:type="pct"/>
                  <w:vMerge w:val="restart"/>
                  <w:vAlign w:val="center"/>
                </w:tcPr>
                <w:p w14:paraId="70E68E0C">
                  <w:pPr>
                    <w:jc w:val="center"/>
                    <w:rPr>
                      <w:b/>
                      <w:color w:val="auto"/>
                      <w:sz w:val="18"/>
                      <w:szCs w:val="18"/>
                    </w:rPr>
                  </w:pPr>
                  <w:r>
                    <w:rPr>
                      <w:rFonts w:hint="eastAsia"/>
                      <w:b/>
                      <w:color w:val="auto"/>
                      <w:sz w:val="18"/>
                      <w:szCs w:val="18"/>
                    </w:rPr>
                    <w:t>距室内边界距离/m</w:t>
                  </w:r>
                </w:p>
              </w:tc>
              <w:tc>
                <w:tcPr>
                  <w:tcW w:w="351" w:type="pct"/>
                  <w:vMerge w:val="restart"/>
                  <w:vAlign w:val="center"/>
                </w:tcPr>
                <w:p w14:paraId="4F371BF3">
                  <w:pPr>
                    <w:jc w:val="center"/>
                    <w:rPr>
                      <w:b/>
                      <w:color w:val="auto"/>
                      <w:sz w:val="18"/>
                      <w:szCs w:val="18"/>
                    </w:rPr>
                  </w:pPr>
                  <w:r>
                    <w:rPr>
                      <w:rFonts w:hint="eastAsia"/>
                      <w:b/>
                      <w:color w:val="auto"/>
                      <w:sz w:val="18"/>
                      <w:szCs w:val="18"/>
                    </w:rPr>
                    <w:t>室内边界声级/dB(A)</w:t>
                  </w:r>
                </w:p>
              </w:tc>
              <w:tc>
                <w:tcPr>
                  <w:tcW w:w="605" w:type="pct"/>
                  <w:vMerge w:val="restart"/>
                  <w:vAlign w:val="center"/>
                </w:tcPr>
                <w:p w14:paraId="4D3BE061">
                  <w:pPr>
                    <w:jc w:val="center"/>
                    <w:rPr>
                      <w:b/>
                      <w:color w:val="auto"/>
                      <w:sz w:val="18"/>
                      <w:szCs w:val="18"/>
                    </w:rPr>
                  </w:pPr>
                  <w:r>
                    <w:rPr>
                      <w:rFonts w:hint="eastAsia"/>
                      <w:b/>
                      <w:color w:val="auto"/>
                      <w:sz w:val="18"/>
                      <w:szCs w:val="18"/>
                    </w:rPr>
                    <w:t>运行时段</w:t>
                  </w:r>
                </w:p>
              </w:tc>
              <w:tc>
                <w:tcPr>
                  <w:tcW w:w="292" w:type="pct"/>
                  <w:vMerge w:val="restart"/>
                  <w:vAlign w:val="center"/>
                </w:tcPr>
                <w:p w14:paraId="01DFB70F">
                  <w:pPr>
                    <w:jc w:val="center"/>
                    <w:rPr>
                      <w:b/>
                      <w:color w:val="auto"/>
                      <w:sz w:val="18"/>
                      <w:szCs w:val="18"/>
                    </w:rPr>
                  </w:pPr>
                  <w:r>
                    <w:rPr>
                      <w:rFonts w:hint="eastAsia"/>
                      <w:b/>
                      <w:color w:val="auto"/>
                      <w:sz w:val="18"/>
                      <w:szCs w:val="18"/>
                    </w:rPr>
                    <w:t>建筑物插入损失/dB(A)</w:t>
                  </w:r>
                </w:p>
              </w:tc>
              <w:tc>
                <w:tcPr>
                  <w:tcW w:w="624" w:type="pct"/>
                  <w:gridSpan w:val="2"/>
                  <w:vAlign w:val="center"/>
                </w:tcPr>
                <w:p w14:paraId="06443203">
                  <w:pPr>
                    <w:jc w:val="center"/>
                    <w:rPr>
                      <w:b/>
                      <w:color w:val="auto"/>
                      <w:sz w:val="18"/>
                      <w:szCs w:val="18"/>
                    </w:rPr>
                  </w:pPr>
                  <w:r>
                    <w:rPr>
                      <w:rFonts w:hint="eastAsia"/>
                      <w:b/>
                      <w:color w:val="auto"/>
                      <w:sz w:val="18"/>
                      <w:szCs w:val="18"/>
                    </w:rPr>
                    <w:t>建筑物外噪声</w:t>
                  </w:r>
                </w:p>
              </w:tc>
            </w:tr>
            <w:tr w14:paraId="52B14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Merge w:val="continue"/>
                  <w:vAlign w:val="center"/>
                </w:tcPr>
                <w:p w14:paraId="1C6761E3">
                  <w:pPr>
                    <w:jc w:val="center"/>
                    <w:rPr>
                      <w:b/>
                      <w:color w:val="auto"/>
                      <w:sz w:val="18"/>
                      <w:szCs w:val="18"/>
                    </w:rPr>
                  </w:pPr>
                </w:p>
              </w:tc>
              <w:tc>
                <w:tcPr>
                  <w:tcW w:w="221" w:type="pct"/>
                  <w:vMerge w:val="continue"/>
                  <w:vAlign w:val="center"/>
                </w:tcPr>
                <w:p w14:paraId="571EF8DF">
                  <w:pPr>
                    <w:jc w:val="center"/>
                    <w:rPr>
                      <w:b/>
                      <w:color w:val="auto"/>
                      <w:sz w:val="18"/>
                      <w:szCs w:val="18"/>
                    </w:rPr>
                  </w:pPr>
                </w:p>
              </w:tc>
              <w:tc>
                <w:tcPr>
                  <w:tcW w:w="341" w:type="pct"/>
                  <w:vMerge w:val="continue"/>
                  <w:vAlign w:val="center"/>
                </w:tcPr>
                <w:p w14:paraId="108DD743">
                  <w:pPr>
                    <w:jc w:val="center"/>
                    <w:rPr>
                      <w:b/>
                      <w:color w:val="auto"/>
                      <w:sz w:val="18"/>
                      <w:szCs w:val="18"/>
                    </w:rPr>
                  </w:pPr>
                </w:p>
              </w:tc>
              <w:tc>
                <w:tcPr>
                  <w:tcW w:w="605" w:type="pct"/>
                  <w:vMerge w:val="continue"/>
                  <w:vAlign w:val="center"/>
                </w:tcPr>
                <w:p w14:paraId="00490BB8">
                  <w:pPr>
                    <w:jc w:val="center"/>
                    <w:rPr>
                      <w:b/>
                      <w:color w:val="auto"/>
                      <w:sz w:val="18"/>
                      <w:szCs w:val="18"/>
                    </w:rPr>
                  </w:pPr>
                </w:p>
              </w:tc>
              <w:tc>
                <w:tcPr>
                  <w:tcW w:w="686" w:type="pct"/>
                  <w:vMerge w:val="continue"/>
                  <w:vAlign w:val="center"/>
                </w:tcPr>
                <w:p w14:paraId="17F6031F">
                  <w:pPr>
                    <w:jc w:val="center"/>
                    <w:rPr>
                      <w:b/>
                      <w:color w:val="auto"/>
                      <w:sz w:val="18"/>
                      <w:szCs w:val="18"/>
                    </w:rPr>
                  </w:pPr>
                </w:p>
              </w:tc>
              <w:tc>
                <w:tcPr>
                  <w:tcW w:w="318" w:type="pct"/>
                  <w:vMerge w:val="continue"/>
                  <w:vAlign w:val="center"/>
                </w:tcPr>
                <w:p w14:paraId="288B6BEA">
                  <w:pPr>
                    <w:jc w:val="center"/>
                    <w:rPr>
                      <w:b/>
                      <w:color w:val="auto"/>
                      <w:sz w:val="18"/>
                      <w:szCs w:val="18"/>
                    </w:rPr>
                  </w:pPr>
                </w:p>
              </w:tc>
              <w:tc>
                <w:tcPr>
                  <w:tcW w:w="176" w:type="pct"/>
                  <w:vAlign w:val="center"/>
                </w:tcPr>
                <w:p w14:paraId="0D0209BD">
                  <w:pPr>
                    <w:jc w:val="center"/>
                    <w:rPr>
                      <w:b/>
                      <w:color w:val="auto"/>
                      <w:sz w:val="18"/>
                      <w:szCs w:val="18"/>
                    </w:rPr>
                  </w:pPr>
                  <w:r>
                    <w:rPr>
                      <w:rFonts w:hint="eastAsia"/>
                      <w:b/>
                      <w:color w:val="auto"/>
                      <w:sz w:val="18"/>
                      <w:szCs w:val="18"/>
                    </w:rPr>
                    <w:t>X</w:t>
                  </w:r>
                </w:p>
              </w:tc>
              <w:tc>
                <w:tcPr>
                  <w:tcW w:w="176" w:type="pct"/>
                  <w:vAlign w:val="center"/>
                </w:tcPr>
                <w:p w14:paraId="48F0F4C7">
                  <w:pPr>
                    <w:jc w:val="center"/>
                    <w:rPr>
                      <w:b/>
                      <w:color w:val="auto"/>
                      <w:sz w:val="18"/>
                      <w:szCs w:val="18"/>
                    </w:rPr>
                  </w:pPr>
                  <w:r>
                    <w:rPr>
                      <w:rFonts w:hint="eastAsia"/>
                      <w:b/>
                      <w:color w:val="auto"/>
                      <w:sz w:val="18"/>
                      <w:szCs w:val="18"/>
                    </w:rPr>
                    <w:t>Y</w:t>
                  </w:r>
                </w:p>
              </w:tc>
              <w:tc>
                <w:tcPr>
                  <w:tcW w:w="147" w:type="pct"/>
                  <w:vAlign w:val="center"/>
                </w:tcPr>
                <w:p w14:paraId="48A1FDA0">
                  <w:pPr>
                    <w:jc w:val="center"/>
                    <w:rPr>
                      <w:b/>
                      <w:color w:val="auto"/>
                      <w:sz w:val="18"/>
                      <w:szCs w:val="18"/>
                    </w:rPr>
                  </w:pPr>
                  <w:r>
                    <w:rPr>
                      <w:rFonts w:hint="eastAsia"/>
                      <w:b/>
                      <w:color w:val="auto"/>
                      <w:sz w:val="18"/>
                      <w:szCs w:val="18"/>
                    </w:rPr>
                    <w:t>Z</w:t>
                  </w:r>
                </w:p>
              </w:tc>
              <w:tc>
                <w:tcPr>
                  <w:tcW w:w="270" w:type="pct"/>
                  <w:vMerge w:val="continue"/>
                  <w:vAlign w:val="center"/>
                </w:tcPr>
                <w:p w14:paraId="02915131">
                  <w:pPr>
                    <w:jc w:val="center"/>
                    <w:rPr>
                      <w:b/>
                      <w:color w:val="auto"/>
                      <w:sz w:val="18"/>
                      <w:szCs w:val="18"/>
                    </w:rPr>
                  </w:pPr>
                </w:p>
              </w:tc>
              <w:tc>
                <w:tcPr>
                  <w:tcW w:w="351" w:type="pct"/>
                  <w:vMerge w:val="continue"/>
                  <w:vAlign w:val="center"/>
                </w:tcPr>
                <w:p w14:paraId="0527BA68">
                  <w:pPr>
                    <w:jc w:val="center"/>
                    <w:rPr>
                      <w:b/>
                      <w:color w:val="auto"/>
                      <w:sz w:val="18"/>
                      <w:szCs w:val="18"/>
                    </w:rPr>
                  </w:pPr>
                </w:p>
              </w:tc>
              <w:tc>
                <w:tcPr>
                  <w:tcW w:w="605" w:type="pct"/>
                  <w:vMerge w:val="continue"/>
                  <w:vAlign w:val="center"/>
                </w:tcPr>
                <w:p w14:paraId="571AB330">
                  <w:pPr>
                    <w:jc w:val="center"/>
                    <w:rPr>
                      <w:b/>
                      <w:color w:val="auto"/>
                      <w:sz w:val="18"/>
                      <w:szCs w:val="18"/>
                    </w:rPr>
                  </w:pPr>
                </w:p>
              </w:tc>
              <w:tc>
                <w:tcPr>
                  <w:tcW w:w="292" w:type="pct"/>
                  <w:vMerge w:val="continue"/>
                  <w:vAlign w:val="center"/>
                </w:tcPr>
                <w:p w14:paraId="55554B69">
                  <w:pPr>
                    <w:jc w:val="center"/>
                    <w:rPr>
                      <w:b/>
                      <w:color w:val="auto"/>
                      <w:sz w:val="18"/>
                      <w:szCs w:val="18"/>
                    </w:rPr>
                  </w:pPr>
                </w:p>
              </w:tc>
              <w:tc>
                <w:tcPr>
                  <w:tcW w:w="367" w:type="pct"/>
                  <w:vAlign w:val="center"/>
                </w:tcPr>
                <w:p w14:paraId="29A76557">
                  <w:pPr>
                    <w:jc w:val="center"/>
                    <w:rPr>
                      <w:b/>
                      <w:color w:val="auto"/>
                      <w:sz w:val="18"/>
                      <w:szCs w:val="18"/>
                    </w:rPr>
                  </w:pPr>
                  <w:r>
                    <w:rPr>
                      <w:rFonts w:hint="eastAsia"/>
                      <w:b/>
                      <w:color w:val="auto"/>
                      <w:sz w:val="18"/>
                      <w:szCs w:val="18"/>
                    </w:rPr>
                    <w:t>声压级/dB(A)</w:t>
                  </w:r>
                </w:p>
              </w:tc>
              <w:tc>
                <w:tcPr>
                  <w:tcW w:w="257" w:type="pct"/>
                  <w:vAlign w:val="center"/>
                </w:tcPr>
                <w:p w14:paraId="6CBCF9DF">
                  <w:pPr>
                    <w:jc w:val="center"/>
                    <w:rPr>
                      <w:b/>
                      <w:color w:val="auto"/>
                      <w:sz w:val="18"/>
                      <w:szCs w:val="18"/>
                    </w:rPr>
                  </w:pPr>
                  <w:r>
                    <w:rPr>
                      <w:rFonts w:hint="eastAsia"/>
                      <w:b/>
                      <w:color w:val="auto"/>
                      <w:sz w:val="18"/>
                      <w:szCs w:val="18"/>
                    </w:rPr>
                    <w:t>建筑物外距离/m</w:t>
                  </w:r>
                </w:p>
              </w:tc>
            </w:tr>
            <w:tr w14:paraId="341913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79F0AB39">
                  <w:pPr>
                    <w:jc w:val="center"/>
                    <w:rPr>
                      <w:color w:val="auto"/>
                      <w:sz w:val="18"/>
                      <w:szCs w:val="18"/>
                    </w:rPr>
                  </w:pPr>
                  <w:r>
                    <w:rPr>
                      <w:rFonts w:hint="eastAsia"/>
                      <w:color w:val="auto"/>
                      <w:sz w:val="18"/>
                      <w:szCs w:val="18"/>
                    </w:rPr>
                    <w:t>1</w:t>
                  </w:r>
                </w:p>
              </w:tc>
              <w:tc>
                <w:tcPr>
                  <w:tcW w:w="221" w:type="pct"/>
                  <w:vMerge w:val="restart"/>
                  <w:vAlign w:val="center"/>
                </w:tcPr>
                <w:p w14:paraId="4B08C547">
                  <w:pPr>
                    <w:jc w:val="center"/>
                    <w:rPr>
                      <w:color w:val="auto"/>
                      <w:sz w:val="18"/>
                      <w:szCs w:val="18"/>
                    </w:rPr>
                  </w:pPr>
                  <w:r>
                    <w:rPr>
                      <w:rFonts w:hint="eastAsia"/>
                      <w:color w:val="auto"/>
                      <w:sz w:val="18"/>
                      <w:szCs w:val="18"/>
                    </w:rPr>
                    <w:t>生产车间</w:t>
                  </w:r>
                </w:p>
              </w:tc>
              <w:tc>
                <w:tcPr>
                  <w:tcW w:w="341" w:type="pct"/>
                  <w:vAlign w:val="center"/>
                </w:tcPr>
                <w:p w14:paraId="62404766">
                  <w:pPr>
                    <w:widowControl/>
                    <w:jc w:val="center"/>
                    <w:textAlignment w:val="center"/>
                    <w:rPr>
                      <w:rFonts w:hint="eastAsia" w:eastAsia="宋体"/>
                      <w:color w:val="auto"/>
                      <w:sz w:val="18"/>
                      <w:szCs w:val="18"/>
                      <w:lang w:eastAsia="zh-CN"/>
                    </w:rPr>
                  </w:pPr>
                  <w:r>
                    <w:rPr>
                      <w:rFonts w:hint="eastAsia"/>
                      <w:color w:val="auto"/>
                      <w:sz w:val="18"/>
                      <w:szCs w:val="18"/>
                      <w:lang w:eastAsia="zh-CN"/>
                    </w:rPr>
                    <w:t>振动清理筛</w:t>
                  </w:r>
                </w:p>
              </w:tc>
              <w:tc>
                <w:tcPr>
                  <w:tcW w:w="605" w:type="pct"/>
                  <w:vAlign w:val="center"/>
                </w:tcPr>
                <w:p w14:paraId="092D5C4E">
                  <w:pPr>
                    <w:jc w:val="center"/>
                    <w:rPr>
                      <w:rFonts w:hint="default" w:eastAsia="宋体"/>
                      <w:color w:val="auto"/>
                      <w:sz w:val="18"/>
                      <w:szCs w:val="18"/>
                      <w:lang w:val="en-US" w:eastAsia="zh-CN"/>
                    </w:rPr>
                  </w:pPr>
                  <w:r>
                    <w:rPr>
                      <w:rFonts w:hint="eastAsia"/>
                      <w:color w:val="auto"/>
                      <w:sz w:val="18"/>
                      <w:szCs w:val="18"/>
                      <w:lang w:val="en-US" w:eastAsia="zh-CN"/>
                    </w:rPr>
                    <w:t>HZXZ200*250-2L</w:t>
                  </w:r>
                </w:p>
              </w:tc>
              <w:tc>
                <w:tcPr>
                  <w:tcW w:w="686" w:type="pct"/>
                  <w:vAlign w:val="center"/>
                </w:tcPr>
                <w:p w14:paraId="6DE19030">
                  <w:pPr>
                    <w:jc w:val="center"/>
                    <w:rPr>
                      <w:color w:val="auto"/>
                      <w:sz w:val="18"/>
                      <w:szCs w:val="18"/>
                    </w:rPr>
                  </w:pPr>
                  <w:r>
                    <w:rPr>
                      <w:rFonts w:hint="eastAsia"/>
                      <w:color w:val="auto"/>
                      <w:sz w:val="18"/>
                      <w:szCs w:val="18"/>
                      <w:lang w:val="en-US" w:eastAsia="zh-CN"/>
                    </w:rPr>
                    <w:t>85/1</w:t>
                  </w:r>
                </w:p>
              </w:tc>
              <w:tc>
                <w:tcPr>
                  <w:tcW w:w="318" w:type="pct"/>
                  <w:vMerge w:val="restart"/>
                  <w:vAlign w:val="center"/>
                </w:tcPr>
                <w:p w14:paraId="57136D03">
                  <w:pPr>
                    <w:jc w:val="center"/>
                    <w:rPr>
                      <w:color w:val="auto"/>
                      <w:sz w:val="18"/>
                      <w:szCs w:val="18"/>
                    </w:rPr>
                  </w:pPr>
                  <w:r>
                    <w:rPr>
                      <w:rFonts w:hint="eastAsia"/>
                      <w:color w:val="auto"/>
                      <w:sz w:val="18"/>
                      <w:szCs w:val="18"/>
                    </w:rPr>
                    <w:t>减振、墙体隔声</w:t>
                  </w:r>
                </w:p>
              </w:tc>
              <w:tc>
                <w:tcPr>
                  <w:tcW w:w="176" w:type="pct"/>
                  <w:vAlign w:val="center"/>
                </w:tcPr>
                <w:p w14:paraId="7CC4FD4F">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w:t>
                  </w:r>
                </w:p>
              </w:tc>
              <w:tc>
                <w:tcPr>
                  <w:tcW w:w="176" w:type="pct"/>
                  <w:vAlign w:val="center"/>
                </w:tcPr>
                <w:p w14:paraId="1893001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147" w:type="pct"/>
                  <w:vAlign w:val="center"/>
                </w:tcPr>
                <w:p w14:paraId="01C115EB">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699AAC19">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29</w:t>
                  </w:r>
                </w:p>
              </w:tc>
              <w:tc>
                <w:tcPr>
                  <w:tcW w:w="351" w:type="pct"/>
                  <w:vAlign w:val="center"/>
                </w:tcPr>
                <w:p w14:paraId="1EF69C8C">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55.75</w:t>
                  </w:r>
                </w:p>
              </w:tc>
              <w:tc>
                <w:tcPr>
                  <w:tcW w:w="605" w:type="pct"/>
                  <w:vAlign w:val="center"/>
                </w:tcPr>
                <w:p w14:paraId="48FD2A5F">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restart"/>
                  <w:vAlign w:val="center"/>
                </w:tcPr>
                <w:p w14:paraId="39CDBCC5">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367" w:type="pct"/>
                  <w:vAlign w:val="center"/>
                </w:tcPr>
                <w:p w14:paraId="044D063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40.75 </w:t>
                  </w:r>
                </w:p>
              </w:tc>
              <w:tc>
                <w:tcPr>
                  <w:tcW w:w="257" w:type="pct"/>
                  <w:vMerge w:val="restart"/>
                  <w:vAlign w:val="center"/>
                </w:tcPr>
                <w:p w14:paraId="05E04B8A">
                  <w:pPr>
                    <w:jc w:val="center"/>
                    <w:rPr>
                      <w:color w:val="auto"/>
                      <w:sz w:val="18"/>
                      <w:szCs w:val="18"/>
                    </w:rPr>
                  </w:pPr>
                  <w:r>
                    <w:rPr>
                      <w:rFonts w:hint="eastAsia"/>
                      <w:color w:val="auto"/>
                      <w:sz w:val="18"/>
                      <w:szCs w:val="18"/>
                    </w:rPr>
                    <w:t>1</w:t>
                  </w:r>
                </w:p>
              </w:tc>
            </w:tr>
            <w:tr w14:paraId="363FE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101CD42D">
                  <w:pPr>
                    <w:jc w:val="center"/>
                    <w:rPr>
                      <w:color w:val="auto"/>
                      <w:sz w:val="18"/>
                      <w:szCs w:val="18"/>
                    </w:rPr>
                  </w:pPr>
                  <w:r>
                    <w:rPr>
                      <w:rFonts w:hint="eastAsia"/>
                      <w:color w:val="auto"/>
                      <w:sz w:val="18"/>
                      <w:szCs w:val="18"/>
                    </w:rPr>
                    <w:t>2</w:t>
                  </w:r>
                </w:p>
              </w:tc>
              <w:tc>
                <w:tcPr>
                  <w:tcW w:w="221" w:type="pct"/>
                  <w:vMerge w:val="continue"/>
                  <w:vAlign w:val="center"/>
                </w:tcPr>
                <w:p w14:paraId="1B339568">
                  <w:pPr>
                    <w:jc w:val="center"/>
                    <w:rPr>
                      <w:color w:val="auto"/>
                      <w:sz w:val="18"/>
                      <w:szCs w:val="18"/>
                    </w:rPr>
                  </w:pPr>
                </w:p>
              </w:tc>
              <w:tc>
                <w:tcPr>
                  <w:tcW w:w="341" w:type="pct"/>
                  <w:vAlign w:val="center"/>
                </w:tcPr>
                <w:p w14:paraId="412CFAA0">
                  <w:pPr>
                    <w:widowControl/>
                    <w:jc w:val="center"/>
                    <w:textAlignment w:val="center"/>
                    <w:rPr>
                      <w:rFonts w:hint="eastAsia" w:eastAsia="宋体"/>
                      <w:color w:val="auto"/>
                      <w:kern w:val="0"/>
                      <w:sz w:val="18"/>
                      <w:szCs w:val="18"/>
                      <w:lang w:eastAsia="zh-CN"/>
                    </w:rPr>
                  </w:pPr>
                  <w:r>
                    <w:rPr>
                      <w:rFonts w:hint="eastAsia"/>
                      <w:color w:val="auto"/>
                      <w:kern w:val="0"/>
                      <w:sz w:val="18"/>
                      <w:szCs w:val="18"/>
                      <w:lang w:eastAsia="zh-CN"/>
                    </w:rPr>
                    <w:t>砻谷机</w:t>
                  </w:r>
                </w:p>
              </w:tc>
              <w:tc>
                <w:tcPr>
                  <w:tcW w:w="605" w:type="pct"/>
                  <w:vAlign w:val="center"/>
                </w:tcPr>
                <w:p w14:paraId="2ED65D7A">
                  <w:pPr>
                    <w:jc w:val="center"/>
                    <w:rPr>
                      <w:rFonts w:hint="default" w:eastAsia="宋体"/>
                      <w:color w:val="auto"/>
                      <w:sz w:val="18"/>
                      <w:szCs w:val="18"/>
                      <w:lang w:val="en-US" w:eastAsia="zh-CN"/>
                    </w:rPr>
                  </w:pPr>
                  <w:r>
                    <w:rPr>
                      <w:rFonts w:hint="eastAsia"/>
                      <w:color w:val="auto"/>
                      <w:sz w:val="18"/>
                      <w:szCs w:val="18"/>
                      <w:lang w:val="en-US" w:eastAsia="zh-CN"/>
                    </w:rPr>
                    <w:t>QLB14A</w:t>
                  </w:r>
                </w:p>
              </w:tc>
              <w:tc>
                <w:tcPr>
                  <w:tcW w:w="686" w:type="pct"/>
                  <w:vAlign w:val="center"/>
                </w:tcPr>
                <w:p w14:paraId="73C53271">
                  <w:pPr>
                    <w:jc w:val="center"/>
                    <w:rPr>
                      <w:color w:val="auto"/>
                      <w:sz w:val="18"/>
                      <w:szCs w:val="18"/>
                    </w:rPr>
                  </w:pPr>
                  <w:r>
                    <w:rPr>
                      <w:rFonts w:hint="eastAsia"/>
                      <w:color w:val="auto"/>
                      <w:sz w:val="18"/>
                      <w:szCs w:val="18"/>
                      <w:lang w:val="en-US" w:eastAsia="zh-CN"/>
                    </w:rPr>
                    <w:t>85/1</w:t>
                  </w:r>
                </w:p>
              </w:tc>
              <w:tc>
                <w:tcPr>
                  <w:tcW w:w="318" w:type="pct"/>
                  <w:vMerge w:val="continue"/>
                  <w:vAlign w:val="center"/>
                </w:tcPr>
                <w:p w14:paraId="41D45B7C">
                  <w:pPr>
                    <w:jc w:val="center"/>
                    <w:rPr>
                      <w:color w:val="auto"/>
                      <w:sz w:val="18"/>
                      <w:szCs w:val="18"/>
                    </w:rPr>
                  </w:pPr>
                </w:p>
              </w:tc>
              <w:tc>
                <w:tcPr>
                  <w:tcW w:w="176" w:type="pct"/>
                  <w:vAlign w:val="center"/>
                </w:tcPr>
                <w:p w14:paraId="668D31C5">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w:t>
                  </w:r>
                </w:p>
              </w:tc>
              <w:tc>
                <w:tcPr>
                  <w:tcW w:w="176" w:type="pct"/>
                  <w:vAlign w:val="center"/>
                </w:tcPr>
                <w:p w14:paraId="5DD78C86">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35</w:t>
                  </w:r>
                </w:p>
              </w:tc>
              <w:tc>
                <w:tcPr>
                  <w:tcW w:w="147" w:type="pct"/>
                  <w:vAlign w:val="center"/>
                </w:tcPr>
                <w:p w14:paraId="5527013F">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0AF81BE6">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29</w:t>
                  </w:r>
                </w:p>
              </w:tc>
              <w:tc>
                <w:tcPr>
                  <w:tcW w:w="351" w:type="pct"/>
                  <w:vAlign w:val="center"/>
                </w:tcPr>
                <w:p w14:paraId="1E4CF99A">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55.75</w:t>
                  </w:r>
                </w:p>
              </w:tc>
              <w:tc>
                <w:tcPr>
                  <w:tcW w:w="605" w:type="pct"/>
                  <w:vAlign w:val="center"/>
                </w:tcPr>
                <w:p w14:paraId="59DA8D85">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2669D673">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5747DE5E">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40.75 </w:t>
                  </w:r>
                </w:p>
              </w:tc>
              <w:tc>
                <w:tcPr>
                  <w:tcW w:w="257" w:type="pct"/>
                  <w:vMerge w:val="continue"/>
                  <w:vAlign w:val="center"/>
                </w:tcPr>
                <w:p w14:paraId="5BD37930">
                  <w:pPr>
                    <w:jc w:val="center"/>
                    <w:rPr>
                      <w:color w:val="auto"/>
                      <w:sz w:val="18"/>
                      <w:szCs w:val="18"/>
                    </w:rPr>
                  </w:pPr>
                </w:p>
              </w:tc>
            </w:tr>
            <w:tr w14:paraId="0417A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1E1AAC9A">
                  <w:pPr>
                    <w:jc w:val="center"/>
                    <w:rPr>
                      <w:color w:val="auto"/>
                      <w:sz w:val="18"/>
                      <w:szCs w:val="18"/>
                    </w:rPr>
                  </w:pPr>
                  <w:r>
                    <w:rPr>
                      <w:rFonts w:hint="eastAsia"/>
                      <w:color w:val="auto"/>
                      <w:sz w:val="18"/>
                      <w:szCs w:val="18"/>
                    </w:rPr>
                    <w:t>3</w:t>
                  </w:r>
                </w:p>
              </w:tc>
              <w:tc>
                <w:tcPr>
                  <w:tcW w:w="221" w:type="pct"/>
                  <w:vMerge w:val="continue"/>
                  <w:vAlign w:val="center"/>
                </w:tcPr>
                <w:p w14:paraId="343878AB">
                  <w:pPr>
                    <w:jc w:val="center"/>
                    <w:rPr>
                      <w:color w:val="auto"/>
                      <w:sz w:val="18"/>
                      <w:szCs w:val="18"/>
                    </w:rPr>
                  </w:pPr>
                </w:p>
              </w:tc>
              <w:tc>
                <w:tcPr>
                  <w:tcW w:w="341" w:type="pct"/>
                  <w:vAlign w:val="center"/>
                </w:tcPr>
                <w:p w14:paraId="49711EEE">
                  <w:pPr>
                    <w:widowControl/>
                    <w:jc w:val="center"/>
                    <w:textAlignment w:val="center"/>
                    <w:rPr>
                      <w:rFonts w:hint="eastAsia" w:eastAsia="宋体"/>
                      <w:color w:val="auto"/>
                      <w:kern w:val="0"/>
                      <w:sz w:val="18"/>
                      <w:szCs w:val="18"/>
                      <w:lang w:eastAsia="zh-CN"/>
                    </w:rPr>
                  </w:pPr>
                  <w:r>
                    <w:rPr>
                      <w:rFonts w:hint="eastAsia"/>
                      <w:color w:val="auto"/>
                      <w:kern w:val="0"/>
                      <w:sz w:val="18"/>
                      <w:szCs w:val="18"/>
                      <w:lang w:eastAsia="zh-CN"/>
                    </w:rPr>
                    <w:t>谷糙分离筛</w:t>
                  </w:r>
                </w:p>
              </w:tc>
              <w:tc>
                <w:tcPr>
                  <w:tcW w:w="605" w:type="pct"/>
                  <w:vAlign w:val="center"/>
                </w:tcPr>
                <w:p w14:paraId="71C0A263">
                  <w:pPr>
                    <w:jc w:val="center"/>
                    <w:rPr>
                      <w:rFonts w:hint="default" w:eastAsia="宋体"/>
                      <w:color w:val="auto"/>
                      <w:sz w:val="18"/>
                      <w:szCs w:val="18"/>
                      <w:lang w:val="en-US" w:eastAsia="zh-CN"/>
                    </w:rPr>
                  </w:pPr>
                  <w:r>
                    <w:rPr>
                      <w:rFonts w:hint="eastAsia"/>
                      <w:color w:val="auto"/>
                      <w:sz w:val="18"/>
                      <w:szCs w:val="18"/>
                      <w:lang w:val="en-US" w:eastAsia="zh-CN"/>
                    </w:rPr>
                    <w:t>TQLM150</w:t>
                  </w:r>
                </w:p>
              </w:tc>
              <w:tc>
                <w:tcPr>
                  <w:tcW w:w="686" w:type="pct"/>
                  <w:vAlign w:val="center"/>
                </w:tcPr>
                <w:p w14:paraId="7B40FB3F">
                  <w:pPr>
                    <w:jc w:val="center"/>
                    <w:rPr>
                      <w:color w:val="auto"/>
                      <w:sz w:val="18"/>
                      <w:szCs w:val="18"/>
                    </w:rPr>
                  </w:pPr>
                  <w:r>
                    <w:rPr>
                      <w:rFonts w:hint="eastAsia"/>
                      <w:color w:val="auto"/>
                      <w:sz w:val="18"/>
                      <w:szCs w:val="18"/>
                      <w:lang w:val="en-US" w:eastAsia="zh-CN"/>
                    </w:rPr>
                    <w:t>75/1</w:t>
                  </w:r>
                </w:p>
              </w:tc>
              <w:tc>
                <w:tcPr>
                  <w:tcW w:w="318" w:type="pct"/>
                  <w:vMerge w:val="continue"/>
                  <w:vAlign w:val="center"/>
                </w:tcPr>
                <w:p w14:paraId="3E14DA4E">
                  <w:pPr>
                    <w:jc w:val="center"/>
                    <w:rPr>
                      <w:color w:val="auto"/>
                      <w:sz w:val="18"/>
                      <w:szCs w:val="18"/>
                    </w:rPr>
                  </w:pPr>
                </w:p>
              </w:tc>
              <w:tc>
                <w:tcPr>
                  <w:tcW w:w="176" w:type="pct"/>
                  <w:vAlign w:val="center"/>
                </w:tcPr>
                <w:p w14:paraId="62FAA742">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p>
              </w:tc>
              <w:tc>
                <w:tcPr>
                  <w:tcW w:w="176" w:type="pct"/>
                  <w:vAlign w:val="center"/>
                </w:tcPr>
                <w:p w14:paraId="6AD88A4F">
                  <w:pPr>
                    <w:jc w:val="center"/>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w:t>
                  </w:r>
                </w:p>
              </w:tc>
              <w:tc>
                <w:tcPr>
                  <w:tcW w:w="147" w:type="pct"/>
                  <w:vAlign w:val="center"/>
                </w:tcPr>
                <w:p w14:paraId="325CF724">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48E35AA6">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29</w:t>
                  </w:r>
                </w:p>
              </w:tc>
              <w:tc>
                <w:tcPr>
                  <w:tcW w:w="351" w:type="pct"/>
                  <w:vAlign w:val="center"/>
                </w:tcPr>
                <w:p w14:paraId="41D5BFE1">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45.75</w:t>
                  </w:r>
                </w:p>
              </w:tc>
              <w:tc>
                <w:tcPr>
                  <w:tcW w:w="605" w:type="pct"/>
                  <w:vAlign w:val="center"/>
                </w:tcPr>
                <w:p w14:paraId="25BC5EBF">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1331F896">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7A6B36FD">
                  <w:pPr>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30.75 </w:t>
                  </w:r>
                </w:p>
              </w:tc>
              <w:tc>
                <w:tcPr>
                  <w:tcW w:w="257" w:type="pct"/>
                  <w:vMerge w:val="continue"/>
                  <w:vAlign w:val="center"/>
                </w:tcPr>
                <w:p w14:paraId="18409B00">
                  <w:pPr>
                    <w:jc w:val="center"/>
                    <w:rPr>
                      <w:color w:val="auto"/>
                      <w:sz w:val="18"/>
                      <w:szCs w:val="18"/>
                    </w:rPr>
                  </w:pPr>
                </w:p>
              </w:tc>
            </w:tr>
            <w:tr w14:paraId="14526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5FDF8EF2">
                  <w:pPr>
                    <w:jc w:val="center"/>
                    <w:rPr>
                      <w:rFonts w:hint="eastAsia" w:eastAsia="宋体"/>
                      <w:color w:val="auto"/>
                      <w:sz w:val="18"/>
                      <w:szCs w:val="18"/>
                      <w:lang w:val="en-US" w:eastAsia="zh-CN"/>
                    </w:rPr>
                  </w:pPr>
                  <w:r>
                    <w:rPr>
                      <w:rFonts w:hint="eastAsia"/>
                      <w:color w:val="auto"/>
                      <w:sz w:val="18"/>
                      <w:szCs w:val="18"/>
                      <w:lang w:val="en-US" w:eastAsia="zh-CN"/>
                    </w:rPr>
                    <w:t>4</w:t>
                  </w:r>
                </w:p>
              </w:tc>
              <w:tc>
                <w:tcPr>
                  <w:tcW w:w="221" w:type="pct"/>
                  <w:vMerge w:val="continue"/>
                  <w:vAlign w:val="center"/>
                </w:tcPr>
                <w:p w14:paraId="0B0E85A8">
                  <w:pPr>
                    <w:jc w:val="center"/>
                    <w:rPr>
                      <w:color w:val="auto"/>
                      <w:sz w:val="18"/>
                      <w:szCs w:val="18"/>
                    </w:rPr>
                  </w:pPr>
                </w:p>
              </w:tc>
              <w:tc>
                <w:tcPr>
                  <w:tcW w:w="341" w:type="pct"/>
                  <w:vAlign w:val="center"/>
                </w:tcPr>
                <w:p w14:paraId="0D3D24BE">
                  <w:pPr>
                    <w:widowControl/>
                    <w:jc w:val="center"/>
                    <w:textAlignment w:val="center"/>
                    <w:rPr>
                      <w:rFonts w:hint="eastAsia"/>
                      <w:color w:val="auto"/>
                      <w:kern w:val="0"/>
                      <w:sz w:val="18"/>
                      <w:szCs w:val="18"/>
                      <w:lang w:eastAsia="zh-CN"/>
                    </w:rPr>
                  </w:pPr>
                  <w:r>
                    <w:rPr>
                      <w:rFonts w:hint="eastAsia"/>
                      <w:color w:val="auto"/>
                      <w:kern w:val="0"/>
                      <w:sz w:val="18"/>
                      <w:szCs w:val="18"/>
                      <w:lang w:eastAsia="zh-CN"/>
                    </w:rPr>
                    <w:t>白米分级机</w:t>
                  </w:r>
                </w:p>
              </w:tc>
              <w:tc>
                <w:tcPr>
                  <w:tcW w:w="605" w:type="pct"/>
                  <w:vAlign w:val="center"/>
                </w:tcPr>
                <w:p w14:paraId="759D4582">
                  <w:pPr>
                    <w:jc w:val="center"/>
                    <w:rPr>
                      <w:rFonts w:hint="default"/>
                      <w:color w:val="auto"/>
                      <w:sz w:val="18"/>
                      <w:szCs w:val="18"/>
                      <w:lang w:val="en-US" w:eastAsia="zh-CN"/>
                    </w:rPr>
                  </w:pPr>
                  <w:r>
                    <w:rPr>
                      <w:rFonts w:hint="eastAsia"/>
                      <w:color w:val="auto"/>
                      <w:sz w:val="18"/>
                      <w:szCs w:val="18"/>
                      <w:lang w:val="en-US" w:eastAsia="zh-CN"/>
                    </w:rPr>
                    <w:t>MGCZ60*20*2</w:t>
                  </w:r>
                </w:p>
              </w:tc>
              <w:tc>
                <w:tcPr>
                  <w:tcW w:w="686" w:type="pct"/>
                  <w:vAlign w:val="center"/>
                </w:tcPr>
                <w:p w14:paraId="7B225A95">
                  <w:pPr>
                    <w:jc w:val="center"/>
                    <w:rPr>
                      <w:color w:val="auto"/>
                      <w:sz w:val="18"/>
                      <w:szCs w:val="18"/>
                    </w:rPr>
                  </w:pPr>
                  <w:r>
                    <w:rPr>
                      <w:rFonts w:hint="eastAsia"/>
                      <w:color w:val="auto"/>
                      <w:sz w:val="18"/>
                      <w:szCs w:val="18"/>
                      <w:lang w:val="en-US" w:eastAsia="zh-CN"/>
                    </w:rPr>
                    <w:t>75/1</w:t>
                  </w:r>
                </w:p>
              </w:tc>
              <w:tc>
                <w:tcPr>
                  <w:tcW w:w="318" w:type="pct"/>
                  <w:vMerge w:val="continue"/>
                  <w:vAlign w:val="center"/>
                </w:tcPr>
                <w:p w14:paraId="1FC8E6AB">
                  <w:pPr>
                    <w:jc w:val="center"/>
                    <w:rPr>
                      <w:color w:val="auto"/>
                      <w:sz w:val="18"/>
                      <w:szCs w:val="18"/>
                    </w:rPr>
                  </w:pPr>
                </w:p>
              </w:tc>
              <w:tc>
                <w:tcPr>
                  <w:tcW w:w="176" w:type="pct"/>
                  <w:vAlign w:val="center"/>
                </w:tcPr>
                <w:p w14:paraId="3BAB5EE8">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p>
              </w:tc>
              <w:tc>
                <w:tcPr>
                  <w:tcW w:w="176" w:type="pct"/>
                  <w:vAlign w:val="center"/>
                </w:tcPr>
                <w:p w14:paraId="3D8B2FE4">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147" w:type="pct"/>
                  <w:vAlign w:val="center"/>
                </w:tcPr>
                <w:p w14:paraId="62049F2D">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6093AA8D">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27</w:t>
                  </w:r>
                </w:p>
              </w:tc>
              <w:tc>
                <w:tcPr>
                  <w:tcW w:w="351" w:type="pct"/>
                  <w:vAlign w:val="center"/>
                </w:tcPr>
                <w:p w14:paraId="46919FE5">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46.37</w:t>
                  </w:r>
                </w:p>
              </w:tc>
              <w:tc>
                <w:tcPr>
                  <w:tcW w:w="605" w:type="pct"/>
                  <w:vAlign w:val="center"/>
                </w:tcPr>
                <w:p w14:paraId="26E5942B">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4AA1092A">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4741DEB2">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31.37 </w:t>
                  </w:r>
                </w:p>
              </w:tc>
              <w:tc>
                <w:tcPr>
                  <w:tcW w:w="257" w:type="pct"/>
                  <w:vMerge w:val="continue"/>
                  <w:vAlign w:val="center"/>
                </w:tcPr>
                <w:p w14:paraId="1BA40F95">
                  <w:pPr>
                    <w:jc w:val="center"/>
                    <w:rPr>
                      <w:color w:val="auto"/>
                      <w:sz w:val="18"/>
                      <w:szCs w:val="18"/>
                    </w:rPr>
                  </w:pPr>
                </w:p>
              </w:tc>
            </w:tr>
            <w:tr w14:paraId="3F7A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6E76F6DD">
                  <w:pPr>
                    <w:jc w:val="center"/>
                    <w:rPr>
                      <w:rFonts w:hint="eastAsia" w:eastAsia="宋体"/>
                      <w:color w:val="auto"/>
                      <w:sz w:val="18"/>
                      <w:szCs w:val="18"/>
                      <w:lang w:val="en-US" w:eastAsia="zh-CN"/>
                    </w:rPr>
                  </w:pPr>
                  <w:r>
                    <w:rPr>
                      <w:rFonts w:hint="eastAsia"/>
                      <w:color w:val="auto"/>
                      <w:sz w:val="18"/>
                      <w:szCs w:val="18"/>
                      <w:lang w:val="en-US" w:eastAsia="zh-CN"/>
                    </w:rPr>
                    <w:t>5</w:t>
                  </w:r>
                </w:p>
              </w:tc>
              <w:tc>
                <w:tcPr>
                  <w:tcW w:w="221" w:type="pct"/>
                  <w:vMerge w:val="continue"/>
                  <w:vAlign w:val="center"/>
                </w:tcPr>
                <w:p w14:paraId="6CCF4A79">
                  <w:pPr>
                    <w:jc w:val="center"/>
                    <w:rPr>
                      <w:color w:val="auto"/>
                      <w:sz w:val="18"/>
                      <w:szCs w:val="18"/>
                    </w:rPr>
                  </w:pPr>
                </w:p>
              </w:tc>
              <w:tc>
                <w:tcPr>
                  <w:tcW w:w="341" w:type="pct"/>
                  <w:vAlign w:val="center"/>
                </w:tcPr>
                <w:p w14:paraId="79A0FF97">
                  <w:pPr>
                    <w:widowControl/>
                    <w:jc w:val="center"/>
                    <w:textAlignment w:val="center"/>
                    <w:rPr>
                      <w:rFonts w:hint="eastAsia"/>
                      <w:color w:val="auto"/>
                      <w:kern w:val="0"/>
                      <w:sz w:val="18"/>
                      <w:szCs w:val="18"/>
                      <w:lang w:eastAsia="zh-CN"/>
                    </w:rPr>
                  </w:pPr>
                  <w:r>
                    <w:rPr>
                      <w:rFonts w:hint="eastAsia"/>
                      <w:color w:val="auto"/>
                      <w:kern w:val="0"/>
                      <w:sz w:val="18"/>
                      <w:szCs w:val="18"/>
                      <w:lang w:eastAsia="zh-CN"/>
                    </w:rPr>
                    <w:t>色选机</w:t>
                  </w:r>
                </w:p>
              </w:tc>
              <w:tc>
                <w:tcPr>
                  <w:tcW w:w="605" w:type="pct"/>
                  <w:vAlign w:val="center"/>
                </w:tcPr>
                <w:p w14:paraId="4486CE0C">
                  <w:pPr>
                    <w:jc w:val="center"/>
                    <w:rPr>
                      <w:rFonts w:hint="default"/>
                      <w:color w:val="auto"/>
                      <w:sz w:val="18"/>
                      <w:szCs w:val="18"/>
                      <w:lang w:val="en-US" w:eastAsia="zh-CN"/>
                    </w:rPr>
                  </w:pPr>
                  <w:r>
                    <w:rPr>
                      <w:rFonts w:hint="eastAsia"/>
                      <w:color w:val="auto"/>
                      <w:sz w:val="18"/>
                      <w:szCs w:val="18"/>
                      <w:lang w:val="en-US" w:eastAsia="zh-CN"/>
                    </w:rPr>
                    <w:t>MGCZ60*20*1</w:t>
                  </w:r>
                </w:p>
              </w:tc>
              <w:tc>
                <w:tcPr>
                  <w:tcW w:w="686" w:type="pct"/>
                  <w:vAlign w:val="center"/>
                </w:tcPr>
                <w:p w14:paraId="63202BEF">
                  <w:pPr>
                    <w:jc w:val="center"/>
                    <w:rPr>
                      <w:color w:val="auto"/>
                      <w:sz w:val="18"/>
                      <w:szCs w:val="18"/>
                    </w:rPr>
                  </w:pPr>
                  <w:r>
                    <w:rPr>
                      <w:rFonts w:hint="eastAsia"/>
                      <w:color w:val="auto"/>
                      <w:sz w:val="18"/>
                      <w:szCs w:val="18"/>
                      <w:lang w:val="en-US" w:eastAsia="zh-CN"/>
                    </w:rPr>
                    <w:t>75/1</w:t>
                  </w:r>
                </w:p>
              </w:tc>
              <w:tc>
                <w:tcPr>
                  <w:tcW w:w="318" w:type="pct"/>
                  <w:vMerge w:val="continue"/>
                  <w:vAlign w:val="center"/>
                </w:tcPr>
                <w:p w14:paraId="486D4A77">
                  <w:pPr>
                    <w:jc w:val="center"/>
                    <w:rPr>
                      <w:color w:val="auto"/>
                      <w:sz w:val="18"/>
                      <w:szCs w:val="18"/>
                    </w:rPr>
                  </w:pPr>
                </w:p>
              </w:tc>
              <w:tc>
                <w:tcPr>
                  <w:tcW w:w="176" w:type="pct"/>
                  <w:vAlign w:val="center"/>
                </w:tcPr>
                <w:p w14:paraId="543028A0">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60</w:t>
                  </w:r>
                </w:p>
              </w:tc>
              <w:tc>
                <w:tcPr>
                  <w:tcW w:w="176" w:type="pct"/>
                  <w:vAlign w:val="center"/>
                </w:tcPr>
                <w:p w14:paraId="5CE13F36">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35</w:t>
                  </w:r>
                </w:p>
              </w:tc>
              <w:tc>
                <w:tcPr>
                  <w:tcW w:w="147" w:type="pct"/>
                  <w:vAlign w:val="center"/>
                </w:tcPr>
                <w:p w14:paraId="1B77D110">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6E28B44C">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25</w:t>
                  </w:r>
                </w:p>
              </w:tc>
              <w:tc>
                <w:tcPr>
                  <w:tcW w:w="351" w:type="pct"/>
                  <w:vAlign w:val="center"/>
                </w:tcPr>
                <w:p w14:paraId="3C39CCBE">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47.04</w:t>
                  </w:r>
                </w:p>
              </w:tc>
              <w:tc>
                <w:tcPr>
                  <w:tcW w:w="605" w:type="pct"/>
                  <w:vAlign w:val="center"/>
                </w:tcPr>
                <w:p w14:paraId="2953746D">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61FE7803">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11E8C49C">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32.04 </w:t>
                  </w:r>
                </w:p>
              </w:tc>
              <w:tc>
                <w:tcPr>
                  <w:tcW w:w="257" w:type="pct"/>
                  <w:vMerge w:val="continue"/>
                  <w:vAlign w:val="center"/>
                </w:tcPr>
                <w:p w14:paraId="2BF5B694">
                  <w:pPr>
                    <w:jc w:val="center"/>
                    <w:rPr>
                      <w:color w:val="auto"/>
                      <w:sz w:val="18"/>
                      <w:szCs w:val="18"/>
                    </w:rPr>
                  </w:pPr>
                </w:p>
              </w:tc>
            </w:tr>
            <w:tr w14:paraId="0A4F4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655098CD">
                  <w:pPr>
                    <w:jc w:val="center"/>
                    <w:rPr>
                      <w:rFonts w:hint="eastAsia" w:eastAsia="宋体"/>
                      <w:color w:val="auto"/>
                      <w:sz w:val="18"/>
                      <w:szCs w:val="18"/>
                      <w:lang w:val="en-US" w:eastAsia="zh-CN"/>
                    </w:rPr>
                  </w:pPr>
                  <w:r>
                    <w:rPr>
                      <w:rFonts w:hint="eastAsia"/>
                      <w:color w:val="auto"/>
                      <w:sz w:val="18"/>
                      <w:szCs w:val="18"/>
                      <w:lang w:val="en-US" w:eastAsia="zh-CN"/>
                    </w:rPr>
                    <w:t>6</w:t>
                  </w:r>
                </w:p>
              </w:tc>
              <w:tc>
                <w:tcPr>
                  <w:tcW w:w="221" w:type="pct"/>
                  <w:vMerge w:val="continue"/>
                  <w:vAlign w:val="center"/>
                </w:tcPr>
                <w:p w14:paraId="74587FF5">
                  <w:pPr>
                    <w:jc w:val="center"/>
                    <w:rPr>
                      <w:color w:val="auto"/>
                      <w:sz w:val="18"/>
                      <w:szCs w:val="18"/>
                    </w:rPr>
                  </w:pPr>
                </w:p>
              </w:tc>
              <w:tc>
                <w:tcPr>
                  <w:tcW w:w="341" w:type="pct"/>
                  <w:vAlign w:val="center"/>
                </w:tcPr>
                <w:p w14:paraId="4B7FF5A5">
                  <w:pPr>
                    <w:widowControl/>
                    <w:jc w:val="center"/>
                    <w:textAlignment w:val="center"/>
                    <w:rPr>
                      <w:rFonts w:hint="eastAsia"/>
                      <w:color w:val="auto"/>
                      <w:kern w:val="0"/>
                      <w:sz w:val="18"/>
                      <w:szCs w:val="18"/>
                      <w:lang w:eastAsia="zh-CN"/>
                    </w:rPr>
                  </w:pPr>
                  <w:r>
                    <w:rPr>
                      <w:rFonts w:hint="eastAsia"/>
                      <w:color w:val="auto"/>
                      <w:kern w:val="0"/>
                      <w:sz w:val="18"/>
                      <w:szCs w:val="18"/>
                      <w:lang w:eastAsia="zh-CN"/>
                    </w:rPr>
                    <w:t>抛光机</w:t>
                  </w:r>
                </w:p>
              </w:tc>
              <w:tc>
                <w:tcPr>
                  <w:tcW w:w="605" w:type="pct"/>
                  <w:vAlign w:val="center"/>
                </w:tcPr>
                <w:p w14:paraId="2872B81D">
                  <w:pPr>
                    <w:jc w:val="center"/>
                    <w:rPr>
                      <w:rFonts w:hint="default"/>
                      <w:color w:val="auto"/>
                      <w:sz w:val="18"/>
                      <w:szCs w:val="18"/>
                      <w:lang w:val="en-US" w:eastAsia="zh-CN"/>
                    </w:rPr>
                  </w:pPr>
                  <w:r>
                    <w:rPr>
                      <w:rFonts w:hint="eastAsia"/>
                      <w:color w:val="auto"/>
                      <w:sz w:val="18"/>
                      <w:szCs w:val="18"/>
                      <w:lang w:val="en-US" w:eastAsia="zh-CN"/>
                    </w:rPr>
                    <w:t>MSXC780RS2</w:t>
                  </w:r>
                </w:p>
              </w:tc>
              <w:tc>
                <w:tcPr>
                  <w:tcW w:w="686" w:type="pct"/>
                  <w:vAlign w:val="center"/>
                </w:tcPr>
                <w:p w14:paraId="028D5B30">
                  <w:pPr>
                    <w:jc w:val="center"/>
                    <w:rPr>
                      <w:color w:val="auto"/>
                      <w:sz w:val="18"/>
                      <w:szCs w:val="18"/>
                    </w:rPr>
                  </w:pPr>
                  <w:r>
                    <w:rPr>
                      <w:color w:val="auto"/>
                      <w:sz w:val="18"/>
                      <w:szCs w:val="18"/>
                    </w:rPr>
                    <w:t>85</w:t>
                  </w:r>
                  <w:r>
                    <w:rPr>
                      <w:rFonts w:hint="eastAsia"/>
                      <w:color w:val="auto"/>
                      <w:sz w:val="18"/>
                      <w:szCs w:val="18"/>
                      <w:lang w:val="en-US" w:eastAsia="zh-CN"/>
                    </w:rPr>
                    <w:t>/1</w:t>
                  </w:r>
                </w:p>
              </w:tc>
              <w:tc>
                <w:tcPr>
                  <w:tcW w:w="318" w:type="pct"/>
                  <w:vMerge w:val="continue"/>
                  <w:vAlign w:val="center"/>
                </w:tcPr>
                <w:p w14:paraId="207D06F4">
                  <w:pPr>
                    <w:jc w:val="center"/>
                    <w:rPr>
                      <w:color w:val="auto"/>
                      <w:sz w:val="18"/>
                      <w:szCs w:val="18"/>
                    </w:rPr>
                  </w:pPr>
                </w:p>
              </w:tc>
              <w:tc>
                <w:tcPr>
                  <w:tcW w:w="176" w:type="pct"/>
                  <w:vAlign w:val="center"/>
                </w:tcPr>
                <w:p w14:paraId="7C74D246">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176" w:type="pct"/>
                  <w:vAlign w:val="center"/>
                </w:tcPr>
                <w:p w14:paraId="7419CFA8">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147" w:type="pct"/>
                  <w:vAlign w:val="center"/>
                </w:tcPr>
                <w:p w14:paraId="6B198FE2">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392DA635">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351" w:type="pct"/>
                  <w:vAlign w:val="center"/>
                </w:tcPr>
                <w:p w14:paraId="155760AB">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71.02</w:t>
                  </w:r>
                </w:p>
              </w:tc>
              <w:tc>
                <w:tcPr>
                  <w:tcW w:w="605" w:type="pct"/>
                  <w:vAlign w:val="center"/>
                </w:tcPr>
                <w:p w14:paraId="44E1AC8F">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12887373">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66CB6F30">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56.02 </w:t>
                  </w:r>
                </w:p>
              </w:tc>
              <w:tc>
                <w:tcPr>
                  <w:tcW w:w="257" w:type="pct"/>
                  <w:vMerge w:val="continue"/>
                  <w:vAlign w:val="center"/>
                </w:tcPr>
                <w:p w14:paraId="7B1B825D">
                  <w:pPr>
                    <w:jc w:val="center"/>
                    <w:rPr>
                      <w:color w:val="auto"/>
                      <w:sz w:val="18"/>
                      <w:szCs w:val="18"/>
                    </w:rPr>
                  </w:pPr>
                </w:p>
              </w:tc>
            </w:tr>
            <w:tr w14:paraId="44539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54DE2DF4">
                  <w:pPr>
                    <w:jc w:val="center"/>
                    <w:rPr>
                      <w:rFonts w:hint="eastAsia" w:eastAsia="宋体"/>
                      <w:color w:val="auto"/>
                      <w:sz w:val="18"/>
                      <w:szCs w:val="18"/>
                      <w:lang w:val="en-US" w:eastAsia="zh-CN"/>
                    </w:rPr>
                  </w:pPr>
                  <w:r>
                    <w:rPr>
                      <w:rFonts w:hint="eastAsia"/>
                      <w:color w:val="auto"/>
                      <w:sz w:val="18"/>
                      <w:szCs w:val="18"/>
                      <w:lang w:val="en-US" w:eastAsia="zh-CN"/>
                    </w:rPr>
                    <w:t>7</w:t>
                  </w:r>
                </w:p>
              </w:tc>
              <w:tc>
                <w:tcPr>
                  <w:tcW w:w="221" w:type="pct"/>
                  <w:vMerge w:val="continue"/>
                  <w:vAlign w:val="center"/>
                </w:tcPr>
                <w:p w14:paraId="4776EA17">
                  <w:pPr>
                    <w:jc w:val="center"/>
                    <w:rPr>
                      <w:color w:val="auto"/>
                      <w:sz w:val="18"/>
                      <w:szCs w:val="18"/>
                    </w:rPr>
                  </w:pPr>
                </w:p>
              </w:tc>
              <w:tc>
                <w:tcPr>
                  <w:tcW w:w="341" w:type="pct"/>
                  <w:vAlign w:val="center"/>
                </w:tcPr>
                <w:p w14:paraId="2CBFCE28">
                  <w:pPr>
                    <w:widowControl/>
                    <w:jc w:val="center"/>
                    <w:textAlignment w:val="center"/>
                    <w:rPr>
                      <w:rFonts w:hint="eastAsia"/>
                      <w:color w:val="auto"/>
                      <w:kern w:val="0"/>
                      <w:sz w:val="18"/>
                      <w:szCs w:val="18"/>
                      <w:lang w:eastAsia="zh-CN"/>
                    </w:rPr>
                  </w:pPr>
                  <w:r>
                    <w:rPr>
                      <w:rFonts w:hint="eastAsia"/>
                      <w:color w:val="auto"/>
                      <w:kern w:val="0"/>
                      <w:sz w:val="18"/>
                      <w:szCs w:val="18"/>
                      <w:lang w:eastAsia="zh-CN"/>
                    </w:rPr>
                    <w:t>碾米机</w:t>
                  </w:r>
                </w:p>
              </w:tc>
              <w:tc>
                <w:tcPr>
                  <w:tcW w:w="605" w:type="pct"/>
                  <w:vAlign w:val="center"/>
                </w:tcPr>
                <w:p w14:paraId="6941121F">
                  <w:pPr>
                    <w:jc w:val="center"/>
                    <w:rPr>
                      <w:rFonts w:hint="default"/>
                      <w:color w:val="auto"/>
                      <w:sz w:val="18"/>
                      <w:szCs w:val="18"/>
                      <w:lang w:val="en-US" w:eastAsia="zh-CN"/>
                    </w:rPr>
                  </w:pPr>
                  <w:r>
                    <w:rPr>
                      <w:rFonts w:hint="eastAsia"/>
                      <w:color w:val="auto"/>
                      <w:sz w:val="18"/>
                      <w:szCs w:val="18"/>
                      <w:lang w:val="en-US" w:eastAsia="zh-CN"/>
                    </w:rPr>
                    <w:t>CFN25FK</w:t>
                  </w:r>
                </w:p>
              </w:tc>
              <w:tc>
                <w:tcPr>
                  <w:tcW w:w="686" w:type="pct"/>
                  <w:vAlign w:val="center"/>
                </w:tcPr>
                <w:p w14:paraId="6279BD3F">
                  <w:pPr>
                    <w:jc w:val="center"/>
                    <w:rPr>
                      <w:color w:val="auto"/>
                      <w:sz w:val="18"/>
                      <w:szCs w:val="18"/>
                    </w:rPr>
                  </w:pPr>
                  <w:r>
                    <w:rPr>
                      <w:color w:val="auto"/>
                      <w:sz w:val="18"/>
                      <w:szCs w:val="18"/>
                    </w:rPr>
                    <w:t>85</w:t>
                  </w:r>
                  <w:r>
                    <w:rPr>
                      <w:rFonts w:hint="eastAsia"/>
                      <w:color w:val="auto"/>
                      <w:sz w:val="18"/>
                      <w:szCs w:val="18"/>
                      <w:lang w:val="en-US" w:eastAsia="zh-CN"/>
                    </w:rPr>
                    <w:t>/1</w:t>
                  </w:r>
                </w:p>
              </w:tc>
              <w:tc>
                <w:tcPr>
                  <w:tcW w:w="318" w:type="pct"/>
                  <w:vMerge w:val="continue"/>
                  <w:vAlign w:val="center"/>
                </w:tcPr>
                <w:p w14:paraId="4636C1D6">
                  <w:pPr>
                    <w:jc w:val="center"/>
                    <w:rPr>
                      <w:color w:val="auto"/>
                      <w:sz w:val="18"/>
                      <w:szCs w:val="18"/>
                    </w:rPr>
                  </w:pPr>
                </w:p>
              </w:tc>
              <w:tc>
                <w:tcPr>
                  <w:tcW w:w="176" w:type="pct"/>
                  <w:vAlign w:val="center"/>
                </w:tcPr>
                <w:p w14:paraId="13AA1D03">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176" w:type="pct"/>
                  <w:vAlign w:val="center"/>
                </w:tcPr>
                <w:p w14:paraId="63C5CE4B">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147" w:type="pct"/>
                  <w:vAlign w:val="center"/>
                </w:tcPr>
                <w:p w14:paraId="3C878F88">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3772D02C">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9</w:t>
                  </w:r>
                </w:p>
              </w:tc>
              <w:tc>
                <w:tcPr>
                  <w:tcW w:w="351" w:type="pct"/>
                  <w:vAlign w:val="center"/>
                </w:tcPr>
                <w:p w14:paraId="35DDD2E5">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65.92</w:t>
                  </w:r>
                </w:p>
              </w:tc>
              <w:tc>
                <w:tcPr>
                  <w:tcW w:w="605" w:type="pct"/>
                  <w:vAlign w:val="center"/>
                </w:tcPr>
                <w:p w14:paraId="4759D23D">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003858EB">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1BAD4240">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50.92 </w:t>
                  </w:r>
                </w:p>
              </w:tc>
              <w:tc>
                <w:tcPr>
                  <w:tcW w:w="257" w:type="pct"/>
                  <w:vMerge w:val="continue"/>
                  <w:vAlign w:val="center"/>
                </w:tcPr>
                <w:p w14:paraId="0D4A9AA4">
                  <w:pPr>
                    <w:jc w:val="center"/>
                    <w:rPr>
                      <w:color w:val="auto"/>
                      <w:sz w:val="18"/>
                      <w:szCs w:val="18"/>
                    </w:rPr>
                  </w:pPr>
                </w:p>
              </w:tc>
            </w:tr>
            <w:tr w14:paraId="66D79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3197C6D9">
                  <w:pPr>
                    <w:jc w:val="center"/>
                    <w:rPr>
                      <w:rFonts w:hint="eastAsia" w:eastAsia="宋体"/>
                      <w:color w:val="auto"/>
                      <w:sz w:val="18"/>
                      <w:szCs w:val="18"/>
                      <w:lang w:val="en-US" w:eastAsia="zh-CN"/>
                    </w:rPr>
                  </w:pPr>
                  <w:r>
                    <w:rPr>
                      <w:rFonts w:hint="eastAsia"/>
                      <w:color w:val="auto"/>
                      <w:sz w:val="18"/>
                      <w:szCs w:val="18"/>
                      <w:lang w:val="en-US" w:eastAsia="zh-CN"/>
                    </w:rPr>
                    <w:t>8</w:t>
                  </w:r>
                </w:p>
              </w:tc>
              <w:tc>
                <w:tcPr>
                  <w:tcW w:w="221" w:type="pct"/>
                  <w:vMerge w:val="continue"/>
                  <w:vAlign w:val="center"/>
                </w:tcPr>
                <w:p w14:paraId="567F2A7F">
                  <w:pPr>
                    <w:jc w:val="center"/>
                    <w:rPr>
                      <w:color w:val="auto"/>
                      <w:sz w:val="18"/>
                      <w:szCs w:val="18"/>
                    </w:rPr>
                  </w:pPr>
                </w:p>
              </w:tc>
              <w:tc>
                <w:tcPr>
                  <w:tcW w:w="341" w:type="pct"/>
                  <w:vAlign w:val="center"/>
                </w:tcPr>
                <w:p w14:paraId="23F949D5">
                  <w:pPr>
                    <w:widowControl/>
                    <w:jc w:val="center"/>
                    <w:textAlignment w:val="center"/>
                    <w:rPr>
                      <w:rFonts w:hint="eastAsia"/>
                      <w:color w:val="auto"/>
                      <w:kern w:val="0"/>
                      <w:sz w:val="18"/>
                      <w:szCs w:val="18"/>
                      <w:lang w:eastAsia="zh-CN"/>
                    </w:rPr>
                  </w:pPr>
                  <w:r>
                    <w:rPr>
                      <w:rFonts w:hint="eastAsia"/>
                      <w:color w:val="auto"/>
                      <w:kern w:val="0"/>
                      <w:sz w:val="18"/>
                      <w:szCs w:val="18"/>
                      <w:lang w:eastAsia="zh-CN"/>
                    </w:rPr>
                    <w:t>电子包装机</w:t>
                  </w:r>
                </w:p>
              </w:tc>
              <w:tc>
                <w:tcPr>
                  <w:tcW w:w="605" w:type="pct"/>
                  <w:vAlign w:val="center"/>
                </w:tcPr>
                <w:p w14:paraId="27EA02D0">
                  <w:pPr>
                    <w:jc w:val="center"/>
                    <w:rPr>
                      <w:rFonts w:hint="default"/>
                      <w:color w:val="auto"/>
                      <w:sz w:val="18"/>
                      <w:szCs w:val="18"/>
                      <w:lang w:val="en-US" w:eastAsia="zh-CN"/>
                    </w:rPr>
                  </w:pPr>
                  <w:r>
                    <w:rPr>
                      <w:rFonts w:hint="eastAsia"/>
                      <w:color w:val="auto"/>
                      <w:sz w:val="18"/>
                      <w:szCs w:val="18"/>
                      <w:lang w:val="en-US" w:eastAsia="zh-CN"/>
                    </w:rPr>
                    <w:t>/</w:t>
                  </w:r>
                </w:p>
              </w:tc>
              <w:tc>
                <w:tcPr>
                  <w:tcW w:w="686" w:type="pct"/>
                  <w:vAlign w:val="center"/>
                </w:tcPr>
                <w:p w14:paraId="65BDADFC">
                  <w:pPr>
                    <w:jc w:val="center"/>
                    <w:rPr>
                      <w:color w:val="auto"/>
                      <w:sz w:val="18"/>
                      <w:szCs w:val="18"/>
                    </w:rPr>
                  </w:pPr>
                  <w:r>
                    <w:rPr>
                      <w:color w:val="auto"/>
                      <w:sz w:val="18"/>
                      <w:szCs w:val="18"/>
                    </w:rPr>
                    <w:t>85</w:t>
                  </w:r>
                  <w:r>
                    <w:rPr>
                      <w:rFonts w:hint="eastAsia"/>
                      <w:color w:val="auto"/>
                      <w:sz w:val="18"/>
                      <w:szCs w:val="18"/>
                      <w:lang w:val="en-US" w:eastAsia="zh-CN"/>
                    </w:rPr>
                    <w:t>/1</w:t>
                  </w:r>
                </w:p>
              </w:tc>
              <w:tc>
                <w:tcPr>
                  <w:tcW w:w="318" w:type="pct"/>
                  <w:vMerge w:val="continue"/>
                  <w:vAlign w:val="center"/>
                </w:tcPr>
                <w:p w14:paraId="5DC40B24">
                  <w:pPr>
                    <w:jc w:val="center"/>
                    <w:rPr>
                      <w:color w:val="auto"/>
                      <w:sz w:val="18"/>
                      <w:szCs w:val="18"/>
                    </w:rPr>
                  </w:pPr>
                </w:p>
              </w:tc>
              <w:tc>
                <w:tcPr>
                  <w:tcW w:w="176" w:type="pct"/>
                  <w:vAlign w:val="center"/>
                </w:tcPr>
                <w:p w14:paraId="272B053A">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176" w:type="pct"/>
                  <w:vAlign w:val="center"/>
                </w:tcPr>
                <w:p w14:paraId="7D5BD1C4">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25</w:t>
                  </w:r>
                </w:p>
              </w:tc>
              <w:tc>
                <w:tcPr>
                  <w:tcW w:w="147" w:type="pct"/>
                  <w:vAlign w:val="center"/>
                </w:tcPr>
                <w:p w14:paraId="3B9877AB">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35B20EA5">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13</w:t>
                  </w:r>
                </w:p>
              </w:tc>
              <w:tc>
                <w:tcPr>
                  <w:tcW w:w="351" w:type="pct"/>
                  <w:vAlign w:val="center"/>
                </w:tcPr>
                <w:p w14:paraId="237C3B72">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62.72</w:t>
                  </w:r>
                </w:p>
              </w:tc>
              <w:tc>
                <w:tcPr>
                  <w:tcW w:w="605" w:type="pct"/>
                  <w:vAlign w:val="center"/>
                </w:tcPr>
                <w:p w14:paraId="76264230">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4796E39C">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26C6BA25">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47.72 </w:t>
                  </w:r>
                </w:p>
              </w:tc>
              <w:tc>
                <w:tcPr>
                  <w:tcW w:w="257" w:type="pct"/>
                  <w:vMerge w:val="continue"/>
                  <w:vAlign w:val="center"/>
                </w:tcPr>
                <w:p w14:paraId="03C6A7D4">
                  <w:pPr>
                    <w:jc w:val="center"/>
                    <w:rPr>
                      <w:color w:val="auto"/>
                      <w:sz w:val="18"/>
                      <w:szCs w:val="18"/>
                    </w:rPr>
                  </w:pPr>
                </w:p>
              </w:tc>
            </w:tr>
            <w:tr w14:paraId="28263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5CEB6235">
                  <w:pPr>
                    <w:jc w:val="center"/>
                    <w:rPr>
                      <w:rFonts w:hint="eastAsia" w:eastAsia="宋体"/>
                      <w:color w:val="auto"/>
                      <w:sz w:val="18"/>
                      <w:szCs w:val="18"/>
                      <w:lang w:val="en-US" w:eastAsia="zh-CN"/>
                    </w:rPr>
                  </w:pPr>
                  <w:r>
                    <w:rPr>
                      <w:rFonts w:hint="eastAsia"/>
                      <w:color w:val="auto"/>
                      <w:sz w:val="18"/>
                      <w:szCs w:val="18"/>
                      <w:lang w:val="en-US" w:eastAsia="zh-CN"/>
                    </w:rPr>
                    <w:t>9</w:t>
                  </w:r>
                </w:p>
              </w:tc>
              <w:tc>
                <w:tcPr>
                  <w:tcW w:w="221" w:type="pct"/>
                  <w:vMerge w:val="continue"/>
                  <w:vAlign w:val="center"/>
                </w:tcPr>
                <w:p w14:paraId="614A581C">
                  <w:pPr>
                    <w:jc w:val="center"/>
                    <w:rPr>
                      <w:color w:val="auto"/>
                      <w:sz w:val="18"/>
                      <w:szCs w:val="18"/>
                    </w:rPr>
                  </w:pPr>
                </w:p>
              </w:tc>
              <w:tc>
                <w:tcPr>
                  <w:tcW w:w="341" w:type="pct"/>
                  <w:vAlign w:val="center"/>
                </w:tcPr>
                <w:p w14:paraId="4B1FF9B9">
                  <w:pPr>
                    <w:widowControl/>
                    <w:jc w:val="center"/>
                    <w:textAlignment w:val="center"/>
                    <w:rPr>
                      <w:rFonts w:hint="eastAsia"/>
                      <w:color w:val="auto"/>
                      <w:kern w:val="0"/>
                      <w:sz w:val="18"/>
                      <w:szCs w:val="18"/>
                      <w:lang w:eastAsia="zh-CN"/>
                    </w:rPr>
                  </w:pPr>
                  <w:r>
                    <w:rPr>
                      <w:rFonts w:hint="eastAsia"/>
                      <w:color w:val="auto"/>
                      <w:kern w:val="0"/>
                      <w:sz w:val="18"/>
                      <w:szCs w:val="18"/>
                      <w:lang w:eastAsia="zh-CN"/>
                    </w:rPr>
                    <w:t>装卸机</w:t>
                  </w:r>
                </w:p>
              </w:tc>
              <w:tc>
                <w:tcPr>
                  <w:tcW w:w="605" w:type="pct"/>
                  <w:vAlign w:val="center"/>
                </w:tcPr>
                <w:p w14:paraId="6FABC1D1">
                  <w:pPr>
                    <w:jc w:val="center"/>
                    <w:rPr>
                      <w:rFonts w:hint="default"/>
                      <w:color w:val="auto"/>
                      <w:sz w:val="18"/>
                      <w:szCs w:val="18"/>
                      <w:lang w:val="en-US" w:eastAsia="zh-CN"/>
                    </w:rPr>
                  </w:pPr>
                  <w:r>
                    <w:rPr>
                      <w:rFonts w:hint="eastAsia"/>
                      <w:color w:val="auto"/>
                      <w:sz w:val="18"/>
                      <w:szCs w:val="18"/>
                      <w:lang w:val="en-US" w:eastAsia="zh-CN"/>
                    </w:rPr>
                    <w:t>/</w:t>
                  </w:r>
                </w:p>
              </w:tc>
              <w:tc>
                <w:tcPr>
                  <w:tcW w:w="686" w:type="pct"/>
                  <w:vAlign w:val="center"/>
                </w:tcPr>
                <w:p w14:paraId="02631100">
                  <w:pPr>
                    <w:jc w:val="center"/>
                    <w:rPr>
                      <w:color w:val="auto"/>
                      <w:sz w:val="18"/>
                      <w:szCs w:val="18"/>
                    </w:rPr>
                  </w:pPr>
                  <w:r>
                    <w:rPr>
                      <w:color w:val="auto"/>
                      <w:sz w:val="18"/>
                      <w:szCs w:val="18"/>
                    </w:rPr>
                    <w:t>85</w:t>
                  </w:r>
                  <w:r>
                    <w:rPr>
                      <w:rFonts w:hint="eastAsia"/>
                      <w:color w:val="auto"/>
                      <w:sz w:val="18"/>
                      <w:szCs w:val="18"/>
                      <w:lang w:val="en-US" w:eastAsia="zh-CN"/>
                    </w:rPr>
                    <w:t>/1</w:t>
                  </w:r>
                </w:p>
              </w:tc>
              <w:tc>
                <w:tcPr>
                  <w:tcW w:w="318" w:type="pct"/>
                  <w:vMerge w:val="continue"/>
                  <w:vAlign w:val="center"/>
                </w:tcPr>
                <w:p w14:paraId="3D8D9FFF">
                  <w:pPr>
                    <w:jc w:val="center"/>
                    <w:rPr>
                      <w:color w:val="auto"/>
                      <w:sz w:val="18"/>
                      <w:szCs w:val="18"/>
                    </w:rPr>
                  </w:pPr>
                </w:p>
              </w:tc>
              <w:tc>
                <w:tcPr>
                  <w:tcW w:w="176" w:type="pct"/>
                  <w:vAlign w:val="center"/>
                </w:tcPr>
                <w:p w14:paraId="22887B9B">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176" w:type="pct"/>
                  <w:vAlign w:val="center"/>
                </w:tcPr>
                <w:p w14:paraId="03622E4C">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30</w:t>
                  </w:r>
                </w:p>
              </w:tc>
              <w:tc>
                <w:tcPr>
                  <w:tcW w:w="147" w:type="pct"/>
                  <w:vAlign w:val="center"/>
                </w:tcPr>
                <w:p w14:paraId="7D89A244">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676E17B8">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351" w:type="pct"/>
                  <w:vAlign w:val="center"/>
                </w:tcPr>
                <w:p w14:paraId="2E4A7D1B">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71.02</w:t>
                  </w:r>
                </w:p>
              </w:tc>
              <w:tc>
                <w:tcPr>
                  <w:tcW w:w="605" w:type="pct"/>
                  <w:vAlign w:val="center"/>
                </w:tcPr>
                <w:p w14:paraId="2729F408">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4C7A5735">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1A89D049">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56.02 </w:t>
                  </w:r>
                </w:p>
              </w:tc>
              <w:tc>
                <w:tcPr>
                  <w:tcW w:w="257" w:type="pct"/>
                  <w:vMerge w:val="continue"/>
                  <w:vAlign w:val="center"/>
                </w:tcPr>
                <w:p w14:paraId="00266145">
                  <w:pPr>
                    <w:jc w:val="center"/>
                    <w:rPr>
                      <w:color w:val="auto"/>
                      <w:sz w:val="18"/>
                      <w:szCs w:val="18"/>
                    </w:rPr>
                  </w:pPr>
                </w:p>
              </w:tc>
            </w:tr>
            <w:tr w14:paraId="19F7A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5B0BF24B">
                  <w:pPr>
                    <w:jc w:val="center"/>
                    <w:rPr>
                      <w:rFonts w:hint="default" w:eastAsia="宋体"/>
                      <w:color w:val="auto"/>
                      <w:sz w:val="18"/>
                      <w:szCs w:val="18"/>
                      <w:lang w:val="en-US" w:eastAsia="zh-CN"/>
                    </w:rPr>
                  </w:pPr>
                  <w:r>
                    <w:rPr>
                      <w:rFonts w:hint="eastAsia"/>
                      <w:color w:val="auto"/>
                      <w:sz w:val="18"/>
                      <w:szCs w:val="18"/>
                      <w:lang w:val="en-US" w:eastAsia="zh-CN"/>
                    </w:rPr>
                    <w:t>10</w:t>
                  </w:r>
                </w:p>
              </w:tc>
              <w:tc>
                <w:tcPr>
                  <w:tcW w:w="221" w:type="pct"/>
                  <w:vMerge w:val="continue"/>
                  <w:vAlign w:val="center"/>
                </w:tcPr>
                <w:p w14:paraId="09D8F1F2">
                  <w:pPr>
                    <w:jc w:val="center"/>
                    <w:rPr>
                      <w:color w:val="auto"/>
                      <w:sz w:val="18"/>
                      <w:szCs w:val="18"/>
                    </w:rPr>
                  </w:pPr>
                </w:p>
              </w:tc>
              <w:tc>
                <w:tcPr>
                  <w:tcW w:w="341" w:type="pct"/>
                  <w:vAlign w:val="center"/>
                </w:tcPr>
                <w:p w14:paraId="30BA65A6">
                  <w:pPr>
                    <w:widowControl/>
                    <w:jc w:val="center"/>
                    <w:textAlignment w:val="center"/>
                    <w:rPr>
                      <w:rFonts w:hint="eastAsia"/>
                      <w:color w:val="auto"/>
                      <w:kern w:val="0"/>
                      <w:sz w:val="18"/>
                      <w:szCs w:val="18"/>
                      <w:lang w:eastAsia="zh-CN"/>
                    </w:rPr>
                  </w:pPr>
                  <w:r>
                    <w:rPr>
                      <w:rFonts w:hint="eastAsia"/>
                      <w:color w:val="auto"/>
                      <w:kern w:val="0"/>
                      <w:sz w:val="18"/>
                      <w:szCs w:val="18"/>
                      <w:lang w:eastAsia="zh-CN"/>
                    </w:rPr>
                    <w:t>提升机</w:t>
                  </w:r>
                </w:p>
              </w:tc>
              <w:tc>
                <w:tcPr>
                  <w:tcW w:w="605" w:type="pct"/>
                  <w:vAlign w:val="center"/>
                </w:tcPr>
                <w:p w14:paraId="59C9E10D">
                  <w:pPr>
                    <w:jc w:val="center"/>
                    <w:rPr>
                      <w:rFonts w:hint="default"/>
                      <w:color w:val="auto"/>
                      <w:sz w:val="18"/>
                      <w:szCs w:val="18"/>
                      <w:lang w:val="en-US" w:eastAsia="zh-CN"/>
                    </w:rPr>
                  </w:pPr>
                  <w:r>
                    <w:rPr>
                      <w:rFonts w:hint="eastAsia"/>
                      <w:color w:val="auto"/>
                      <w:sz w:val="18"/>
                      <w:szCs w:val="18"/>
                      <w:lang w:val="en-US" w:eastAsia="zh-CN"/>
                    </w:rPr>
                    <w:t>/</w:t>
                  </w:r>
                </w:p>
              </w:tc>
              <w:tc>
                <w:tcPr>
                  <w:tcW w:w="686" w:type="pct"/>
                  <w:vAlign w:val="center"/>
                </w:tcPr>
                <w:p w14:paraId="515F7836">
                  <w:pPr>
                    <w:jc w:val="center"/>
                    <w:rPr>
                      <w:color w:val="auto"/>
                      <w:sz w:val="18"/>
                      <w:szCs w:val="18"/>
                    </w:rPr>
                  </w:pPr>
                  <w:r>
                    <w:rPr>
                      <w:rFonts w:hint="eastAsia"/>
                      <w:color w:val="auto"/>
                      <w:sz w:val="18"/>
                      <w:szCs w:val="18"/>
                      <w:lang w:val="en-US" w:eastAsia="zh-CN"/>
                    </w:rPr>
                    <w:t>85/1</w:t>
                  </w:r>
                </w:p>
              </w:tc>
              <w:tc>
                <w:tcPr>
                  <w:tcW w:w="318" w:type="pct"/>
                  <w:vMerge w:val="continue"/>
                  <w:vAlign w:val="center"/>
                </w:tcPr>
                <w:p w14:paraId="6BAC07F5">
                  <w:pPr>
                    <w:jc w:val="center"/>
                    <w:rPr>
                      <w:color w:val="auto"/>
                      <w:sz w:val="18"/>
                      <w:szCs w:val="18"/>
                    </w:rPr>
                  </w:pPr>
                </w:p>
              </w:tc>
              <w:tc>
                <w:tcPr>
                  <w:tcW w:w="176" w:type="pct"/>
                  <w:vAlign w:val="center"/>
                </w:tcPr>
                <w:p w14:paraId="15B19BC1">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40</w:t>
                  </w:r>
                </w:p>
              </w:tc>
              <w:tc>
                <w:tcPr>
                  <w:tcW w:w="176" w:type="pct"/>
                  <w:vAlign w:val="center"/>
                </w:tcPr>
                <w:p w14:paraId="4EF4540A">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35</w:t>
                  </w:r>
                </w:p>
              </w:tc>
              <w:tc>
                <w:tcPr>
                  <w:tcW w:w="147" w:type="pct"/>
                  <w:vAlign w:val="center"/>
                </w:tcPr>
                <w:p w14:paraId="6C5942D7">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15A2D35C">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351" w:type="pct"/>
                  <w:vAlign w:val="center"/>
                </w:tcPr>
                <w:p w14:paraId="55BF7E32">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71.02</w:t>
                  </w:r>
                </w:p>
              </w:tc>
              <w:tc>
                <w:tcPr>
                  <w:tcW w:w="605" w:type="pct"/>
                  <w:vAlign w:val="center"/>
                </w:tcPr>
                <w:p w14:paraId="05A66465">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4A515A04">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015A53E1">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56.02 </w:t>
                  </w:r>
                </w:p>
              </w:tc>
              <w:tc>
                <w:tcPr>
                  <w:tcW w:w="257" w:type="pct"/>
                  <w:vMerge w:val="continue"/>
                  <w:vAlign w:val="center"/>
                </w:tcPr>
                <w:p w14:paraId="701C9EB7">
                  <w:pPr>
                    <w:jc w:val="center"/>
                    <w:rPr>
                      <w:color w:val="auto"/>
                      <w:sz w:val="18"/>
                      <w:szCs w:val="18"/>
                    </w:rPr>
                  </w:pPr>
                </w:p>
              </w:tc>
            </w:tr>
            <w:tr w14:paraId="4881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63F2DAEB">
                  <w:pPr>
                    <w:jc w:val="center"/>
                    <w:rPr>
                      <w:rFonts w:hint="default" w:eastAsia="宋体"/>
                      <w:color w:val="auto"/>
                      <w:sz w:val="18"/>
                      <w:szCs w:val="18"/>
                      <w:lang w:val="en-US" w:eastAsia="zh-CN"/>
                    </w:rPr>
                  </w:pPr>
                  <w:r>
                    <w:rPr>
                      <w:rFonts w:hint="eastAsia"/>
                      <w:color w:val="auto"/>
                      <w:sz w:val="18"/>
                      <w:szCs w:val="18"/>
                      <w:lang w:val="en-US" w:eastAsia="zh-CN"/>
                    </w:rPr>
                    <w:t>11</w:t>
                  </w:r>
                </w:p>
              </w:tc>
              <w:tc>
                <w:tcPr>
                  <w:tcW w:w="221" w:type="pct"/>
                  <w:vMerge w:val="continue"/>
                  <w:vAlign w:val="center"/>
                </w:tcPr>
                <w:p w14:paraId="051B7A74">
                  <w:pPr>
                    <w:jc w:val="center"/>
                    <w:rPr>
                      <w:color w:val="auto"/>
                      <w:sz w:val="18"/>
                      <w:szCs w:val="18"/>
                    </w:rPr>
                  </w:pPr>
                </w:p>
              </w:tc>
              <w:tc>
                <w:tcPr>
                  <w:tcW w:w="341" w:type="pct"/>
                  <w:vAlign w:val="center"/>
                </w:tcPr>
                <w:p w14:paraId="6B3741D2">
                  <w:pPr>
                    <w:widowControl/>
                    <w:jc w:val="center"/>
                    <w:textAlignment w:val="center"/>
                    <w:rPr>
                      <w:rFonts w:hint="eastAsia"/>
                      <w:color w:val="auto"/>
                      <w:kern w:val="0"/>
                      <w:sz w:val="18"/>
                      <w:szCs w:val="18"/>
                      <w:lang w:eastAsia="zh-CN"/>
                    </w:rPr>
                  </w:pPr>
                  <w:r>
                    <w:rPr>
                      <w:rFonts w:hint="eastAsia"/>
                      <w:color w:val="auto"/>
                      <w:kern w:val="0"/>
                      <w:sz w:val="18"/>
                      <w:szCs w:val="18"/>
                      <w:lang w:eastAsia="zh-CN"/>
                    </w:rPr>
                    <w:t>重力分级机</w:t>
                  </w:r>
                </w:p>
              </w:tc>
              <w:tc>
                <w:tcPr>
                  <w:tcW w:w="605" w:type="pct"/>
                  <w:vAlign w:val="center"/>
                </w:tcPr>
                <w:p w14:paraId="277724DB">
                  <w:pPr>
                    <w:jc w:val="center"/>
                    <w:rPr>
                      <w:rFonts w:hint="default"/>
                      <w:color w:val="auto"/>
                      <w:sz w:val="18"/>
                      <w:szCs w:val="18"/>
                      <w:lang w:val="en-US" w:eastAsia="zh-CN"/>
                    </w:rPr>
                  </w:pPr>
                  <w:r>
                    <w:rPr>
                      <w:rFonts w:hint="eastAsia"/>
                      <w:color w:val="auto"/>
                      <w:sz w:val="18"/>
                      <w:szCs w:val="18"/>
                      <w:lang w:val="en-US" w:eastAsia="zh-CN"/>
                    </w:rPr>
                    <w:t>/</w:t>
                  </w:r>
                </w:p>
              </w:tc>
              <w:tc>
                <w:tcPr>
                  <w:tcW w:w="686" w:type="pct"/>
                  <w:vAlign w:val="center"/>
                </w:tcPr>
                <w:p w14:paraId="2B0FECF2">
                  <w:pPr>
                    <w:jc w:val="center"/>
                    <w:rPr>
                      <w:color w:val="auto"/>
                      <w:sz w:val="18"/>
                      <w:szCs w:val="18"/>
                    </w:rPr>
                  </w:pPr>
                  <w:r>
                    <w:rPr>
                      <w:color w:val="auto"/>
                      <w:sz w:val="18"/>
                      <w:szCs w:val="18"/>
                    </w:rPr>
                    <w:t>8</w:t>
                  </w:r>
                  <w:r>
                    <w:rPr>
                      <w:rFonts w:hint="eastAsia"/>
                      <w:color w:val="auto"/>
                      <w:sz w:val="18"/>
                      <w:szCs w:val="18"/>
                      <w:lang w:val="en-US" w:eastAsia="zh-CN"/>
                    </w:rPr>
                    <w:t>5/1</w:t>
                  </w:r>
                </w:p>
              </w:tc>
              <w:tc>
                <w:tcPr>
                  <w:tcW w:w="318" w:type="pct"/>
                  <w:vMerge w:val="continue"/>
                  <w:vAlign w:val="center"/>
                </w:tcPr>
                <w:p w14:paraId="12E2CFD6">
                  <w:pPr>
                    <w:jc w:val="center"/>
                    <w:rPr>
                      <w:color w:val="auto"/>
                      <w:sz w:val="18"/>
                      <w:szCs w:val="18"/>
                    </w:rPr>
                  </w:pPr>
                </w:p>
              </w:tc>
              <w:tc>
                <w:tcPr>
                  <w:tcW w:w="176" w:type="pct"/>
                  <w:vAlign w:val="center"/>
                </w:tcPr>
                <w:p w14:paraId="59645298">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w:t>
                  </w:r>
                </w:p>
              </w:tc>
              <w:tc>
                <w:tcPr>
                  <w:tcW w:w="176" w:type="pct"/>
                  <w:vAlign w:val="center"/>
                </w:tcPr>
                <w:p w14:paraId="6FAD2D17">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15</w:t>
                  </w:r>
                </w:p>
              </w:tc>
              <w:tc>
                <w:tcPr>
                  <w:tcW w:w="147" w:type="pct"/>
                  <w:vAlign w:val="center"/>
                </w:tcPr>
                <w:p w14:paraId="1E35910A">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0F21592A">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w:t>
                  </w:r>
                </w:p>
              </w:tc>
              <w:tc>
                <w:tcPr>
                  <w:tcW w:w="351" w:type="pct"/>
                  <w:vAlign w:val="center"/>
                </w:tcPr>
                <w:p w14:paraId="5AE497B8">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71.02</w:t>
                  </w:r>
                </w:p>
              </w:tc>
              <w:tc>
                <w:tcPr>
                  <w:tcW w:w="605" w:type="pct"/>
                  <w:vAlign w:val="center"/>
                </w:tcPr>
                <w:p w14:paraId="0C99174E">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1883D71F">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0910C0E8">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56.02 </w:t>
                  </w:r>
                </w:p>
              </w:tc>
              <w:tc>
                <w:tcPr>
                  <w:tcW w:w="257" w:type="pct"/>
                  <w:vMerge w:val="continue"/>
                  <w:vAlign w:val="center"/>
                </w:tcPr>
                <w:p w14:paraId="7C134F81">
                  <w:pPr>
                    <w:jc w:val="center"/>
                    <w:rPr>
                      <w:color w:val="auto"/>
                      <w:sz w:val="18"/>
                      <w:szCs w:val="18"/>
                    </w:rPr>
                  </w:pPr>
                </w:p>
              </w:tc>
            </w:tr>
            <w:tr w14:paraId="1881A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 w:type="pct"/>
                  <w:vAlign w:val="center"/>
                </w:tcPr>
                <w:p w14:paraId="16BE4E3B">
                  <w:pPr>
                    <w:jc w:val="center"/>
                    <w:rPr>
                      <w:rFonts w:hint="default" w:eastAsia="宋体"/>
                      <w:color w:val="auto"/>
                      <w:sz w:val="18"/>
                      <w:szCs w:val="18"/>
                      <w:lang w:val="en-US" w:eastAsia="zh-CN"/>
                    </w:rPr>
                  </w:pPr>
                  <w:r>
                    <w:rPr>
                      <w:rFonts w:hint="eastAsia"/>
                      <w:color w:val="auto"/>
                      <w:sz w:val="18"/>
                      <w:szCs w:val="18"/>
                      <w:lang w:val="en-US" w:eastAsia="zh-CN"/>
                    </w:rPr>
                    <w:t>12</w:t>
                  </w:r>
                </w:p>
              </w:tc>
              <w:tc>
                <w:tcPr>
                  <w:tcW w:w="221" w:type="pct"/>
                  <w:vMerge w:val="continue"/>
                  <w:vAlign w:val="center"/>
                </w:tcPr>
                <w:p w14:paraId="5F99AC12">
                  <w:pPr>
                    <w:jc w:val="center"/>
                    <w:rPr>
                      <w:color w:val="auto"/>
                      <w:sz w:val="18"/>
                      <w:szCs w:val="18"/>
                    </w:rPr>
                  </w:pPr>
                </w:p>
              </w:tc>
              <w:tc>
                <w:tcPr>
                  <w:tcW w:w="341" w:type="pct"/>
                  <w:vAlign w:val="center"/>
                </w:tcPr>
                <w:p w14:paraId="72D5907A">
                  <w:pPr>
                    <w:widowControl/>
                    <w:jc w:val="center"/>
                    <w:textAlignment w:val="center"/>
                    <w:rPr>
                      <w:rFonts w:hint="eastAsia"/>
                      <w:color w:val="auto"/>
                      <w:kern w:val="0"/>
                      <w:sz w:val="18"/>
                      <w:szCs w:val="18"/>
                      <w:lang w:eastAsia="zh-CN"/>
                    </w:rPr>
                  </w:pPr>
                  <w:r>
                    <w:rPr>
                      <w:rFonts w:hint="eastAsia"/>
                      <w:color w:val="auto"/>
                      <w:kern w:val="0"/>
                      <w:sz w:val="18"/>
                      <w:szCs w:val="18"/>
                      <w:lang w:eastAsia="zh-CN"/>
                    </w:rPr>
                    <w:t>低温碾机</w:t>
                  </w:r>
                </w:p>
              </w:tc>
              <w:tc>
                <w:tcPr>
                  <w:tcW w:w="605" w:type="pct"/>
                  <w:vAlign w:val="center"/>
                </w:tcPr>
                <w:p w14:paraId="3DC73D15">
                  <w:pPr>
                    <w:jc w:val="center"/>
                    <w:rPr>
                      <w:rFonts w:hint="default"/>
                      <w:color w:val="auto"/>
                      <w:sz w:val="18"/>
                      <w:szCs w:val="18"/>
                      <w:lang w:val="en-US" w:eastAsia="zh-CN"/>
                    </w:rPr>
                  </w:pPr>
                  <w:r>
                    <w:rPr>
                      <w:rFonts w:hint="eastAsia"/>
                      <w:color w:val="auto"/>
                      <w:sz w:val="18"/>
                      <w:szCs w:val="18"/>
                      <w:lang w:val="en-US" w:eastAsia="zh-CN"/>
                    </w:rPr>
                    <w:t>/</w:t>
                  </w:r>
                </w:p>
              </w:tc>
              <w:tc>
                <w:tcPr>
                  <w:tcW w:w="686" w:type="pct"/>
                  <w:vAlign w:val="center"/>
                </w:tcPr>
                <w:p w14:paraId="62524C11">
                  <w:pPr>
                    <w:jc w:val="center"/>
                    <w:rPr>
                      <w:color w:val="auto"/>
                      <w:sz w:val="18"/>
                      <w:szCs w:val="18"/>
                    </w:rPr>
                  </w:pPr>
                  <w:r>
                    <w:rPr>
                      <w:rFonts w:hint="eastAsia"/>
                      <w:color w:val="auto"/>
                      <w:sz w:val="18"/>
                      <w:szCs w:val="18"/>
                      <w:lang w:val="en-US" w:eastAsia="zh-CN"/>
                    </w:rPr>
                    <w:t>85/1</w:t>
                  </w:r>
                </w:p>
              </w:tc>
              <w:tc>
                <w:tcPr>
                  <w:tcW w:w="318" w:type="pct"/>
                  <w:vMerge w:val="continue"/>
                  <w:vAlign w:val="center"/>
                </w:tcPr>
                <w:p w14:paraId="586E0CD2">
                  <w:pPr>
                    <w:jc w:val="center"/>
                    <w:rPr>
                      <w:color w:val="auto"/>
                      <w:sz w:val="18"/>
                      <w:szCs w:val="18"/>
                    </w:rPr>
                  </w:pPr>
                </w:p>
              </w:tc>
              <w:tc>
                <w:tcPr>
                  <w:tcW w:w="176" w:type="pct"/>
                  <w:vAlign w:val="center"/>
                </w:tcPr>
                <w:p w14:paraId="51966705">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45</w:t>
                  </w:r>
                </w:p>
              </w:tc>
              <w:tc>
                <w:tcPr>
                  <w:tcW w:w="176" w:type="pct"/>
                  <w:vAlign w:val="center"/>
                </w:tcPr>
                <w:p w14:paraId="29CAB668">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20</w:t>
                  </w:r>
                </w:p>
              </w:tc>
              <w:tc>
                <w:tcPr>
                  <w:tcW w:w="147" w:type="pct"/>
                  <w:vAlign w:val="center"/>
                </w:tcPr>
                <w:p w14:paraId="10D50C04">
                  <w:pPr>
                    <w:jc w:val="center"/>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1</w:t>
                  </w:r>
                </w:p>
              </w:tc>
              <w:tc>
                <w:tcPr>
                  <w:tcW w:w="270" w:type="pct"/>
                  <w:vAlign w:val="center"/>
                </w:tcPr>
                <w:p w14:paraId="637D0A60">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27</w:t>
                  </w:r>
                </w:p>
              </w:tc>
              <w:tc>
                <w:tcPr>
                  <w:tcW w:w="351" w:type="pct"/>
                  <w:vAlign w:val="center"/>
                </w:tcPr>
                <w:p w14:paraId="73CBF6D2">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56.37</w:t>
                  </w:r>
                </w:p>
              </w:tc>
              <w:tc>
                <w:tcPr>
                  <w:tcW w:w="605" w:type="pct"/>
                  <w:vAlign w:val="center"/>
                </w:tcPr>
                <w:p w14:paraId="5DDA727B">
                  <w:pPr>
                    <w:jc w:val="center"/>
                    <w:rPr>
                      <w:rFonts w:hint="eastAsia" w:ascii="Times New Roman" w:hAnsi="Times New Roman" w:eastAsia="宋体" w:cs="Times New Roman"/>
                      <w:color w:val="auto"/>
                      <w:sz w:val="18"/>
                      <w:szCs w:val="18"/>
                      <w:lang w:val="en-US" w:eastAsia="zh-CN"/>
                    </w:rPr>
                  </w:pPr>
                  <w:r>
                    <w:rPr>
                      <w:bCs/>
                      <w:color w:val="auto"/>
                      <w:szCs w:val="21"/>
                    </w:rPr>
                    <w:t>8</w:t>
                  </w:r>
                  <w:r>
                    <w:rPr>
                      <w:rFonts w:hint="eastAsia"/>
                      <w:bCs/>
                      <w:color w:val="auto"/>
                      <w:szCs w:val="21"/>
                      <w:lang w:eastAsia="zh-CN"/>
                    </w:rPr>
                    <w:t>:</w:t>
                  </w:r>
                  <w:r>
                    <w:rPr>
                      <w:bCs/>
                      <w:color w:val="auto"/>
                      <w:szCs w:val="21"/>
                    </w:rPr>
                    <w:t>00-12:00，14:00-18:00</w:t>
                  </w:r>
                </w:p>
              </w:tc>
              <w:tc>
                <w:tcPr>
                  <w:tcW w:w="292" w:type="pct"/>
                  <w:vMerge w:val="continue"/>
                  <w:vAlign w:val="center"/>
                </w:tcPr>
                <w:p w14:paraId="72190208">
                  <w:pPr>
                    <w:jc w:val="center"/>
                    <w:rPr>
                      <w:rFonts w:hint="eastAsia" w:ascii="Times New Roman" w:hAnsi="Times New Roman" w:eastAsia="宋体" w:cs="Times New Roman"/>
                      <w:color w:val="auto"/>
                      <w:sz w:val="18"/>
                      <w:szCs w:val="18"/>
                      <w:lang w:val="en-US" w:eastAsia="zh-CN"/>
                    </w:rPr>
                  </w:pPr>
                </w:p>
              </w:tc>
              <w:tc>
                <w:tcPr>
                  <w:tcW w:w="367" w:type="pct"/>
                  <w:vAlign w:val="center"/>
                </w:tcPr>
                <w:p w14:paraId="1798A963">
                  <w:pPr>
                    <w:jc w:val="center"/>
                    <w:rPr>
                      <w:rFonts w:hint="eastAsia"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 xml:space="preserve">41.37 </w:t>
                  </w:r>
                </w:p>
              </w:tc>
              <w:tc>
                <w:tcPr>
                  <w:tcW w:w="257" w:type="pct"/>
                  <w:vMerge w:val="continue"/>
                  <w:vAlign w:val="center"/>
                </w:tcPr>
                <w:p w14:paraId="63BCDF63">
                  <w:pPr>
                    <w:jc w:val="center"/>
                    <w:rPr>
                      <w:color w:val="auto"/>
                      <w:sz w:val="18"/>
                      <w:szCs w:val="18"/>
                    </w:rPr>
                  </w:pPr>
                </w:p>
              </w:tc>
            </w:tr>
          </w:tbl>
          <w:p w14:paraId="08665446">
            <w:pPr>
              <w:spacing w:line="360" w:lineRule="auto"/>
              <w:jc w:val="both"/>
              <w:rPr>
                <w:color w:val="auto"/>
                <w:sz w:val="24"/>
              </w:rPr>
            </w:pPr>
          </w:p>
          <w:p w14:paraId="5AD29959">
            <w:pPr>
              <w:spacing w:line="360" w:lineRule="auto"/>
              <w:jc w:val="both"/>
              <w:rPr>
                <w:color w:val="auto"/>
                <w:sz w:val="24"/>
              </w:rPr>
            </w:pPr>
          </w:p>
          <w:p w14:paraId="17738803">
            <w:pPr>
              <w:spacing w:line="360" w:lineRule="auto"/>
              <w:jc w:val="both"/>
              <w:rPr>
                <w:color w:val="auto"/>
                <w:sz w:val="24"/>
              </w:rPr>
            </w:pPr>
          </w:p>
          <w:p w14:paraId="6414CB0E">
            <w:pPr>
              <w:spacing w:line="360" w:lineRule="auto"/>
              <w:jc w:val="both"/>
              <w:rPr>
                <w:color w:val="auto"/>
                <w:sz w:val="24"/>
              </w:rPr>
            </w:pPr>
          </w:p>
          <w:p w14:paraId="20D58DBC">
            <w:pPr>
              <w:spacing w:line="360" w:lineRule="auto"/>
              <w:jc w:val="both"/>
              <w:rPr>
                <w:color w:val="auto"/>
                <w:sz w:val="24"/>
              </w:rPr>
            </w:pPr>
          </w:p>
          <w:p w14:paraId="34C4DBD5">
            <w:pPr>
              <w:spacing w:line="360" w:lineRule="auto"/>
              <w:jc w:val="both"/>
              <w:rPr>
                <w:color w:val="auto"/>
                <w:sz w:val="24"/>
              </w:rPr>
            </w:pPr>
          </w:p>
          <w:p w14:paraId="65625E57">
            <w:pPr>
              <w:spacing w:line="360" w:lineRule="auto"/>
              <w:jc w:val="both"/>
              <w:rPr>
                <w:color w:val="auto"/>
                <w:sz w:val="24"/>
              </w:rPr>
            </w:pPr>
          </w:p>
          <w:p w14:paraId="120029ED">
            <w:pPr>
              <w:spacing w:line="360" w:lineRule="auto"/>
              <w:jc w:val="both"/>
              <w:rPr>
                <w:color w:val="auto"/>
                <w:sz w:val="24"/>
              </w:rPr>
            </w:pPr>
          </w:p>
        </w:tc>
      </w:tr>
    </w:tbl>
    <w:p w14:paraId="2077CC45">
      <w:pPr>
        <w:outlineLvl w:val="0"/>
        <w:rPr>
          <w:rFonts w:eastAsia="黑体"/>
          <w:b/>
          <w:bCs/>
          <w:color w:val="auto"/>
          <w:sz w:val="30"/>
          <w:szCs w:val="24"/>
        </w:rPr>
        <w:sectPr>
          <w:pgSz w:w="16838" w:h="11906" w:orient="landscape"/>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6"/>
        <w:gridCol w:w="8084"/>
      </w:tblGrid>
      <w:tr w14:paraId="6930A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dxa"/>
            <w:vAlign w:val="center"/>
          </w:tcPr>
          <w:p w14:paraId="757E8958">
            <w:pPr>
              <w:spacing w:line="360" w:lineRule="auto"/>
              <w:jc w:val="center"/>
              <w:rPr>
                <w:rFonts w:eastAsia="黑体"/>
                <w:b/>
                <w:bCs/>
                <w:color w:val="auto"/>
                <w:sz w:val="30"/>
                <w:szCs w:val="24"/>
              </w:rPr>
            </w:pPr>
            <w:r>
              <w:rPr>
                <w:rFonts w:hint="eastAsia"/>
                <w:color w:val="auto"/>
                <w:szCs w:val="18"/>
              </w:rPr>
              <w:t>运营期环境影响和保护措施</w:t>
            </w:r>
          </w:p>
        </w:tc>
        <w:tc>
          <w:tcPr>
            <w:tcW w:w="8618" w:type="dxa"/>
          </w:tcPr>
          <w:p w14:paraId="4BF56697">
            <w:pPr>
              <w:spacing w:line="360" w:lineRule="auto"/>
              <w:rPr>
                <w:b/>
                <w:color w:val="auto"/>
                <w:sz w:val="24"/>
                <w:szCs w:val="24"/>
              </w:rPr>
            </w:pPr>
            <w:r>
              <w:rPr>
                <w:rFonts w:hint="eastAsia"/>
                <w:b/>
                <w:color w:val="auto"/>
                <w:sz w:val="24"/>
                <w:szCs w:val="24"/>
              </w:rPr>
              <w:t>3.2预测模式</w:t>
            </w:r>
          </w:p>
          <w:p w14:paraId="6E9E48C3">
            <w:pPr>
              <w:spacing w:line="360" w:lineRule="auto"/>
              <w:ind w:firstLine="480" w:firstLineChars="200"/>
              <w:rPr>
                <w:color w:val="auto"/>
                <w:sz w:val="24"/>
              </w:rPr>
            </w:pPr>
            <w:r>
              <w:rPr>
                <w:rFonts w:hint="eastAsia"/>
                <w:color w:val="auto"/>
                <w:sz w:val="24"/>
              </w:rPr>
              <w:t>（1）室内声源等效为室外声源</w:t>
            </w:r>
          </w:p>
          <w:p w14:paraId="0E6D1D6C">
            <w:pPr>
              <w:spacing w:line="360" w:lineRule="auto"/>
              <w:ind w:firstLine="480" w:firstLineChars="200"/>
              <w:rPr>
                <w:color w:val="auto"/>
                <w:sz w:val="24"/>
              </w:rPr>
            </w:pPr>
            <w:r>
              <w:rPr>
                <w:rFonts w:hint="eastAsia"/>
                <w:color w:val="auto"/>
                <w:sz w:val="24"/>
              </w:rPr>
              <w:t>计算某一室内声源靠近维护结构处产生的倍频带声压级或A声级，具体如下：</w:t>
            </w:r>
          </w:p>
          <w:p w14:paraId="07C9FD94">
            <w:pPr>
              <w:spacing w:line="360" w:lineRule="auto"/>
              <w:ind w:firstLine="480" w:firstLineChars="200"/>
              <w:jc w:val="center"/>
              <w:rPr>
                <w:color w:val="auto"/>
                <w:sz w:val="24"/>
              </w:rPr>
            </w:pPr>
            <w:r>
              <w:rPr>
                <w:rFonts w:hint="eastAsia"/>
                <w:color w:val="auto"/>
                <w:sz w:val="24"/>
              </w:rPr>
              <w:drawing>
                <wp:inline distT="0" distB="0" distL="0" distR="0">
                  <wp:extent cx="2122805" cy="5168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122805" cy="516890"/>
                          </a:xfrm>
                          <a:prstGeom prst="rect">
                            <a:avLst/>
                          </a:prstGeom>
                          <a:noFill/>
                          <a:ln>
                            <a:noFill/>
                          </a:ln>
                        </pic:spPr>
                      </pic:pic>
                    </a:graphicData>
                  </a:graphic>
                </wp:inline>
              </w:drawing>
            </w:r>
          </w:p>
          <w:p w14:paraId="6AAF3877">
            <w:pPr>
              <w:spacing w:line="360" w:lineRule="auto"/>
              <w:ind w:firstLine="480" w:firstLineChars="200"/>
              <w:rPr>
                <w:color w:val="auto"/>
                <w:sz w:val="24"/>
              </w:rPr>
            </w:pPr>
            <w:r>
              <w:rPr>
                <w:rFonts w:hint="eastAsia"/>
                <w:color w:val="auto"/>
                <w:sz w:val="24"/>
              </w:rPr>
              <w:t>式中：</w:t>
            </w:r>
          </w:p>
          <w:p w14:paraId="70587651">
            <w:pPr>
              <w:spacing w:line="360" w:lineRule="auto"/>
              <w:ind w:firstLine="480" w:firstLineChars="200"/>
              <w:rPr>
                <w:color w:val="auto"/>
                <w:sz w:val="24"/>
              </w:rPr>
            </w:pPr>
            <w:r>
              <w:rPr>
                <w:i/>
                <w:iCs/>
                <w:color w:val="auto"/>
                <w:sz w:val="24"/>
              </w:rPr>
              <w:t>L</w:t>
            </w:r>
            <w:r>
              <w:rPr>
                <w:i/>
                <w:iCs/>
                <w:color w:val="auto"/>
                <w:sz w:val="24"/>
                <w:vertAlign w:val="subscript"/>
              </w:rPr>
              <w:t>p</w:t>
            </w:r>
            <w:r>
              <w:rPr>
                <w:color w:val="auto"/>
                <w:sz w:val="24"/>
                <w:vertAlign w:val="subscript"/>
              </w:rPr>
              <w:t>1</w:t>
            </w:r>
            <w:r>
              <w:rPr>
                <w:color w:val="auto"/>
                <w:sz w:val="24"/>
              </w:rPr>
              <w:t>——靠近开口处（或窗户）室内某倍频带的声压级或A声级，dB；</w:t>
            </w:r>
          </w:p>
          <w:p w14:paraId="3EEDEE46">
            <w:pPr>
              <w:spacing w:line="360" w:lineRule="auto"/>
              <w:ind w:firstLine="480" w:firstLineChars="200"/>
              <w:rPr>
                <w:i/>
                <w:iCs/>
                <w:color w:val="auto"/>
                <w:sz w:val="24"/>
              </w:rPr>
            </w:pPr>
            <w:r>
              <w:rPr>
                <w:i/>
                <w:iCs/>
                <w:color w:val="auto"/>
                <w:sz w:val="24"/>
              </w:rPr>
              <w:t>Lw</w:t>
            </w:r>
            <w:r>
              <w:rPr>
                <w:color w:val="auto"/>
                <w:sz w:val="24"/>
              </w:rPr>
              <w:t>——点声源声功率级（A计权或倍频带），dB；</w:t>
            </w:r>
          </w:p>
          <w:p w14:paraId="6C843D2E">
            <w:pPr>
              <w:spacing w:line="360" w:lineRule="auto"/>
              <w:ind w:firstLine="480" w:firstLineChars="200"/>
              <w:rPr>
                <w:b/>
                <w:color w:val="auto"/>
                <w:sz w:val="24"/>
                <w:szCs w:val="24"/>
              </w:rPr>
            </w:pPr>
            <w:r>
              <w:rPr>
                <w:i/>
                <w:iCs/>
                <w:color w:val="auto"/>
                <w:sz w:val="24"/>
              </w:rPr>
              <w:t>Q</w:t>
            </w:r>
            <w:r>
              <w:rPr>
                <w:color w:val="auto"/>
                <w:sz w:val="24"/>
              </w:rPr>
              <w:t>——指向性因数；通常对无指向性声源，当声源放在房间中心时，</w:t>
            </w:r>
            <w:r>
              <w:rPr>
                <w:i/>
                <w:iCs/>
                <w:color w:val="auto"/>
                <w:sz w:val="24"/>
              </w:rPr>
              <w:t>Q</w:t>
            </w:r>
            <w:r>
              <w:rPr>
                <w:color w:val="auto"/>
                <w:sz w:val="24"/>
              </w:rPr>
              <w:t>=1；当放在一面墙的中心时，</w:t>
            </w:r>
            <w:r>
              <w:rPr>
                <w:i/>
                <w:iCs/>
                <w:color w:val="auto"/>
                <w:sz w:val="24"/>
              </w:rPr>
              <w:t>Q</w:t>
            </w:r>
            <w:r>
              <w:rPr>
                <w:color w:val="auto"/>
                <w:sz w:val="24"/>
              </w:rPr>
              <w:t>=2；当放在两面墙夹角处时，</w:t>
            </w:r>
            <w:r>
              <w:rPr>
                <w:i/>
                <w:iCs/>
                <w:color w:val="auto"/>
                <w:sz w:val="24"/>
              </w:rPr>
              <w:t>Q</w:t>
            </w:r>
            <w:r>
              <w:rPr>
                <w:color w:val="auto"/>
                <w:sz w:val="24"/>
              </w:rPr>
              <w:t>=4；当放在三面墙夹角处时，</w:t>
            </w:r>
            <w:r>
              <w:rPr>
                <w:i/>
                <w:iCs/>
                <w:color w:val="auto"/>
                <w:sz w:val="24"/>
              </w:rPr>
              <w:t>Q</w:t>
            </w:r>
            <w:r>
              <w:rPr>
                <w:color w:val="auto"/>
                <w:sz w:val="24"/>
              </w:rPr>
              <w:t>=8；</w:t>
            </w:r>
          </w:p>
          <w:p w14:paraId="40200A26">
            <w:pPr>
              <w:spacing w:line="360" w:lineRule="auto"/>
              <w:ind w:firstLine="480" w:firstLineChars="200"/>
              <w:rPr>
                <w:color w:val="auto"/>
                <w:sz w:val="24"/>
              </w:rPr>
            </w:pPr>
            <w:r>
              <w:rPr>
                <w:i/>
                <w:iCs/>
                <w:color w:val="auto"/>
                <w:sz w:val="24"/>
              </w:rPr>
              <w:t>R</w:t>
            </w:r>
            <w:r>
              <w:rPr>
                <w:color w:val="auto"/>
                <w:sz w:val="24"/>
              </w:rPr>
              <w:t>——房间常数；</w:t>
            </w:r>
            <w:r>
              <w:rPr>
                <w:i/>
                <w:iCs/>
                <w:color w:val="auto"/>
                <w:sz w:val="24"/>
              </w:rPr>
              <w:t xml:space="preserve">R </w:t>
            </w:r>
            <w:r>
              <w:rPr>
                <w:rFonts w:hint="eastAsia"/>
                <w:color w:val="auto"/>
                <w:sz w:val="24"/>
              </w:rPr>
              <w:sym w:font="Symbol" w:char="F03D"/>
            </w:r>
            <w:r>
              <w:rPr>
                <w:color w:val="auto"/>
                <w:sz w:val="24"/>
              </w:rPr>
              <w:t xml:space="preserve"> </w:t>
            </w:r>
            <w:r>
              <w:rPr>
                <w:i/>
                <w:iCs/>
                <w:color w:val="auto"/>
                <w:sz w:val="24"/>
              </w:rPr>
              <w:t>S</w:t>
            </w:r>
            <w:r>
              <w:rPr>
                <w:rFonts w:hint="eastAsia"/>
                <w:color w:val="auto"/>
                <w:sz w:val="24"/>
              </w:rPr>
              <w:sym w:font="Symbol" w:char="F061"/>
            </w:r>
            <w:r>
              <w:rPr>
                <w:rFonts w:hint="eastAsia"/>
                <w:color w:val="auto"/>
                <w:sz w:val="24"/>
              </w:rPr>
              <w:t>/（</w:t>
            </w:r>
            <w:r>
              <w:rPr>
                <w:color w:val="auto"/>
                <w:sz w:val="24"/>
              </w:rPr>
              <w:t>1</w:t>
            </w:r>
            <w:r>
              <w:rPr>
                <w:rFonts w:hint="eastAsia"/>
                <w:color w:val="auto"/>
                <w:sz w:val="24"/>
              </w:rPr>
              <w:t>-</w:t>
            </w:r>
            <w:r>
              <w:rPr>
                <w:rFonts w:hint="eastAsia"/>
                <w:color w:val="auto"/>
                <w:sz w:val="24"/>
              </w:rPr>
              <w:sym w:font="Symbol" w:char="F061"/>
            </w:r>
            <w:r>
              <w:rPr>
                <w:rFonts w:hint="eastAsia"/>
                <w:color w:val="auto"/>
                <w:sz w:val="24"/>
              </w:rPr>
              <w:t>）</w:t>
            </w:r>
            <w:r>
              <w:rPr>
                <w:color w:val="auto"/>
                <w:sz w:val="24"/>
              </w:rPr>
              <w:t>，</w:t>
            </w:r>
            <w:r>
              <w:rPr>
                <w:i/>
                <w:iCs/>
                <w:color w:val="auto"/>
                <w:sz w:val="24"/>
              </w:rPr>
              <w:t>S</w:t>
            </w:r>
            <w:r>
              <w:rPr>
                <w:color w:val="auto"/>
                <w:sz w:val="24"/>
              </w:rPr>
              <w:t>为房间内表面面积，m</w:t>
            </w:r>
            <w:r>
              <w:rPr>
                <w:color w:val="auto"/>
                <w:sz w:val="24"/>
                <w:vertAlign w:val="superscript"/>
              </w:rPr>
              <w:t>2</w:t>
            </w:r>
            <w:r>
              <w:rPr>
                <w:color w:val="auto"/>
                <w:sz w:val="24"/>
              </w:rPr>
              <w:t>；</w:t>
            </w:r>
            <w:r>
              <w:rPr>
                <w:i/>
                <w:iCs/>
                <w:color w:val="auto"/>
                <w:sz w:val="24"/>
              </w:rPr>
              <w:t>α</w:t>
            </w:r>
            <w:r>
              <w:rPr>
                <w:color w:val="auto"/>
                <w:sz w:val="24"/>
              </w:rPr>
              <w:t>为平均吸声系数；</w:t>
            </w:r>
          </w:p>
          <w:p w14:paraId="1BE9EE3F">
            <w:pPr>
              <w:spacing w:line="360" w:lineRule="auto"/>
              <w:ind w:firstLine="480" w:firstLineChars="200"/>
              <w:jc w:val="left"/>
              <w:rPr>
                <w:rFonts w:eastAsia="黑体"/>
                <w:bCs/>
                <w:color w:val="auto"/>
                <w:sz w:val="24"/>
                <w:szCs w:val="24"/>
              </w:rPr>
            </w:pPr>
            <w:r>
              <w:rPr>
                <w:rFonts w:hint="eastAsia"/>
                <w:color w:val="auto"/>
                <w:sz w:val="24"/>
              </w:rPr>
              <w:t>计算出所有室内声源在维护结构处产生的i倍频带叠加声压级，具体按下式计算：</w:t>
            </w:r>
          </w:p>
          <w:p w14:paraId="661A07D5">
            <w:pPr>
              <w:spacing w:line="360" w:lineRule="auto"/>
              <w:ind w:firstLine="480" w:firstLineChars="200"/>
              <w:jc w:val="center"/>
              <w:rPr>
                <w:rFonts w:eastAsia="黑体"/>
                <w:bCs/>
                <w:color w:val="auto"/>
                <w:sz w:val="24"/>
                <w:szCs w:val="24"/>
              </w:rPr>
            </w:pPr>
            <w:r>
              <w:rPr>
                <w:rFonts w:hint="eastAsia"/>
                <w:color w:val="auto"/>
                <w:sz w:val="24"/>
              </w:rPr>
              <w:drawing>
                <wp:inline distT="0" distB="0" distL="0" distR="0">
                  <wp:extent cx="2019935" cy="612140"/>
                  <wp:effectExtent l="0" t="0" r="0" b="0"/>
                  <wp:docPr id="6352" name="图片 6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2" name="图片 635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19935" cy="612140"/>
                          </a:xfrm>
                          <a:prstGeom prst="rect">
                            <a:avLst/>
                          </a:prstGeom>
                          <a:noFill/>
                          <a:ln>
                            <a:noFill/>
                          </a:ln>
                        </pic:spPr>
                      </pic:pic>
                    </a:graphicData>
                  </a:graphic>
                </wp:inline>
              </w:drawing>
            </w:r>
          </w:p>
          <w:p w14:paraId="4753991A">
            <w:pPr>
              <w:spacing w:line="360" w:lineRule="auto"/>
              <w:ind w:firstLine="480" w:firstLineChars="200"/>
              <w:rPr>
                <w:color w:val="auto"/>
                <w:sz w:val="24"/>
              </w:rPr>
            </w:pPr>
            <w:r>
              <w:rPr>
                <w:color w:val="auto"/>
                <w:sz w:val="24"/>
              </w:rPr>
              <w:t>式中：</w:t>
            </w:r>
          </w:p>
          <w:p w14:paraId="62AE3FB6">
            <w:pPr>
              <w:spacing w:line="360" w:lineRule="auto"/>
              <w:ind w:firstLine="480" w:firstLineChars="200"/>
              <w:rPr>
                <w:i/>
                <w:iCs/>
                <w:color w:val="auto"/>
                <w:sz w:val="24"/>
              </w:rPr>
            </w:pPr>
            <w:r>
              <w:rPr>
                <w:i/>
                <w:iCs/>
                <w:color w:val="auto"/>
                <w:sz w:val="24"/>
              </w:rPr>
              <w:t xml:space="preserve">L </w:t>
            </w:r>
            <w:r>
              <w:rPr>
                <w:i/>
                <w:iCs/>
                <w:color w:val="auto"/>
                <w:sz w:val="24"/>
                <w:vertAlign w:val="subscript"/>
              </w:rPr>
              <w:t>p</w:t>
            </w:r>
            <w:r>
              <w:rPr>
                <w:i/>
                <w:color w:val="auto"/>
                <w:sz w:val="24"/>
                <w:vertAlign w:val="subscript"/>
              </w:rPr>
              <w:t>1</w:t>
            </w:r>
            <w:r>
              <w:rPr>
                <w:i/>
                <w:iCs/>
                <w:color w:val="auto"/>
                <w:sz w:val="24"/>
                <w:vertAlign w:val="subscript"/>
              </w:rPr>
              <w:t>i</w:t>
            </w:r>
            <w:r>
              <w:rPr>
                <w:i/>
                <w:color w:val="auto"/>
                <w:sz w:val="24"/>
              </w:rPr>
              <w:t xml:space="preserve"> </w:t>
            </w:r>
            <w:r>
              <w:rPr>
                <w:rFonts w:hint="eastAsia"/>
                <w:i/>
                <w:color w:val="auto"/>
                <w:sz w:val="24"/>
              </w:rPr>
              <w:sym w:font="Symbol" w:char="F028"/>
            </w:r>
            <w:r>
              <w:rPr>
                <w:i/>
                <w:iCs/>
                <w:color w:val="auto"/>
                <w:sz w:val="24"/>
              </w:rPr>
              <w:t>T</w:t>
            </w:r>
            <w:r>
              <w:rPr>
                <w:rFonts w:hint="eastAsia"/>
                <w:i/>
                <w:color w:val="auto"/>
                <w:sz w:val="24"/>
              </w:rPr>
              <w:sym w:font="Symbol" w:char="F029"/>
            </w:r>
            <w:r>
              <w:rPr>
                <w:color w:val="auto"/>
                <w:sz w:val="24"/>
              </w:rPr>
              <w:t>——靠近围护结构处室内</w:t>
            </w:r>
            <w:r>
              <w:rPr>
                <w:i/>
                <w:iCs/>
                <w:color w:val="auto"/>
                <w:sz w:val="24"/>
              </w:rPr>
              <w:t>N</w:t>
            </w:r>
            <w:r>
              <w:rPr>
                <w:color w:val="auto"/>
                <w:sz w:val="24"/>
              </w:rPr>
              <w:t>个声源</w:t>
            </w:r>
            <w:r>
              <w:rPr>
                <w:i/>
                <w:iCs/>
                <w:color w:val="auto"/>
                <w:sz w:val="24"/>
              </w:rPr>
              <w:t>i</w:t>
            </w:r>
            <w:r>
              <w:rPr>
                <w:color w:val="auto"/>
                <w:sz w:val="24"/>
              </w:rPr>
              <w:t>倍频带的叠加声压级，dB；</w:t>
            </w:r>
          </w:p>
          <w:p w14:paraId="29FEBE7B">
            <w:pPr>
              <w:spacing w:line="360" w:lineRule="auto"/>
              <w:ind w:firstLine="480" w:firstLineChars="200"/>
              <w:rPr>
                <w:color w:val="auto"/>
                <w:sz w:val="24"/>
              </w:rPr>
            </w:pPr>
            <w:r>
              <w:rPr>
                <w:i/>
                <w:iCs/>
                <w:color w:val="auto"/>
                <w:sz w:val="24"/>
              </w:rPr>
              <w:t>L</w:t>
            </w:r>
            <w:r>
              <w:rPr>
                <w:i/>
                <w:iCs/>
                <w:color w:val="auto"/>
                <w:sz w:val="24"/>
                <w:vertAlign w:val="subscript"/>
              </w:rPr>
              <w:t>p</w:t>
            </w:r>
            <w:r>
              <w:rPr>
                <w:color w:val="auto"/>
                <w:sz w:val="24"/>
                <w:vertAlign w:val="subscript"/>
              </w:rPr>
              <w:t>1</w:t>
            </w:r>
            <w:r>
              <w:rPr>
                <w:i/>
                <w:iCs/>
                <w:color w:val="auto"/>
                <w:sz w:val="24"/>
                <w:vertAlign w:val="subscript"/>
              </w:rPr>
              <w:t>ij</w:t>
            </w:r>
            <w:r>
              <w:rPr>
                <w:color w:val="auto"/>
                <w:sz w:val="24"/>
              </w:rPr>
              <w:t xml:space="preserve"> ——室内</w:t>
            </w:r>
            <w:r>
              <w:rPr>
                <w:i/>
                <w:iCs/>
                <w:color w:val="auto"/>
                <w:sz w:val="24"/>
              </w:rPr>
              <w:t>j</w:t>
            </w:r>
            <w:r>
              <w:rPr>
                <w:color w:val="auto"/>
                <w:sz w:val="24"/>
              </w:rPr>
              <w:t>声源</w:t>
            </w:r>
            <w:r>
              <w:rPr>
                <w:i/>
                <w:iCs/>
                <w:color w:val="auto"/>
                <w:sz w:val="24"/>
              </w:rPr>
              <w:t>i</w:t>
            </w:r>
            <w:r>
              <w:rPr>
                <w:color w:val="auto"/>
                <w:sz w:val="24"/>
              </w:rPr>
              <w:t>倍频带的声压级，dB；</w:t>
            </w:r>
          </w:p>
          <w:p w14:paraId="4B23482A">
            <w:pPr>
              <w:spacing w:line="360" w:lineRule="auto"/>
              <w:ind w:firstLine="480" w:firstLineChars="200"/>
              <w:rPr>
                <w:color w:val="auto"/>
                <w:sz w:val="24"/>
              </w:rPr>
            </w:pPr>
            <w:r>
              <w:rPr>
                <w:i/>
                <w:iCs/>
                <w:color w:val="auto"/>
                <w:sz w:val="24"/>
              </w:rPr>
              <w:t xml:space="preserve">N </w:t>
            </w:r>
            <w:r>
              <w:rPr>
                <w:color w:val="auto"/>
                <w:sz w:val="24"/>
              </w:rPr>
              <w:t>——室内声源总数。</w:t>
            </w:r>
          </w:p>
          <w:p w14:paraId="0CCDF654">
            <w:pPr>
              <w:spacing w:line="360" w:lineRule="auto"/>
              <w:ind w:firstLine="480" w:firstLineChars="200"/>
              <w:rPr>
                <w:color w:val="auto"/>
                <w:sz w:val="24"/>
              </w:rPr>
            </w:pPr>
            <w:r>
              <w:rPr>
                <w:color w:val="auto"/>
                <w:sz w:val="24"/>
              </w:rPr>
              <w:t>在室内近似为扩散声场时，按</w:t>
            </w:r>
            <w:r>
              <w:rPr>
                <w:rFonts w:hint="eastAsia"/>
                <w:color w:val="auto"/>
                <w:sz w:val="24"/>
              </w:rPr>
              <w:t>下式</w:t>
            </w:r>
            <w:r>
              <w:rPr>
                <w:color w:val="auto"/>
                <w:sz w:val="24"/>
              </w:rPr>
              <w:t>计算出靠近室外围护结构处的声压级</w:t>
            </w:r>
            <w:r>
              <w:rPr>
                <w:rFonts w:hint="eastAsia"/>
                <w:color w:val="auto"/>
                <w:sz w:val="24"/>
              </w:rPr>
              <w:t>。</w:t>
            </w:r>
          </w:p>
          <w:p w14:paraId="3A97CD3D">
            <w:pPr>
              <w:spacing w:line="360" w:lineRule="auto"/>
              <w:ind w:firstLine="480" w:firstLineChars="200"/>
              <w:jc w:val="center"/>
              <w:rPr>
                <w:color w:val="auto"/>
                <w:sz w:val="24"/>
              </w:rPr>
            </w:pPr>
            <w:r>
              <w:rPr>
                <w:rFonts w:hint="eastAsia"/>
                <w:color w:val="auto"/>
                <w:sz w:val="24"/>
              </w:rPr>
              <w:drawing>
                <wp:inline distT="0" distB="0" distL="0" distR="0">
                  <wp:extent cx="2122805" cy="30988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22805" cy="309880"/>
                          </a:xfrm>
                          <a:prstGeom prst="rect">
                            <a:avLst/>
                          </a:prstGeom>
                          <a:noFill/>
                          <a:ln>
                            <a:noFill/>
                          </a:ln>
                        </pic:spPr>
                      </pic:pic>
                    </a:graphicData>
                  </a:graphic>
                </wp:inline>
              </w:drawing>
            </w:r>
          </w:p>
          <w:p w14:paraId="73FCA5DE">
            <w:pPr>
              <w:spacing w:line="360" w:lineRule="auto"/>
              <w:ind w:firstLine="480" w:firstLineChars="200"/>
              <w:rPr>
                <w:color w:val="auto"/>
                <w:sz w:val="24"/>
              </w:rPr>
            </w:pPr>
            <w:r>
              <w:rPr>
                <w:color w:val="auto"/>
                <w:sz w:val="24"/>
              </w:rPr>
              <w:t>式中：</w:t>
            </w:r>
          </w:p>
          <w:p w14:paraId="50F3E8B5">
            <w:pPr>
              <w:spacing w:line="360" w:lineRule="auto"/>
              <w:ind w:firstLine="480" w:firstLineChars="200"/>
              <w:rPr>
                <w:color w:val="auto"/>
                <w:sz w:val="24"/>
              </w:rPr>
            </w:pPr>
            <w:r>
              <w:rPr>
                <w:i/>
                <w:iCs/>
                <w:color w:val="auto"/>
                <w:sz w:val="24"/>
              </w:rPr>
              <w:t>L</w:t>
            </w:r>
            <w:r>
              <w:rPr>
                <w:i/>
                <w:iCs/>
                <w:color w:val="auto"/>
                <w:sz w:val="24"/>
                <w:vertAlign w:val="subscript"/>
              </w:rPr>
              <w:t>p</w:t>
            </w:r>
            <w:r>
              <w:rPr>
                <w:color w:val="auto"/>
                <w:sz w:val="24"/>
                <w:vertAlign w:val="subscript"/>
              </w:rPr>
              <w:t>2</w:t>
            </w:r>
            <w:r>
              <w:rPr>
                <w:i/>
                <w:iCs/>
                <w:color w:val="auto"/>
                <w:sz w:val="24"/>
                <w:vertAlign w:val="subscript"/>
              </w:rPr>
              <w:t>i</w:t>
            </w:r>
            <w:r>
              <w:rPr>
                <w:color w:val="auto"/>
                <w:sz w:val="24"/>
              </w:rPr>
              <w:t xml:space="preserve"> (</w:t>
            </w:r>
            <w:r>
              <w:rPr>
                <w:i/>
                <w:iCs/>
                <w:color w:val="auto"/>
                <w:sz w:val="24"/>
              </w:rPr>
              <w:t>T</w:t>
            </w:r>
            <w:r>
              <w:rPr>
                <w:color w:val="auto"/>
                <w:sz w:val="24"/>
              </w:rPr>
              <w:t>) ——靠近围护结构处室外</w:t>
            </w:r>
            <w:r>
              <w:rPr>
                <w:i/>
                <w:iCs/>
                <w:color w:val="auto"/>
                <w:sz w:val="24"/>
              </w:rPr>
              <w:t>N</w:t>
            </w:r>
            <w:r>
              <w:rPr>
                <w:color w:val="auto"/>
                <w:sz w:val="24"/>
              </w:rPr>
              <w:t>个声源</w:t>
            </w:r>
            <w:r>
              <w:rPr>
                <w:i/>
                <w:iCs/>
                <w:color w:val="auto"/>
                <w:sz w:val="24"/>
              </w:rPr>
              <w:t>i</w:t>
            </w:r>
            <w:r>
              <w:rPr>
                <w:color w:val="auto"/>
                <w:sz w:val="24"/>
              </w:rPr>
              <w:t>倍频带的叠加声压级，dB；</w:t>
            </w:r>
          </w:p>
          <w:p w14:paraId="4219E8E6">
            <w:pPr>
              <w:spacing w:line="360" w:lineRule="auto"/>
              <w:ind w:firstLine="480" w:firstLineChars="200"/>
              <w:rPr>
                <w:color w:val="auto"/>
                <w:sz w:val="24"/>
              </w:rPr>
            </w:pPr>
            <w:r>
              <w:rPr>
                <w:i/>
                <w:iCs/>
                <w:color w:val="auto"/>
                <w:sz w:val="24"/>
              </w:rPr>
              <w:t>TL</w:t>
            </w:r>
            <w:r>
              <w:rPr>
                <w:i/>
                <w:iCs/>
                <w:color w:val="auto"/>
                <w:sz w:val="24"/>
                <w:vertAlign w:val="subscript"/>
              </w:rPr>
              <w:t>i</w:t>
            </w:r>
            <w:r>
              <w:rPr>
                <w:i/>
                <w:iCs/>
                <w:color w:val="auto"/>
                <w:sz w:val="24"/>
              </w:rPr>
              <w:t xml:space="preserve"> </w:t>
            </w:r>
            <w:r>
              <w:rPr>
                <w:color w:val="auto"/>
                <w:sz w:val="24"/>
              </w:rPr>
              <w:t>——围护结构</w:t>
            </w:r>
            <w:r>
              <w:rPr>
                <w:i/>
                <w:iCs/>
                <w:color w:val="auto"/>
                <w:sz w:val="24"/>
              </w:rPr>
              <w:t>i</w:t>
            </w:r>
            <w:r>
              <w:rPr>
                <w:color w:val="auto"/>
                <w:sz w:val="24"/>
              </w:rPr>
              <w:t>倍频带的隔声量，dB。</w:t>
            </w:r>
          </w:p>
          <w:p w14:paraId="44D01527">
            <w:pPr>
              <w:spacing w:line="360" w:lineRule="auto"/>
              <w:ind w:firstLine="480" w:firstLineChars="200"/>
              <w:rPr>
                <w:color w:val="auto"/>
                <w:sz w:val="24"/>
              </w:rPr>
            </w:pPr>
            <w:r>
              <w:rPr>
                <w:color w:val="auto"/>
                <w:sz w:val="24"/>
              </w:rPr>
              <w:t>将室外声源的声压级和透过面积换算成等效的室外声源，计算出中心位置位于透声面积（</w:t>
            </w:r>
            <w:r>
              <w:rPr>
                <w:i/>
                <w:iCs/>
                <w:color w:val="auto"/>
                <w:sz w:val="24"/>
              </w:rPr>
              <w:t>S</w:t>
            </w:r>
            <w:r>
              <w:rPr>
                <w:color w:val="auto"/>
                <w:sz w:val="24"/>
              </w:rPr>
              <w:t>）处的等效声源的倍频带声功率级</w:t>
            </w:r>
            <w:r>
              <w:rPr>
                <w:rFonts w:hint="eastAsia"/>
                <w:color w:val="auto"/>
                <w:sz w:val="24"/>
              </w:rPr>
              <w:t>，具体计算公式如下：</w:t>
            </w:r>
          </w:p>
          <w:p w14:paraId="76F24B74">
            <w:pPr>
              <w:spacing w:line="360" w:lineRule="auto"/>
              <w:ind w:firstLine="480" w:firstLineChars="200"/>
              <w:jc w:val="center"/>
              <w:rPr>
                <w:color w:val="auto"/>
                <w:sz w:val="24"/>
              </w:rPr>
            </w:pPr>
            <w:r>
              <w:rPr>
                <w:rFonts w:hint="eastAsia"/>
                <w:color w:val="auto"/>
                <w:sz w:val="24"/>
              </w:rPr>
              <w:drawing>
                <wp:inline distT="0" distB="0" distL="0" distR="0">
                  <wp:extent cx="1654175" cy="246380"/>
                  <wp:effectExtent l="0" t="0" r="3175"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654175" cy="246380"/>
                          </a:xfrm>
                          <a:prstGeom prst="rect">
                            <a:avLst/>
                          </a:prstGeom>
                          <a:noFill/>
                          <a:ln>
                            <a:noFill/>
                          </a:ln>
                        </pic:spPr>
                      </pic:pic>
                    </a:graphicData>
                  </a:graphic>
                </wp:inline>
              </w:drawing>
            </w:r>
          </w:p>
          <w:p w14:paraId="470B7C2D">
            <w:pPr>
              <w:spacing w:line="360" w:lineRule="auto"/>
              <w:ind w:firstLine="480" w:firstLineChars="200"/>
              <w:rPr>
                <w:color w:val="auto"/>
                <w:sz w:val="24"/>
              </w:rPr>
            </w:pPr>
            <w:r>
              <w:rPr>
                <w:color w:val="auto"/>
                <w:sz w:val="24"/>
              </w:rPr>
              <w:t>式中：</w:t>
            </w:r>
          </w:p>
          <w:p w14:paraId="70B9404C">
            <w:pPr>
              <w:spacing w:line="360" w:lineRule="auto"/>
              <w:ind w:firstLine="480" w:firstLineChars="200"/>
              <w:rPr>
                <w:color w:val="auto"/>
                <w:sz w:val="24"/>
              </w:rPr>
            </w:pPr>
            <w:r>
              <w:rPr>
                <w:i/>
                <w:iCs/>
                <w:color w:val="auto"/>
                <w:sz w:val="24"/>
              </w:rPr>
              <w:t>L</w:t>
            </w:r>
            <w:r>
              <w:rPr>
                <w:i/>
                <w:iCs/>
                <w:color w:val="auto"/>
                <w:sz w:val="24"/>
                <w:vertAlign w:val="subscript"/>
              </w:rPr>
              <w:t>w</w:t>
            </w:r>
            <w:r>
              <w:rPr>
                <w:color w:val="auto"/>
                <w:sz w:val="24"/>
              </w:rPr>
              <w:t>——中心位置位于透声面积（</w:t>
            </w:r>
            <w:r>
              <w:rPr>
                <w:i/>
                <w:iCs/>
                <w:color w:val="auto"/>
                <w:sz w:val="24"/>
              </w:rPr>
              <w:t>S</w:t>
            </w:r>
            <w:r>
              <w:rPr>
                <w:color w:val="auto"/>
                <w:sz w:val="24"/>
              </w:rPr>
              <w:t>）处的等效声源的倍频带声功率级，dB；</w:t>
            </w:r>
          </w:p>
          <w:p w14:paraId="4F9F0FD3">
            <w:pPr>
              <w:spacing w:line="360" w:lineRule="auto"/>
              <w:ind w:firstLine="480" w:firstLineChars="200"/>
              <w:rPr>
                <w:color w:val="auto"/>
                <w:sz w:val="24"/>
              </w:rPr>
            </w:pPr>
            <w:r>
              <w:rPr>
                <w:i/>
                <w:iCs/>
                <w:color w:val="auto"/>
                <w:sz w:val="24"/>
              </w:rPr>
              <w:t>L</w:t>
            </w:r>
            <w:r>
              <w:rPr>
                <w:i/>
                <w:iCs/>
                <w:color w:val="auto"/>
                <w:sz w:val="24"/>
                <w:vertAlign w:val="subscript"/>
              </w:rPr>
              <w:t>p</w:t>
            </w:r>
            <w:r>
              <w:rPr>
                <w:color w:val="auto"/>
                <w:sz w:val="24"/>
                <w:vertAlign w:val="subscript"/>
              </w:rPr>
              <w:t>2</w:t>
            </w:r>
            <w:r>
              <w:rPr>
                <w:color w:val="auto"/>
                <w:sz w:val="24"/>
              </w:rPr>
              <w:t>(</w:t>
            </w:r>
            <w:r>
              <w:rPr>
                <w:i/>
                <w:iCs/>
                <w:color w:val="auto"/>
                <w:sz w:val="24"/>
              </w:rPr>
              <w:t>T</w:t>
            </w:r>
            <w:r>
              <w:rPr>
                <w:color w:val="auto"/>
                <w:sz w:val="24"/>
              </w:rPr>
              <w:t>)——靠近围护结构处室外声源的声压级，dB；</w:t>
            </w:r>
          </w:p>
          <w:p w14:paraId="23E1107B">
            <w:pPr>
              <w:spacing w:line="360" w:lineRule="auto"/>
              <w:ind w:firstLine="480" w:firstLineChars="200"/>
              <w:rPr>
                <w:color w:val="auto"/>
                <w:sz w:val="24"/>
              </w:rPr>
            </w:pPr>
            <w:r>
              <w:rPr>
                <w:i/>
                <w:iCs/>
                <w:color w:val="auto"/>
                <w:sz w:val="24"/>
              </w:rPr>
              <w:t>S</w:t>
            </w:r>
            <w:r>
              <w:rPr>
                <w:color w:val="auto"/>
                <w:sz w:val="24"/>
              </w:rPr>
              <w:t>——透声面积，m</w:t>
            </w:r>
            <w:r>
              <w:rPr>
                <w:color w:val="auto"/>
                <w:sz w:val="24"/>
                <w:vertAlign w:val="superscript"/>
              </w:rPr>
              <w:t>2</w:t>
            </w:r>
            <w:r>
              <w:rPr>
                <w:color w:val="auto"/>
                <w:sz w:val="24"/>
              </w:rPr>
              <w:t>。</w:t>
            </w:r>
          </w:p>
          <w:p w14:paraId="22A4E636">
            <w:pPr>
              <w:spacing w:line="360" w:lineRule="auto"/>
              <w:ind w:firstLine="480" w:firstLineChars="200"/>
              <w:rPr>
                <w:color w:val="auto"/>
                <w:sz w:val="24"/>
              </w:rPr>
            </w:pPr>
            <w:r>
              <w:rPr>
                <w:rFonts w:hint="eastAsia"/>
                <w:color w:val="auto"/>
                <w:sz w:val="24"/>
              </w:rPr>
              <w:t>（2）室外声源</w:t>
            </w:r>
          </w:p>
          <w:p w14:paraId="7CE938AD">
            <w:pPr>
              <w:spacing w:line="360" w:lineRule="auto"/>
              <w:ind w:firstLine="480" w:firstLineChars="200"/>
              <w:rPr>
                <w:color w:val="auto"/>
                <w:sz w:val="24"/>
              </w:rPr>
            </w:pPr>
            <w:r>
              <w:rPr>
                <w:rFonts w:hint="eastAsia"/>
                <w:color w:val="auto"/>
                <w:sz w:val="24"/>
              </w:rPr>
              <w:t>根据声源声功率级、户外声传播衰减，计算预测点的声级，具体计算公示如下：</w:t>
            </w:r>
          </w:p>
          <w:p w14:paraId="4F521FC5">
            <w:pPr>
              <w:spacing w:line="360" w:lineRule="auto"/>
              <w:ind w:firstLine="480" w:firstLineChars="200"/>
              <w:jc w:val="center"/>
              <w:rPr>
                <w:i/>
                <w:color w:val="auto"/>
                <w:sz w:val="24"/>
              </w:rPr>
            </w:pPr>
            <w:r>
              <w:rPr>
                <w:rFonts w:hint="eastAsia"/>
                <w:i/>
                <w:color w:val="auto"/>
                <w:sz w:val="24"/>
              </w:rPr>
              <w:t>L</w:t>
            </w:r>
            <w:r>
              <w:rPr>
                <w:rFonts w:hint="eastAsia"/>
                <w:i/>
                <w:color w:val="auto"/>
                <w:sz w:val="24"/>
                <w:vertAlign w:val="subscript"/>
              </w:rPr>
              <w:t>p</w:t>
            </w:r>
            <w:r>
              <w:rPr>
                <w:rFonts w:hint="eastAsia"/>
                <w:i/>
                <w:color w:val="auto"/>
                <w:sz w:val="24"/>
              </w:rPr>
              <w:t>(r)=L</w:t>
            </w:r>
            <w:r>
              <w:rPr>
                <w:rFonts w:hint="eastAsia"/>
                <w:i/>
                <w:color w:val="auto"/>
                <w:sz w:val="24"/>
                <w:vertAlign w:val="subscript"/>
              </w:rPr>
              <w:t>w</w:t>
            </w:r>
            <w:r>
              <w:rPr>
                <w:rFonts w:hint="eastAsia"/>
                <w:i/>
                <w:color w:val="auto"/>
                <w:sz w:val="24"/>
              </w:rPr>
              <w:t>+Dc-（A</w:t>
            </w:r>
            <w:r>
              <w:rPr>
                <w:rFonts w:hint="eastAsia"/>
                <w:i/>
                <w:color w:val="auto"/>
                <w:sz w:val="24"/>
                <w:vertAlign w:val="subscript"/>
              </w:rPr>
              <w:t>div</w:t>
            </w:r>
            <w:r>
              <w:rPr>
                <w:rFonts w:hint="eastAsia"/>
                <w:i/>
                <w:color w:val="auto"/>
                <w:sz w:val="24"/>
              </w:rPr>
              <w:t>+A</w:t>
            </w:r>
            <w:r>
              <w:rPr>
                <w:rFonts w:hint="eastAsia"/>
                <w:i/>
                <w:color w:val="auto"/>
                <w:sz w:val="24"/>
                <w:vertAlign w:val="subscript"/>
              </w:rPr>
              <w:t>atm</w:t>
            </w:r>
            <w:r>
              <w:rPr>
                <w:rFonts w:hint="eastAsia"/>
                <w:i/>
                <w:color w:val="auto"/>
                <w:sz w:val="24"/>
              </w:rPr>
              <w:t>+A</w:t>
            </w:r>
            <w:r>
              <w:rPr>
                <w:rFonts w:hint="eastAsia"/>
                <w:i/>
                <w:color w:val="auto"/>
                <w:sz w:val="24"/>
                <w:vertAlign w:val="subscript"/>
              </w:rPr>
              <w:t>gr</w:t>
            </w:r>
            <w:r>
              <w:rPr>
                <w:rFonts w:hint="eastAsia"/>
                <w:i/>
                <w:color w:val="auto"/>
                <w:sz w:val="24"/>
              </w:rPr>
              <w:t>+A</w:t>
            </w:r>
            <w:r>
              <w:rPr>
                <w:rFonts w:hint="eastAsia"/>
                <w:i/>
                <w:color w:val="auto"/>
                <w:sz w:val="24"/>
                <w:vertAlign w:val="subscript"/>
              </w:rPr>
              <w:t>bar</w:t>
            </w:r>
            <w:r>
              <w:rPr>
                <w:rFonts w:hint="eastAsia"/>
                <w:i/>
                <w:color w:val="auto"/>
                <w:sz w:val="24"/>
              </w:rPr>
              <w:t>+A</w:t>
            </w:r>
            <w:r>
              <w:rPr>
                <w:rFonts w:hint="eastAsia"/>
                <w:i/>
                <w:color w:val="auto"/>
                <w:sz w:val="24"/>
                <w:vertAlign w:val="subscript"/>
              </w:rPr>
              <w:t>misc</w:t>
            </w:r>
            <w:r>
              <w:rPr>
                <w:rFonts w:hint="eastAsia"/>
                <w:i/>
                <w:color w:val="auto"/>
                <w:sz w:val="24"/>
              </w:rPr>
              <w:t>）</w:t>
            </w:r>
          </w:p>
          <w:p w14:paraId="1C2431B5">
            <w:pPr>
              <w:spacing w:line="360" w:lineRule="auto"/>
              <w:ind w:firstLine="480" w:firstLineChars="200"/>
              <w:rPr>
                <w:color w:val="auto"/>
                <w:sz w:val="24"/>
              </w:rPr>
            </w:pPr>
            <w:r>
              <w:rPr>
                <w:rFonts w:hint="eastAsia"/>
                <w:color w:val="auto"/>
                <w:sz w:val="24"/>
              </w:rPr>
              <w:t>式中：</w:t>
            </w:r>
          </w:p>
          <w:p w14:paraId="17607AA5">
            <w:pPr>
              <w:spacing w:line="360" w:lineRule="auto"/>
              <w:ind w:firstLine="480" w:firstLineChars="200"/>
              <w:rPr>
                <w:color w:val="auto"/>
                <w:sz w:val="24"/>
              </w:rPr>
            </w:pPr>
            <w:r>
              <w:rPr>
                <w:rFonts w:hint="eastAsia"/>
                <w:i/>
                <w:color w:val="auto"/>
                <w:sz w:val="24"/>
              </w:rPr>
              <w:t>L</w:t>
            </w:r>
            <w:r>
              <w:rPr>
                <w:rFonts w:hint="eastAsia"/>
                <w:i/>
                <w:color w:val="auto"/>
                <w:sz w:val="24"/>
                <w:vertAlign w:val="subscript"/>
              </w:rPr>
              <w:t>p</w:t>
            </w:r>
            <w:r>
              <w:rPr>
                <w:rFonts w:hint="eastAsia"/>
                <w:i/>
                <w:color w:val="auto"/>
                <w:sz w:val="24"/>
              </w:rPr>
              <w:t>(r)</w:t>
            </w:r>
            <w:r>
              <w:rPr>
                <w:i/>
                <w:color w:val="auto"/>
                <w:sz w:val="24"/>
              </w:rPr>
              <w:t xml:space="preserve"> </w:t>
            </w:r>
            <w:r>
              <w:rPr>
                <w:color w:val="auto"/>
                <w:sz w:val="24"/>
              </w:rPr>
              <w:t>——</w:t>
            </w:r>
            <w:r>
              <w:rPr>
                <w:rFonts w:hint="eastAsia"/>
                <w:color w:val="auto"/>
                <w:sz w:val="24"/>
              </w:rPr>
              <w:t>预测点处声压级，dB；</w:t>
            </w:r>
          </w:p>
          <w:p w14:paraId="4FC64EF0">
            <w:pPr>
              <w:spacing w:line="360" w:lineRule="auto"/>
              <w:ind w:firstLine="480" w:firstLineChars="200"/>
              <w:rPr>
                <w:color w:val="auto"/>
                <w:sz w:val="24"/>
              </w:rPr>
            </w:pPr>
            <w:r>
              <w:rPr>
                <w:rFonts w:hint="eastAsia"/>
                <w:i/>
                <w:color w:val="auto"/>
                <w:sz w:val="24"/>
              </w:rPr>
              <w:t>Lw</w:t>
            </w:r>
            <w:r>
              <w:rPr>
                <w:color w:val="auto"/>
                <w:sz w:val="24"/>
              </w:rPr>
              <w:t>——由点声源产生的声功率级（A计权或倍频带），dB；</w:t>
            </w:r>
          </w:p>
          <w:p w14:paraId="213772BE">
            <w:pPr>
              <w:spacing w:line="360" w:lineRule="auto"/>
              <w:ind w:firstLine="480" w:firstLineChars="200"/>
              <w:rPr>
                <w:color w:val="auto"/>
                <w:sz w:val="24"/>
              </w:rPr>
            </w:pPr>
            <w:r>
              <w:rPr>
                <w:rFonts w:hint="eastAsia"/>
                <w:i/>
                <w:color w:val="auto"/>
                <w:sz w:val="24"/>
              </w:rPr>
              <w:t>Dc</w:t>
            </w:r>
            <w:r>
              <w:rPr>
                <w:color w:val="auto"/>
                <w:sz w:val="24"/>
              </w:rPr>
              <w:t>——指向性校正，它描述点声源的等效连续声压级与产生声功率级</w:t>
            </w:r>
            <w:r>
              <w:rPr>
                <w:iCs/>
                <w:color w:val="auto"/>
                <w:sz w:val="24"/>
              </w:rPr>
              <w:t>L</w:t>
            </w:r>
            <w:r>
              <w:rPr>
                <w:rFonts w:hint="eastAsia"/>
                <w:iCs/>
                <w:color w:val="auto"/>
                <w:sz w:val="24"/>
              </w:rPr>
              <w:t>w</w:t>
            </w:r>
            <w:r>
              <w:rPr>
                <w:color w:val="auto"/>
                <w:sz w:val="24"/>
              </w:rPr>
              <w:t>的全向点声源在规定方向的声级的偏差程度，dB；</w:t>
            </w:r>
          </w:p>
          <w:p w14:paraId="42FD854D">
            <w:pPr>
              <w:spacing w:line="360" w:lineRule="auto"/>
              <w:ind w:firstLine="480" w:firstLineChars="200"/>
              <w:rPr>
                <w:color w:val="auto"/>
                <w:sz w:val="24"/>
              </w:rPr>
            </w:pPr>
            <w:r>
              <w:rPr>
                <w:rFonts w:hint="eastAsia"/>
                <w:i/>
                <w:color w:val="auto"/>
                <w:sz w:val="24"/>
              </w:rPr>
              <w:t>A</w:t>
            </w:r>
            <w:r>
              <w:rPr>
                <w:rFonts w:hint="eastAsia"/>
                <w:i/>
                <w:color w:val="auto"/>
                <w:sz w:val="24"/>
                <w:vertAlign w:val="subscript"/>
              </w:rPr>
              <w:t>div</w:t>
            </w:r>
            <w:r>
              <w:rPr>
                <w:color w:val="auto"/>
                <w:sz w:val="24"/>
              </w:rPr>
              <w:t>——几何发散引起的衰减，dB；</w:t>
            </w:r>
          </w:p>
          <w:p w14:paraId="62CCBB86">
            <w:pPr>
              <w:spacing w:line="360" w:lineRule="auto"/>
              <w:ind w:firstLine="480" w:firstLineChars="200"/>
              <w:rPr>
                <w:color w:val="auto"/>
                <w:sz w:val="24"/>
              </w:rPr>
            </w:pPr>
            <w:r>
              <w:rPr>
                <w:rFonts w:hint="eastAsia"/>
                <w:i/>
                <w:color w:val="auto"/>
                <w:sz w:val="24"/>
              </w:rPr>
              <w:t>A</w:t>
            </w:r>
            <w:r>
              <w:rPr>
                <w:rFonts w:hint="eastAsia"/>
                <w:i/>
                <w:color w:val="auto"/>
                <w:sz w:val="24"/>
                <w:vertAlign w:val="subscript"/>
              </w:rPr>
              <w:t>atm</w:t>
            </w:r>
            <w:r>
              <w:rPr>
                <w:color w:val="auto"/>
                <w:sz w:val="24"/>
              </w:rPr>
              <w:t>——大气吸收引起的衰减，dB；</w:t>
            </w:r>
          </w:p>
          <w:p w14:paraId="4183BF3D">
            <w:pPr>
              <w:spacing w:line="360" w:lineRule="auto"/>
              <w:ind w:firstLine="480" w:firstLineChars="200"/>
              <w:rPr>
                <w:color w:val="auto"/>
                <w:sz w:val="24"/>
              </w:rPr>
            </w:pPr>
            <w:r>
              <w:rPr>
                <w:rFonts w:hint="eastAsia"/>
                <w:i/>
                <w:color w:val="auto"/>
                <w:sz w:val="24"/>
              </w:rPr>
              <w:t>A</w:t>
            </w:r>
            <w:r>
              <w:rPr>
                <w:rFonts w:hint="eastAsia"/>
                <w:i/>
                <w:color w:val="auto"/>
                <w:sz w:val="24"/>
                <w:vertAlign w:val="subscript"/>
              </w:rPr>
              <w:t>gr</w:t>
            </w:r>
            <w:r>
              <w:rPr>
                <w:color w:val="auto"/>
                <w:sz w:val="24"/>
              </w:rPr>
              <w:t>——地面效应引起的衰减，dB；</w:t>
            </w:r>
          </w:p>
          <w:p w14:paraId="7AE46492">
            <w:pPr>
              <w:spacing w:line="360" w:lineRule="auto"/>
              <w:ind w:firstLine="480" w:firstLineChars="200"/>
              <w:rPr>
                <w:color w:val="auto"/>
                <w:sz w:val="24"/>
              </w:rPr>
            </w:pPr>
            <w:r>
              <w:rPr>
                <w:rFonts w:hint="eastAsia"/>
                <w:i/>
                <w:color w:val="auto"/>
                <w:sz w:val="24"/>
              </w:rPr>
              <w:t>A</w:t>
            </w:r>
            <w:r>
              <w:rPr>
                <w:rFonts w:hint="eastAsia"/>
                <w:i/>
                <w:color w:val="auto"/>
                <w:sz w:val="24"/>
                <w:vertAlign w:val="subscript"/>
              </w:rPr>
              <w:t>bar</w:t>
            </w:r>
            <w:r>
              <w:rPr>
                <w:color w:val="auto"/>
                <w:sz w:val="24"/>
              </w:rPr>
              <w:t>——障碍物屏蔽引起的衰减，dB；</w:t>
            </w:r>
          </w:p>
          <w:p w14:paraId="6DA06E4C">
            <w:pPr>
              <w:spacing w:line="360" w:lineRule="auto"/>
              <w:ind w:firstLine="480" w:firstLineChars="200"/>
              <w:rPr>
                <w:color w:val="auto"/>
                <w:sz w:val="24"/>
              </w:rPr>
            </w:pPr>
            <w:r>
              <w:rPr>
                <w:rFonts w:hint="eastAsia"/>
                <w:i/>
                <w:color w:val="auto"/>
                <w:sz w:val="24"/>
              </w:rPr>
              <w:t>A</w:t>
            </w:r>
            <w:r>
              <w:rPr>
                <w:rFonts w:hint="eastAsia"/>
                <w:i/>
                <w:color w:val="auto"/>
                <w:sz w:val="24"/>
                <w:vertAlign w:val="subscript"/>
              </w:rPr>
              <w:t>misc</w:t>
            </w:r>
            <w:r>
              <w:rPr>
                <w:color w:val="auto"/>
                <w:sz w:val="24"/>
              </w:rPr>
              <w:t>——其他多方面效应引起的衰减，dB</w:t>
            </w:r>
            <w:r>
              <w:rPr>
                <w:rFonts w:hint="eastAsia"/>
                <w:color w:val="auto"/>
                <w:sz w:val="24"/>
              </w:rPr>
              <w:t>。</w:t>
            </w:r>
          </w:p>
          <w:p w14:paraId="43E2813E">
            <w:pPr>
              <w:spacing w:line="360" w:lineRule="auto"/>
              <w:ind w:firstLine="480" w:firstLineChars="200"/>
              <w:rPr>
                <w:color w:val="auto"/>
                <w:sz w:val="24"/>
              </w:rPr>
            </w:pPr>
            <w:r>
              <w:rPr>
                <w:rFonts w:hint="eastAsia"/>
                <w:color w:val="auto"/>
                <w:sz w:val="24"/>
              </w:rPr>
              <w:t>衰减项的计算详见《环境影响评价技术导则  声环境》（HJ2.4-2021）附录A中的“A.3 衰减项的计算”小节内容，此处不再赘述。</w:t>
            </w:r>
          </w:p>
          <w:p w14:paraId="07E2185D">
            <w:pPr>
              <w:spacing w:line="360" w:lineRule="auto"/>
              <w:ind w:firstLine="480" w:firstLineChars="200"/>
              <w:rPr>
                <w:color w:val="auto"/>
                <w:sz w:val="24"/>
              </w:rPr>
            </w:pPr>
            <w:r>
              <w:rPr>
                <w:rFonts w:hint="eastAsia"/>
                <w:color w:val="auto"/>
                <w:sz w:val="24"/>
              </w:rPr>
              <w:t>（3）预测点的A声级计算</w:t>
            </w:r>
          </w:p>
          <w:p w14:paraId="11222F76">
            <w:pPr>
              <w:spacing w:line="360" w:lineRule="auto"/>
              <w:ind w:firstLine="480" w:firstLineChars="200"/>
              <w:rPr>
                <w:color w:val="auto"/>
                <w:sz w:val="24"/>
              </w:rPr>
            </w:pPr>
            <w:r>
              <w:rPr>
                <w:rFonts w:hint="eastAsia"/>
                <w:color w:val="auto"/>
                <w:sz w:val="24"/>
              </w:rPr>
              <w:t>预测点的A声级</w:t>
            </w:r>
            <w:r>
              <w:rPr>
                <w:rFonts w:hint="eastAsia"/>
                <w:i/>
                <w:color w:val="auto"/>
                <w:sz w:val="24"/>
              </w:rPr>
              <w:t>L</w:t>
            </w:r>
            <w:r>
              <w:rPr>
                <w:rFonts w:hint="eastAsia"/>
                <w:i/>
                <w:color w:val="auto"/>
                <w:sz w:val="24"/>
                <w:vertAlign w:val="subscript"/>
              </w:rPr>
              <w:t>A</w:t>
            </w:r>
            <w:r>
              <w:rPr>
                <w:rFonts w:hint="eastAsia"/>
                <w:i/>
                <w:color w:val="auto"/>
                <w:sz w:val="24"/>
              </w:rPr>
              <w:t>(r</w:t>
            </w:r>
            <w:r>
              <w:rPr>
                <w:rFonts w:hint="eastAsia"/>
                <w:i/>
                <w:color w:val="auto"/>
                <w:sz w:val="24"/>
                <w:lang w:eastAsia="zh-CN"/>
              </w:rPr>
              <w:t>）</w:t>
            </w:r>
            <w:r>
              <w:rPr>
                <w:rFonts w:hint="eastAsia"/>
                <w:color w:val="auto"/>
                <w:sz w:val="24"/>
              </w:rPr>
              <w:t>可按下式计算，具体如下：</w:t>
            </w:r>
          </w:p>
          <w:p w14:paraId="22FB87E0">
            <w:pPr>
              <w:spacing w:line="360" w:lineRule="auto"/>
              <w:ind w:firstLine="480" w:firstLineChars="200"/>
              <w:jc w:val="center"/>
              <w:rPr>
                <w:color w:val="auto"/>
                <w:sz w:val="24"/>
              </w:rPr>
            </w:pPr>
            <w:r>
              <w:rPr>
                <w:rFonts w:hint="eastAsia"/>
                <w:color w:val="auto"/>
                <w:sz w:val="24"/>
              </w:rPr>
              <w:drawing>
                <wp:inline distT="0" distB="0" distL="0" distR="0">
                  <wp:extent cx="2377440" cy="58039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77440" cy="580390"/>
                          </a:xfrm>
                          <a:prstGeom prst="rect">
                            <a:avLst/>
                          </a:prstGeom>
                          <a:noFill/>
                          <a:ln>
                            <a:noFill/>
                          </a:ln>
                        </pic:spPr>
                      </pic:pic>
                    </a:graphicData>
                  </a:graphic>
                </wp:inline>
              </w:drawing>
            </w:r>
          </w:p>
          <w:p w14:paraId="3527E54E">
            <w:pPr>
              <w:spacing w:line="360" w:lineRule="auto"/>
              <w:ind w:firstLine="480" w:firstLineChars="200"/>
              <w:rPr>
                <w:color w:val="auto"/>
                <w:sz w:val="24"/>
              </w:rPr>
            </w:pPr>
            <w:r>
              <w:rPr>
                <w:rFonts w:hint="eastAsia"/>
                <w:i/>
                <w:color w:val="auto"/>
                <w:sz w:val="24"/>
              </w:rPr>
              <w:t>L</w:t>
            </w:r>
            <w:r>
              <w:rPr>
                <w:rFonts w:hint="eastAsia"/>
                <w:i/>
                <w:color w:val="auto"/>
                <w:sz w:val="24"/>
                <w:vertAlign w:val="subscript"/>
              </w:rPr>
              <w:t>pi</w:t>
            </w:r>
            <w:r>
              <w:rPr>
                <w:rFonts w:hint="eastAsia"/>
                <w:i/>
                <w:color w:val="auto"/>
                <w:sz w:val="24"/>
              </w:rPr>
              <w:t>(r)</w:t>
            </w:r>
            <w:r>
              <w:rPr>
                <w:color w:val="auto"/>
                <w:sz w:val="24"/>
              </w:rPr>
              <w:t xml:space="preserve"> ——</w:t>
            </w:r>
            <w:r>
              <w:rPr>
                <w:rFonts w:hint="eastAsia"/>
                <w:color w:val="auto"/>
                <w:sz w:val="24"/>
              </w:rPr>
              <w:t>预测点（r）处，第i倍频带声压级，dB；</w:t>
            </w:r>
          </w:p>
          <w:p w14:paraId="415CB183">
            <w:pPr>
              <w:spacing w:line="360" w:lineRule="auto"/>
              <w:ind w:firstLine="480" w:firstLineChars="200"/>
              <w:rPr>
                <w:color w:val="auto"/>
                <w:sz w:val="24"/>
              </w:rPr>
            </w:pPr>
            <w:r>
              <w:rPr>
                <w:rFonts w:hint="eastAsia"/>
                <w:i/>
                <w:color w:val="auto"/>
                <w:sz w:val="24"/>
              </w:rPr>
              <w:t>△L</w:t>
            </w:r>
            <w:r>
              <w:rPr>
                <w:rFonts w:hint="eastAsia"/>
                <w:i/>
                <w:color w:val="auto"/>
                <w:sz w:val="24"/>
                <w:vertAlign w:val="subscript"/>
              </w:rPr>
              <w:t>i</w:t>
            </w:r>
            <w:r>
              <w:rPr>
                <w:color w:val="auto"/>
                <w:sz w:val="24"/>
              </w:rPr>
              <w:t>——</w:t>
            </w:r>
            <w:r>
              <w:rPr>
                <w:rFonts w:hint="eastAsia"/>
                <w:color w:val="auto"/>
                <w:sz w:val="24"/>
              </w:rPr>
              <w:t>第i倍频带的A计权网络修正值，dB。</w:t>
            </w:r>
          </w:p>
          <w:p w14:paraId="55172CAA">
            <w:pPr>
              <w:spacing w:line="360" w:lineRule="auto"/>
              <w:ind w:firstLine="480" w:firstLineChars="200"/>
              <w:rPr>
                <w:color w:val="auto"/>
                <w:sz w:val="24"/>
              </w:rPr>
            </w:pPr>
            <w:r>
              <w:rPr>
                <w:color w:val="auto"/>
                <w:sz w:val="24"/>
              </w:rPr>
              <w:t>（</w:t>
            </w:r>
            <w:r>
              <w:rPr>
                <w:rFonts w:hint="eastAsia"/>
                <w:color w:val="auto"/>
                <w:sz w:val="24"/>
              </w:rPr>
              <w:t>4</w:t>
            </w:r>
            <w:r>
              <w:rPr>
                <w:color w:val="auto"/>
                <w:sz w:val="24"/>
              </w:rPr>
              <w:t>）</w:t>
            </w:r>
            <w:r>
              <w:rPr>
                <w:rFonts w:hint="eastAsia"/>
                <w:color w:val="auto"/>
                <w:sz w:val="24"/>
              </w:rPr>
              <w:t>预测点贡献值计算</w:t>
            </w:r>
          </w:p>
          <w:p w14:paraId="71FD704C">
            <w:pPr>
              <w:spacing w:line="360" w:lineRule="auto"/>
              <w:ind w:firstLine="480" w:firstLineChars="200"/>
              <w:rPr>
                <w:color w:val="auto"/>
                <w:sz w:val="24"/>
              </w:rPr>
            </w:pPr>
            <w:r>
              <w:rPr>
                <w:color w:val="auto"/>
                <w:sz w:val="24"/>
              </w:rPr>
              <w:t>设第</w:t>
            </w:r>
            <w:r>
              <w:rPr>
                <w:color w:val="auto"/>
                <w:sz w:val="24"/>
              </w:rPr>
              <w:pict>
                <v:shape id="_x0000_i1025" o:spt="75" type="#_x0000_t75" style="height:13.5pt;width:6.75pt;" filled="f" coordsize="21600,21600">
                  <v:path/>
                  <v:fill on="f" focussize="0,0"/>
                  <v:stroke/>
                  <v:imagedata r:id="rId17" o:title=""/>
                  <o:lock v:ext="edit" aspectratio="t"/>
                  <w10:wrap type="none"/>
                  <w10:anchorlock/>
                </v:shape>
              </w:pict>
            </w:r>
            <w:r>
              <w:rPr>
                <w:color w:val="auto"/>
                <w:sz w:val="24"/>
              </w:rPr>
              <w:t>个室外声源在预测点产生的A声级为</w:t>
            </w:r>
            <w:r>
              <w:rPr>
                <w:color w:val="auto"/>
                <w:sz w:val="24"/>
              </w:rPr>
              <w:pict>
                <v:shape id="_x0000_i1026" o:spt="75" type="#_x0000_t75" style="height:14.25pt;width:17.25pt;" filled="f" coordsize="21600,21600">
                  <v:path/>
                  <v:fill on="f" focussize="0,0"/>
                  <v:stroke/>
                  <v:imagedata r:id="rId18" o:title=""/>
                  <o:lock v:ext="edit" aspectratio="t"/>
                  <w10:wrap type="none"/>
                  <w10:anchorlock/>
                </v:shape>
              </w:pict>
            </w:r>
            <w:r>
              <w:rPr>
                <w:color w:val="auto"/>
                <w:sz w:val="24"/>
              </w:rPr>
              <w:t>，在</w:t>
            </w:r>
            <w:r>
              <w:rPr>
                <w:color w:val="auto"/>
                <w:sz w:val="24"/>
              </w:rPr>
              <w:pict>
                <v:shape id="_x0000_i1027" o:spt="75" type="#_x0000_t75" style="height:13.5pt;width:11.25pt;" filled="f" coordsize="21600,21600">
                  <v:path/>
                  <v:fill on="f" focussize="0,0"/>
                  <v:stroke/>
                  <v:imagedata r:id="rId19" o:title=""/>
                  <o:lock v:ext="edit" aspectratio="t"/>
                  <w10:wrap type="none"/>
                  <w10:anchorlock/>
                </v:shape>
              </w:pict>
            </w:r>
            <w:r>
              <w:rPr>
                <w:color w:val="auto"/>
                <w:sz w:val="24"/>
              </w:rPr>
              <w:t>时间内该声源工作时间为</w:t>
            </w:r>
            <w:r>
              <w:rPr>
                <w:color w:val="auto"/>
                <w:sz w:val="24"/>
              </w:rPr>
              <w:pict>
                <v:shape id="_x0000_i1028" o:spt="75" type="#_x0000_t75" style="height:12.75pt;width:9pt;" filled="f" coordsize="21600,21600">
                  <v:path/>
                  <v:fill on="f" focussize="0,0"/>
                  <v:stroke/>
                  <v:imagedata r:id="rId20" o:title=""/>
                  <o:lock v:ext="edit" aspectratio="t"/>
                  <w10:wrap type="none"/>
                  <w10:anchorlock/>
                </v:shape>
              </w:pict>
            </w:r>
            <w:r>
              <w:rPr>
                <w:color w:val="auto"/>
                <w:sz w:val="24"/>
              </w:rPr>
              <w:t>；第</w:t>
            </w:r>
            <w:r>
              <w:rPr>
                <w:color w:val="auto"/>
                <w:sz w:val="24"/>
              </w:rPr>
              <w:pict>
                <v:shape id="_x0000_i1029" o:spt="75" type="#_x0000_t75" style="height:15pt;width:9.75pt;" filled="f" coordsize="21600,21600">
                  <v:path/>
                  <v:fill on="f" focussize="0,0"/>
                  <v:stroke/>
                  <v:imagedata r:id="rId21" o:title=""/>
                  <o:lock v:ext="edit" aspectratio="t"/>
                  <w10:wrap type="none"/>
                  <w10:anchorlock/>
                </v:shape>
              </w:pict>
            </w:r>
            <w:r>
              <w:rPr>
                <w:color w:val="auto"/>
                <w:sz w:val="24"/>
              </w:rPr>
              <w:t>个等效室外声源在预测点产生的A声级为</w:t>
            </w:r>
            <w:r>
              <w:rPr>
                <w:color w:val="auto"/>
                <w:sz w:val="24"/>
              </w:rPr>
              <w:pict>
                <v:shape id="_x0000_i1030" o:spt="75" type="#_x0000_t75" style="height:15pt;width:18pt;" filled="f" coordsize="21600,21600">
                  <v:path/>
                  <v:fill on="f" focussize="0,0"/>
                  <v:stroke/>
                  <v:imagedata r:id="rId22" o:title=""/>
                  <o:lock v:ext="edit" aspectratio="t"/>
                  <w10:wrap type="none"/>
                  <w10:anchorlock/>
                </v:shape>
              </w:pict>
            </w:r>
            <w:r>
              <w:rPr>
                <w:color w:val="auto"/>
                <w:sz w:val="24"/>
              </w:rPr>
              <w:t>，在</w:t>
            </w:r>
            <w:r>
              <w:rPr>
                <w:color w:val="auto"/>
                <w:sz w:val="24"/>
              </w:rPr>
              <w:pict>
                <v:shape id="_x0000_i1031" o:spt="75" type="#_x0000_t75" style="height:13.5pt;width:11.25pt;" filled="f" coordsize="21600,21600">
                  <v:path/>
                  <v:fill on="f" focussize="0,0"/>
                  <v:stroke/>
                  <v:imagedata r:id="rId19" o:title=""/>
                  <o:lock v:ext="edit" aspectratio="t"/>
                  <w10:wrap type="none"/>
                  <w10:anchorlock/>
                </v:shape>
              </w:pict>
            </w:r>
            <w:r>
              <w:rPr>
                <w:color w:val="auto"/>
                <w:sz w:val="24"/>
              </w:rPr>
              <w:t>时间内该声源工作时间为</w:t>
            </w:r>
            <w:r>
              <w:rPr>
                <w:color w:val="auto"/>
                <w:sz w:val="24"/>
              </w:rPr>
              <w:pict>
                <v:shape id="_x0000_i1032" o:spt="75" type="#_x0000_t75" style="height:13.5pt;width:9pt;" filled="f" coordsize="21600,21600">
                  <v:path/>
                  <v:fill on="f" focussize="0,0"/>
                  <v:stroke/>
                  <v:imagedata r:id="rId23" o:title=""/>
                  <o:lock v:ext="edit" aspectratio="t"/>
                  <w10:wrap type="none"/>
                  <w10:anchorlock/>
                </v:shape>
              </w:pict>
            </w:r>
            <w:r>
              <w:rPr>
                <w:color w:val="auto"/>
                <w:sz w:val="24"/>
              </w:rPr>
              <w:t>，则拟建工程声源对预测点产生的贡献值（</w:t>
            </w:r>
            <w:r>
              <w:rPr>
                <w:color w:val="auto"/>
                <w:sz w:val="24"/>
              </w:rPr>
              <w:pict>
                <v:shape id="_x0000_i1033" o:spt="75" type="#_x0000_t75" style="height:15pt;width:21.75pt;" filled="f" coordsize="21600,21600">
                  <v:path/>
                  <v:fill on="f" focussize="0,0"/>
                  <v:stroke/>
                  <v:imagedata r:id="rId24" o:title=""/>
                  <o:lock v:ext="edit" aspectratio="t"/>
                  <w10:wrap type="none"/>
                  <w10:anchorlock/>
                </v:shape>
              </w:pict>
            </w:r>
            <w:r>
              <w:rPr>
                <w:color w:val="auto"/>
                <w:sz w:val="24"/>
              </w:rPr>
              <w:t>）为：</w:t>
            </w:r>
          </w:p>
          <w:p w14:paraId="3E1364D6">
            <w:pPr>
              <w:spacing w:line="360" w:lineRule="auto"/>
              <w:ind w:firstLine="480" w:firstLineChars="200"/>
              <w:jc w:val="center"/>
              <w:rPr>
                <w:color w:val="auto"/>
                <w:sz w:val="24"/>
              </w:rPr>
            </w:pPr>
            <w:r>
              <w:rPr>
                <w:color w:val="auto"/>
                <w:sz w:val="24"/>
              </w:rPr>
              <w:pict>
                <v:shape id="_x0000_i1034" o:spt="75" type="#_x0000_t75" style="height:38.25pt;width:197.25pt;" filled="f" coordsize="21600,21600">
                  <v:path/>
                  <v:fill on="f" focussize="0,0"/>
                  <v:stroke/>
                  <v:imagedata r:id="rId25" o:title=""/>
                  <o:lock v:ext="edit" aspectratio="t"/>
                  <w10:wrap type="none"/>
                  <w10:anchorlock/>
                </v:shape>
              </w:pict>
            </w:r>
          </w:p>
          <w:p w14:paraId="557196DD">
            <w:pPr>
              <w:spacing w:line="360" w:lineRule="auto"/>
              <w:ind w:firstLine="480" w:firstLineChars="200"/>
              <w:rPr>
                <w:color w:val="auto"/>
                <w:sz w:val="24"/>
              </w:rPr>
            </w:pPr>
            <w:r>
              <w:rPr>
                <w:color w:val="auto"/>
                <w:sz w:val="24"/>
              </w:rPr>
              <w:t>式中：</w:t>
            </w:r>
          </w:p>
          <w:p w14:paraId="1C2F718A">
            <w:pPr>
              <w:spacing w:line="360" w:lineRule="auto"/>
              <w:ind w:firstLine="480" w:firstLineChars="200"/>
              <w:rPr>
                <w:color w:val="auto"/>
                <w:sz w:val="24"/>
              </w:rPr>
            </w:pPr>
            <w:r>
              <w:rPr>
                <w:i/>
                <w:iCs/>
                <w:color w:val="auto"/>
                <w:sz w:val="24"/>
              </w:rPr>
              <w:t>L</w:t>
            </w:r>
            <w:r>
              <w:rPr>
                <w:color w:val="auto"/>
                <w:sz w:val="24"/>
                <w:vertAlign w:val="subscript"/>
              </w:rPr>
              <w:t>eqg</w:t>
            </w:r>
            <w:r>
              <w:rPr>
                <w:color w:val="auto"/>
                <w:sz w:val="24"/>
              </w:rPr>
              <w:t>——建设项目声源在预测点产生的噪声贡献值，dB；</w:t>
            </w:r>
          </w:p>
          <w:p w14:paraId="11B44201">
            <w:pPr>
              <w:spacing w:line="360" w:lineRule="auto"/>
              <w:ind w:firstLine="480" w:firstLineChars="200"/>
              <w:rPr>
                <w:color w:val="auto"/>
                <w:sz w:val="24"/>
              </w:rPr>
            </w:pPr>
            <w:r>
              <w:rPr>
                <w:i/>
                <w:iCs/>
                <w:color w:val="auto"/>
                <w:sz w:val="24"/>
              </w:rPr>
              <w:t xml:space="preserve">T </w:t>
            </w:r>
            <w:r>
              <w:rPr>
                <w:color w:val="auto"/>
                <w:sz w:val="24"/>
              </w:rPr>
              <w:t>——用于计算等效声级的时间，s；</w:t>
            </w:r>
          </w:p>
          <w:p w14:paraId="0EEA8846">
            <w:pPr>
              <w:spacing w:line="360" w:lineRule="auto"/>
              <w:ind w:firstLine="480" w:firstLineChars="200"/>
              <w:rPr>
                <w:color w:val="auto"/>
                <w:sz w:val="24"/>
              </w:rPr>
            </w:pPr>
            <w:r>
              <w:rPr>
                <w:i/>
                <w:iCs/>
                <w:color w:val="auto"/>
                <w:sz w:val="24"/>
              </w:rPr>
              <w:t xml:space="preserve">N </w:t>
            </w:r>
            <w:r>
              <w:rPr>
                <w:color w:val="auto"/>
                <w:sz w:val="24"/>
              </w:rPr>
              <w:t>——室外声源个数；</w:t>
            </w:r>
          </w:p>
          <w:p w14:paraId="3AF7B37F">
            <w:pPr>
              <w:spacing w:line="360" w:lineRule="auto"/>
              <w:ind w:firstLine="480" w:firstLineChars="200"/>
              <w:rPr>
                <w:color w:val="auto"/>
                <w:sz w:val="24"/>
              </w:rPr>
            </w:pPr>
            <w:r>
              <w:rPr>
                <w:i/>
                <w:iCs/>
                <w:color w:val="auto"/>
                <w:sz w:val="24"/>
              </w:rPr>
              <w:t>t</w:t>
            </w:r>
            <w:r>
              <w:rPr>
                <w:i/>
                <w:iCs/>
                <w:color w:val="auto"/>
                <w:sz w:val="24"/>
                <w:vertAlign w:val="subscript"/>
              </w:rPr>
              <w:t>i</w:t>
            </w:r>
            <w:r>
              <w:rPr>
                <w:i/>
                <w:iCs/>
                <w:color w:val="auto"/>
                <w:sz w:val="24"/>
              </w:rPr>
              <w:t xml:space="preserve"> </w:t>
            </w:r>
            <w:r>
              <w:rPr>
                <w:color w:val="auto"/>
                <w:sz w:val="24"/>
              </w:rPr>
              <w:t>——在</w:t>
            </w:r>
            <w:r>
              <w:rPr>
                <w:i/>
                <w:iCs/>
                <w:color w:val="auto"/>
                <w:sz w:val="24"/>
              </w:rPr>
              <w:t>T</w:t>
            </w:r>
            <w:r>
              <w:rPr>
                <w:color w:val="auto"/>
                <w:sz w:val="24"/>
              </w:rPr>
              <w:t>时间内</w:t>
            </w:r>
            <w:r>
              <w:rPr>
                <w:i/>
                <w:iCs/>
                <w:color w:val="auto"/>
                <w:sz w:val="24"/>
              </w:rPr>
              <w:t>i</w:t>
            </w:r>
            <w:r>
              <w:rPr>
                <w:color w:val="auto"/>
                <w:sz w:val="24"/>
              </w:rPr>
              <w:t>声源工作时间，s；</w:t>
            </w:r>
          </w:p>
          <w:p w14:paraId="503DFD00">
            <w:pPr>
              <w:spacing w:line="360" w:lineRule="auto"/>
              <w:ind w:firstLine="480" w:firstLineChars="200"/>
              <w:rPr>
                <w:color w:val="auto"/>
                <w:sz w:val="24"/>
              </w:rPr>
            </w:pPr>
            <w:r>
              <w:rPr>
                <w:i/>
                <w:iCs/>
                <w:color w:val="auto"/>
                <w:sz w:val="24"/>
              </w:rPr>
              <w:t xml:space="preserve">M </w:t>
            </w:r>
            <w:r>
              <w:rPr>
                <w:color w:val="auto"/>
                <w:sz w:val="24"/>
              </w:rPr>
              <w:t>——等效室外声源个数；</w:t>
            </w:r>
          </w:p>
          <w:p w14:paraId="0A039031">
            <w:pPr>
              <w:spacing w:line="360" w:lineRule="auto"/>
              <w:ind w:firstLine="480" w:firstLineChars="200"/>
              <w:rPr>
                <w:color w:val="auto"/>
                <w:sz w:val="24"/>
              </w:rPr>
            </w:pPr>
            <w:r>
              <w:rPr>
                <w:i/>
                <w:iCs/>
                <w:color w:val="auto"/>
                <w:sz w:val="24"/>
              </w:rPr>
              <w:t>t</w:t>
            </w:r>
            <w:r>
              <w:rPr>
                <w:i/>
                <w:iCs/>
                <w:color w:val="auto"/>
                <w:sz w:val="24"/>
                <w:vertAlign w:val="subscript"/>
              </w:rPr>
              <w:t>j</w:t>
            </w:r>
            <w:r>
              <w:rPr>
                <w:i/>
                <w:iCs/>
                <w:color w:val="auto"/>
                <w:sz w:val="24"/>
              </w:rPr>
              <w:t xml:space="preserve"> </w:t>
            </w:r>
            <w:r>
              <w:rPr>
                <w:color w:val="auto"/>
                <w:sz w:val="24"/>
              </w:rPr>
              <w:t>——在</w:t>
            </w:r>
            <w:r>
              <w:rPr>
                <w:i/>
                <w:iCs/>
                <w:color w:val="auto"/>
                <w:sz w:val="24"/>
              </w:rPr>
              <w:t>T</w:t>
            </w:r>
            <w:r>
              <w:rPr>
                <w:color w:val="auto"/>
                <w:sz w:val="24"/>
              </w:rPr>
              <w:t>时间内</w:t>
            </w:r>
            <w:r>
              <w:rPr>
                <w:i/>
                <w:iCs/>
                <w:color w:val="auto"/>
                <w:sz w:val="24"/>
              </w:rPr>
              <w:t>j</w:t>
            </w:r>
            <w:r>
              <w:rPr>
                <w:color w:val="auto"/>
                <w:sz w:val="24"/>
              </w:rPr>
              <w:t>声源工作时间，s。</w:t>
            </w:r>
          </w:p>
          <w:p w14:paraId="268862DF">
            <w:pPr>
              <w:spacing w:line="360" w:lineRule="auto"/>
              <w:rPr>
                <w:b/>
                <w:color w:val="auto"/>
                <w:sz w:val="24"/>
                <w:szCs w:val="24"/>
              </w:rPr>
            </w:pPr>
            <w:r>
              <w:rPr>
                <w:rFonts w:hint="eastAsia"/>
                <w:b/>
                <w:color w:val="auto"/>
                <w:sz w:val="24"/>
                <w:szCs w:val="24"/>
              </w:rPr>
              <w:t>3.3噪声环境影响预测及评价</w:t>
            </w:r>
          </w:p>
          <w:p w14:paraId="0FB4ADE4">
            <w:pPr>
              <w:spacing w:line="360" w:lineRule="auto"/>
              <w:ind w:firstLine="480" w:firstLineChars="200"/>
              <w:rPr>
                <w:color w:val="auto"/>
                <w:sz w:val="24"/>
                <w:szCs w:val="24"/>
              </w:rPr>
            </w:pPr>
            <w:r>
              <w:rPr>
                <w:rFonts w:hint="eastAsia"/>
                <w:color w:val="auto"/>
                <w:sz w:val="24"/>
                <w:szCs w:val="24"/>
              </w:rPr>
              <w:t>（1）厂界噪声环境影响预测及评价</w:t>
            </w:r>
          </w:p>
          <w:p w14:paraId="7C893B9F">
            <w:pPr>
              <w:spacing w:line="360" w:lineRule="auto"/>
              <w:ind w:firstLine="480" w:firstLineChars="200"/>
              <w:rPr>
                <w:color w:val="auto"/>
                <w:sz w:val="24"/>
                <w:szCs w:val="24"/>
              </w:rPr>
            </w:pPr>
            <w:r>
              <w:rPr>
                <w:rFonts w:hint="eastAsia"/>
                <w:color w:val="auto"/>
                <w:sz w:val="24"/>
                <w:szCs w:val="24"/>
              </w:rPr>
              <w:t>建设项目各厂界噪声预测结果详见表4-</w:t>
            </w:r>
            <w:r>
              <w:rPr>
                <w:rFonts w:hint="eastAsia"/>
                <w:color w:val="auto"/>
                <w:sz w:val="24"/>
                <w:szCs w:val="24"/>
                <w:lang w:val="en-US" w:eastAsia="zh-CN"/>
              </w:rPr>
              <w:t>9</w:t>
            </w:r>
            <w:r>
              <w:rPr>
                <w:rFonts w:hint="eastAsia"/>
                <w:color w:val="auto"/>
                <w:sz w:val="24"/>
                <w:szCs w:val="24"/>
              </w:rPr>
              <w:t>。</w:t>
            </w:r>
          </w:p>
          <w:p w14:paraId="6102EF3F">
            <w:pPr>
              <w:spacing w:line="360" w:lineRule="auto"/>
              <w:jc w:val="center"/>
              <w:rPr>
                <w:color w:val="auto"/>
                <w:szCs w:val="21"/>
              </w:rPr>
            </w:pPr>
            <w:r>
              <w:rPr>
                <w:b/>
                <w:bCs/>
                <w:color w:val="auto"/>
                <w:szCs w:val="21"/>
              </w:rPr>
              <w:t>表4-</w:t>
            </w:r>
            <w:r>
              <w:rPr>
                <w:rFonts w:hint="eastAsia"/>
                <w:b/>
                <w:bCs/>
                <w:color w:val="auto"/>
                <w:szCs w:val="21"/>
                <w:lang w:val="en-US" w:eastAsia="zh-CN"/>
              </w:rPr>
              <w:t>9</w:t>
            </w:r>
            <w:r>
              <w:rPr>
                <w:rFonts w:hint="eastAsia"/>
                <w:b/>
                <w:bCs/>
                <w:color w:val="auto"/>
                <w:szCs w:val="21"/>
              </w:rPr>
              <w:t xml:space="preserve">  </w:t>
            </w:r>
            <w:r>
              <w:rPr>
                <w:b/>
                <w:bCs/>
                <w:color w:val="auto"/>
                <w:szCs w:val="21"/>
              </w:rPr>
              <w:t>厂界周围噪声预测值  单位：dB(A)</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08"/>
              <w:gridCol w:w="2284"/>
              <w:gridCol w:w="755"/>
              <w:gridCol w:w="755"/>
              <w:gridCol w:w="756"/>
            </w:tblGrid>
            <w:tr w14:paraId="1A15E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04" w:type="pct"/>
                  <w:vMerge w:val="restart"/>
                  <w:vAlign w:val="center"/>
                </w:tcPr>
                <w:p w14:paraId="47417E4E">
                  <w:pPr>
                    <w:spacing w:line="360" w:lineRule="auto"/>
                    <w:jc w:val="center"/>
                    <w:rPr>
                      <w:b/>
                      <w:color w:val="auto"/>
                      <w:szCs w:val="21"/>
                    </w:rPr>
                  </w:pPr>
                  <w:r>
                    <w:rPr>
                      <w:rFonts w:hint="eastAsia"/>
                      <w:b/>
                      <w:color w:val="auto"/>
                      <w:szCs w:val="21"/>
                    </w:rPr>
                    <w:t>厂界</w:t>
                  </w:r>
                </w:p>
              </w:tc>
              <w:tc>
                <w:tcPr>
                  <w:tcW w:w="1453" w:type="pct"/>
                  <w:vMerge w:val="restart"/>
                  <w:vAlign w:val="center"/>
                </w:tcPr>
                <w:p w14:paraId="1EE7AA7C">
                  <w:pPr>
                    <w:spacing w:line="360" w:lineRule="auto"/>
                    <w:jc w:val="center"/>
                    <w:rPr>
                      <w:b/>
                      <w:color w:val="auto"/>
                      <w:szCs w:val="21"/>
                    </w:rPr>
                  </w:pPr>
                  <w:r>
                    <w:rPr>
                      <w:rFonts w:hint="eastAsia"/>
                      <w:b/>
                      <w:color w:val="auto"/>
                      <w:szCs w:val="21"/>
                    </w:rPr>
                    <w:t>时段</w:t>
                  </w:r>
                </w:p>
              </w:tc>
              <w:tc>
                <w:tcPr>
                  <w:tcW w:w="480" w:type="pct"/>
                  <w:vAlign w:val="center"/>
                </w:tcPr>
                <w:p w14:paraId="31676DEB">
                  <w:pPr>
                    <w:spacing w:line="360" w:lineRule="auto"/>
                    <w:jc w:val="center"/>
                    <w:rPr>
                      <w:b/>
                      <w:color w:val="auto"/>
                      <w:szCs w:val="21"/>
                    </w:rPr>
                  </w:pPr>
                  <w:r>
                    <w:rPr>
                      <w:rFonts w:hint="eastAsia"/>
                      <w:b/>
                      <w:color w:val="auto"/>
                      <w:szCs w:val="21"/>
                    </w:rPr>
                    <w:t>贡献值</w:t>
                  </w:r>
                </w:p>
              </w:tc>
              <w:tc>
                <w:tcPr>
                  <w:tcW w:w="480" w:type="pct"/>
                  <w:vAlign w:val="center"/>
                </w:tcPr>
                <w:p w14:paraId="17449158">
                  <w:pPr>
                    <w:spacing w:line="360" w:lineRule="auto"/>
                    <w:jc w:val="center"/>
                    <w:rPr>
                      <w:rFonts w:hint="eastAsia" w:eastAsia="宋体"/>
                      <w:b/>
                      <w:color w:val="auto"/>
                      <w:szCs w:val="21"/>
                      <w:lang w:eastAsia="zh-CN"/>
                    </w:rPr>
                  </w:pPr>
                  <w:r>
                    <w:rPr>
                      <w:rFonts w:hint="eastAsia"/>
                      <w:b/>
                      <w:color w:val="auto"/>
                      <w:szCs w:val="21"/>
                      <w:lang w:eastAsia="zh-CN"/>
                    </w:rPr>
                    <w:t>背景值</w:t>
                  </w:r>
                </w:p>
              </w:tc>
              <w:tc>
                <w:tcPr>
                  <w:tcW w:w="481" w:type="pct"/>
                  <w:vAlign w:val="center"/>
                </w:tcPr>
                <w:p w14:paraId="45E4959F">
                  <w:pPr>
                    <w:spacing w:line="360" w:lineRule="auto"/>
                    <w:jc w:val="center"/>
                    <w:rPr>
                      <w:rFonts w:hint="eastAsia"/>
                      <w:b/>
                      <w:color w:val="auto"/>
                      <w:szCs w:val="21"/>
                      <w:lang w:eastAsia="zh-CN"/>
                    </w:rPr>
                  </w:pPr>
                  <w:r>
                    <w:rPr>
                      <w:rFonts w:hint="eastAsia"/>
                      <w:b/>
                      <w:color w:val="auto"/>
                      <w:szCs w:val="21"/>
                      <w:lang w:eastAsia="zh-CN"/>
                    </w:rPr>
                    <w:t>预测值</w:t>
                  </w:r>
                </w:p>
              </w:tc>
            </w:tr>
            <w:tr w14:paraId="6264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04" w:type="pct"/>
                  <w:vMerge w:val="continue"/>
                  <w:vAlign w:val="center"/>
                </w:tcPr>
                <w:p w14:paraId="260F9BFF">
                  <w:pPr>
                    <w:spacing w:line="360" w:lineRule="auto"/>
                    <w:jc w:val="center"/>
                    <w:rPr>
                      <w:color w:val="auto"/>
                    </w:rPr>
                  </w:pPr>
                </w:p>
              </w:tc>
              <w:tc>
                <w:tcPr>
                  <w:tcW w:w="1453" w:type="pct"/>
                  <w:vMerge w:val="continue"/>
                  <w:vAlign w:val="center"/>
                </w:tcPr>
                <w:p w14:paraId="68C344EA">
                  <w:pPr>
                    <w:spacing w:line="360" w:lineRule="auto"/>
                    <w:jc w:val="center"/>
                    <w:rPr>
                      <w:color w:val="auto"/>
                    </w:rPr>
                  </w:pPr>
                </w:p>
              </w:tc>
              <w:tc>
                <w:tcPr>
                  <w:tcW w:w="480" w:type="pct"/>
                  <w:vAlign w:val="center"/>
                </w:tcPr>
                <w:p w14:paraId="00D20107">
                  <w:pPr>
                    <w:spacing w:line="360" w:lineRule="auto"/>
                    <w:jc w:val="center"/>
                    <w:rPr>
                      <w:rFonts w:hint="eastAsia" w:eastAsia="宋体"/>
                      <w:b/>
                      <w:color w:val="auto"/>
                      <w:szCs w:val="21"/>
                      <w:lang w:eastAsia="zh-CN"/>
                    </w:rPr>
                  </w:pPr>
                  <w:r>
                    <w:rPr>
                      <w:rFonts w:hint="eastAsia"/>
                      <w:b/>
                      <w:color w:val="auto"/>
                      <w:szCs w:val="21"/>
                      <w:lang w:eastAsia="zh-CN"/>
                    </w:rPr>
                    <w:t>昼间</w:t>
                  </w:r>
                </w:p>
              </w:tc>
              <w:tc>
                <w:tcPr>
                  <w:tcW w:w="480" w:type="pct"/>
                  <w:vAlign w:val="center"/>
                </w:tcPr>
                <w:p w14:paraId="0F038ED9">
                  <w:pPr>
                    <w:spacing w:line="360" w:lineRule="auto"/>
                    <w:jc w:val="center"/>
                    <w:rPr>
                      <w:rFonts w:hint="eastAsia" w:eastAsia="宋体"/>
                      <w:b/>
                      <w:color w:val="auto"/>
                      <w:szCs w:val="21"/>
                      <w:lang w:eastAsia="zh-CN"/>
                    </w:rPr>
                  </w:pPr>
                  <w:r>
                    <w:rPr>
                      <w:rFonts w:hint="eastAsia"/>
                      <w:b/>
                      <w:color w:val="auto"/>
                      <w:szCs w:val="21"/>
                      <w:lang w:eastAsia="zh-CN"/>
                    </w:rPr>
                    <w:t>昼间</w:t>
                  </w:r>
                </w:p>
              </w:tc>
              <w:tc>
                <w:tcPr>
                  <w:tcW w:w="481" w:type="pct"/>
                  <w:vAlign w:val="center"/>
                </w:tcPr>
                <w:p w14:paraId="327B1E2D">
                  <w:pPr>
                    <w:spacing w:line="360" w:lineRule="auto"/>
                    <w:jc w:val="center"/>
                    <w:rPr>
                      <w:rFonts w:hint="eastAsia" w:eastAsia="宋体"/>
                      <w:b/>
                      <w:color w:val="auto"/>
                      <w:szCs w:val="21"/>
                      <w:lang w:eastAsia="zh-CN"/>
                    </w:rPr>
                  </w:pPr>
                  <w:r>
                    <w:rPr>
                      <w:rFonts w:hint="eastAsia"/>
                      <w:b/>
                      <w:color w:val="auto"/>
                      <w:szCs w:val="21"/>
                      <w:lang w:eastAsia="zh-CN"/>
                    </w:rPr>
                    <w:t>昼间</w:t>
                  </w:r>
                </w:p>
              </w:tc>
            </w:tr>
            <w:tr w14:paraId="64A10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3DAB8A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s="Times New Roman"/>
                      <w:color w:val="auto"/>
                      <w:szCs w:val="21"/>
                      <w:lang w:eastAsia="zh-CN"/>
                    </w:rPr>
                    <w:t>项目厂界东侧</w:t>
                  </w:r>
                </w:p>
              </w:tc>
              <w:tc>
                <w:tcPr>
                  <w:tcW w:w="1453" w:type="pct"/>
                  <w:vAlign w:val="center"/>
                </w:tcPr>
                <w:p w14:paraId="71F3992D">
                  <w:pPr>
                    <w:spacing w:line="360" w:lineRule="auto"/>
                    <w:jc w:val="center"/>
                    <w:rPr>
                      <w:color w:val="auto"/>
                      <w:szCs w:val="21"/>
                    </w:rPr>
                  </w:pPr>
                  <w:r>
                    <w:rPr>
                      <w:rFonts w:hint="eastAsia"/>
                      <w:color w:val="auto"/>
                      <w:szCs w:val="21"/>
                    </w:rPr>
                    <w:t>昼间</w:t>
                  </w:r>
                </w:p>
              </w:tc>
              <w:tc>
                <w:tcPr>
                  <w:tcW w:w="480" w:type="pct"/>
                  <w:shd w:val="clear" w:color="auto" w:fill="auto"/>
                  <w:vAlign w:val="center"/>
                </w:tcPr>
                <w:p w14:paraId="1C2146D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44.3</w:t>
                  </w:r>
                </w:p>
              </w:tc>
              <w:tc>
                <w:tcPr>
                  <w:tcW w:w="480" w:type="pct"/>
                  <w:vAlign w:val="center"/>
                </w:tcPr>
                <w:p w14:paraId="2ACCAF8D">
                  <w:pPr>
                    <w:spacing w:line="360" w:lineRule="auto"/>
                    <w:jc w:val="center"/>
                    <w:rPr>
                      <w:rFonts w:hint="eastAsia"/>
                      <w:color w:val="auto"/>
                      <w:szCs w:val="21"/>
                    </w:rPr>
                  </w:pPr>
                  <w:r>
                    <w:rPr>
                      <w:rFonts w:hint="eastAsia"/>
                      <w:color w:val="auto"/>
                      <w:szCs w:val="21"/>
                      <w:lang w:val="en-US" w:eastAsia="zh-CN"/>
                    </w:rPr>
                    <w:t>/</w:t>
                  </w:r>
                </w:p>
              </w:tc>
              <w:tc>
                <w:tcPr>
                  <w:tcW w:w="481" w:type="pct"/>
                  <w:vAlign w:val="center"/>
                </w:tcPr>
                <w:p w14:paraId="10D291D2">
                  <w:pPr>
                    <w:spacing w:line="360" w:lineRule="auto"/>
                    <w:jc w:val="center"/>
                    <w:rPr>
                      <w:rFonts w:hint="eastAsia" w:eastAsia="宋体"/>
                      <w:color w:val="auto"/>
                      <w:szCs w:val="21"/>
                      <w:lang w:val="en-US" w:eastAsia="zh-CN"/>
                    </w:rPr>
                  </w:pPr>
                  <w:r>
                    <w:rPr>
                      <w:rFonts w:hint="eastAsia"/>
                      <w:color w:val="auto"/>
                      <w:szCs w:val="21"/>
                      <w:lang w:val="en-US" w:eastAsia="zh-CN"/>
                    </w:rPr>
                    <w:t>/</w:t>
                  </w:r>
                </w:p>
              </w:tc>
            </w:tr>
            <w:tr w14:paraId="64346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6C6E08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s="Times New Roman"/>
                      <w:color w:val="auto"/>
                      <w:szCs w:val="21"/>
                      <w:lang w:val="en-US" w:eastAsia="zh-CN"/>
                    </w:rPr>
                    <w:t>项目厂界南侧</w:t>
                  </w:r>
                </w:p>
              </w:tc>
              <w:tc>
                <w:tcPr>
                  <w:tcW w:w="1453" w:type="pct"/>
                  <w:vAlign w:val="center"/>
                </w:tcPr>
                <w:p w14:paraId="696980D1">
                  <w:pPr>
                    <w:spacing w:line="360" w:lineRule="auto"/>
                    <w:jc w:val="center"/>
                    <w:rPr>
                      <w:color w:val="auto"/>
                      <w:szCs w:val="21"/>
                    </w:rPr>
                  </w:pPr>
                  <w:r>
                    <w:rPr>
                      <w:rFonts w:hint="eastAsia"/>
                      <w:color w:val="auto"/>
                      <w:szCs w:val="21"/>
                    </w:rPr>
                    <w:t>昼间</w:t>
                  </w:r>
                </w:p>
              </w:tc>
              <w:tc>
                <w:tcPr>
                  <w:tcW w:w="480" w:type="pct"/>
                  <w:shd w:val="clear" w:color="auto" w:fill="auto"/>
                  <w:vAlign w:val="center"/>
                </w:tcPr>
                <w:p w14:paraId="675720B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45.2</w:t>
                  </w:r>
                </w:p>
              </w:tc>
              <w:tc>
                <w:tcPr>
                  <w:tcW w:w="480" w:type="pct"/>
                  <w:vAlign w:val="center"/>
                </w:tcPr>
                <w:p w14:paraId="465071DE">
                  <w:pPr>
                    <w:spacing w:line="360" w:lineRule="auto"/>
                    <w:jc w:val="center"/>
                    <w:rPr>
                      <w:rFonts w:hint="eastAsia"/>
                      <w:color w:val="auto"/>
                      <w:szCs w:val="21"/>
                    </w:rPr>
                  </w:pPr>
                  <w:r>
                    <w:rPr>
                      <w:rFonts w:hint="eastAsia"/>
                      <w:color w:val="auto"/>
                      <w:szCs w:val="21"/>
                      <w:lang w:val="en-US" w:eastAsia="zh-CN"/>
                    </w:rPr>
                    <w:t>/</w:t>
                  </w:r>
                </w:p>
              </w:tc>
              <w:tc>
                <w:tcPr>
                  <w:tcW w:w="481" w:type="pct"/>
                  <w:vAlign w:val="center"/>
                </w:tcPr>
                <w:p w14:paraId="71282B3C">
                  <w:pPr>
                    <w:spacing w:line="360" w:lineRule="auto"/>
                    <w:jc w:val="center"/>
                    <w:rPr>
                      <w:rFonts w:hint="eastAsia" w:eastAsia="宋体"/>
                      <w:color w:val="auto"/>
                      <w:szCs w:val="21"/>
                      <w:lang w:val="en-US" w:eastAsia="zh-CN"/>
                    </w:rPr>
                  </w:pPr>
                  <w:r>
                    <w:rPr>
                      <w:rFonts w:hint="eastAsia"/>
                      <w:color w:val="auto"/>
                      <w:szCs w:val="21"/>
                      <w:lang w:val="en-US" w:eastAsia="zh-CN"/>
                    </w:rPr>
                    <w:t>/</w:t>
                  </w:r>
                </w:p>
              </w:tc>
            </w:tr>
            <w:tr w14:paraId="019F4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053301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s="Times New Roman"/>
                      <w:color w:val="auto"/>
                      <w:szCs w:val="21"/>
                      <w:lang w:val="en-US" w:eastAsia="zh-CN"/>
                    </w:rPr>
                    <w:t>项目厂界西侧</w:t>
                  </w:r>
                </w:p>
              </w:tc>
              <w:tc>
                <w:tcPr>
                  <w:tcW w:w="1453" w:type="pct"/>
                  <w:vAlign w:val="center"/>
                </w:tcPr>
                <w:p w14:paraId="72194049">
                  <w:pPr>
                    <w:spacing w:line="360" w:lineRule="auto"/>
                    <w:jc w:val="center"/>
                    <w:rPr>
                      <w:color w:val="auto"/>
                      <w:szCs w:val="21"/>
                    </w:rPr>
                  </w:pPr>
                  <w:r>
                    <w:rPr>
                      <w:rFonts w:hint="eastAsia"/>
                      <w:color w:val="auto"/>
                      <w:szCs w:val="21"/>
                    </w:rPr>
                    <w:t>昼间</w:t>
                  </w:r>
                </w:p>
              </w:tc>
              <w:tc>
                <w:tcPr>
                  <w:tcW w:w="480" w:type="pct"/>
                  <w:shd w:val="clear" w:color="auto" w:fill="auto"/>
                  <w:vAlign w:val="center"/>
                </w:tcPr>
                <w:p w14:paraId="3EC367C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43.7</w:t>
                  </w:r>
                </w:p>
              </w:tc>
              <w:tc>
                <w:tcPr>
                  <w:tcW w:w="480" w:type="pct"/>
                  <w:vAlign w:val="center"/>
                </w:tcPr>
                <w:p w14:paraId="66B014F2">
                  <w:pPr>
                    <w:spacing w:line="360" w:lineRule="auto"/>
                    <w:jc w:val="center"/>
                    <w:rPr>
                      <w:rFonts w:hint="eastAsia"/>
                      <w:color w:val="auto"/>
                      <w:szCs w:val="21"/>
                    </w:rPr>
                  </w:pPr>
                  <w:r>
                    <w:rPr>
                      <w:rFonts w:hint="eastAsia"/>
                      <w:color w:val="auto"/>
                      <w:szCs w:val="21"/>
                      <w:lang w:val="en-US" w:eastAsia="zh-CN"/>
                    </w:rPr>
                    <w:t>/</w:t>
                  </w:r>
                </w:p>
              </w:tc>
              <w:tc>
                <w:tcPr>
                  <w:tcW w:w="481" w:type="pct"/>
                  <w:vAlign w:val="center"/>
                </w:tcPr>
                <w:p w14:paraId="1747D0EE">
                  <w:pPr>
                    <w:spacing w:line="360" w:lineRule="auto"/>
                    <w:jc w:val="center"/>
                    <w:rPr>
                      <w:rFonts w:hint="eastAsia" w:eastAsia="宋体"/>
                      <w:color w:val="auto"/>
                      <w:szCs w:val="21"/>
                      <w:lang w:val="en-US" w:eastAsia="zh-CN"/>
                    </w:rPr>
                  </w:pPr>
                  <w:r>
                    <w:rPr>
                      <w:rFonts w:hint="eastAsia"/>
                      <w:color w:val="auto"/>
                      <w:szCs w:val="21"/>
                      <w:lang w:val="en-US" w:eastAsia="zh-CN"/>
                    </w:rPr>
                    <w:t>/</w:t>
                  </w:r>
                </w:p>
              </w:tc>
            </w:tr>
            <w:tr w14:paraId="6A9B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54569E8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rFonts w:hint="eastAsia" w:cs="Times New Roman"/>
                      <w:color w:val="auto"/>
                      <w:szCs w:val="21"/>
                      <w:lang w:val="en-US" w:eastAsia="zh-CN"/>
                    </w:rPr>
                    <w:t>项目厂界北侧</w:t>
                  </w:r>
                </w:p>
              </w:tc>
              <w:tc>
                <w:tcPr>
                  <w:tcW w:w="1453" w:type="pct"/>
                  <w:vAlign w:val="center"/>
                </w:tcPr>
                <w:p w14:paraId="5E2332BD">
                  <w:pPr>
                    <w:spacing w:line="360" w:lineRule="auto"/>
                    <w:jc w:val="center"/>
                    <w:rPr>
                      <w:color w:val="auto"/>
                      <w:szCs w:val="21"/>
                    </w:rPr>
                  </w:pPr>
                  <w:r>
                    <w:rPr>
                      <w:rFonts w:hint="eastAsia"/>
                      <w:color w:val="auto"/>
                      <w:szCs w:val="21"/>
                    </w:rPr>
                    <w:t>昼间</w:t>
                  </w:r>
                </w:p>
              </w:tc>
              <w:tc>
                <w:tcPr>
                  <w:tcW w:w="480" w:type="pct"/>
                  <w:shd w:val="clear" w:color="auto" w:fill="auto"/>
                  <w:vAlign w:val="center"/>
                </w:tcPr>
                <w:p w14:paraId="73B98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42.5</w:t>
                  </w:r>
                </w:p>
              </w:tc>
              <w:tc>
                <w:tcPr>
                  <w:tcW w:w="480" w:type="pct"/>
                  <w:vAlign w:val="center"/>
                </w:tcPr>
                <w:p w14:paraId="7A8C33AE">
                  <w:pPr>
                    <w:spacing w:line="360" w:lineRule="auto"/>
                    <w:jc w:val="center"/>
                    <w:rPr>
                      <w:rFonts w:hint="eastAsia"/>
                      <w:color w:val="auto"/>
                      <w:szCs w:val="21"/>
                    </w:rPr>
                  </w:pPr>
                  <w:r>
                    <w:rPr>
                      <w:rFonts w:hint="eastAsia"/>
                      <w:color w:val="auto"/>
                      <w:szCs w:val="21"/>
                      <w:lang w:val="en-US" w:eastAsia="zh-CN"/>
                    </w:rPr>
                    <w:t>/</w:t>
                  </w:r>
                </w:p>
              </w:tc>
              <w:tc>
                <w:tcPr>
                  <w:tcW w:w="481" w:type="pct"/>
                  <w:vAlign w:val="center"/>
                </w:tcPr>
                <w:p w14:paraId="0179C18B">
                  <w:pPr>
                    <w:spacing w:line="360" w:lineRule="auto"/>
                    <w:jc w:val="center"/>
                    <w:rPr>
                      <w:rFonts w:hint="eastAsia" w:eastAsia="宋体"/>
                      <w:color w:val="auto"/>
                      <w:szCs w:val="21"/>
                      <w:lang w:val="en-US" w:eastAsia="zh-CN"/>
                    </w:rPr>
                  </w:pPr>
                  <w:r>
                    <w:rPr>
                      <w:rFonts w:hint="eastAsia"/>
                      <w:color w:val="auto"/>
                      <w:szCs w:val="21"/>
                      <w:lang w:val="en-US" w:eastAsia="zh-CN"/>
                    </w:rPr>
                    <w:t>/</w:t>
                  </w:r>
                </w:p>
              </w:tc>
            </w:tr>
            <w:tr w14:paraId="5C1C2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04B599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olor w:val="auto"/>
                      <w:szCs w:val="21"/>
                      <w:lang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1</w:t>
                  </w:r>
                </w:p>
              </w:tc>
              <w:tc>
                <w:tcPr>
                  <w:tcW w:w="1453" w:type="pct"/>
                  <w:vAlign w:val="center"/>
                </w:tcPr>
                <w:p w14:paraId="200F6C23">
                  <w:pPr>
                    <w:spacing w:line="360" w:lineRule="auto"/>
                    <w:jc w:val="center"/>
                    <w:rPr>
                      <w:rFonts w:hint="eastAsia" w:eastAsia="宋体"/>
                      <w:color w:val="auto"/>
                      <w:szCs w:val="21"/>
                      <w:lang w:eastAsia="zh-CN"/>
                    </w:rPr>
                  </w:pPr>
                  <w:r>
                    <w:rPr>
                      <w:rFonts w:hint="eastAsia"/>
                      <w:color w:val="auto"/>
                      <w:szCs w:val="21"/>
                      <w:lang w:eastAsia="zh-CN"/>
                    </w:rPr>
                    <w:t>昼间</w:t>
                  </w:r>
                </w:p>
              </w:tc>
              <w:tc>
                <w:tcPr>
                  <w:tcW w:w="480" w:type="pct"/>
                  <w:shd w:val="clear" w:color="auto" w:fill="auto"/>
                  <w:vAlign w:val="center"/>
                </w:tcPr>
                <w:p w14:paraId="762447D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r>
                    <w:rPr>
                      <w:rFonts w:hint="eastAsia" w:cs="Times New Roman"/>
                      <w:color w:val="auto"/>
                      <w:kern w:val="2"/>
                      <w:sz w:val="21"/>
                      <w:szCs w:val="21"/>
                      <w:lang w:val="en-US" w:eastAsia="zh-CN" w:bidi="ar-SA"/>
                    </w:rPr>
                    <w:t>5.4</w:t>
                  </w:r>
                </w:p>
              </w:tc>
              <w:tc>
                <w:tcPr>
                  <w:tcW w:w="480" w:type="pct"/>
                  <w:vAlign w:val="center"/>
                </w:tcPr>
                <w:p w14:paraId="69F90A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rPr>
                  </w:pPr>
                  <w:r>
                    <w:rPr>
                      <w:rFonts w:hint="eastAsia" w:cs="Times New Roman"/>
                      <w:color w:val="auto"/>
                      <w:szCs w:val="21"/>
                      <w:lang w:val="en-US" w:eastAsia="zh-CN"/>
                    </w:rPr>
                    <w:t>57</w:t>
                  </w:r>
                </w:p>
              </w:tc>
              <w:tc>
                <w:tcPr>
                  <w:tcW w:w="481" w:type="pct"/>
                  <w:vAlign w:val="center"/>
                </w:tcPr>
                <w:p w14:paraId="1031380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r>
                    <w:rPr>
                      <w:rFonts w:hint="eastAsia" w:cs="Times New Roman"/>
                      <w:color w:val="auto"/>
                      <w:szCs w:val="21"/>
                      <w:lang w:val="en-US" w:eastAsia="zh-CN"/>
                    </w:rPr>
                    <w:t>7.3</w:t>
                  </w:r>
                </w:p>
              </w:tc>
            </w:tr>
            <w:tr w14:paraId="2D383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6B76BE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2</w:t>
                  </w:r>
                </w:p>
              </w:tc>
              <w:tc>
                <w:tcPr>
                  <w:tcW w:w="1453" w:type="pct"/>
                  <w:vAlign w:val="center"/>
                </w:tcPr>
                <w:p w14:paraId="291F7D6D">
                  <w:pPr>
                    <w:spacing w:line="360" w:lineRule="auto"/>
                    <w:jc w:val="center"/>
                    <w:rPr>
                      <w:rFonts w:hint="eastAsia"/>
                      <w:color w:val="auto"/>
                      <w:szCs w:val="21"/>
                      <w:lang w:eastAsia="zh-CN"/>
                    </w:rPr>
                  </w:pPr>
                  <w:r>
                    <w:rPr>
                      <w:rFonts w:hint="eastAsia"/>
                      <w:color w:val="auto"/>
                      <w:szCs w:val="21"/>
                    </w:rPr>
                    <w:t>昼间</w:t>
                  </w:r>
                </w:p>
              </w:tc>
              <w:tc>
                <w:tcPr>
                  <w:tcW w:w="480" w:type="pct"/>
                  <w:shd w:val="clear" w:color="auto" w:fill="auto"/>
                  <w:vAlign w:val="center"/>
                </w:tcPr>
                <w:p w14:paraId="75931B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41</w:t>
                  </w:r>
                  <w:r>
                    <w:rPr>
                      <w:rFonts w:hint="eastAsia" w:cs="Times New Roman"/>
                      <w:color w:val="auto"/>
                      <w:kern w:val="2"/>
                      <w:sz w:val="21"/>
                      <w:szCs w:val="21"/>
                      <w:lang w:val="en-US" w:eastAsia="zh-CN" w:bidi="ar-SA"/>
                    </w:rPr>
                    <w:t>.6</w:t>
                  </w:r>
                </w:p>
              </w:tc>
              <w:tc>
                <w:tcPr>
                  <w:tcW w:w="480" w:type="pct"/>
                  <w:vAlign w:val="center"/>
                </w:tcPr>
                <w:p w14:paraId="4C91E20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48</w:t>
                  </w:r>
                </w:p>
              </w:tc>
              <w:tc>
                <w:tcPr>
                  <w:tcW w:w="481" w:type="pct"/>
                  <w:vAlign w:val="center"/>
                </w:tcPr>
                <w:p w14:paraId="7445427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48.9</w:t>
                  </w:r>
                </w:p>
              </w:tc>
            </w:tr>
            <w:tr w14:paraId="67550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29D65F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3</w:t>
                  </w:r>
                </w:p>
              </w:tc>
              <w:tc>
                <w:tcPr>
                  <w:tcW w:w="1453" w:type="pct"/>
                  <w:vAlign w:val="center"/>
                </w:tcPr>
                <w:p w14:paraId="68118A0F">
                  <w:pPr>
                    <w:spacing w:line="360" w:lineRule="auto"/>
                    <w:jc w:val="center"/>
                    <w:rPr>
                      <w:rFonts w:hint="eastAsia"/>
                      <w:color w:val="auto"/>
                      <w:szCs w:val="21"/>
                      <w:lang w:eastAsia="zh-CN"/>
                    </w:rPr>
                  </w:pPr>
                  <w:r>
                    <w:rPr>
                      <w:rFonts w:hint="eastAsia"/>
                      <w:color w:val="auto"/>
                      <w:szCs w:val="21"/>
                    </w:rPr>
                    <w:t>昼间</w:t>
                  </w:r>
                </w:p>
              </w:tc>
              <w:tc>
                <w:tcPr>
                  <w:tcW w:w="480" w:type="pct"/>
                  <w:shd w:val="clear" w:color="auto" w:fill="auto"/>
                  <w:vAlign w:val="center"/>
                </w:tcPr>
                <w:p w14:paraId="3EB893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42</w:t>
                  </w:r>
                  <w:r>
                    <w:rPr>
                      <w:rFonts w:hint="eastAsia" w:cs="Times New Roman"/>
                      <w:color w:val="auto"/>
                      <w:kern w:val="2"/>
                      <w:sz w:val="21"/>
                      <w:szCs w:val="21"/>
                      <w:lang w:val="en-US" w:eastAsia="zh-CN" w:bidi="ar-SA"/>
                    </w:rPr>
                    <w:t>.1</w:t>
                  </w:r>
                </w:p>
              </w:tc>
              <w:tc>
                <w:tcPr>
                  <w:tcW w:w="480" w:type="pct"/>
                  <w:vAlign w:val="center"/>
                </w:tcPr>
                <w:p w14:paraId="7F493CE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48</w:t>
                  </w:r>
                </w:p>
              </w:tc>
              <w:tc>
                <w:tcPr>
                  <w:tcW w:w="481" w:type="pct"/>
                  <w:vAlign w:val="center"/>
                </w:tcPr>
                <w:p w14:paraId="6401E4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49.0</w:t>
                  </w:r>
                </w:p>
              </w:tc>
            </w:tr>
            <w:tr w14:paraId="5FE28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51AAAF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4</w:t>
                  </w:r>
                </w:p>
              </w:tc>
              <w:tc>
                <w:tcPr>
                  <w:tcW w:w="1453" w:type="pct"/>
                  <w:vAlign w:val="center"/>
                </w:tcPr>
                <w:p w14:paraId="24C28926">
                  <w:pPr>
                    <w:spacing w:line="360" w:lineRule="auto"/>
                    <w:jc w:val="center"/>
                    <w:rPr>
                      <w:rFonts w:hint="eastAsia"/>
                      <w:color w:val="auto"/>
                      <w:szCs w:val="21"/>
                      <w:lang w:eastAsia="zh-CN"/>
                    </w:rPr>
                  </w:pPr>
                  <w:r>
                    <w:rPr>
                      <w:rFonts w:hint="eastAsia"/>
                      <w:color w:val="auto"/>
                      <w:szCs w:val="21"/>
                    </w:rPr>
                    <w:t>昼间</w:t>
                  </w:r>
                </w:p>
              </w:tc>
              <w:tc>
                <w:tcPr>
                  <w:tcW w:w="480" w:type="pct"/>
                  <w:shd w:val="clear" w:color="auto" w:fill="auto"/>
                  <w:vAlign w:val="center"/>
                </w:tcPr>
                <w:p w14:paraId="71E887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43</w:t>
                  </w:r>
                  <w:r>
                    <w:rPr>
                      <w:rFonts w:hint="eastAsia" w:cs="Times New Roman"/>
                      <w:color w:val="auto"/>
                      <w:kern w:val="2"/>
                      <w:sz w:val="21"/>
                      <w:szCs w:val="21"/>
                      <w:lang w:val="en-US" w:eastAsia="zh-CN" w:bidi="ar-SA"/>
                    </w:rPr>
                    <w:t>.4</w:t>
                  </w:r>
                </w:p>
              </w:tc>
              <w:tc>
                <w:tcPr>
                  <w:tcW w:w="480" w:type="pct"/>
                  <w:vAlign w:val="center"/>
                </w:tcPr>
                <w:p w14:paraId="4EDD33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51</w:t>
                  </w:r>
                </w:p>
              </w:tc>
              <w:tc>
                <w:tcPr>
                  <w:tcW w:w="481" w:type="pct"/>
                  <w:vAlign w:val="center"/>
                </w:tcPr>
                <w:p w14:paraId="2AC6FE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r>
                    <w:rPr>
                      <w:rFonts w:hint="eastAsia" w:cs="Times New Roman"/>
                      <w:color w:val="auto"/>
                      <w:szCs w:val="21"/>
                      <w:lang w:val="en-US" w:eastAsia="zh-CN"/>
                    </w:rPr>
                    <w:t>1.7</w:t>
                  </w:r>
                </w:p>
              </w:tc>
            </w:tr>
            <w:tr w14:paraId="2D717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1F6A1B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lang w:eastAsia="zh-CN"/>
                    </w:rPr>
                  </w:pPr>
                  <w:r>
                    <w:rPr>
                      <w:rFonts w:hint="eastAsia" w:ascii="Times New Roman" w:hAnsi="Times New Roman" w:eastAsia="宋体" w:cs="Times New Roman"/>
                      <w:color w:val="auto"/>
                      <w:szCs w:val="21"/>
                      <w:lang w:val="en-US" w:eastAsia="zh-CN"/>
                    </w:rPr>
                    <w:t>居民点</w:t>
                  </w:r>
                  <w:r>
                    <w:rPr>
                      <w:rFonts w:hint="eastAsia" w:cs="Times New Roman"/>
                      <w:color w:val="auto"/>
                      <w:szCs w:val="21"/>
                      <w:lang w:val="en-US" w:eastAsia="zh-CN"/>
                    </w:rPr>
                    <w:t>5</w:t>
                  </w:r>
                </w:p>
              </w:tc>
              <w:tc>
                <w:tcPr>
                  <w:tcW w:w="1453" w:type="pct"/>
                  <w:vAlign w:val="center"/>
                </w:tcPr>
                <w:p w14:paraId="4AB0CCD8">
                  <w:pPr>
                    <w:spacing w:line="360" w:lineRule="auto"/>
                    <w:jc w:val="center"/>
                    <w:rPr>
                      <w:rFonts w:hint="eastAsia"/>
                      <w:color w:val="auto"/>
                      <w:szCs w:val="21"/>
                      <w:lang w:eastAsia="zh-CN"/>
                    </w:rPr>
                  </w:pPr>
                  <w:r>
                    <w:rPr>
                      <w:rFonts w:hint="eastAsia"/>
                      <w:color w:val="auto"/>
                      <w:szCs w:val="21"/>
                      <w:lang w:eastAsia="zh-CN"/>
                    </w:rPr>
                    <w:t>昼间</w:t>
                  </w:r>
                </w:p>
              </w:tc>
              <w:tc>
                <w:tcPr>
                  <w:tcW w:w="480" w:type="pct"/>
                  <w:shd w:val="clear" w:color="auto" w:fill="auto"/>
                  <w:vAlign w:val="center"/>
                </w:tcPr>
                <w:p w14:paraId="031AFC1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r>
                    <w:rPr>
                      <w:rFonts w:hint="eastAsia" w:cs="Times New Roman"/>
                      <w:color w:val="auto"/>
                      <w:kern w:val="2"/>
                      <w:sz w:val="21"/>
                      <w:szCs w:val="21"/>
                      <w:lang w:val="en-US" w:eastAsia="zh-CN" w:bidi="ar-SA"/>
                    </w:rPr>
                    <w:t>4.7</w:t>
                  </w:r>
                </w:p>
              </w:tc>
              <w:tc>
                <w:tcPr>
                  <w:tcW w:w="480" w:type="pct"/>
                  <w:vAlign w:val="center"/>
                </w:tcPr>
                <w:p w14:paraId="5AC1E7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rPr>
                  </w:pPr>
                  <w:r>
                    <w:rPr>
                      <w:rFonts w:hint="eastAsia" w:cs="Times New Roman"/>
                      <w:color w:val="auto"/>
                      <w:szCs w:val="21"/>
                      <w:lang w:val="en-US" w:eastAsia="zh-CN"/>
                    </w:rPr>
                    <w:t>59</w:t>
                  </w:r>
                </w:p>
              </w:tc>
              <w:tc>
                <w:tcPr>
                  <w:tcW w:w="481" w:type="pct"/>
                  <w:vAlign w:val="center"/>
                </w:tcPr>
                <w:p w14:paraId="39CE468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r>
                    <w:rPr>
                      <w:rFonts w:hint="eastAsia" w:cs="Times New Roman"/>
                      <w:color w:val="auto"/>
                      <w:szCs w:val="21"/>
                      <w:lang w:val="en-US" w:eastAsia="zh-CN"/>
                    </w:rPr>
                    <w:t>9.2</w:t>
                  </w:r>
                </w:p>
              </w:tc>
            </w:tr>
            <w:tr w14:paraId="62654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04" w:type="pct"/>
                  <w:vAlign w:val="center"/>
                </w:tcPr>
                <w:p w14:paraId="1B18A569">
                  <w:pPr>
                    <w:spacing w:line="360" w:lineRule="auto"/>
                    <w:jc w:val="center"/>
                    <w:rPr>
                      <w:rFonts w:hint="default" w:eastAsia="宋体"/>
                      <w:color w:val="auto"/>
                      <w:szCs w:val="21"/>
                      <w:lang w:val="en-US" w:eastAsia="zh-CN"/>
                    </w:rPr>
                  </w:pPr>
                  <w:r>
                    <w:rPr>
                      <w:rFonts w:hint="eastAsia"/>
                      <w:color w:val="auto"/>
                      <w:szCs w:val="21"/>
                      <w:lang w:eastAsia="zh-CN"/>
                    </w:rPr>
                    <w:t>居民点</w:t>
                  </w:r>
                  <w:r>
                    <w:rPr>
                      <w:rFonts w:hint="eastAsia"/>
                      <w:color w:val="auto"/>
                      <w:szCs w:val="21"/>
                      <w:lang w:val="en-US" w:eastAsia="zh-CN"/>
                    </w:rPr>
                    <w:t>6</w:t>
                  </w:r>
                </w:p>
              </w:tc>
              <w:tc>
                <w:tcPr>
                  <w:tcW w:w="1453" w:type="pct"/>
                  <w:vAlign w:val="center"/>
                </w:tcPr>
                <w:p w14:paraId="465595EE">
                  <w:pPr>
                    <w:spacing w:line="360" w:lineRule="auto"/>
                    <w:jc w:val="center"/>
                    <w:rPr>
                      <w:rFonts w:hint="eastAsia" w:eastAsia="宋体"/>
                      <w:color w:val="auto"/>
                      <w:szCs w:val="21"/>
                      <w:lang w:eastAsia="zh-CN"/>
                    </w:rPr>
                  </w:pPr>
                  <w:r>
                    <w:rPr>
                      <w:rFonts w:hint="eastAsia"/>
                      <w:color w:val="auto"/>
                      <w:szCs w:val="21"/>
                      <w:lang w:eastAsia="zh-CN"/>
                    </w:rPr>
                    <w:t>昼间</w:t>
                  </w:r>
                </w:p>
              </w:tc>
              <w:tc>
                <w:tcPr>
                  <w:tcW w:w="480" w:type="pct"/>
                  <w:shd w:val="clear" w:color="auto" w:fill="auto"/>
                  <w:vAlign w:val="center"/>
                </w:tcPr>
                <w:p w14:paraId="631C79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4</w:t>
                  </w:r>
                  <w:r>
                    <w:rPr>
                      <w:rFonts w:hint="eastAsia" w:cs="Times New Roman"/>
                      <w:color w:val="auto"/>
                      <w:kern w:val="2"/>
                      <w:sz w:val="21"/>
                      <w:szCs w:val="21"/>
                      <w:lang w:val="en-US" w:eastAsia="zh-CN" w:bidi="ar-SA"/>
                    </w:rPr>
                    <w:t>2.1</w:t>
                  </w:r>
                </w:p>
              </w:tc>
              <w:tc>
                <w:tcPr>
                  <w:tcW w:w="480" w:type="pct"/>
                  <w:vAlign w:val="center"/>
                </w:tcPr>
                <w:p w14:paraId="4A59D7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olor w:val="auto"/>
                      <w:szCs w:val="21"/>
                      <w:lang w:val="en-US"/>
                    </w:rPr>
                  </w:pPr>
                  <w:r>
                    <w:rPr>
                      <w:rFonts w:hint="eastAsia" w:cs="Times New Roman"/>
                      <w:color w:val="auto"/>
                      <w:szCs w:val="21"/>
                      <w:lang w:val="en-US" w:eastAsia="zh-CN"/>
                    </w:rPr>
                    <w:t>59</w:t>
                  </w:r>
                </w:p>
              </w:tc>
              <w:tc>
                <w:tcPr>
                  <w:tcW w:w="481" w:type="pct"/>
                  <w:vAlign w:val="center"/>
                </w:tcPr>
                <w:p w14:paraId="43D9FF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5</w:t>
                  </w:r>
                  <w:r>
                    <w:rPr>
                      <w:rFonts w:hint="eastAsia" w:cs="Times New Roman"/>
                      <w:color w:val="auto"/>
                      <w:szCs w:val="21"/>
                      <w:lang w:val="en-US" w:eastAsia="zh-CN"/>
                    </w:rPr>
                    <w:t>9.1</w:t>
                  </w:r>
                </w:p>
              </w:tc>
            </w:tr>
            <w:tr w14:paraId="4719F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104" w:type="pct"/>
                  <w:vAlign w:val="center"/>
                </w:tcPr>
                <w:p w14:paraId="71BACE5C">
                  <w:pPr>
                    <w:spacing w:line="360" w:lineRule="auto"/>
                    <w:jc w:val="center"/>
                    <w:rPr>
                      <w:color w:val="auto"/>
                      <w:szCs w:val="21"/>
                    </w:rPr>
                  </w:pPr>
                  <w:r>
                    <w:rPr>
                      <w:color w:val="auto"/>
                      <w:szCs w:val="21"/>
                    </w:rPr>
                    <w:t>《工业企业厂界环境噪声排放标准》（GB12348-2008）</w:t>
                  </w:r>
                  <w:r>
                    <w:rPr>
                      <w:rFonts w:hint="eastAsia"/>
                      <w:color w:val="auto"/>
                      <w:szCs w:val="21"/>
                      <w:lang w:val="en-US" w:eastAsia="zh-CN"/>
                    </w:rPr>
                    <w:t>2</w:t>
                  </w:r>
                  <w:r>
                    <w:rPr>
                      <w:rFonts w:hint="eastAsia"/>
                      <w:color w:val="auto"/>
                      <w:szCs w:val="21"/>
                    </w:rPr>
                    <w:t>类区</w:t>
                  </w:r>
                </w:p>
              </w:tc>
              <w:tc>
                <w:tcPr>
                  <w:tcW w:w="1453" w:type="pct"/>
                  <w:vAlign w:val="center"/>
                </w:tcPr>
                <w:p w14:paraId="6046086E">
                  <w:pPr>
                    <w:spacing w:line="360" w:lineRule="auto"/>
                    <w:jc w:val="center"/>
                    <w:rPr>
                      <w:color w:val="auto"/>
                      <w:szCs w:val="21"/>
                    </w:rPr>
                  </w:pPr>
                  <w:r>
                    <w:rPr>
                      <w:rFonts w:hint="eastAsia"/>
                      <w:color w:val="auto"/>
                      <w:szCs w:val="21"/>
                    </w:rPr>
                    <w:t>昼间</w:t>
                  </w:r>
                </w:p>
              </w:tc>
              <w:tc>
                <w:tcPr>
                  <w:tcW w:w="1441" w:type="pct"/>
                  <w:gridSpan w:val="3"/>
                  <w:vAlign w:val="center"/>
                </w:tcPr>
                <w:p w14:paraId="384A9CB6">
                  <w:pPr>
                    <w:spacing w:line="360" w:lineRule="auto"/>
                    <w:jc w:val="center"/>
                    <w:rPr>
                      <w:color w:val="auto"/>
                      <w:szCs w:val="21"/>
                    </w:rPr>
                  </w:pPr>
                  <w:r>
                    <w:rPr>
                      <w:color w:val="auto"/>
                      <w:szCs w:val="21"/>
                    </w:rPr>
                    <w:t>6</w:t>
                  </w:r>
                  <w:r>
                    <w:rPr>
                      <w:rFonts w:hint="eastAsia"/>
                      <w:color w:val="auto"/>
                      <w:szCs w:val="21"/>
                      <w:lang w:val="en-US" w:eastAsia="zh-CN"/>
                    </w:rPr>
                    <w:t>0</w:t>
                  </w:r>
                </w:p>
              </w:tc>
            </w:tr>
          </w:tbl>
          <w:p w14:paraId="22A5271A">
            <w:pPr>
              <w:spacing w:line="360" w:lineRule="auto"/>
              <w:ind w:firstLine="480" w:firstLineChars="200"/>
              <w:rPr>
                <w:bCs/>
                <w:color w:val="auto"/>
                <w:sz w:val="24"/>
                <w:szCs w:val="24"/>
              </w:rPr>
            </w:pPr>
            <w:r>
              <w:rPr>
                <w:color w:val="auto"/>
                <w:sz w:val="24"/>
              </w:rPr>
              <w:t>由上表可知，本项目运营后，厂内各种设备所产生的噪声在采取相应的措施后以及厂区合理布局后，厂界噪声贡献值较小，经预测厂界噪声</w:t>
            </w:r>
            <w:r>
              <w:rPr>
                <w:rFonts w:hint="eastAsia"/>
                <w:color w:val="auto"/>
                <w:sz w:val="24"/>
              </w:rPr>
              <w:t>贡献值</w:t>
            </w:r>
            <w:r>
              <w:rPr>
                <w:color w:val="auto"/>
                <w:sz w:val="24"/>
              </w:rPr>
              <w:t>能达到《工业企业厂界环境噪声排放标准》（GB12348-2008）</w:t>
            </w:r>
            <w:r>
              <w:rPr>
                <w:rFonts w:hint="eastAsia"/>
                <w:color w:val="auto"/>
                <w:sz w:val="24"/>
                <w:lang w:val="en-US" w:eastAsia="zh-CN"/>
              </w:rPr>
              <w:t>2</w:t>
            </w:r>
            <w:r>
              <w:rPr>
                <w:color w:val="auto"/>
                <w:sz w:val="24"/>
              </w:rPr>
              <w:t>类区标准。</w:t>
            </w:r>
          </w:p>
          <w:p w14:paraId="106D610B">
            <w:pPr>
              <w:spacing w:line="360" w:lineRule="auto"/>
              <w:ind w:firstLine="480" w:firstLineChars="200"/>
              <w:rPr>
                <w:color w:val="auto"/>
                <w:sz w:val="24"/>
              </w:rPr>
            </w:pPr>
            <w:r>
              <w:rPr>
                <w:color w:val="auto"/>
                <w:sz w:val="24"/>
              </w:rPr>
              <w:t>综上所述，建设项目噪声排放对周围环境影响较小，噪声防治措施可行。企业必须重视设备噪声治理、减振工程的设计及施工质量，确保达标，不得影响周边环境。</w:t>
            </w:r>
          </w:p>
          <w:p w14:paraId="48254111">
            <w:pPr>
              <w:spacing w:line="360" w:lineRule="auto"/>
              <w:rPr>
                <w:b/>
                <w:color w:val="auto"/>
                <w:sz w:val="24"/>
                <w:szCs w:val="24"/>
              </w:rPr>
            </w:pPr>
            <w:r>
              <w:rPr>
                <w:rFonts w:hint="eastAsia"/>
                <w:b/>
                <w:color w:val="auto"/>
                <w:sz w:val="24"/>
                <w:szCs w:val="24"/>
              </w:rPr>
              <w:t>3.4噪声污染源监测计划</w:t>
            </w:r>
          </w:p>
          <w:p w14:paraId="6540916B">
            <w:pPr>
              <w:spacing w:line="360" w:lineRule="auto"/>
              <w:ind w:firstLine="480" w:firstLineChars="200"/>
              <w:rPr>
                <w:rFonts w:hint="eastAsia"/>
                <w:color w:val="auto"/>
                <w:sz w:val="24"/>
              </w:rPr>
            </w:pPr>
            <w:r>
              <w:rPr>
                <w:rFonts w:hint="eastAsia"/>
                <w:color w:val="auto"/>
                <w:sz w:val="24"/>
              </w:rPr>
              <w:t>建设项目噪声污染源监测计划详见表4-</w:t>
            </w:r>
            <w:r>
              <w:rPr>
                <w:rFonts w:hint="eastAsia"/>
                <w:color w:val="auto"/>
                <w:sz w:val="24"/>
                <w:lang w:val="en-US" w:eastAsia="zh-CN"/>
              </w:rPr>
              <w:t>10</w:t>
            </w:r>
            <w:r>
              <w:rPr>
                <w:rFonts w:hint="eastAsia"/>
                <w:color w:val="auto"/>
                <w:sz w:val="24"/>
              </w:rPr>
              <w:t>。</w:t>
            </w:r>
          </w:p>
          <w:p w14:paraId="5B2820A6">
            <w:pPr>
              <w:spacing w:line="360" w:lineRule="auto"/>
              <w:ind w:firstLine="422" w:firstLineChars="200"/>
              <w:jc w:val="center"/>
              <w:rPr>
                <w:b/>
                <w:color w:val="auto"/>
                <w:szCs w:val="21"/>
              </w:rPr>
            </w:pPr>
            <w:r>
              <w:rPr>
                <w:rFonts w:hint="eastAsia"/>
                <w:b/>
                <w:color w:val="auto"/>
                <w:szCs w:val="21"/>
              </w:rPr>
              <w:t>表4-1</w:t>
            </w:r>
            <w:r>
              <w:rPr>
                <w:rFonts w:hint="eastAsia"/>
                <w:b/>
                <w:color w:val="auto"/>
                <w:szCs w:val="21"/>
                <w:lang w:val="en-US" w:eastAsia="zh-CN"/>
              </w:rPr>
              <w:t>0</w:t>
            </w:r>
            <w:r>
              <w:rPr>
                <w:rFonts w:hint="eastAsia"/>
                <w:b/>
                <w:color w:val="auto"/>
                <w:szCs w:val="21"/>
              </w:rPr>
              <w:t xml:space="preserve">  建设项目噪声污染源监测计划一览表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326"/>
              <w:gridCol w:w="1590"/>
              <w:gridCol w:w="3451"/>
            </w:tblGrid>
            <w:tr w14:paraId="408D1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7" w:type="pct"/>
                  <w:vAlign w:val="center"/>
                </w:tcPr>
                <w:p w14:paraId="4548ED4F">
                  <w:pPr>
                    <w:jc w:val="center"/>
                    <w:rPr>
                      <w:b/>
                      <w:color w:val="auto"/>
                      <w:szCs w:val="21"/>
                    </w:rPr>
                  </w:pPr>
                  <w:r>
                    <w:rPr>
                      <w:rFonts w:hint="eastAsia"/>
                      <w:b/>
                      <w:color w:val="auto"/>
                      <w:szCs w:val="21"/>
                    </w:rPr>
                    <w:t>监测点位</w:t>
                  </w:r>
                </w:p>
              </w:tc>
              <w:tc>
                <w:tcPr>
                  <w:tcW w:w="844" w:type="pct"/>
                  <w:vAlign w:val="center"/>
                </w:tcPr>
                <w:p w14:paraId="04482786">
                  <w:pPr>
                    <w:jc w:val="center"/>
                    <w:rPr>
                      <w:b/>
                      <w:color w:val="auto"/>
                      <w:szCs w:val="21"/>
                    </w:rPr>
                  </w:pPr>
                  <w:r>
                    <w:rPr>
                      <w:rFonts w:hint="eastAsia"/>
                      <w:b/>
                      <w:color w:val="auto"/>
                      <w:szCs w:val="21"/>
                    </w:rPr>
                    <w:t>监测因子</w:t>
                  </w:r>
                </w:p>
              </w:tc>
              <w:tc>
                <w:tcPr>
                  <w:tcW w:w="1012" w:type="pct"/>
                  <w:vAlign w:val="center"/>
                </w:tcPr>
                <w:p w14:paraId="02A35B38">
                  <w:pPr>
                    <w:jc w:val="center"/>
                    <w:rPr>
                      <w:b/>
                      <w:color w:val="auto"/>
                      <w:szCs w:val="21"/>
                    </w:rPr>
                  </w:pPr>
                  <w:r>
                    <w:rPr>
                      <w:rFonts w:hint="eastAsia"/>
                      <w:b/>
                      <w:color w:val="auto"/>
                      <w:szCs w:val="21"/>
                    </w:rPr>
                    <w:t>监测频次</w:t>
                  </w:r>
                </w:p>
              </w:tc>
              <w:tc>
                <w:tcPr>
                  <w:tcW w:w="2195" w:type="pct"/>
                  <w:vAlign w:val="center"/>
                </w:tcPr>
                <w:p w14:paraId="7002290E">
                  <w:pPr>
                    <w:spacing w:line="320" w:lineRule="exact"/>
                    <w:jc w:val="center"/>
                    <w:rPr>
                      <w:b/>
                      <w:color w:val="auto"/>
                      <w:szCs w:val="21"/>
                    </w:rPr>
                  </w:pPr>
                  <w:r>
                    <w:rPr>
                      <w:rFonts w:hint="default" w:ascii="Times New Roman" w:hAnsi="Times New Roman" w:cs="Times New Roman"/>
                      <w:b/>
                      <w:bCs/>
                      <w:color w:val="auto"/>
                    </w:rPr>
                    <w:t>执行标准</w:t>
                  </w:r>
                </w:p>
              </w:tc>
            </w:tr>
            <w:tr w14:paraId="0CE1C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7" w:type="pct"/>
                  <w:vAlign w:val="center"/>
                </w:tcPr>
                <w:p w14:paraId="341A3F0A">
                  <w:pPr>
                    <w:jc w:val="center"/>
                    <w:rPr>
                      <w:color w:val="auto"/>
                      <w:szCs w:val="21"/>
                    </w:rPr>
                  </w:pPr>
                  <w:r>
                    <w:rPr>
                      <w:rFonts w:hint="eastAsia"/>
                      <w:color w:val="auto"/>
                      <w:szCs w:val="21"/>
                    </w:rPr>
                    <w:t>厂界四周</w:t>
                  </w:r>
                </w:p>
              </w:tc>
              <w:tc>
                <w:tcPr>
                  <w:tcW w:w="844" w:type="pct"/>
                  <w:vMerge w:val="restart"/>
                  <w:vAlign w:val="center"/>
                </w:tcPr>
                <w:p w14:paraId="45D30961">
                  <w:pPr>
                    <w:snapToGrid w:val="0"/>
                    <w:jc w:val="center"/>
                    <w:rPr>
                      <w:color w:val="auto"/>
                      <w:szCs w:val="21"/>
                    </w:rPr>
                  </w:pPr>
                  <w:r>
                    <w:rPr>
                      <w:rFonts w:hint="eastAsia"/>
                      <w:color w:val="auto"/>
                      <w:szCs w:val="21"/>
                    </w:rPr>
                    <w:t>Leq（A）</w:t>
                  </w:r>
                </w:p>
              </w:tc>
              <w:tc>
                <w:tcPr>
                  <w:tcW w:w="1012" w:type="pct"/>
                  <w:vMerge w:val="restart"/>
                  <w:vAlign w:val="center"/>
                </w:tcPr>
                <w:p w14:paraId="18EE3EDF">
                  <w:pPr>
                    <w:jc w:val="center"/>
                    <w:rPr>
                      <w:color w:val="auto"/>
                      <w:szCs w:val="21"/>
                    </w:rPr>
                  </w:pPr>
                  <w:r>
                    <w:rPr>
                      <w:rFonts w:hint="eastAsia"/>
                      <w:color w:val="auto"/>
                      <w:szCs w:val="21"/>
                    </w:rPr>
                    <w:t>1次/季度</w:t>
                  </w:r>
                </w:p>
              </w:tc>
              <w:tc>
                <w:tcPr>
                  <w:tcW w:w="2195" w:type="pct"/>
                  <w:vAlign w:val="center"/>
                </w:tcPr>
                <w:p w14:paraId="580AE269">
                  <w:pPr>
                    <w:spacing w:line="320" w:lineRule="exact"/>
                    <w:jc w:val="center"/>
                    <w:rPr>
                      <w:color w:val="auto"/>
                      <w:szCs w:val="21"/>
                    </w:rPr>
                  </w:pPr>
                  <w:r>
                    <w:rPr>
                      <w:rFonts w:hint="default" w:ascii="Times New Roman" w:hAnsi="Times New Roman" w:cs="Times New Roman"/>
                      <w:color w:val="auto"/>
                    </w:rPr>
                    <w:t>《工业企业厂界环境噪声排放标准》（GB12348-2008）</w:t>
                  </w:r>
                  <w:r>
                    <w:rPr>
                      <w:rFonts w:hint="eastAsia" w:ascii="Times New Roman" w:hAnsi="Times New Roman" w:cs="Times New Roman"/>
                      <w:color w:val="auto"/>
                      <w:lang w:val="en-US" w:eastAsia="zh-CN"/>
                    </w:rPr>
                    <w:t>2</w:t>
                  </w:r>
                  <w:r>
                    <w:rPr>
                      <w:rFonts w:hint="default" w:ascii="Times New Roman" w:hAnsi="Times New Roman" w:cs="Times New Roman"/>
                      <w:color w:val="auto"/>
                    </w:rPr>
                    <w:t>类标准要求</w:t>
                  </w:r>
                </w:p>
              </w:tc>
            </w:tr>
            <w:tr w14:paraId="5D577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7" w:type="pct"/>
                  <w:vAlign w:val="center"/>
                </w:tcPr>
                <w:p w14:paraId="0B4FC471">
                  <w:pPr>
                    <w:jc w:val="center"/>
                    <w:rPr>
                      <w:rFonts w:hint="eastAsia"/>
                      <w:color w:val="auto"/>
                      <w:szCs w:val="21"/>
                    </w:rPr>
                  </w:pPr>
                  <w:r>
                    <w:rPr>
                      <w:rFonts w:hint="eastAsia" w:cs="Times New Roman"/>
                      <w:color w:val="auto"/>
                      <w:szCs w:val="21"/>
                      <w:lang w:eastAsia="zh-CN"/>
                    </w:rPr>
                    <w:t>居民点</w:t>
                  </w:r>
                  <w:r>
                    <w:rPr>
                      <w:rFonts w:hint="eastAsia" w:cs="Times New Roman"/>
                      <w:color w:val="auto"/>
                      <w:szCs w:val="21"/>
                      <w:lang w:val="en-US" w:eastAsia="zh-CN"/>
                    </w:rPr>
                    <w:t>1</w:t>
                  </w:r>
                </w:p>
              </w:tc>
              <w:tc>
                <w:tcPr>
                  <w:tcW w:w="844" w:type="pct"/>
                  <w:vMerge w:val="continue"/>
                  <w:vAlign w:val="center"/>
                </w:tcPr>
                <w:p w14:paraId="7BC6C572">
                  <w:pPr>
                    <w:snapToGrid w:val="0"/>
                    <w:jc w:val="center"/>
                    <w:rPr>
                      <w:rFonts w:hint="eastAsia"/>
                      <w:color w:val="auto"/>
                      <w:szCs w:val="21"/>
                    </w:rPr>
                  </w:pPr>
                </w:p>
              </w:tc>
              <w:tc>
                <w:tcPr>
                  <w:tcW w:w="1012" w:type="pct"/>
                  <w:vMerge w:val="continue"/>
                  <w:vAlign w:val="center"/>
                </w:tcPr>
                <w:p w14:paraId="7C139A44">
                  <w:pPr>
                    <w:jc w:val="center"/>
                    <w:rPr>
                      <w:rFonts w:hint="eastAsia"/>
                      <w:color w:val="auto"/>
                      <w:szCs w:val="21"/>
                    </w:rPr>
                  </w:pPr>
                </w:p>
              </w:tc>
              <w:tc>
                <w:tcPr>
                  <w:tcW w:w="2195" w:type="pct"/>
                  <w:vMerge w:val="restart"/>
                  <w:vAlign w:val="center"/>
                </w:tcPr>
                <w:p w14:paraId="19F4F49C">
                  <w:pPr>
                    <w:jc w:val="center"/>
                    <w:rPr>
                      <w:rFonts w:hint="eastAsia"/>
                      <w:color w:val="auto"/>
                      <w:sz w:val="21"/>
                      <w:szCs w:val="21"/>
                      <w:lang w:eastAsia="zh-CN"/>
                    </w:rPr>
                  </w:pPr>
                </w:p>
              </w:tc>
            </w:tr>
            <w:tr w14:paraId="39ED5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7" w:type="pct"/>
                  <w:vAlign w:val="center"/>
                </w:tcPr>
                <w:p w14:paraId="6E4600DA">
                  <w:pPr>
                    <w:jc w:val="center"/>
                    <w:rPr>
                      <w:rFonts w:hint="eastAsia"/>
                      <w:color w:val="auto"/>
                      <w:szCs w:val="21"/>
                    </w:rPr>
                  </w:pPr>
                  <w:r>
                    <w:rPr>
                      <w:rFonts w:hint="eastAsia" w:cs="Times New Roman"/>
                      <w:color w:val="auto"/>
                      <w:szCs w:val="21"/>
                      <w:lang w:eastAsia="zh-CN"/>
                    </w:rPr>
                    <w:t>居民点</w:t>
                  </w:r>
                  <w:r>
                    <w:rPr>
                      <w:rFonts w:hint="eastAsia" w:cs="Times New Roman"/>
                      <w:color w:val="auto"/>
                      <w:szCs w:val="21"/>
                      <w:lang w:val="en-US" w:eastAsia="zh-CN"/>
                    </w:rPr>
                    <w:t>2</w:t>
                  </w:r>
                </w:p>
              </w:tc>
              <w:tc>
                <w:tcPr>
                  <w:tcW w:w="844" w:type="pct"/>
                  <w:vMerge w:val="continue"/>
                  <w:vAlign w:val="center"/>
                </w:tcPr>
                <w:p w14:paraId="52A06C57">
                  <w:pPr>
                    <w:snapToGrid w:val="0"/>
                    <w:jc w:val="center"/>
                    <w:rPr>
                      <w:rFonts w:hint="eastAsia"/>
                      <w:color w:val="auto"/>
                      <w:szCs w:val="21"/>
                    </w:rPr>
                  </w:pPr>
                </w:p>
              </w:tc>
              <w:tc>
                <w:tcPr>
                  <w:tcW w:w="1012" w:type="pct"/>
                  <w:vMerge w:val="continue"/>
                  <w:vAlign w:val="center"/>
                </w:tcPr>
                <w:p w14:paraId="7EEEEC4C">
                  <w:pPr>
                    <w:jc w:val="center"/>
                    <w:rPr>
                      <w:rFonts w:hint="eastAsia"/>
                      <w:color w:val="auto"/>
                      <w:szCs w:val="21"/>
                    </w:rPr>
                  </w:pPr>
                </w:p>
              </w:tc>
              <w:tc>
                <w:tcPr>
                  <w:tcW w:w="2195" w:type="pct"/>
                  <w:vMerge w:val="continue"/>
                  <w:vAlign w:val="center"/>
                </w:tcPr>
                <w:p w14:paraId="2FB6293D">
                  <w:pPr>
                    <w:jc w:val="center"/>
                    <w:rPr>
                      <w:rFonts w:hint="eastAsia"/>
                      <w:color w:val="auto"/>
                      <w:sz w:val="21"/>
                      <w:szCs w:val="21"/>
                      <w:lang w:eastAsia="zh-CN"/>
                    </w:rPr>
                  </w:pPr>
                </w:p>
              </w:tc>
            </w:tr>
            <w:tr w14:paraId="67053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7" w:type="pct"/>
                  <w:vAlign w:val="center"/>
                </w:tcPr>
                <w:p w14:paraId="1439DF19">
                  <w:pPr>
                    <w:jc w:val="center"/>
                    <w:rPr>
                      <w:rFonts w:hint="eastAsia"/>
                      <w:color w:val="auto"/>
                      <w:szCs w:val="21"/>
                    </w:rPr>
                  </w:pPr>
                  <w:r>
                    <w:rPr>
                      <w:rFonts w:hint="eastAsia" w:cs="Times New Roman"/>
                      <w:color w:val="auto"/>
                      <w:szCs w:val="21"/>
                      <w:lang w:eastAsia="zh-CN"/>
                    </w:rPr>
                    <w:t>居民点</w:t>
                  </w:r>
                  <w:r>
                    <w:rPr>
                      <w:rFonts w:hint="eastAsia" w:cs="Times New Roman"/>
                      <w:color w:val="auto"/>
                      <w:szCs w:val="21"/>
                      <w:lang w:val="en-US" w:eastAsia="zh-CN"/>
                    </w:rPr>
                    <w:t>3</w:t>
                  </w:r>
                </w:p>
              </w:tc>
              <w:tc>
                <w:tcPr>
                  <w:tcW w:w="844" w:type="pct"/>
                  <w:vMerge w:val="continue"/>
                  <w:vAlign w:val="center"/>
                </w:tcPr>
                <w:p w14:paraId="60E089DE">
                  <w:pPr>
                    <w:snapToGrid w:val="0"/>
                    <w:jc w:val="center"/>
                    <w:rPr>
                      <w:rFonts w:hint="eastAsia"/>
                      <w:color w:val="auto"/>
                      <w:szCs w:val="21"/>
                    </w:rPr>
                  </w:pPr>
                </w:p>
              </w:tc>
              <w:tc>
                <w:tcPr>
                  <w:tcW w:w="1012" w:type="pct"/>
                  <w:vMerge w:val="continue"/>
                  <w:vAlign w:val="center"/>
                </w:tcPr>
                <w:p w14:paraId="1659B022">
                  <w:pPr>
                    <w:jc w:val="center"/>
                    <w:rPr>
                      <w:rFonts w:hint="eastAsia"/>
                      <w:color w:val="auto"/>
                      <w:szCs w:val="21"/>
                    </w:rPr>
                  </w:pPr>
                </w:p>
              </w:tc>
              <w:tc>
                <w:tcPr>
                  <w:tcW w:w="2195" w:type="pct"/>
                  <w:vMerge w:val="continue"/>
                  <w:vAlign w:val="center"/>
                </w:tcPr>
                <w:p w14:paraId="5492F6A2">
                  <w:pPr>
                    <w:jc w:val="center"/>
                    <w:rPr>
                      <w:rFonts w:hint="eastAsia"/>
                      <w:color w:val="auto"/>
                      <w:sz w:val="21"/>
                      <w:szCs w:val="21"/>
                      <w:lang w:eastAsia="zh-CN"/>
                    </w:rPr>
                  </w:pPr>
                </w:p>
              </w:tc>
            </w:tr>
            <w:tr w14:paraId="2894E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7" w:type="pct"/>
                  <w:vAlign w:val="center"/>
                </w:tcPr>
                <w:p w14:paraId="1E952FD2">
                  <w:pPr>
                    <w:jc w:val="center"/>
                    <w:rPr>
                      <w:rFonts w:hint="eastAsia"/>
                      <w:color w:val="auto"/>
                      <w:szCs w:val="21"/>
                    </w:rPr>
                  </w:pPr>
                  <w:r>
                    <w:rPr>
                      <w:rFonts w:hint="eastAsia" w:cs="Times New Roman"/>
                      <w:color w:val="auto"/>
                      <w:szCs w:val="21"/>
                      <w:lang w:eastAsia="zh-CN"/>
                    </w:rPr>
                    <w:t>居民点</w:t>
                  </w:r>
                  <w:r>
                    <w:rPr>
                      <w:rFonts w:hint="eastAsia" w:cs="Times New Roman"/>
                      <w:color w:val="auto"/>
                      <w:szCs w:val="21"/>
                      <w:lang w:val="en-US" w:eastAsia="zh-CN"/>
                    </w:rPr>
                    <w:t>4</w:t>
                  </w:r>
                </w:p>
              </w:tc>
              <w:tc>
                <w:tcPr>
                  <w:tcW w:w="844" w:type="pct"/>
                  <w:vMerge w:val="continue"/>
                  <w:vAlign w:val="center"/>
                </w:tcPr>
                <w:p w14:paraId="560FF9A7">
                  <w:pPr>
                    <w:snapToGrid w:val="0"/>
                    <w:jc w:val="center"/>
                    <w:rPr>
                      <w:rFonts w:hint="eastAsia"/>
                      <w:color w:val="auto"/>
                      <w:szCs w:val="21"/>
                    </w:rPr>
                  </w:pPr>
                </w:p>
              </w:tc>
              <w:tc>
                <w:tcPr>
                  <w:tcW w:w="1012" w:type="pct"/>
                  <w:vMerge w:val="continue"/>
                  <w:vAlign w:val="center"/>
                </w:tcPr>
                <w:p w14:paraId="5F53CA16">
                  <w:pPr>
                    <w:jc w:val="center"/>
                    <w:rPr>
                      <w:rFonts w:hint="eastAsia"/>
                      <w:color w:val="auto"/>
                      <w:szCs w:val="21"/>
                    </w:rPr>
                  </w:pPr>
                </w:p>
              </w:tc>
              <w:tc>
                <w:tcPr>
                  <w:tcW w:w="2195" w:type="pct"/>
                  <w:vMerge w:val="continue"/>
                  <w:vAlign w:val="center"/>
                </w:tcPr>
                <w:p w14:paraId="5FA75BBD">
                  <w:pPr>
                    <w:jc w:val="center"/>
                    <w:rPr>
                      <w:rFonts w:hint="eastAsia"/>
                      <w:color w:val="auto"/>
                      <w:sz w:val="21"/>
                      <w:szCs w:val="21"/>
                      <w:lang w:eastAsia="zh-CN"/>
                    </w:rPr>
                  </w:pPr>
                </w:p>
              </w:tc>
            </w:tr>
            <w:tr w14:paraId="6B72F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7" w:type="pct"/>
                  <w:vAlign w:val="center"/>
                </w:tcPr>
                <w:p w14:paraId="7477527E">
                  <w:pPr>
                    <w:jc w:val="center"/>
                    <w:rPr>
                      <w:rFonts w:hint="eastAsia"/>
                      <w:color w:val="auto"/>
                      <w:szCs w:val="21"/>
                    </w:rPr>
                  </w:pPr>
                  <w:r>
                    <w:rPr>
                      <w:rFonts w:hint="eastAsia" w:cs="Times New Roman"/>
                      <w:color w:val="auto"/>
                      <w:szCs w:val="21"/>
                      <w:lang w:eastAsia="zh-CN"/>
                    </w:rPr>
                    <w:t>居民点</w:t>
                  </w:r>
                  <w:r>
                    <w:rPr>
                      <w:rFonts w:hint="eastAsia" w:cs="Times New Roman"/>
                      <w:color w:val="auto"/>
                      <w:szCs w:val="21"/>
                      <w:lang w:val="en-US" w:eastAsia="zh-CN"/>
                    </w:rPr>
                    <w:t>5</w:t>
                  </w:r>
                </w:p>
              </w:tc>
              <w:tc>
                <w:tcPr>
                  <w:tcW w:w="844" w:type="pct"/>
                  <w:vMerge w:val="continue"/>
                  <w:vAlign w:val="center"/>
                </w:tcPr>
                <w:p w14:paraId="07C458BD">
                  <w:pPr>
                    <w:snapToGrid w:val="0"/>
                    <w:jc w:val="center"/>
                    <w:rPr>
                      <w:rFonts w:hint="eastAsia"/>
                      <w:color w:val="auto"/>
                      <w:szCs w:val="21"/>
                    </w:rPr>
                  </w:pPr>
                </w:p>
              </w:tc>
              <w:tc>
                <w:tcPr>
                  <w:tcW w:w="1012" w:type="pct"/>
                  <w:vMerge w:val="continue"/>
                  <w:vAlign w:val="center"/>
                </w:tcPr>
                <w:p w14:paraId="09F6B9F2">
                  <w:pPr>
                    <w:jc w:val="center"/>
                    <w:rPr>
                      <w:rFonts w:hint="eastAsia"/>
                      <w:color w:val="auto"/>
                      <w:szCs w:val="21"/>
                    </w:rPr>
                  </w:pPr>
                </w:p>
              </w:tc>
              <w:tc>
                <w:tcPr>
                  <w:tcW w:w="2195" w:type="pct"/>
                  <w:vMerge w:val="continue"/>
                  <w:vAlign w:val="center"/>
                </w:tcPr>
                <w:p w14:paraId="62ECB6D7">
                  <w:pPr>
                    <w:jc w:val="center"/>
                    <w:rPr>
                      <w:rFonts w:hint="eastAsia"/>
                      <w:color w:val="auto"/>
                      <w:sz w:val="21"/>
                      <w:szCs w:val="21"/>
                      <w:lang w:eastAsia="zh-CN"/>
                    </w:rPr>
                  </w:pPr>
                </w:p>
              </w:tc>
            </w:tr>
            <w:tr w14:paraId="3AEB5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47" w:type="pct"/>
                  <w:vAlign w:val="center"/>
                </w:tcPr>
                <w:p w14:paraId="20760CAD">
                  <w:pPr>
                    <w:jc w:val="center"/>
                    <w:rPr>
                      <w:rFonts w:hint="eastAsia"/>
                      <w:color w:val="auto"/>
                      <w:szCs w:val="21"/>
                    </w:rPr>
                  </w:pPr>
                  <w:r>
                    <w:rPr>
                      <w:rFonts w:hint="eastAsia" w:cs="Times New Roman"/>
                      <w:color w:val="auto"/>
                      <w:szCs w:val="21"/>
                      <w:lang w:eastAsia="zh-CN"/>
                    </w:rPr>
                    <w:t>居民点</w:t>
                  </w:r>
                  <w:r>
                    <w:rPr>
                      <w:rFonts w:hint="eastAsia" w:cs="Times New Roman"/>
                      <w:color w:val="auto"/>
                      <w:szCs w:val="21"/>
                      <w:lang w:val="en-US" w:eastAsia="zh-CN"/>
                    </w:rPr>
                    <w:t>6</w:t>
                  </w:r>
                </w:p>
              </w:tc>
              <w:tc>
                <w:tcPr>
                  <w:tcW w:w="844" w:type="pct"/>
                  <w:vMerge w:val="continue"/>
                  <w:vAlign w:val="center"/>
                </w:tcPr>
                <w:p w14:paraId="00964961">
                  <w:pPr>
                    <w:snapToGrid w:val="0"/>
                    <w:jc w:val="center"/>
                    <w:rPr>
                      <w:rFonts w:hint="eastAsia"/>
                      <w:color w:val="auto"/>
                      <w:szCs w:val="21"/>
                    </w:rPr>
                  </w:pPr>
                </w:p>
              </w:tc>
              <w:tc>
                <w:tcPr>
                  <w:tcW w:w="1012" w:type="pct"/>
                  <w:vMerge w:val="continue"/>
                  <w:vAlign w:val="center"/>
                </w:tcPr>
                <w:p w14:paraId="1E692E3C">
                  <w:pPr>
                    <w:jc w:val="center"/>
                    <w:rPr>
                      <w:rFonts w:hint="eastAsia"/>
                      <w:color w:val="auto"/>
                      <w:szCs w:val="21"/>
                    </w:rPr>
                  </w:pPr>
                </w:p>
              </w:tc>
              <w:tc>
                <w:tcPr>
                  <w:tcW w:w="2195" w:type="pct"/>
                  <w:vMerge w:val="continue"/>
                  <w:vAlign w:val="center"/>
                </w:tcPr>
                <w:p w14:paraId="7B99EA22">
                  <w:pPr>
                    <w:jc w:val="center"/>
                    <w:rPr>
                      <w:rFonts w:hint="eastAsia"/>
                      <w:color w:val="auto"/>
                      <w:sz w:val="21"/>
                      <w:szCs w:val="21"/>
                      <w:lang w:eastAsia="zh-CN"/>
                    </w:rPr>
                  </w:pPr>
                </w:p>
              </w:tc>
            </w:tr>
          </w:tbl>
          <w:p w14:paraId="43B52178">
            <w:pPr>
              <w:spacing w:line="360" w:lineRule="auto"/>
              <w:rPr>
                <w:b/>
                <w:color w:val="auto"/>
                <w:sz w:val="24"/>
                <w:szCs w:val="24"/>
              </w:rPr>
            </w:pPr>
            <w:r>
              <w:rPr>
                <w:rFonts w:hint="eastAsia"/>
                <w:b/>
                <w:color w:val="auto"/>
                <w:sz w:val="24"/>
                <w:szCs w:val="24"/>
              </w:rPr>
              <w:t>4、固体废物环境影响及保护措施</w:t>
            </w:r>
          </w:p>
          <w:p w14:paraId="51DF7965">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宋体"/>
                <w:color w:val="auto"/>
                <w:sz w:val="24"/>
              </w:rPr>
              <w:t>本项目产生的固体废物</w:t>
            </w:r>
            <w:r>
              <w:rPr>
                <w:rFonts w:hint="eastAsia" w:ascii="Times New Roman" w:hAnsi="宋体"/>
                <w:color w:val="auto"/>
                <w:sz w:val="24"/>
                <w:lang w:val="en-US" w:eastAsia="zh-CN"/>
              </w:rPr>
              <w:t>主要为</w:t>
            </w:r>
            <w:r>
              <w:rPr>
                <w:rFonts w:ascii="Times New Roman" w:hAnsi="宋体"/>
                <w:color w:val="auto"/>
                <w:sz w:val="24"/>
              </w:rPr>
              <w:t>去石机去除的</w:t>
            </w:r>
            <w:r>
              <w:rPr>
                <w:rFonts w:hint="eastAsia" w:ascii="Times New Roman" w:hAnsi="宋体"/>
                <w:color w:val="auto"/>
                <w:sz w:val="24"/>
                <w:lang w:val="en-US" w:eastAsia="zh-CN"/>
              </w:rPr>
              <w:t>砂石、杂质</w:t>
            </w:r>
            <w:r>
              <w:rPr>
                <w:rFonts w:ascii="Times New Roman" w:hAnsi="宋体"/>
                <w:color w:val="auto"/>
                <w:sz w:val="24"/>
              </w:rPr>
              <w:t>等颗粒物；</w:t>
            </w:r>
            <w:r>
              <w:rPr>
                <w:rFonts w:hint="eastAsia" w:ascii="Times New Roman" w:hAnsi="宋体"/>
                <w:color w:val="auto"/>
                <w:sz w:val="24"/>
              </w:rPr>
              <w:t>各工序</w:t>
            </w:r>
            <w:r>
              <w:rPr>
                <w:rFonts w:ascii="Times New Roman" w:hAnsi="宋体"/>
                <w:color w:val="auto"/>
                <w:sz w:val="24"/>
              </w:rPr>
              <w:t>除尘器收集的</w:t>
            </w:r>
            <w:r>
              <w:rPr>
                <w:rFonts w:hint="eastAsia" w:ascii="Times New Roman" w:hAnsi="宋体"/>
                <w:color w:val="auto"/>
                <w:sz w:val="24"/>
                <w:lang w:eastAsia="zh-CN"/>
              </w:rPr>
              <w:t>除尘灰、</w:t>
            </w:r>
            <w:r>
              <w:rPr>
                <w:rFonts w:hint="eastAsia"/>
                <w:color w:val="auto"/>
                <w:sz w:val="24"/>
              </w:rPr>
              <w:t>设备维护时产生的废润滑油、废油桶；含油抹布</w:t>
            </w:r>
            <w:r>
              <w:rPr>
                <w:rFonts w:hint="eastAsia"/>
                <w:color w:val="auto"/>
                <w:sz w:val="24"/>
                <w:lang w:eastAsia="zh-CN"/>
              </w:rPr>
              <w:t>、废手套</w:t>
            </w:r>
            <w:r>
              <w:rPr>
                <w:rFonts w:ascii="Times New Roman" w:hAnsi="宋体"/>
                <w:color w:val="auto"/>
                <w:sz w:val="24"/>
              </w:rPr>
              <w:t>以及职工日常生活过程产生的生活垃圾。</w:t>
            </w:r>
          </w:p>
          <w:p w14:paraId="508808E8">
            <w:pPr>
              <w:spacing w:line="360" w:lineRule="auto"/>
              <w:ind w:firstLine="480" w:firstLineChars="200"/>
              <w:rPr>
                <w:rFonts w:eastAsia="黑体"/>
                <w:b/>
                <w:bCs/>
                <w:color w:val="auto"/>
                <w:sz w:val="30"/>
                <w:szCs w:val="24"/>
              </w:rPr>
            </w:pPr>
            <w:r>
              <w:rPr>
                <w:rFonts w:hint="eastAsia"/>
                <w:color w:val="auto"/>
                <w:sz w:val="24"/>
              </w:rPr>
              <w:t>建设项目一般固废产生及治理情况详见表4-</w:t>
            </w:r>
            <w:r>
              <w:rPr>
                <w:rFonts w:hint="eastAsia"/>
                <w:color w:val="auto"/>
                <w:sz w:val="24"/>
                <w:lang w:val="en-US" w:eastAsia="zh-CN"/>
              </w:rPr>
              <w:t>11</w:t>
            </w:r>
            <w:r>
              <w:rPr>
                <w:rFonts w:hint="eastAsia"/>
                <w:color w:val="auto"/>
                <w:sz w:val="24"/>
              </w:rPr>
              <w:t>，危险固废产生及处置情况详见表4-</w:t>
            </w:r>
            <w:r>
              <w:rPr>
                <w:rFonts w:hint="eastAsia"/>
                <w:color w:val="auto"/>
                <w:sz w:val="24"/>
                <w:lang w:val="en-US" w:eastAsia="zh-CN"/>
              </w:rPr>
              <w:t>12</w:t>
            </w:r>
            <w:r>
              <w:rPr>
                <w:rFonts w:hint="eastAsia"/>
                <w:color w:val="auto"/>
                <w:sz w:val="24"/>
              </w:rPr>
              <w:t>。</w:t>
            </w:r>
          </w:p>
          <w:p w14:paraId="0D3A0F3E">
            <w:pPr>
              <w:spacing w:line="360" w:lineRule="auto"/>
              <w:ind w:firstLine="602" w:firstLineChars="200"/>
              <w:rPr>
                <w:rFonts w:eastAsia="黑体"/>
                <w:b/>
                <w:bCs/>
                <w:color w:val="auto"/>
                <w:sz w:val="30"/>
                <w:szCs w:val="24"/>
              </w:rPr>
            </w:pPr>
          </w:p>
          <w:p w14:paraId="3F691BA3">
            <w:pPr>
              <w:spacing w:line="360" w:lineRule="auto"/>
              <w:ind w:firstLine="602" w:firstLineChars="200"/>
              <w:rPr>
                <w:rFonts w:eastAsia="黑体"/>
                <w:b/>
                <w:bCs/>
                <w:color w:val="auto"/>
                <w:sz w:val="30"/>
                <w:szCs w:val="24"/>
              </w:rPr>
            </w:pPr>
          </w:p>
          <w:p w14:paraId="2FC9FEAB">
            <w:pPr>
              <w:spacing w:line="360" w:lineRule="auto"/>
              <w:ind w:firstLine="602" w:firstLineChars="200"/>
              <w:rPr>
                <w:rFonts w:eastAsia="黑体"/>
                <w:b/>
                <w:bCs/>
                <w:color w:val="auto"/>
                <w:sz w:val="30"/>
                <w:szCs w:val="24"/>
              </w:rPr>
            </w:pPr>
          </w:p>
        </w:tc>
      </w:tr>
    </w:tbl>
    <w:p w14:paraId="34217C4B">
      <w:pPr>
        <w:outlineLvl w:val="0"/>
        <w:rPr>
          <w:rFonts w:eastAsia="黑体"/>
          <w:b/>
          <w:bCs/>
          <w:color w:val="auto"/>
          <w:sz w:val="30"/>
          <w:szCs w:val="24"/>
        </w:rPr>
        <w:sectPr>
          <w:pgSz w:w="11906" w:h="16838"/>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0"/>
        <w:gridCol w:w="13002"/>
      </w:tblGrid>
      <w:tr w14:paraId="6CE7A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0" w:type="dxa"/>
            <w:vAlign w:val="center"/>
          </w:tcPr>
          <w:p w14:paraId="3557194D">
            <w:pPr>
              <w:spacing w:line="360" w:lineRule="auto"/>
              <w:jc w:val="center"/>
              <w:rPr>
                <w:rFonts w:eastAsia="黑体"/>
                <w:bCs/>
                <w:color w:val="auto"/>
                <w:sz w:val="24"/>
                <w:szCs w:val="24"/>
              </w:rPr>
            </w:pPr>
            <w:r>
              <w:rPr>
                <w:rFonts w:hint="eastAsia"/>
                <w:color w:val="auto"/>
                <w:szCs w:val="18"/>
              </w:rPr>
              <w:t>运营期环境影响和保护措施</w:t>
            </w:r>
          </w:p>
        </w:tc>
        <w:tc>
          <w:tcPr>
            <w:tcW w:w="13002" w:type="dxa"/>
            <w:vAlign w:val="center"/>
          </w:tcPr>
          <w:p w14:paraId="50DB50BB">
            <w:pPr>
              <w:spacing w:line="276" w:lineRule="auto"/>
              <w:ind w:firstLine="422" w:firstLineChars="200"/>
              <w:jc w:val="center"/>
              <w:rPr>
                <w:b/>
                <w:color w:val="auto"/>
                <w:szCs w:val="21"/>
              </w:rPr>
            </w:pPr>
            <w:r>
              <w:rPr>
                <w:rFonts w:hint="eastAsia"/>
                <w:b/>
                <w:color w:val="auto"/>
                <w:szCs w:val="21"/>
              </w:rPr>
              <w:t>表4-</w:t>
            </w:r>
            <w:r>
              <w:rPr>
                <w:rFonts w:hint="eastAsia"/>
                <w:b/>
                <w:color w:val="auto"/>
                <w:szCs w:val="21"/>
                <w:lang w:val="en-US" w:eastAsia="zh-CN"/>
              </w:rPr>
              <w:t>11</w:t>
            </w:r>
            <w:r>
              <w:rPr>
                <w:rFonts w:hint="eastAsia"/>
                <w:b/>
                <w:color w:val="auto"/>
                <w:szCs w:val="21"/>
              </w:rPr>
              <w:t xml:space="preserve">  建设项目一般固废产生及处置措施一览表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3"/>
              <w:gridCol w:w="1810"/>
              <w:gridCol w:w="1968"/>
              <w:gridCol w:w="1460"/>
              <w:gridCol w:w="1194"/>
              <w:gridCol w:w="1194"/>
              <w:gridCol w:w="1288"/>
              <w:gridCol w:w="1815"/>
              <w:gridCol w:w="1419"/>
            </w:tblGrid>
            <w:tr w14:paraId="272B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Align w:val="center"/>
                </w:tcPr>
                <w:p w14:paraId="51ED256F">
                  <w:pPr>
                    <w:spacing w:line="360" w:lineRule="auto"/>
                    <w:jc w:val="center"/>
                    <w:rPr>
                      <w:b/>
                      <w:color w:val="auto"/>
                      <w:szCs w:val="21"/>
                    </w:rPr>
                  </w:pPr>
                  <w:r>
                    <w:rPr>
                      <w:rFonts w:hint="eastAsia"/>
                      <w:b/>
                      <w:color w:val="auto"/>
                      <w:szCs w:val="21"/>
                    </w:rPr>
                    <w:t>序号</w:t>
                  </w:r>
                </w:p>
              </w:tc>
              <w:tc>
                <w:tcPr>
                  <w:tcW w:w="708" w:type="pct"/>
                  <w:vAlign w:val="center"/>
                </w:tcPr>
                <w:p w14:paraId="0342E3A9">
                  <w:pPr>
                    <w:spacing w:line="360" w:lineRule="auto"/>
                    <w:jc w:val="center"/>
                    <w:rPr>
                      <w:b/>
                      <w:color w:val="auto"/>
                      <w:szCs w:val="21"/>
                    </w:rPr>
                  </w:pPr>
                  <w:r>
                    <w:rPr>
                      <w:rFonts w:hint="eastAsia"/>
                      <w:b/>
                      <w:color w:val="auto"/>
                      <w:szCs w:val="21"/>
                    </w:rPr>
                    <w:t>固废名称</w:t>
                  </w:r>
                </w:p>
              </w:tc>
              <w:tc>
                <w:tcPr>
                  <w:tcW w:w="770" w:type="pct"/>
                  <w:vAlign w:val="center"/>
                </w:tcPr>
                <w:p w14:paraId="78596B29">
                  <w:pPr>
                    <w:spacing w:line="360" w:lineRule="auto"/>
                    <w:jc w:val="center"/>
                    <w:rPr>
                      <w:b/>
                      <w:color w:val="auto"/>
                      <w:szCs w:val="21"/>
                    </w:rPr>
                  </w:pPr>
                  <w:r>
                    <w:rPr>
                      <w:rFonts w:hint="eastAsia"/>
                      <w:b/>
                      <w:color w:val="auto"/>
                      <w:szCs w:val="21"/>
                    </w:rPr>
                    <w:t>产生环节</w:t>
                  </w:r>
                </w:p>
              </w:tc>
              <w:tc>
                <w:tcPr>
                  <w:tcW w:w="571" w:type="pct"/>
                  <w:vAlign w:val="center"/>
                </w:tcPr>
                <w:p w14:paraId="6FF01930">
                  <w:pPr>
                    <w:spacing w:line="360" w:lineRule="auto"/>
                    <w:jc w:val="center"/>
                    <w:rPr>
                      <w:b/>
                      <w:color w:val="auto"/>
                      <w:szCs w:val="21"/>
                    </w:rPr>
                  </w:pPr>
                  <w:r>
                    <w:rPr>
                      <w:rFonts w:hint="eastAsia"/>
                      <w:b/>
                      <w:color w:val="auto"/>
                      <w:szCs w:val="21"/>
                    </w:rPr>
                    <w:t>属性</w:t>
                  </w:r>
                </w:p>
              </w:tc>
              <w:tc>
                <w:tcPr>
                  <w:tcW w:w="467" w:type="pct"/>
                  <w:vAlign w:val="center"/>
                </w:tcPr>
                <w:p w14:paraId="50F26D6B">
                  <w:pPr>
                    <w:spacing w:line="360" w:lineRule="auto"/>
                    <w:jc w:val="center"/>
                    <w:rPr>
                      <w:b/>
                      <w:color w:val="auto"/>
                      <w:szCs w:val="21"/>
                    </w:rPr>
                  </w:pPr>
                  <w:r>
                    <w:rPr>
                      <w:rFonts w:hint="eastAsia"/>
                      <w:b/>
                      <w:color w:val="auto"/>
                      <w:szCs w:val="21"/>
                    </w:rPr>
                    <w:t>物理性状</w:t>
                  </w:r>
                </w:p>
              </w:tc>
              <w:tc>
                <w:tcPr>
                  <w:tcW w:w="467" w:type="pct"/>
                  <w:vAlign w:val="center"/>
                </w:tcPr>
                <w:p w14:paraId="5C49C75A">
                  <w:pPr>
                    <w:spacing w:line="360" w:lineRule="auto"/>
                    <w:jc w:val="center"/>
                    <w:rPr>
                      <w:b/>
                      <w:color w:val="auto"/>
                      <w:szCs w:val="21"/>
                    </w:rPr>
                  </w:pPr>
                  <w:r>
                    <w:rPr>
                      <w:rFonts w:hint="eastAsia"/>
                      <w:b/>
                      <w:color w:val="auto"/>
                      <w:szCs w:val="21"/>
                    </w:rPr>
                    <w:t>产生量（t/a）</w:t>
                  </w:r>
                </w:p>
              </w:tc>
              <w:tc>
                <w:tcPr>
                  <w:tcW w:w="504" w:type="pct"/>
                  <w:vAlign w:val="center"/>
                </w:tcPr>
                <w:p w14:paraId="189507D8">
                  <w:pPr>
                    <w:spacing w:line="360" w:lineRule="auto"/>
                    <w:jc w:val="center"/>
                    <w:rPr>
                      <w:b/>
                      <w:color w:val="auto"/>
                      <w:szCs w:val="21"/>
                    </w:rPr>
                  </w:pPr>
                  <w:r>
                    <w:rPr>
                      <w:rFonts w:hint="eastAsia"/>
                      <w:b/>
                      <w:color w:val="auto"/>
                      <w:szCs w:val="21"/>
                    </w:rPr>
                    <w:t>贮存方式</w:t>
                  </w:r>
                </w:p>
              </w:tc>
              <w:tc>
                <w:tcPr>
                  <w:tcW w:w="710" w:type="pct"/>
                  <w:vAlign w:val="center"/>
                </w:tcPr>
                <w:p w14:paraId="2C58F791">
                  <w:pPr>
                    <w:spacing w:line="360" w:lineRule="auto"/>
                    <w:jc w:val="center"/>
                    <w:rPr>
                      <w:b/>
                      <w:color w:val="auto"/>
                      <w:szCs w:val="21"/>
                    </w:rPr>
                  </w:pPr>
                  <w:r>
                    <w:rPr>
                      <w:rFonts w:hint="eastAsia"/>
                      <w:b/>
                      <w:color w:val="auto"/>
                      <w:szCs w:val="21"/>
                    </w:rPr>
                    <w:t>利用处置方式</w:t>
                  </w:r>
                </w:p>
                <w:p w14:paraId="074FE046">
                  <w:pPr>
                    <w:spacing w:line="360" w:lineRule="auto"/>
                    <w:jc w:val="center"/>
                    <w:rPr>
                      <w:b/>
                      <w:color w:val="auto"/>
                      <w:szCs w:val="21"/>
                    </w:rPr>
                  </w:pPr>
                  <w:r>
                    <w:rPr>
                      <w:rFonts w:hint="eastAsia"/>
                      <w:b/>
                      <w:color w:val="auto"/>
                      <w:szCs w:val="21"/>
                    </w:rPr>
                    <w:t>和去向</w:t>
                  </w:r>
                </w:p>
              </w:tc>
              <w:tc>
                <w:tcPr>
                  <w:tcW w:w="555" w:type="pct"/>
                  <w:vAlign w:val="center"/>
                </w:tcPr>
                <w:p w14:paraId="4B27D68A">
                  <w:pPr>
                    <w:spacing w:line="360" w:lineRule="auto"/>
                    <w:jc w:val="center"/>
                    <w:rPr>
                      <w:b/>
                      <w:color w:val="auto"/>
                      <w:szCs w:val="21"/>
                    </w:rPr>
                  </w:pPr>
                  <w:r>
                    <w:rPr>
                      <w:rFonts w:hint="eastAsia"/>
                      <w:b/>
                      <w:color w:val="auto"/>
                      <w:szCs w:val="21"/>
                    </w:rPr>
                    <w:t>利用或处置量（t/a）</w:t>
                  </w:r>
                </w:p>
              </w:tc>
            </w:tr>
            <w:tr w14:paraId="41B6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Align w:val="center"/>
                </w:tcPr>
                <w:p w14:paraId="163CD0C7">
                  <w:pPr>
                    <w:spacing w:line="360" w:lineRule="auto"/>
                    <w:jc w:val="center"/>
                    <w:rPr>
                      <w:color w:val="auto"/>
                      <w:szCs w:val="21"/>
                    </w:rPr>
                  </w:pPr>
                  <w:r>
                    <w:rPr>
                      <w:rFonts w:hint="eastAsia"/>
                      <w:color w:val="auto"/>
                      <w:szCs w:val="21"/>
                    </w:rPr>
                    <w:t>1</w:t>
                  </w:r>
                </w:p>
              </w:tc>
              <w:tc>
                <w:tcPr>
                  <w:tcW w:w="708" w:type="pct"/>
                  <w:vAlign w:val="center"/>
                </w:tcPr>
                <w:p w14:paraId="1B45F5EE">
                  <w:pPr>
                    <w:spacing w:line="310" w:lineRule="exact"/>
                    <w:ind w:left="-63" w:leftChars="-30" w:right="-63" w:rightChars="-30"/>
                    <w:jc w:val="center"/>
                    <w:rPr>
                      <w:rFonts w:hint="eastAsia" w:eastAsia="宋体"/>
                      <w:color w:val="auto"/>
                      <w:szCs w:val="21"/>
                      <w:lang w:eastAsia="zh-CN"/>
                    </w:rPr>
                  </w:pPr>
                  <w:r>
                    <w:rPr>
                      <w:rFonts w:ascii="Times New Roman" w:hAnsi="Times New Roman"/>
                      <w:color w:val="auto"/>
                      <w:szCs w:val="21"/>
                    </w:rPr>
                    <w:t>砂石、杂质</w:t>
                  </w:r>
                </w:p>
              </w:tc>
              <w:tc>
                <w:tcPr>
                  <w:tcW w:w="770" w:type="pct"/>
                  <w:vAlign w:val="center"/>
                </w:tcPr>
                <w:p w14:paraId="1DCA80BE">
                  <w:pPr>
                    <w:pStyle w:val="165"/>
                    <w:spacing w:line="310" w:lineRule="exact"/>
                    <w:ind w:left="-105" w:leftChars="-50" w:right="-105" w:rightChars="-50"/>
                    <w:rPr>
                      <w:rFonts w:hint="eastAsia" w:eastAsia="宋体"/>
                      <w:color w:val="auto"/>
                      <w:szCs w:val="21"/>
                      <w:lang w:eastAsia="zh-CN"/>
                    </w:rPr>
                  </w:pPr>
                  <w:r>
                    <w:rPr>
                      <w:color w:val="auto"/>
                      <w:sz w:val="21"/>
                    </w:rPr>
                    <w:t>去石、</w:t>
                  </w:r>
                  <w:r>
                    <w:rPr>
                      <w:rFonts w:hint="eastAsia"/>
                      <w:color w:val="auto"/>
                      <w:sz w:val="21"/>
                    </w:rPr>
                    <w:t>砻谷</w:t>
                  </w:r>
                </w:p>
              </w:tc>
              <w:tc>
                <w:tcPr>
                  <w:tcW w:w="571" w:type="pct"/>
                  <w:vAlign w:val="center"/>
                </w:tcPr>
                <w:p w14:paraId="36F54EB7">
                  <w:pPr>
                    <w:spacing w:line="360" w:lineRule="auto"/>
                    <w:jc w:val="center"/>
                    <w:rPr>
                      <w:color w:val="auto"/>
                      <w:szCs w:val="21"/>
                    </w:rPr>
                  </w:pPr>
                  <w:r>
                    <w:rPr>
                      <w:rFonts w:hint="eastAsia"/>
                      <w:color w:val="auto"/>
                      <w:szCs w:val="21"/>
                    </w:rPr>
                    <w:t>一般固废</w:t>
                  </w:r>
                </w:p>
                <w:p w14:paraId="659358EA">
                  <w:pPr>
                    <w:spacing w:line="360" w:lineRule="auto"/>
                    <w:jc w:val="center"/>
                    <w:rPr>
                      <w:rFonts w:hint="default" w:eastAsia="宋体"/>
                      <w:color w:val="auto"/>
                      <w:szCs w:val="21"/>
                      <w:lang w:val="en-US" w:eastAsia="zh-CN"/>
                    </w:rPr>
                  </w:pPr>
                  <w:r>
                    <w:rPr>
                      <w:rFonts w:hint="eastAsia"/>
                      <w:color w:val="auto"/>
                      <w:szCs w:val="21"/>
                      <w:lang w:val="en-US" w:eastAsia="zh-CN"/>
                    </w:rPr>
                    <w:t>900-099-S26</w:t>
                  </w:r>
                </w:p>
              </w:tc>
              <w:tc>
                <w:tcPr>
                  <w:tcW w:w="467" w:type="pct"/>
                  <w:vAlign w:val="center"/>
                </w:tcPr>
                <w:p w14:paraId="7576E142">
                  <w:pPr>
                    <w:spacing w:line="360" w:lineRule="auto"/>
                    <w:jc w:val="center"/>
                    <w:rPr>
                      <w:color w:val="auto"/>
                      <w:szCs w:val="21"/>
                    </w:rPr>
                  </w:pPr>
                  <w:r>
                    <w:rPr>
                      <w:rFonts w:hint="eastAsia"/>
                      <w:color w:val="auto"/>
                      <w:szCs w:val="21"/>
                    </w:rPr>
                    <w:t>固态</w:t>
                  </w:r>
                </w:p>
              </w:tc>
              <w:tc>
                <w:tcPr>
                  <w:tcW w:w="467" w:type="pct"/>
                  <w:vAlign w:val="center"/>
                </w:tcPr>
                <w:p w14:paraId="777F2F51">
                  <w:pPr>
                    <w:spacing w:line="360" w:lineRule="auto"/>
                    <w:jc w:val="center"/>
                    <w:rPr>
                      <w:rFonts w:hint="default" w:eastAsia="宋体"/>
                      <w:color w:val="auto"/>
                      <w:szCs w:val="21"/>
                      <w:lang w:val="en-US" w:eastAsia="zh-CN"/>
                    </w:rPr>
                  </w:pPr>
                  <w:r>
                    <w:rPr>
                      <w:rFonts w:hint="eastAsia"/>
                      <w:color w:val="auto"/>
                      <w:szCs w:val="21"/>
                      <w:lang w:val="en-US" w:eastAsia="zh-CN"/>
                    </w:rPr>
                    <w:t>10</w:t>
                  </w:r>
                </w:p>
              </w:tc>
              <w:tc>
                <w:tcPr>
                  <w:tcW w:w="504" w:type="pct"/>
                  <w:vMerge w:val="restart"/>
                  <w:vAlign w:val="center"/>
                </w:tcPr>
                <w:p w14:paraId="635273A2">
                  <w:pPr>
                    <w:spacing w:line="360" w:lineRule="auto"/>
                    <w:jc w:val="center"/>
                    <w:rPr>
                      <w:color w:val="auto"/>
                      <w:szCs w:val="21"/>
                    </w:rPr>
                  </w:pPr>
                  <w:r>
                    <w:rPr>
                      <w:rFonts w:hint="eastAsia"/>
                      <w:color w:val="auto"/>
                      <w:szCs w:val="21"/>
                    </w:rPr>
                    <w:t>袋装贮存在一般固废暂存间</w:t>
                  </w:r>
                </w:p>
              </w:tc>
              <w:tc>
                <w:tcPr>
                  <w:tcW w:w="1815" w:type="dxa"/>
                  <w:vAlign w:val="center"/>
                </w:tcPr>
                <w:p w14:paraId="2DCC72BA">
                  <w:pPr>
                    <w:pStyle w:val="165"/>
                    <w:spacing w:line="310" w:lineRule="exact"/>
                    <w:ind w:left="-105" w:leftChars="-50" w:right="-105" w:rightChars="-50"/>
                    <w:rPr>
                      <w:rFonts w:hint="eastAsia" w:eastAsia="宋体"/>
                      <w:color w:val="auto"/>
                      <w:szCs w:val="21"/>
                      <w:lang w:eastAsia="zh-CN"/>
                    </w:rPr>
                  </w:pPr>
                  <w:r>
                    <w:rPr>
                      <w:bCs/>
                      <w:color w:val="auto"/>
                      <w:sz w:val="21"/>
                    </w:rPr>
                    <w:t>环卫部门</w:t>
                  </w:r>
                  <w:r>
                    <w:rPr>
                      <w:rFonts w:hint="eastAsia"/>
                      <w:bCs/>
                      <w:color w:val="auto"/>
                      <w:sz w:val="21"/>
                      <w:lang w:eastAsia="zh-CN"/>
                    </w:rPr>
                    <w:t>处理</w:t>
                  </w:r>
                </w:p>
              </w:tc>
              <w:tc>
                <w:tcPr>
                  <w:tcW w:w="555" w:type="pct"/>
                  <w:vAlign w:val="center"/>
                </w:tcPr>
                <w:p w14:paraId="44DE4474">
                  <w:pPr>
                    <w:spacing w:line="360" w:lineRule="auto"/>
                    <w:jc w:val="center"/>
                    <w:rPr>
                      <w:rFonts w:hint="default" w:eastAsia="宋体"/>
                      <w:color w:val="auto"/>
                      <w:szCs w:val="21"/>
                      <w:lang w:val="en-US" w:eastAsia="zh-CN"/>
                    </w:rPr>
                  </w:pPr>
                  <w:r>
                    <w:rPr>
                      <w:rFonts w:hint="eastAsia"/>
                      <w:color w:val="auto"/>
                      <w:szCs w:val="21"/>
                      <w:lang w:val="en-US" w:eastAsia="zh-CN"/>
                    </w:rPr>
                    <w:t>10</w:t>
                  </w:r>
                </w:p>
              </w:tc>
            </w:tr>
            <w:tr w14:paraId="02F9F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Align w:val="center"/>
                </w:tcPr>
                <w:p w14:paraId="5930F86A">
                  <w:pPr>
                    <w:spacing w:line="360" w:lineRule="auto"/>
                    <w:jc w:val="center"/>
                    <w:rPr>
                      <w:color w:val="auto"/>
                      <w:szCs w:val="21"/>
                    </w:rPr>
                  </w:pPr>
                  <w:r>
                    <w:rPr>
                      <w:rFonts w:hint="eastAsia"/>
                      <w:color w:val="auto"/>
                      <w:szCs w:val="21"/>
                    </w:rPr>
                    <w:t>2</w:t>
                  </w:r>
                </w:p>
              </w:tc>
              <w:tc>
                <w:tcPr>
                  <w:tcW w:w="708" w:type="pct"/>
                  <w:vAlign w:val="center"/>
                </w:tcPr>
                <w:p w14:paraId="5EDF6D1B">
                  <w:pPr>
                    <w:spacing w:line="310" w:lineRule="exact"/>
                    <w:ind w:left="-63" w:leftChars="-30" w:right="-63" w:rightChars="-30"/>
                    <w:jc w:val="center"/>
                    <w:rPr>
                      <w:rFonts w:hint="eastAsia" w:eastAsia="宋体"/>
                      <w:color w:val="auto"/>
                      <w:szCs w:val="21"/>
                      <w:lang w:eastAsia="zh-CN"/>
                    </w:rPr>
                  </w:pPr>
                  <w:r>
                    <w:rPr>
                      <w:rFonts w:hint="eastAsia" w:ascii="Times New Roman" w:hAnsi="Times New Roman"/>
                      <w:color w:val="auto"/>
                      <w:szCs w:val="21"/>
                      <w:lang w:eastAsia="zh-CN"/>
                    </w:rPr>
                    <w:t>除尘灰</w:t>
                  </w:r>
                </w:p>
              </w:tc>
              <w:tc>
                <w:tcPr>
                  <w:tcW w:w="770" w:type="pct"/>
                  <w:vAlign w:val="center"/>
                </w:tcPr>
                <w:p w14:paraId="72110907">
                  <w:pPr>
                    <w:pStyle w:val="165"/>
                    <w:spacing w:line="310" w:lineRule="exact"/>
                    <w:ind w:left="-105" w:leftChars="-50" w:right="-105" w:rightChars="-50"/>
                    <w:rPr>
                      <w:rFonts w:hint="eastAsia" w:eastAsia="宋体"/>
                      <w:color w:val="auto"/>
                      <w:szCs w:val="21"/>
                      <w:lang w:eastAsia="zh-CN"/>
                    </w:rPr>
                  </w:pPr>
                  <w:r>
                    <w:rPr>
                      <w:rFonts w:hint="eastAsia"/>
                      <w:color w:val="auto"/>
                      <w:sz w:val="21"/>
                    </w:rPr>
                    <w:t>废气处理装置</w:t>
                  </w:r>
                </w:p>
              </w:tc>
              <w:tc>
                <w:tcPr>
                  <w:tcW w:w="571" w:type="pct"/>
                  <w:vAlign w:val="center"/>
                </w:tcPr>
                <w:p w14:paraId="1CF01CA8">
                  <w:pPr>
                    <w:spacing w:line="360" w:lineRule="auto"/>
                    <w:jc w:val="center"/>
                    <w:rPr>
                      <w:color w:val="auto"/>
                      <w:szCs w:val="21"/>
                    </w:rPr>
                  </w:pPr>
                  <w:r>
                    <w:rPr>
                      <w:rFonts w:hint="eastAsia"/>
                      <w:color w:val="auto"/>
                      <w:szCs w:val="21"/>
                    </w:rPr>
                    <w:t>一般固废</w:t>
                  </w:r>
                </w:p>
                <w:p w14:paraId="054220C9">
                  <w:pPr>
                    <w:spacing w:line="360" w:lineRule="auto"/>
                    <w:jc w:val="center"/>
                    <w:rPr>
                      <w:color w:val="auto"/>
                      <w:szCs w:val="21"/>
                    </w:rPr>
                  </w:pPr>
                  <w:r>
                    <w:rPr>
                      <w:rFonts w:hint="eastAsia"/>
                      <w:color w:val="auto"/>
                      <w:szCs w:val="21"/>
                    </w:rPr>
                    <w:t>900-999-S59</w:t>
                  </w:r>
                </w:p>
              </w:tc>
              <w:tc>
                <w:tcPr>
                  <w:tcW w:w="467" w:type="pct"/>
                  <w:vAlign w:val="center"/>
                </w:tcPr>
                <w:p w14:paraId="03805D3E">
                  <w:pPr>
                    <w:spacing w:line="360" w:lineRule="auto"/>
                    <w:jc w:val="center"/>
                    <w:rPr>
                      <w:color w:val="auto"/>
                      <w:szCs w:val="21"/>
                    </w:rPr>
                  </w:pPr>
                  <w:r>
                    <w:rPr>
                      <w:rFonts w:hint="eastAsia"/>
                      <w:color w:val="auto"/>
                      <w:szCs w:val="21"/>
                    </w:rPr>
                    <w:t>固态</w:t>
                  </w:r>
                </w:p>
              </w:tc>
              <w:tc>
                <w:tcPr>
                  <w:tcW w:w="467" w:type="pct"/>
                  <w:vAlign w:val="center"/>
                </w:tcPr>
                <w:p w14:paraId="4801CF68">
                  <w:pPr>
                    <w:spacing w:line="360" w:lineRule="auto"/>
                    <w:jc w:val="center"/>
                    <w:rPr>
                      <w:rFonts w:hint="default" w:eastAsia="宋体"/>
                      <w:color w:val="auto"/>
                      <w:szCs w:val="21"/>
                      <w:lang w:val="en-US" w:eastAsia="zh-CN"/>
                    </w:rPr>
                  </w:pPr>
                  <w:r>
                    <w:rPr>
                      <w:rFonts w:hint="eastAsia"/>
                      <w:color w:val="auto"/>
                      <w:szCs w:val="21"/>
                      <w:lang w:val="en-US" w:eastAsia="zh-CN"/>
                    </w:rPr>
                    <w:t>28.067</w:t>
                  </w:r>
                </w:p>
              </w:tc>
              <w:tc>
                <w:tcPr>
                  <w:tcW w:w="504" w:type="pct"/>
                  <w:vMerge w:val="continue"/>
                  <w:vAlign w:val="center"/>
                </w:tcPr>
                <w:p w14:paraId="0F2A729E">
                  <w:pPr>
                    <w:spacing w:line="360" w:lineRule="auto"/>
                    <w:jc w:val="center"/>
                    <w:rPr>
                      <w:color w:val="auto"/>
                      <w:szCs w:val="21"/>
                    </w:rPr>
                  </w:pPr>
                </w:p>
              </w:tc>
              <w:tc>
                <w:tcPr>
                  <w:tcW w:w="1815" w:type="dxa"/>
                  <w:vAlign w:val="center"/>
                </w:tcPr>
                <w:p w14:paraId="1343977F">
                  <w:pPr>
                    <w:pStyle w:val="165"/>
                    <w:spacing w:line="310" w:lineRule="exact"/>
                    <w:ind w:left="-105" w:leftChars="-50" w:right="-105" w:rightChars="-50"/>
                    <w:rPr>
                      <w:rFonts w:hint="eastAsia" w:eastAsia="宋体"/>
                      <w:color w:val="auto"/>
                      <w:szCs w:val="21"/>
                      <w:lang w:eastAsia="zh-CN"/>
                    </w:rPr>
                  </w:pPr>
                  <w:r>
                    <w:rPr>
                      <w:rFonts w:hint="eastAsia"/>
                      <w:color w:val="auto"/>
                      <w:sz w:val="21"/>
                    </w:rPr>
                    <w:t>外售综合利用</w:t>
                  </w:r>
                </w:p>
              </w:tc>
              <w:tc>
                <w:tcPr>
                  <w:tcW w:w="555" w:type="pct"/>
                  <w:vAlign w:val="center"/>
                </w:tcPr>
                <w:p w14:paraId="0754EE55">
                  <w:pPr>
                    <w:spacing w:line="360" w:lineRule="auto"/>
                    <w:jc w:val="center"/>
                    <w:rPr>
                      <w:rFonts w:hint="default" w:eastAsia="宋体"/>
                      <w:color w:val="auto"/>
                      <w:szCs w:val="21"/>
                      <w:lang w:val="en-US" w:eastAsia="zh-CN"/>
                    </w:rPr>
                  </w:pPr>
                  <w:r>
                    <w:rPr>
                      <w:rFonts w:hint="eastAsia"/>
                      <w:color w:val="auto"/>
                      <w:szCs w:val="21"/>
                      <w:lang w:val="en-US" w:eastAsia="zh-CN"/>
                    </w:rPr>
                    <w:t>28.067</w:t>
                  </w:r>
                </w:p>
              </w:tc>
            </w:tr>
            <w:tr w14:paraId="53854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Align w:val="center"/>
                </w:tcPr>
                <w:p w14:paraId="721F0373">
                  <w:pPr>
                    <w:spacing w:line="360" w:lineRule="auto"/>
                    <w:jc w:val="center"/>
                    <w:rPr>
                      <w:color w:val="auto"/>
                      <w:szCs w:val="21"/>
                    </w:rPr>
                  </w:pPr>
                  <w:r>
                    <w:rPr>
                      <w:rFonts w:hint="eastAsia"/>
                      <w:color w:val="auto"/>
                      <w:szCs w:val="21"/>
                    </w:rPr>
                    <w:t>3</w:t>
                  </w:r>
                </w:p>
              </w:tc>
              <w:tc>
                <w:tcPr>
                  <w:tcW w:w="708" w:type="pct"/>
                  <w:vAlign w:val="center"/>
                </w:tcPr>
                <w:p w14:paraId="1B6558BC">
                  <w:pPr>
                    <w:spacing w:line="310" w:lineRule="exact"/>
                    <w:ind w:left="-63" w:leftChars="-30" w:right="-63" w:rightChars="-30"/>
                    <w:jc w:val="center"/>
                    <w:rPr>
                      <w:rFonts w:hint="eastAsia" w:eastAsia="宋体"/>
                      <w:color w:val="auto"/>
                      <w:szCs w:val="21"/>
                      <w:lang w:eastAsia="zh-CN"/>
                    </w:rPr>
                  </w:pPr>
                  <w:r>
                    <w:rPr>
                      <w:rFonts w:hint="eastAsia" w:ascii="Times New Roman" w:hAnsi="Times New Roman"/>
                      <w:color w:val="auto"/>
                      <w:szCs w:val="21"/>
                    </w:rPr>
                    <w:t>废旧包装袋</w:t>
                  </w:r>
                </w:p>
              </w:tc>
              <w:tc>
                <w:tcPr>
                  <w:tcW w:w="770" w:type="pct"/>
                  <w:vAlign w:val="center"/>
                </w:tcPr>
                <w:p w14:paraId="6C316821">
                  <w:pPr>
                    <w:pStyle w:val="165"/>
                    <w:spacing w:line="310" w:lineRule="exact"/>
                    <w:ind w:left="-105" w:leftChars="-50" w:right="-105" w:rightChars="-50"/>
                    <w:rPr>
                      <w:color w:val="auto"/>
                      <w:szCs w:val="21"/>
                    </w:rPr>
                  </w:pPr>
                  <w:r>
                    <w:rPr>
                      <w:rFonts w:hint="eastAsia"/>
                      <w:color w:val="auto"/>
                      <w:sz w:val="21"/>
                    </w:rPr>
                    <w:t>原料拆分、产品包装</w:t>
                  </w:r>
                </w:p>
              </w:tc>
              <w:tc>
                <w:tcPr>
                  <w:tcW w:w="571" w:type="pct"/>
                  <w:vAlign w:val="center"/>
                </w:tcPr>
                <w:p w14:paraId="22AEDF79">
                  <w:pPr>
                    <w:spacing w:line="360" w:lineRule="auto"/>
                    <w:jc w:val="center"/>
                    <w:rPr>
                      <w:color w:val="auto"/>
                      <w:szCs w:val="21"/>
                    </w:rPr>
                  </w:pPr>
                  <w:r>
                    <w:rPr>
                      <w:rFonts w:hint="eastAsia"/>
                      <w:color w:val="auto"/>
                      <w:szCs w:val="21"/>
                    </w:rPr>
                    <w:t>一般固废</w:t>
                  </w:r>
                </w:p>
                <w:p w14:paraId="038ABAB9">
                  <w:pPr>
                    <w:spacing w:line="360" w:lineRule="auto"/>
                    <w:jc w:val="center"/>
                    <w:rPr>
                      <w:color w:val="auto"/>
                      <w:szCs w:val="21"/>
                    </w:rPr>
                  </w:pPr>
                  <w:r>
                    <w:rPr>
                      <w:rFonts w:hint="eastAsia"/>
                      <w:color w:val="auto"/>
                      <w:szCs w:val="21"/>
                    </w:rPr>
                    <w:t>900-999-S59</w:t>
                  </w:r>
                </w:p>
              </w:tc>
              <w:tc>
                <w:tcPr>
                  <w:tcW w:w="467" w:type="pct"/>
                  <w:vAlign w:val="center"/>
                </w:tcPr>
                <w:p w14:paraId="75DA3D1C">
                  <w:pPr>
                    <w:spacing w:line="360" w:lineRule="auto"/>
                    <w:jc w:val="center"/>
                    <w:rPr>
                      <w:color w:val="auto"/>
                      <w:szCs w:val="21"/>
                    </w:rPr>
                  </w:pPr>
                  <w:r>
                    <w:rPr>
                      <w:rFonts w:hint="eastAsia"/>
                      <w:color w:val="auto"/>
                      <w:szCs w:val="21"/>
                    </w:rPr>
                    <w:t>固态</w:t>
                  </w:r>
                </w:p>
              </w:tc>
              <w:tc>
                <w:tcPr>
                  <w:tcW w:w="467" w:type="pct"/>
                  <w:vAlign w:val="center"/>
                </w:tcPr>
                <w:p w14:paraId="2A24763F">
                  <w:pPr>
                    <w:spacing w:line="360" w:lineRule="auto"/>
                    <w:jc w:val="center"/>
                    <w:rPr>
                      <w:rFonts w:hint="default" w:eastAsia="宋体"/>
                      <w:color w:val="auto"/>
                      <w:szCs w:val="21"/>
                      <w:lang w:val="en-US" w:eastAsia="zh-CN"/>
                    </w:rPr>
                  </w:pPr>
                  <w:r>
                    <w:rPr>
                      <w:rFonts w:hint="eastAsia"/>
                      <w:color w:val="auto"/>
                      <w:szCs w:val="21"/>
                      <w:lang w:val="en-US" w:eastAsia="zh-CN"/>
                    </w:rPr>
                    <w:t>10</w:t>
                  </w:r>
                </w:p>
              </w:tc>
              <w:tc>
                <w:tcPr>
                  <w:tcW w:w="504" w:type="pct"/>
                  <w:vMerge w:val="continue"/>
                  <w:vAlign w:val="center"/>
                </w:tcPr>
                <w:p w14:paraId="29A00DB3">
                  <w:pPr>
                    <w:spacing w:line="360" w:lineRule="auto"/>
                    <w:jc w:val="center"/>
                    <w:rPr>
                      <w:color w:val="auto"/>
                      <w:szCs w:val="21"/>
                    </w:rPr>
                  </w:pPr>
                </w:p>
              </w:tc>
              <w:tc>
                <w:tcPr>
                  <w:tcW w:w="1815" w:type="dxa"/>
                  <w:vAlign w:val="center"/>
                </w:tcPr>
                <w:p w14:paraId="43A5FFC8">
                  <w:pPr>
                    <w:pStyle w:val="165"/>
                    <w:spacing w:line="310" w:lineRule="exact"/>
                    <w:ind w:left="-105" w:leftChars="-50" w:right="-105" w:rightChars="-50"/>
                    <w:rPr>
                      <w:rFonts w:hint="eastAsia" w:eastAsia="宋体"/>
                      <w:color w:val="auto"/>
                      <w:szCs w:val="21"/>
                      <w:lang w:eastAsia="zh-CN"/>
                    </w:rPr>
                  </w:pPr>
                  <w:r>
                    <w:rPr>
                      <w:rFonts w:hint="eastAsia"/>
                      <w:bCs/>
                      <w:color w:val="auto"/>
                      <w:sz w:val="21"/>
                    </w:rPr>
                    <w:t>物资回收公司回收综合利用</w:t>
                  </w:r>
                </w:p>
              </w:tc>
              <w:tc>
                <w:tcPr>
                  <w:tcW w:w="555" w:type="pct"/>
                  <w:vAlign w:val="center"/>
                </w:tcPr>
                <w:p w14:paraId="4BDF250D">
                  <w:pPr>
                    <w:spacing w:line="360" w:lineRule="auto"/>
                    <w:jc w:val="center"/>
                    <w:rPr>
                      <w:rFonts w:hint="default" w:eastAsia="宋体"/>
                      <w:color w:val="auto"/>
                      <w:szCs w:val="21"/>
                      <w:lang w:val="en-US" w:eastAsia="zh-CN"/>
                    </w:rPr>
                  </w:pPr>
                  <w:r>
                    <w:rPr>
                      <w:rFonts w:hint="eastAsia"/>
                      <w:color w:val="auto"/>
                      <w:szCs w:val="21"/>
                      <w:lang w:val="en-US" w:eastAsia="zh-CN"/>
                    </w:rPr>
                    <w:t>5.418</w:t>
                  </w:r>
                </w:p>
              </w:tc>
            </w:tr>
            <w:tr w14:paraId="60580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4" w:type="pct"/>
                  <w:vAlign w:val="center"/>
                </w:tcPr>
                <w:p w14:paraId="7CE79B56">
                  <w:pPr>
                    <w:spacing w:line="360" w:lineRule="auto"/>
                    <w:jc w:val="center"/>
                    <w:rPr>
                      <w:rFonts w:hint="default" w:eastAsia="宋体"/>
                      <w:color w:val="auto"/>
                      <w:szCs w:val="21"/>
                      <w:lang w:val="en-US" w:eastAsia="zh-CN"/>
                    </w:rPr>
                  </w:pPr>
                  <w:r>
                    <w:rPr>
                      <w:rFonts w:hint="eastAsia"/>
                      <w:color w:val="auto"/>
                      <w:szCs w:val="21"/>
                      <w:lang w:val="en-US" w:eastAsia="zh-CN"/>
                    </w:rPr>
                    <w:t>4</w:t>
                  </w:r>
                </w:p>
              </w:tc>
              <w:tc>
                <w:tcPr>
                  <w:tcW w:w="708" w:type="pct"/>
                  <w:vAlign w:val="center"/>
                </w:tcPr>
                <w:p w14:paraId="79808F18">
                  <w:pPr>
                    <w:spacing w:line="360" w:lineRule="auto"/>
                    <w:jc w:val="center"/>
                    <w:rPr>
                      <w:color w:val="auto"/>
                      <w:szCs w:val="21"/>
                    </w:rPr>
                  </w:pPr>
                  <w:r>
                    <w:rPr>
                      <w:rFonts w:hint="eastAsia"/>
                      <w:color w:val="auto"/>
                      <w:szCs w:val="21"/>
                    </w:rPr>
                    <w:t>生活垃圾</w:t>
                  </w:r>
                </w:p>
              </w:tc>
              <w:tc>
                <w:tcPr>
                  <w:tcW w:w="770" w:type="pct"/>
                  <w:vAlign w:val="center"/>
                </w:tcPr>
                <w:p w14:paraId="07517AE9">
                  <w:pPr>
                    <w:spacing w:line="360" w:lineRule="auto"/>
                    <w:jc w:val="center"/>
                    <w:rPr>
                      <w:color w:val="auto"/>
                      <w:szCs w:val="21"/>
                    </w:rPr>
                  </w:pPr>
                  <w:r>
                    <w:rPr>
                      <w:rFonts w:hint="eastAsia"/>
                      <w:color w:val="auto"/>
                      <w:szCs w:val="21"/>
                    </w:rPr>
                    <w:t>职工生活</w:t>
                  </w:r>
                </w:p>
              </w:tc>
              <w:tc>
                <w:tcPr>
                  <w:tcW w:w="571" w:type="pct"/>
                  <w:vAlign w:val="center"/>
                </w:tcPr>
                <w:p w14:paraId="49D3F9BF">
                  <w:pPr>
                    <w:spacing w:line="360" w:lineRule="auto"/>
                    <w:jc w:val="center"/>
                    <w:rPr>
                      <w:color w:val="auto"/>
                      <w:szCs w:val="21"/>
                    </w:rPr>
                  </w:pPr>
                  <w:r>
                    <w:rPr>
                      <w:rFonts w:hint="eastAsia"/>
                      <w:color w:val="auto"/>
                      <w:szCs w:val="21"/>
                    </w:rPr>
                    <w:t>--</w:t>
                  </w:r>
                </w:p>
              </w:tc>
              <w:tc>
                <w:tcPr>
                  <w:tcW w:w="467" w:type="pct"/>
                  <w:vAlign w:val="center"/>
                </w:tcPr>
                <w:p w14:paraId="138D4486">
                  <w:pPr>
                    <w:spacing w:line="360" w:lineRule="auto"/>
                    <w:jc w:val="center"/>
                    <w:rPr>
                      <w:color w:val="auto"/>
                      <w:szCs w:val="21"/>
                    </w:rPr>
                  </w:pPr>
                  <w:r>
                    <w:rPr>
                      <w:rFonts w:hint="eastAsia"/>
                      <w:color w:val="auto"/>
                      <w:szCs w:val="21"/>
                    </w:rPr>
                    <w:t>固态</w:t>
                  </w:r>
                </w:p>
              </w:tc>
              <w:tc>
                <w:tcPr>
                  <w:tcW w:w="467" w:type="pct"/>
                  <w:vAlign w:val="center"/>
                </w:tcPr>
                <w:p w14:paraId="13C57B57">
                  <w:pPr>
                    <w:spacing w:line="360" w:lineRule="auto"/>
                    <w:jc w:val="center"/>
                    <w:rPr>
                      <w:rFonts w:hint="default" w:eastAsia="宋体"/>
                      <w:color w:val="auto"/>
                      <w:szCs w:val="21"/>
                      <w:lang w:val="en-US" w:eastAsia="zh-CN"/>
                    </w:rPr>
                  </w:pPr>
                  <w:r>
                    <w:rPr>
                      <w:rFonts w:hint="eastAsia"/>
                      <w:color w:val="auto"/>
                      <w:szCs w:val="21"/>
                      <w:lang w:val="en-US" w:eastAsia="zh-CN"/>
                    </w:rPr>
                    <w:t>1.5</w:t>
                  </w:r>
                </w:p>
              </w:tc>
              <w:tc>
                <w:tcPr>
                  <w:tcW w:w="504" w:type="pct"/>
                  <w:vAlign w:val="center"/>
                </w:tcPr>
                <w:p w14:paraId="1BCDC6F7">
                  <w:pPr>
                    <w:spacing w:line="360" w:lineRule="auto"/>
                    <w:jc w:val="center"/>
                    <w:rPr>
                      <w:color w:val="auto"/>
                      <w:szCs w:val="21"/>
                    </w:rPr>
                  </w:pPr>
                  <w:r>
                    <w:rPr>
                      <w:rFonts w:hint="eastAsia"/>
                      <w:color w:val="auto"/>
                      <w:szCs w:val="21"/>
                    </w:rPr>
                    <w:t>垃圾桶</w:t>
                  </w:r>
                </w:p>
              </w:tc>
              <w:tc>
                <w:tcPr>
                  <w:tcW w:w="710" w:type="pct"/>
                  <w:vAlign w:val="center"/>
                </w:tcPr>
                <w:p w14:paraId="72F84676">
                  <w:pPr>
                    <w:spacing w:line="360" w:lineRule="auto"/>
                    <w:jc w:val="center"/>
                    <w:rPr>
                      <w:color w:val="auto"/>
                      <w:szCs w:val="21"/>
                    </w:rPr>
                  </w:pPr>
                  <w:r>
                    <w:rPr>
                      <w:rFonts w:hint="eastAsia"/>
                      <w:color w:val="auto"/>
                      <w:szCs w:val="21"/>
                    </w:rPr>
                    <w:t>环卫部门处理</w:t>
                  </w:r>
                </w:p>
              </w:tc>
              <w:tc>
                <w:tcPr>
                  <w:tcW w:w="555" w:type="pct"/>
                  <w:vAlign w:val="center"/>
                </w:tcPr>
                <w:p w14:paraId="46399E68">
                  <w:pPr>
                    <w:spacing w:line="360" w:lineRule="auto"/>
                    <w:jc w:val="center"/>
                    <w:rPr>
                      <w:rFonts w:hint="default" w:eastAsia="宋体"/>
                      <w:color w:val="auto"/>
                      <w:szCs w:val="21"/>
                      <w:lang w:val="en-US" w:eastAsia="zh-CN"/>
                    </w:rPr>
                  </w:pPr>
                  <w:r>
                    <w:rPr>
                      <w:rFonts w:hint="eastAsia"/>
                      <w:color w:val="auto"/>
                      <w:szCs w:val="21"/>
                      <w:lang w:val="en-US" w:eastAsia="zh-CN"/>
                    </w:rPr>
                    <w:t>1.5</w:t>
                  </w:r>
                </w:p>
              </w:tc>
            </w:tr>
          </w:tbl>
          <w:p w14:paraId="0B9FB77F">
            <w:pPr>
              <w:spacing w:line="276" w:lineRule="auto"/>
              <w:ind w:firstLine="422" w:firstLineChars="200"/>
              <w:jc w:val="center"/>
              <w:rPr>
                <w:b/>
                <w:color w:val="auto"/>
                <w:szCs w:val="21"/>
              </w:rPr>
            </w:pPr>
            <w:r>
              <w:rPr>
                <w:rFonts w:hint="eastAsia"/>
                <w:b/>
                <w:color w:val="auto"/>
                <w:szCs w:val="21"/>
              </w:rPr>
              <w:t>表4-1</w:t>
            </w:r>
            <w:r>
              <w:rPr>
                <w:rFonts w:hint="eastAsia"/>
                <w:b/>
                <w:color w:val="auto"/>
                <w:szCs w:val="21"/>
                <w:lang w:val="en-US" w:eastAsia="zh-CN"/>
              </w:rPr>
              <w:t>2</w:t>
            </w:r>
            <w:r>
              <w:rPr>
                <w:rFonts w:hint="eastAsia"/>
                <w:b/>
                <w:color w:val="auto"/>
                <w:szCs w:val="21"/>
              </w:rPr>
              <w:t xml:space="preserve">  建设项目危险固废产生及处置措施一览表</w:t>
            </w:r>
          </w:p>
          <w:tbl>
            <w:tblPr>
              <w:tblStyle w:val="4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0"/>
              <w:gridCol w:w="1455"/>
              <w:gridCol w:w="1701"/>
              <w:gridCol w:w="1079"/>
              <w:gridCol w:w="1207"/>
              <w:gridCol w:w="806"/>
              <w:gridCol w:w="880"/>
              <w:gridCol w:w="1161"/>
              <w:gridCol w:w="1363"/>
              <w:gridCol w:w="1327"/>
              <w:gridCol w:w="1212"/>
            </w:tblGrid>
            <w:tr w14:paraId="5F26A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 w:type="pct"/>
                  <w:vAlign w:val="center"/>
                </w:tcPr>
                <w:p w14:paraId="094F49DF">
                  <w:pPr>
                    <w:jc w:val="center"/>
                    <w:rPr>
                      <w:b/>
                      <w:color w:val="auto"/>
                      <w:szCs w:val="21"/>
                    </w:rPr>
                  </w:pPr>
                  <w:r>
                    <w:rPr>
                      <w:rFonts w:hint="eastAsia"/>
                      <w:b/>
                      <w:color w:val="auto"/>
                      <w:szCs w:val="21"/>
                    </w:rPr>
                    <w:t>序号</w:t>
                  </w:r>
                </w:p>
              </w:tc>
              <w:tc>
                <w:tcPr>
                  <w:tcW w:w="569" w:type="pct"/>
                  <w:vAlign w:val="center"/>
                </w:tcPr>
                <w:p w14:paraId="41D1B578">
                  <w:pPr>
                    <w:jc w:val="center"/>
                    <w:rPr>
                      <w:b/>
                      <w:color w:val="auto"/>
                      <w:szCs w:val="21"/>
                    </w:rPr>
                  </w:pPr>
                  <w:r>
                    <w:rPr>
                      <w:rFonts w:hint="eastAsia"/>
                      <w:b/>
                      <w:color w:val="auto"/>
                      <w:szCs w:val="21"/>
                    </w:rPr>
                    <w:t>固废名称</w:t>
                  </w:r>
                </w:p>
              </w:tc>
              <w:tc>
                <w:tcPr>
                  <w:tcW w:w="665" w:type="pct"/>
                  <w:vAlign w:val="center"/>
                </w:tcPr>
                <w:p w14:paraId="252BA50C">
                  <w:pPr>
                    <w:jc w:val="center"/>
                    <w:rPr>
                      <w:b/>
                      <w:color w:val="auto"/>
                      <w:szCs w:val="21"/>
                    </w:rPr>
                  </w:pPr>
                  <w:r>
                    <w:rPr>
                      <w:rFonts w:hint="eastAsia"/>
                      <w:b/>
                      <w:color w:val="auto"/>
                      <w:szCs w:val="21"/>
                    </w:rPr>
                    <w:t>产生环节</w:t>
                  </w:r>
                </w:p>
              </w:tc>
              <w:tc>
                <w:tcPr>
                  <w:tcW w:w="422" w:type="pct"/>
                  <w:vAlign w:val="center"/>
                </w:tcPr>
                <w:p w14:paraId="166778C8">
                  <w:pPr>
                    <w:jc w:val="center"/>
                    <w:rPr>
                      <w:b/>
                      <w:color w:val="auto"/>
                      <w:szCs w:val="21"/>
                    </w:rPr>
                  </w:pPr>
                  <w:r>
                    <w:rPr>
                      <w:rFonts w:hint="eastAsia"/>
                      <w:b/>
                      <w:color w:val="auto"/>
                      <w:szCs w:val="21"/>
                    </w:rPr>
                    <w:t>属性</w:t>
                  </w:r>
                </w:p>
              </w:tc>
              <w:tc>
                <w:tcPr>
                  <w:tcW w:w="472" w:type="pct"/>
                  <w:vAlign w:val="center"/>
                </w:tcPr>
                <w:p w14:paraId="1A9145B5">
                  <w:pPr>
                    <w:jc w:val="center"/>
                    <w:rPr>
                      <w:b/>
                      <w:color w:val="auto"/>
                      <w:szCs w:val="21"/>
                    </w:rPr>
                  </w:pPr>
                  <w:r>
                    <w:rPr>
                      <w:rFonts w:hint="eastAsia"/>
                      <w:b/>
                      <w:color w:val="auto"/>
                      <w:szCs w:val="21"/>
                    </w:rPr>
                    <w:t>危废</w:t>
                  </w:r>
                </w:p>
                <w:p w14:paraId="522BFB4F">
                  <w:pPr>
                    <w:jc w:val="center"/>
                    <w:rPr>
                      <w:b/>
                      <w:color w:val="auto"/>
                      <w:szCs w:val="21"/>
                    </w:rPr>
                  </w:pPr>
                  <w:r>
                    <w:rPr>
                      <w:rFonts w:hint="eastAsia"/>
                      <w:b/>
                      <w:color w:val="auto"/>
                      <w:szCs w:val="21"/>
                    </w:rPr>
                    <w:t>代码</w:t>
                  </w:r>
                </w:p>
              </w:tc>
              <w:tc>
                <w:tcPr>
                  <w:tcW w:w="315" w:type="pct"/>
                  <w:vAlign w:val="center"/>
                </w:tcPr>
                <w:p w14:paraId="7C54D545">
                  <w:pPr>
                    <w:jc w:val="center"/>
                    <w:rPr>
                      <w:b/>
                      <w:color w:val="auto"/>
                      <w:szCs w:val="21"/>
                    </w:rPr>
                  </w:pPr>
                  <w:r>
                    <w:rPr>
                      <w:rFonts w:hint="eastAsia"/>
                      <w:b/>
                      <w:color w:val="auto"/>
                      <w:szCs w:val="21"/>
                    </w:rPr>
                    <w:t>物理性状</w:t>
                  </w:r>
                </w:p>
              </w:tc>
              <w:tc>
                <w:tcPr>
                  <w:tcW w:w="344" w:type="pct"/>
                  <w:vAlign w:val="center"/>
                </w:tcPr>
                <w:p w14:paraId="13C84748">
                  <w:pPr>
                    <w:jc w:val="center"/>
                    <w:rPr>
                      <w:b/>
                      <w:color w:val="auto"/>
                      <w:szCs w:val="21"/>
                    </w:rPr>
                  </w:pPr>
                  <w:r>
                    <w:rPr>
                      <w:rFonts w:hint="eastAsia"/>
                      <w:b/>
                      <w:color w:val="auto"/>
                      <w:szCs w:val="21"/>
                    </w:rPr>
                    <w:t>危险</w:t>
                  </w:r>
                </w:p>
                <w:p w14:paraId="05635D64">
                  <w:pPr>
                    <w:jc w:val="center"/>
                    <w:rPr>
                      <w:b/>
                      <w:color w:val="auto"/>
                      <w:szCs w:val="21"/>
                    </w:rPr>
                  </w:pPr>
                  <w:r>
                    <w:rPr>
                      <w:rFonts w:hint="eastAsia"/>
                      <w:b/>
                      <w:color w:val="auto"/>
                      <w:szCs w:val="21"/>
                    </w:rPr>
                    <w:t>特性</w:t>
                  </w:r>
                </w:p>
              </w:tc>
              <w:tc>
                <w:tcPr>
                  <w:tcW w:w="454" w:type="pct"/>
                  <w:vAlign w:val="center"/>
                </w:tcPr>
                <w:p w14:paraId="50027CB3">
                  <w:pPr>
                    <w:jc w:val="center"/>
                    <w:rPr>
                      <w:b/>
                      <w:color w:val="auto"/>
                      <w:szCs w:val="21"/>
                    </w:rPr>
                  </w:pPr>
                  <w:r>
                    <w:rPr>
                      <w:rFonts w:hint="eastAsia"/>
                      <w:b/>
                      <w:color w:val="auto"/>
                      <w:szCs w:val="21"/>
                    </w:rPr>
                    <w:t>产生量（t/a）</w:t>
                  </w:r>
                </w:p>
              </w:tc>
              <w:tc>
                <w:tcPr>
                  <w:tcW w:w="533" w:type="pct"/>
                  <w:vAlign w:val="center"/>
                </w:tcPr>
                <w:p w14:paraId="0A76C1C9">
                  <w:pPr>
                    <w:jc w:val="center"/>
                    <w:rPr>
                      <w:b/>
                      <w:color w:val="auto"/>
                      <w:szCs w:val="21"/>
                    </w:rPr>
                  </w:pPr>
                  <w:r>
                    <w:rPr>
                      <w:rFonts w:hint="eastAsia"/>
                      <w:b/>
                      <w:color w:val="auto"/>
                      <w:szCs w:val="21"/>
                    </w:rPr>
                    <w:t>贮存</w:t>
                  </w:r>
                </w:p>
                <w:p w14:paraId="08F4FEEF">
                  <w:pPr>
                    <w:jc w:val="center"/>
                    <w:rPr>
                      <w:b/>
                      <w:color w:val="auto"/>
                      <w:szCs w:val="21"/>
                    </w:rPr>
                  </w:pPr>
                  <w:r>
                    <w:rPr>
                      <w:rFonts w:hint="eastAsia"/>
                      <w:b/>
                      <w:color w:val="auto"/>
                      <w:szCs w:val="21"/>
                    </w:rPr>
                    <w:t>方式</w:t>
                  </w:r>
                </w:p>
              </w:tc>
              <w:tc>
                <w:tcPr>
                  <w:tcW w:w="519" w:type="pct"/>
                  <w:vAlign w:val="center"/>
                </w:tcPr>
                <w:p w14:paraId="39E4D22B">
                  <w:pPr>
                    <w:jc w:val="center"/>
                    <w:rPr>
                      <w:b/>
                      <w:color w:val="auto"/>
                      <w:szCs w:val="21"/>
                    </w:rPr>
                  </w:pPr>
                  <w:r>
                    <w:rPr>
                      <w:rFonts w:hint="eastAsia"/>
                      <w:b/>
                      <w:color w:val="auto"/>
                      <w:szCs w:val="21"/>
                    </w:rPr>
                    <w:t>利用处置方式和去向</w:t>
                  </w:r>
                </w:p>
              </w:tc>
              <w:tc>
                <w:tcPr>
                  <w:tcW w:w="474" w:type="pct"/>
                  <w:vAlign w:val="center"/>
                </w:tcPr>
                <w:p w14:paraId="1A5F9011">
                  <w:pPr>
                    <w:jc w:val="center"/>
                    <w:rPr>
                      <w:b/>
                      <w:color w:val="auto"/>
                      <w:szCs w:val="21"/>
                    </w:rPr>
                  </w:pPr>
                  <w:r>
                    <w:rPr>
                      <w:rFonts w:hint="eastAsia"/>
                      <w:b/>
                      <w:color w:val="auto"/>
                      <w:szCs w:val="21"/>
                    </w:rPr>
                    <w:t>利用或处置量（t/a）</w:t>
                  </w:r>
                </w:p>
              </w:tc>
            </w:tr>
            <w:tr w14:paraId="3823F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 w:type="pct"/>
                  <w:vAlign w:val="center"/>
                </w:tcPr>
                <w:p w14:paraId="69753C64">
                  <w:pPr>
                    <w:jc w:val="center"/>
                    <w:rPr>
                      <w:color w:val="auto"/>
                      <w:szCs w:val="21"/>
                    </w:rPr>
                  </w:pPr>
                  <w:r>
                    <w:rPr>
                      <w:rFonts w:hint="eastAsia"/>
                      <w:color w:val="auto"/>
                      <w:szCs w:val="21"/>
                    </w:rPr>
                    <w:t>1</w:t>
                  </w:r>
                </w:p>
              </w:tc>
              <w:tc>
                <w:tcPr>
                  <w:tcW w:w="569" w:type="pct"/>
                  <w:vAlign w:val="center"/>
                </w:tcPr>
                <w:p w14:paraId="519AC84E">
                  <w:pPr>
                    <w:spacing w:line="336" w:lineRule="auto"/>
                    <w:jc w:val="center"/>
                    <w:rPr>
                      <w:color w:val="auto"/>
                      <w:szCs w:val="21"/>
                    </w:rPr>
                  </w:pPr>
                  <w:r>
                    <w:rPr>
                      <w:rFonts w:hint="eastAsia"/>
                      <w:color w:val="auto"/>
                      <w:szCs w:val="21"/>
                    </w:rPr>
                    <w:t>废润滑油</w:t>
                  </w:r>
                </w:p>
              </w:tc>
              <w:tc>
                <w:tcPr>
                  <w:tcW w:w="665" w:type="pct"/>
                  <w:vAlign w:val="center"/>
                </w:tcPr>
                <w:p w14:paraId="3A033B77">
                  <w:pPr>
                    <w:jc w:val="center"/>
                    <w:rPr>
                      <w:color w:val="auto"/>
                      <w:szCs w:val="21"/>
                    </w:rPr>
                  </w:pPr>
                  <w:r>
                    <w:rPr>
                      <w:rFonts w:hint="eastAsia"/>
                      <w:color w:val="auto"/>
                      <w:szCs w:val="21"/>
                    </w:rPr>
                    <w:t>设备定期保养、检修</w:t>
                  </w:r>
                </w:p>
              </w:tc>
              <w:tc>
                <w:tcPr>
                  <w:tcW w:w="422" w:type="pct"/>
                  <w:vAlign w:val="center"/>
                </w:tcPr>
                <w:p w14:paraId="290D29FC">
                  <w:pPr>
                    <w:jc w:val="center"/>
                    <w:rPr>
                      <w:color w:val="auto"/>
                      <w:szCs w:val="21"/>
                    </w:rPr>
                  </w:pPr>
                  <w:r>
                    <w:rPr>
                      <w:rFonts w:hint="eastAsia"/>
                      <w:color w:val="auto"/>
                      <w:szCs w:val="21"/>
                    </w:rPr>
                    <w:t>危险废物</w:t>
                  </w:r>
                </w:p>
              </w:tc>
              <w:tc>
                <w:tcPr>
                  <w:tcW w:w="472" w:type="pct"/>
                  <w:vAlign w:val="center"/>
                </w:tcPr>
                <w:p w14:paraId="2ACD8924">
                  <w:pPr>
                    <w:jc w:val="center"/>
                    <w:rPr>
                      <w:color w:val="auto"/>
                      <w:szCs w:val="21"/>
                    </w:rPr>
                  </w:pPr>
                  <w:r>
                    <w:rPr>
                      <w:color w:val="auto"/>
                      <w:szCs w:val="21"/>
                    </w:rPr>
                    <w:t>HW08</w:t>
                  </w:r>
                </w:p>
                <w:p w14:paraId="347182A9">
                  <w:pPr>
                    <w:jc w:val="center"/>
                    <w:rPr>
                      <w:color w:val="auto"/>
                      <w:szCs w:val="21"/>
                    </w:rPr>
                  </w:pPr>
                  <w:r>
                    <w:rPr>
                      <w:color w:val="auto"/>
                      <w:szCs w:val="21"/>
                    </w:rPr>
                    <w:t>900-</w:t>
                  </w:r>
                  <w:r>
                    <w:rPr>
                      <w:rFonts w:hint="eastAsia"/>
                      <w:color w:val="auto"/>
                      <w:szCs w:val="21"/>
                    </w:rPr>
                    <w:t>2</w:t>
                  </w:r>
                  <w:r>
                    <w:rPr>
                      <w:color w:val="auto"/>
                      <w:szCs w:val="21"/>
                    </w:rPr>
                    <w:t>17-08</w:t>
                  </w:r>
                </w:p>
              </w:tc>
              <w:tc>
                <w:tcPr>
                  <w:tcW w:w="315" w:type="pct"/>
                  <w:vAlign w:val="center"/>
                </w:tcPr>
                <w:p w14:paraId="1028B232">
                  <w:pPr>
                    <w:jc w:val="center"/>
                    <w:rPr>
                      <w:color w:val="auto"/>
                      <w:szCs w:val="21"/>
                    </w:rPr>
                  </w:pPr>
                  <w:r>
                    <w:rPr>
                      <w:rFonts w:hint="eastAsia"/>
                      <w:color w:val="auto"/>
                      <w:szCs w:val="21"/>
                    </w:rPr>
                    <w:t>固态</w:t>
                  </w:r>
                </w:p>
              </w:tc>
              <w:tc>
                <w:tcPr>
                  <w:tcW w:w="344" w:type="pct"/>
                  <w:vAlign w:val="center"/>
                </w:tcPr>
                <w:p w14:paraId="7A5591CA">
                  <w:pPr>
                    <w:jc w:val="center"/>
                    <w:rPr>
                      <w:color w:val="auto"/>
                      <w:szCs w:val="21"/>
                    </w:rPr>
                  </w:pPr>
                  <w:r>
                    <w:rPr>
                      <w:rFonts w:hint="eastAsia"/>
                      <w:color w:val="auto"/>
                      <w:szCs w:val="21"/>
                    </w:rPr>
                    <w:t>T，I</w:t>
                  </w:r>
                </w:p>
              </w:tc>
              <w:tc>
                <w:tcPr>
                  <w:tcW w:w="454" w:type="pct"/>
                  <w:vAlign w:val="center"/>
                </w:tcPr>
                <w:p w14:paraId="3FC6F090">
                  <w:pPr>
                    <w:jc w:val="center"/>
                    <w:rPr>
                      <w:color w:val="auto"/>
                      <w:szCs w:val="21"/>
                    </w:rPr>
                  </w:pPr>
                  <w:r>
                    <w:rPr>
                      <w:color w:val="auto"/>
                      <w:szCs w:val="21"/>
                    </w:rPr>
                    <w:t>0.1</w:t>
                  </w:r>
                </w:p>
              </w:tc>
              <w:tc>
                <w:tcPr>
                  <w:tcW w:w="533" w:type="pct"/>
                  <w:vAlign w:val="center"/>
                </w:tcPr>
                <w:p w14:paraId="4E0799A8">
                  <w:pPr>
                    <w:jc w:val="center"/>
                    <w:rPr>
                      <w:color w:val="auto"/>
                      <w:szCs w:val="21"/>
                    </w:rPr>
                  </w:pPr>
                  <w:r>
                    <w:rPr>
                      <w:rFonts w:hint="eastAsia"/>
                      <w:color w:val="auto"/>
                      <w:szCs w:val="21"/>
                    </w:rPr>
                    <w:t>桶装</w:t>
                  </w:r>
                </w:p>
              </w:tc>
              <w:tc>
                <w:tcPr>
                  <w:tcW w:w="519" w:type="pct"/>
                  <w:vMerge w:val="restart"/>
                  <w:vAlign w:val="center"/>
                </w:tcPr>
                <w:p w14:paraId="149E979A">
                  <w:pPr>
                    <w:jc w:val="center"/>
                    <w:rPr>
                      <w:color w:val="auto"/>
                      <w:szCs w:val="21"/>
                    </w:rPr>
                  </w:pPr>
                  <w:r>
                    <w:rPr>
                      <w:rFonts w:hint="eastAsia"/>
                      <w:color w:val="auto"/>
                      <w:szCs w:val="21"/>
                    </w:rPr>
                    <w:t>厂内集中收集，暂存在危废暂存间内，委托有资质单位处置</w:t>
                  </w:r>
                </w:p>
              </w:tc>
              <w:tc>
                <w:tcPr>
                  <w:tcW w:w="474" w:type="pct"/>
                  <w:vAlign w:val="center"/>
                </w:tcPr>
                <w:p w14:paraId="232AB30F">
                  <w:pPr>
                    <w:jc w:val="center"/>
                    <w:rPr>
                      <w:color w:val="auto"/>
                      <w:szCs w:val="21"/>
                    </w:rPr>
                  </w:pPr>
                  <w:r>
                    <w:rPr>
                      <w:rFonts w:hint="eastAsia"/>
                      <w:color w:val="auto"/>
                      <w:szCs w:val="21"/>
                    </w:rPr>
                    <w:t>0.1</w:t>
                  </w:r>
                </w:p>
              </w:tc>
            </w:tr>
            <w:tr w14:paraId="1DA30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 w:type="pct"/>
                  <w:vAlign w:val="center"/>
                </w:tcPr>
                <w:p w14:paraId="0C746738">
                  <w:pPr>
                    <w:jc w:val="center"/>
                    <w:rPr>
                      <w:color w:val="auto"/>
                      <w:szCs w:val="21"/>
                    </w:rPr>
                  </w:pPr>
                  <w:r>
                    <w:rPr>
                      <w:rFonts w:hint="eastAsia"/>
                      <w:color w:val="auto"/>
                      <w:szCs w:val="21"/>
                    </w:rPr>
                    <w:t>2</w:t>
                  </w:r>
                </w:p>
              </w:tc>
              <w:tc>
                <w:tcPr>
                  <w:tcW w:w="569" w:type="pct"/>
                  <w:vAlign w:val="center"/>
                </w:tcPr>
                <w:p w14:paraId="28FB985B">
                  <w:pPr>
                    <w:jc w:val="center"/>
                    <w:rPr>
                      <w:color w:val="auto"/>
                      <w:spacing w:val="-4"/>
                      <w:szCs w:val="21"/>
                    </w:rPr>
                  </w:pPr>
                  <w:r>
                    <w:rPr>
                      <w:rFonts w:hint="eastAsia"/>
                      <w:color w:val="auto"/>
                      <w:spacing w:val="-4"/>
                      <w:szCs w:val="21"/>
                    </w:rPr>
                    <w:t>废油桶</w:t>
                  </w:r>
                </w:p>
              </w:tc>
              <w:tc>
                <w:tcPr>
                  <w:tcW w:w="665" w:type="pct"/>
                  <w:vAlign w:val="center"/>
                </w:tcPr>
                <w:p w14:paraId="59459568">
                  <w:pPr>
                    <w:jc w:val="center"/>
                    <w:rPr>
                      <w:color w:val="auto"/>
                      <w:szCs w:val="21"/>
                    </w:rPr>
                  </w:pPr>
                  <w:r>
                    <w:rPr>
                      <w:rFonts w:hint="eastAsia"/>
                      <w:color w:val="auto"/>
                      <w:szCs w:val="21"/>
                    </w:rPr>
                    <w:t>设备定期保养、检修</w:t>
                  </w:r>
                </w:p>
              </w:tc>
              <w:tc>
                <w:tcPr>
                  <w:tcW w:w="422" w:type="pct"/>
                  <w:vAlign w:val="center"/>
                </w:tcPr>
                <w:p w14:paraId="06824AD4">
                  <w:pPr>
                    <w:jc w:val="center"/>
                    <w:rPr>
                      <w:color w:val="auto"/>
                      <w:szCs w:val="21"/>
                    </w:rPr>
                  </w:pPr>
                  <w:r>
                    <w:rPr>
                      <w:rFonts w:hint="eastAsia"/>
                      <w:color w:val="auto"/>
                      <w:szCs w:val="21"/>
                    </w:rPr>
                    <w:t>危险废物</w:t>
                  </w:r>
                </w:p>
              </w:tc>
              <w:tc>
                <w:tcPr>
                  <w:tcW w:w="472" w:type="pct"/>
                  <w:vAlign w:val="center"/>
                </w:tcPr>
                <w:p w14:paraId="106224E2">
                  <w:pPr>
                    <w:jc w:val="center"/>
                    <w:rPr>
                      <w:color w:val="auto"/>
                      <w:szCs w:val="21"/>
                    </w:rPr>
                  </w:pPr>
                  <w:r>
                    <w:rPr>
                      <w:color w:val="auto"/>
                      <w:szCs w:val="21"/>
                    </w:rPr>
                    <w:t>HW</w:t>
                  </w:r>
                  <w:r>
                    <w:rPr>
                      <w:rFonts w:hint="eastAsia"/>
                      <w:color w:val="auto"/>
                      <w:szCs w:val="21"/>
                    </w:rPr>
                    <w:t>49</w:t>
                  </w:r>
                </w:p>
                <w:p w14:paraId="410EAFDD">
                  <w:pPr>
                    <w:jc w:val="center"/>
                    <w:rPr>
                      <w:color w:val="auto"/>
                      <w:szCs w:val="21"/>
                    </w:rPr>
                  </w:pPr>
                  <w:r>
                    <w:rPr>
                      <w:color w:val="auto"/>
                      <w:szCs w:val="21"/>
                    </w:rPr>
                    <w:t>900-</w:t>
                  </w:r>
                  <w:r>
                    <w:rPr>
                      <w:rFonts w:hint="eastAsia"/>
                      <w:color w:val="auto"/>
                      <w:szCs w:val="21"/>
                    </w:rPr>
                    <w:t>041</w:t>
                  </w:r>
                  <w:r>
                    <w:rPr>
                      <w:color w:val="auto"/>
                      <w:szCs w:val="21"/>
                    </w:rPr>
                    <w:t>-</w:t>
                  </w:r>
                  <w:r>
                    <w:rPr>
                      <w:rFonts w:hint="eastAsia"/>
                      <w:color w:val="auto"/>
                      <w:szCs w:val="21"/>
                    </w:rPr>
                    <w:t>49</w:t>
                  </w:r>
                </w:p>
              </w:tc>
              <w:tc>
                <w:tcPr>
                  <w:tcW w:w="315" w:type="pct"/>
                  <w:vAlign w:val="center"/>
                </w:tcPr>
                <w:p w14:paraId="74CF146D">
                  <w:pPr>
                    <w:jc w:val="center"/>
                    <w:rPr>
                      <w:color w:val="auto"/>
                      <w:szCs w:val="21"/>
                    </w:rPr>
                  </w:pPr>
                  <w:r>
                    <w:rPr>
                      <w:rFonts w:hint="eastAsia"/>
                      <w:color w:val="auto"/>
                      <w:szCs w:val="21"/>
                    </w:rPr>
                    <w:t>固态</w:t>
                  </w:r>
                </w:p>
              </w:tc>
              <w:tc>
                <w:tcPr>
                  <w:tcW w:w="344" w:type="pct"/>
                  <w:vAlign w:val="center"/>
                </w:tcPr>
                <w:p w14:paraId="10E66566">
                  <w:pPr>
                    <w:jc w:val="center"/>
                    <w:rPr>
                      <w:color w:val="auto"/>
                      <w:szCs w:val="21"/>
                    </w:rPr>
                  </w:pPr>
                  <w:r>
                    <w:rPr>
                      <w:rFonts w:hint="eastAsia"/>
                      <w:color w:val="auto"/>
                      <w:szCs w:val="21"/>
                    </w:rPr>
                    <w:t>T</w:t>
                  </w:r>
                  <w:r>
                    <w:rPr>
                      <w:color w:val="auto"/>
                      <w:szCs w:val="21"/>
                    </w:rPr>
                    <w:t>/In</w:t>
                  </w:r>
                </w:p>
              </w:tc>
              <w:tc>
                <w:tcPr>
                  <w:tcW w:w="454" w:type="pct"/>
                  <w:vAlign w:val="center"/>
                </w:tcPr>
                <w:p w14:paraId="6E74B87C">
                  <w:pPr>
                    <w:jc w:val="center"/>
                    <w:rPr>
                      <w:color w:val="auto"/>
                      <w:szCs w:val="21"/>
                    </w:rPr>
                  </w:pPr>
                  <w:r>
                    <w:rPr>
                      <w:color w:val="auto"/>
                      <w:szCs w:val="21"/>
                    </w:rPr>
                    <w:t>0.</w:t>
                  </w:r>
                  <w:r>
                    <w:rPr>
                      <w:rFonts w:hint="eastAsia"/>
                      <w:color w:val="auto"/>
                      <w:szCs w:val="21"/>
                    </w:rPr>
                    <w:t>01</w:t>
                  </w:r>
                </w:p>
              </w:tc>
              <w:tc>
                <w:tcPr>
                  <w:tcW w:w="533" w:type="pct"/>
                  <w:vAlign w:val="center"/>
                </w:tcPr>
                <w:p w14:paraId="5C28AE1F">
                  <w:pPr>
                    <w:jc w:val="center"/>
                    <w:rPr>
                      <w:color w:val="auto"/>
                      <w:szCs w:val="21"/>
                    </w:rPr>
                  </w:pPr>
                  <w:r>
                    <w:rPr>
                      <w:rFonts w:hint="eastAsia"/>
                      <w:color w:val="auto"/>
                      <w:szCs w:val="21"/>
                    </w:rPr>
                    <w:t>桶装</w:t>
                  </w:r>
                </w:p>
              </w:tc>
              <w:tc>
                <w:tcPr>
                  <w:tcW w:w="519" w:type="pct"/>
                  <w:vMerge w:val="continue"/>
                  <w:vAlign w:val="center"/>
                </w:tcPr>
                <w:p w14:paraId="13F6E13F">
                  <w:pPr>
                    <w:jc w:val="center"/>
                    <w:rPr>
                      <w:color w:val="auto"/>
                      <w:szCs w:val="21"/>
                    </w:rPr>
                  </w:pPr>
                </w:p>
              </w:tc>
              <w:tc>
                <w:tcPr>
                  <w:tcW w:w="474" w:type="pct"/>
                  <w:vAlign w:val="center"/>
                </w:tcPr>
                <w:p w14:paraId="647DD5CD">
                  <w:pPr>
                    <w:jc w:val="center"/>
                    <w:rPr>
                      <w:color w:val="auto"/>
                      <w:szCs w:val="21"/>
                    </w:rPr>
                  </w:pPr>
                  <w:r>
                    <w:rPr>
                      <w:rFonts w:hint="eastAsia"/>
                      <w:color w:val="auto"/>
                      <w:szCs w:val="21"/>
                    </w:rPr>
                    <w:t>0.01</w:t>
                  </w:r>
                </w:p>
              </w:tc>
            </w:tr>
            <w:tr w14:paraId="6073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7" w:type="pct"/>
                  <w:vAlign w:val="center"/>
                </w:tcPr>
                <w:p w14:paraId="1639E7B8">
                  <w:pPr>
                    <w:jc w:val="center"/>
                    <w:rPr>
                      <w:color w:val="auto"/>
                      <w:szCs w:val="21"/>
                    </w:rPr>
                  </w:pPr>
                  <w:r>
                    <w:rPr>
                      <w:rFonts w:hint="eastAsia"/>
                      <w:color w:val="auto"/>
                      <w:szCs w:val="21"/>
                    </w:rPr>
                    <w:t>3</w:t>
                  </w:r>
                </w:p>
              </w:tc>
              <w:tc>
                <w:tcPr>
                  <w:tcW w:w="569" w:type="pct"/>
                  <w:vAlign w:val="center"/>
                </w:tcPr>
                <w:p w14:paraId="467B4CBE">
                  <w:pPr>
                    <w:jc w:val="center"/>
                    <w:rPr>
                      <w:color w:val="auto"/>
                      <w:szCs w:val="21"/>
                    </w:rPr>
                  </w:pPr>
                  <w:r>
                    <w:rPr>
                      <w:rFonts w:hint="eastAsia"/>
                      <w:color w:val="auto"/>
                      <w:spacing w:val="-4"/>
                      <w:szCs w:val="21"/>
                    </w:rPr>
                    <w:t>含油抹布、废手套</w:t>
                  </w:r>
                </w:p>
              </w:tc>
              <w:tc>
                <w:tcPr>
                  <w:tcW w:w="665" w:type="pct"/>
                  <w:vAlign w:val="center"/>
                </w:tcPr>
                <w:p w14:paraId="033BF922">
                  <w:pPr>
                    <w:jc w:val="center"/>
                    <w:rPr>
                      <w:color w:val="auto"/>
                      <w:szCs w:val="21"/>
                    </w:rPr>
                  </w:pPr>
                  <w:r>
                    <w:rPr>
                      <w:rFonts w:hint="eastAsia"/>
                      <w:color w:val="auto"/>
                      <w:szCs w:val="21"/>
                    </w:rPr>
                    <w:t>设备定期保养、检修</w:t>
                  </w:r>
                </w:p>
              </w:tc>
              <w:tc>
                <w:tcPr>
                  <w:tcW w:w="422" w:type="pct"/>
                  <w:vAlign w:val="center"/>
                </w:tcPr>
                <w:p w14:paraId="2ED1343E">
                  <w:pPr>
                    <w:jc w:val="center"/>
                    <w:rPr>
                      <w:color w:val="auto"/>
                      <w:szCs w:val="21"/>
                    </w:rPr>
                  </w:pPr>
                  <w:r>
                    <w:rPr>
                      <w:rFonts w:hint="eastAsia"/>
                      <w:color w:val="auto"/>
                      <w:szCs w:val="21"/>
                    </w:rPr>
                    <w:t>危险废物</w:t>
                  </w:r>
                </w:p>
              </w:tc>
              <w:tc>
                <w:tcPr>
                  <w:tcW w:w="472" w:type="pct"/>
                  <w:vAlign w:val="center"/>
                </w:tcPr>
                <w:p w14:paraId="5B94C0BA">
                  <w:pPr>
                    <w:jc w:val="center"/>
                    <w:rPr>
                      <w:color w:val="auto"/>
                      <w:szCs w:val="21"/>
                    </w:rPr>
                  </w:pPr>
                  <w:r>
                    <w:rPr>
                      <w:rFonts w:hint="eastAsia"/>
                      <w:color w:val="auto"/>
                      <w:szCs w:val="21"/>
                    </w:rPr>
                    <w:t>H</w:t>
                  </w:r>
                  <w:r>
                    <w:rPr>
                      <w:color w:val="auto"/>
                      <w:szCs w:val="21"/>
                    </w:rPr>
                    <w:t>W49</w:t>
                  </w:r>
                </w:p>
                <w:p w14:paraId="4AFB63A4">
                  <w:pPr>
                    <w:jc w:val="center"/>
                    <w:rPr>
                      <w:color w:val="auto"/>
                      <w:szCs w:val="21"/>
                    </w:rPr>
                  </w:pPr>
                  <w:r>
                    <w:rPr>
                      <w:rFonts w:hint="eastAsia"/>
                      <w:color w:val="auto"/>
                      <w:szCs w:val="21"/>
                    </w:rPr>
                    <w:t>9</w:t>
                  </w:r>
                  <w:r>
                    <w:rPr>
                      <w:color w:val="auto"/>
                      <w:szCs w:val="21"/>
                    </w:rPr>
                    <w:t>00-041-49</w:t>
                  </w:r>
                </w:p>
              </w:tc>
              <w:tc>
                <w:tcPr>
                  <w:tcW w:w="315" w:type="pct"/>
                  <w:vAlign w:val="center"/>
                </w:tcPr>
                <w:p w14:paraId="38F390B3">
                  <w:pPr>
                    <w:jc w:val="center"/>
                    <w:rPr>
                      <w:color w:val="auto"/>
                      <w:szCs w:val="21"/>
                    </w:rPr>
                  </w:pPr>
                  <w:r>
                    <w:rPr>
                      <w:rFonts w:hint="eastAsia"/>
                      <w:color w:val="auto"/>
                      <w:szCs w:val="21"/>
                    </w:rPr>
                    <w:t>固态</w:t>
                  </w:r>
                </w:p>
              </w:tc>
              <w:tc>
                <w:tcPr>
                  <w:tcW w:w="344" w:type="pct"/>
                  <w:vAlign w:val="center"/>
                </w:tcPr>
                <w:p w14:paraId="53A32E38">
                  <w:pPr>
                    <w:jc w:val="center"/>
                    <w:rPr>
                      <w:color w:val="auto"/>
                      <w:szCs w:val="21"/>
                    </w:rPr>
                  </w:pPr>
                  <w:r>
                    <w:rPr>
                      <w:rFonts w:hint="eastAsia"/>
                      <w:color w:val="auto"/>
                      <w:szCs w:val="21"/>
                    </w:rPr>
                    <w:t>T</w:t>
                  </w:r>
                  <w:r>
                    <w:rPr>
                      <w:color w:val="auto"/>
                      <w:szCs w:val="21"/>
                    </w:rPr>
                    <w:t>/In</w:t>
                  </w:r>
                </w:p>
              </w:tc>
              <w:tc>
                <w:tcPr>
                  <w:tcW w:w="454" w:type="pct"/>
                  <w:vAlign w:val="center"/>
                </w:tcPr>
                <w:p w14:paraId="3630EF3D">
                  <w:pPr>
                    <w:jc w:val="center"/>
                    <w:rPr>
                      <w:color w:val="auto"/>
                      <w:szCs w:val="21"/>
                    </w:rPr>
                  </w:pPr>
                  <w:r>
                    <w:rPr>
                      <w:rFonts w:hint="eastAsia"/>
                      <w:color w:val="auto"/>
                      <w:szCs w:val="21"/>
                    </w:rPr>
                    <w:t>0.001</w:t>
                  </w:r>
                </w:p>
              </w:tc>
              <w:tc>
                <w:tcPr>
                  <w:tcW w:w="533" w:type="pct"/>
                  <w:vAlign w:val="center"/>
                </w:tcPr>
                <w:p w14:paraId="0E56C949">
                  <w:pPr>
                    <w:jc w:val="center"/>
                    <w:rPr>
                      <w:color w:val="auto"/>
                      <w:szCs w:val="21"/>
                    </w:rPr>
                  </w:pPr>
                  <w:r>
                    <w:rPr>
                      <w:rFonts w:hint="eastAsia"/>
                      <w:color w:val="auto"/>
                      <w:szCs w:val="21"/>
                    </w:rPr>
                    <w:t>袋装</w:t>
                  </w:r>
                </w:p>
              </w:tc>
              <w:tc>
                <w:tcPr>
                  <w:tcW w:w="519" w:type="pct"/>
                  <w:vAlign w:val="center"/>
                </w:tcPr>
                <w:p w14:paraId="3274ABFE">
                  <w:pPr>
                    <w:jc w:val="center"/>
                    <w:rPr>
                      <w:color w:val="auto"/>
                      <w:szCs w:val="21"/>
                    </w:rPr>
                  </w:pPr>
                  <w:r>
                    <w:rPr>
                      <w:rFonts w:hint="eastAsia"/>
                      <w:color w:val="auto"/>
                      <w:szCs w:val="21"/>
                    </w:rPr>
                    <w:t>厂内集中收集，暂存在危废暂存间内，处置过程不按危废管理</w:t>
                  </w:r>
                </w:p>
              </w:tc>
              <w:tc>
                <w:tcPr>
                  <w:tcW w:w="474" w:type="pct"/>
                  <w:vAlign w:val="center"/>
                </w:tcPr>
                <w:p w14:paraId="40F70B23">
                  <w:pPr>
                    <w:jc w:val="center"/>
                    <w:rPr>
                      <w:color w:val="auto"/>
                      <w:szCs w:val="21"/>
                    </w:rPr>
                  </w:pPr>
                  <w:r>
                    <w:rPr>
                      <w:rFonts w:hint="eastAsia"/>
                      <w:color w:val="auto"/>
                      <w:szCs w:val="21"/>
                    </w:rPr>
                    <w:t>0.001</w:t>
                  </w:r>
                </w:p>
              </w:tc>
            </w:tr>
          </w:tbl>
          <w:p w14:paraId="02881C27">
            <w:pPr>
              <w:spacing w:line="360" w:lineRule="auto"/>
              <w:ind w:firstLine="422" w:firstLineChars="200"/>
              <w:jc w:val="left"/>
              <w:rPr>
                <w:b/>
                <w:color w:val="auto"/>
                <w:szCs w:val="21"/>
              </w:rPr>
            </w:pPr>
            <w:r>
              <w:rPr>
                <w:b/>
                <w:color w:val="auto"/>
                <w:szCs w:val="21"/>
              </w:rPr>
              <w:t>备注：T指毒性、I指易燃性、</w:t>
            </w:r>
            <w:r>
              <w:rPr>
                <w:rFonts w:hint="eastAsia"/>
                <w:b/>
                <w:color w:val="auto"/>
                <w:szCs w:val="21"/>
              </w:rPr>
              <w:t>In指感染性。</w:t>
            </w:r>
          </w:p>
          <w:p w14:paraId="0114B4F0">
            <w:pPr>
              <w:tabs>
                <w:tab w:val="left" w:pos="426"/>
              </w:tabs>
              <w:spacing w:line="360" w:lineRule="auto"/>
              <w:ind w:firstLine="482" w:firstLineChars="200"/>
              <w:rPr>
                <w:b/>
                <w:color w:val="auto"/>
                <w:sz w:val="24"/>
                <w:szCs w:val="24"/>
              </w:rPr>
            </w:pPr>
            <w:r>
              <w:rPr>
                <w:rFonts w:hint="eastAsia"/>
                <w:b/>
                <w:color w:val="auto"/>
                <w:sz w:val="24"/>
                <w:szCs w:val="32"/>
              </w:rPr>
              <w:t>4.1固体废物</w:t>
            </w:r>
            <w:r>
              <w:rPr>
                <w:b/>
                <w:color w:val="auto"/>
                <w:sz w:val="24"/>
                <w:szCs w:val="32"/>
              </w:rPr>
              <w:t>环境管理要求</w:t>
            </w:r>
          </w:p>
          <w:p w14:paraId="03DD0E4E">
            <w:pPr>
              <w:widowControl/>
              <w:spacing w:line="360" w:lineRule="auto"/>
              <w:ind w:firstLine="482" w:firstLineChars="200"/>
              <w:jc w:val="left"/>
              <w:rPr>
                <w:b/>
                <w:color w:val="auto"/>
                <w:sz w:val="24"/>
                <w:szCs w:val="24"/>
              </w:rPr>
            </w:pPr>
            <w:r>
              <w:rPr>
                <w:b/>
                <w:color w:val="auto"/>
                <w:sz w:val="24"/>
                <w:szCs w:val="24"/>
              </w:rPr>
              <w:t>4.1固体废物环境管理要求</w:t>
            </w:r>
            <w:r>
              <w:rPr>
                <w:rFonts w:hint="eastAsia"/>
                <w:b/>
                <w:color w:val="auto"/>
                <w:sz w:val="24"/>
                <w:szCs w:val="24"/>
              </w:rPr>
              <w:t xml:space="preserve"> </w:t>
            </w:r>
            <w:r>
              <w:rPr>
                <w:b/>
                <w:color w:val="auto"/>
                <w:sz w:val="24"/>
                <w:szCs w:val="24"/>
              </w:rPr>
              <w:t xml:space="preserve"> </w:t>
            </w:r>
          </w:p>
          <w:p w14:paraId="1BF09CD0">
            <w:pPr>
              <w:keepNext/>
              <w:keepLines/>
              <w:spacing w:line="360" w:lineRule="auto"/>
              <w:ind w:firstLine="480" w:firstLineChars="200"/>
              <w:rPr>
                <w:color w:val="auto"/>
                <w:sz w:val="24"/>
                <w:szCs w:val="24"/>
              </w:rPr>
            </w:pPr>
            <w:r>
              <w:rPr>
                <w:color w:val="auto"/>
                <w:sz w:val="24"/>
                <w:szCs w:val="24"/>
              </w:rPr>
              <w:t>（1）</w:t>
            </w:r>
            <w:r>
              <w:rPr>
                <w:bCs/>
                <w:color w:val="auto"/>
                <w:sz w:val="24"/>
                <w:szCs w:val="32"/>
              </w:rPr>
              <w:t>危险废物贮存场所环境管理要求</w:t>
            </w:r>
          </w:p>
          <w:p w14:paraId="1BA96FAB">
            <w:pPr>
              <w:spacing w:line="360" w:lineRule="auto"/>
              <w:ind w:firstLine="480" w:firstLineChars="200"/>
              <w:rPr>
                <w:color w:val="auto"/>
                <w:sz w:val="24"/>
                <w:szCs w:val="24"/>
              </w:rPr>
            </w:pPr>
            <w:r>
              <w:rPr>
                <w:rFonts w:hint="eastAsia"/>
                <w:color w:val="auto"/>
                <w:sz w:val="24"/>
                <w:szCs w:val="24"/>
              </w:rPr>
              <w:t>根据</w:t>
            </w:r>
            <w:r>
              <w:rPr>
                <w:color w:val="auto"/>
                <w:sz w:val="24"/>
                <w:szCs w:val="24"/>
              </w:rPr>
              <w:t>《危险废物贮存污染控制标准》（GB18597-2023），危险废物</w:t>
            </w:r>
            <w:r>
              <w:rPr>
                <w:rFonts w:hint="eastAsia"/>
                <w:color w:val="auto"/>
                <w:sz w:val="24"/>
                <w:szCs w:val="24"/>
              </w:rPr>
              <w:t>贮存库</w:t>
            </w:r>
            <w:r>
              <w:rPr>
                <w:color w:val="auto"/>
                <w:sz w:val="24"/>
                <w:szCs w:val="24"/>
              </w:rPr>
              <w:t>环境管理要求如下：</w:t>
            </w:r>
          </w:p>
          <w:p w14:paraId="479686B5">
            <w:pPr>
              <w:tabs>
                <w:tab w:val="left" w:pos="426"/>
              </w:tabs>
              <w:spacing w:line="360" w:lineRule="auto"/>
              <w:ind w:firstLine="435"/>
              <w:rPr>
                <w:color w:val="auto"/>
                <w:sz w:val="24"/>
                <w:szCs w:val="24"/>
              </w:rPr>
            </w:pPr>
            <w:r>
              <w:rPr>
                <w:rFonts w:ascii="宋体" w:hAnsi="宋体"/>
                <w:color w:val="auto"/>
                <w:sz w:val="24"/>
                <w:szCs w:val="24"/>
              </w:rPr>
              <w:t>①</w:t>
            </w:r>
            <w:r>
              <w:rPr>
                <w:rFonts w:hint="eastAsia" w:ascii="宋体" w:hAnsi="宋体"/>
                <w:color w:val="auto"/>
                <w:sz w:val="24"/>
                <w:szCs w:val="24"/>
              </w:rPr>
              <w:t>贮存库内不同贮存分区之间应采取隔离措施</w:t>
            </w:r>
            <w:r>
              <w:rPr>
                <w:rFonts w:hint="eastAsia"/>
                <w:color w:val="auto"/>
                <w:sz w:val="24"/>
                <w:szCs w:val="24"/>
              </w:rPr>
              <w:t>。隔离措施可根据危险废物特性采用过道、隔板或隔墙等方式。</w:t>
            </w:r>
          </w:p>
          <w:p w14:paraId="2E0F79FD">
            <w:pPr>
              <w:tabs>
                <w:tab w:val="left" w:pos="426"/>
              </w:tabs>
              <w:spacing w:line="360" w:lineRule="auto"/>
              <w:ind w:firstLine="435"/>
              <w:rPr>
                <w:color w:val="auto"/>
                <w:sz w:val="24"/>
                <w:szCs w:val="24"/>
              </w:rPr>
            </w:pPr>
            <w:r>
              <w:rPr>
                <w:rFonts w:hint="eastAsia"/>
                <w:color w:val="auto"/>
                <w:sz w:val="24"/>
                <w:szCs w:val="24"/>
              </w:rPr>
              <w:t>②在贮存库内或通过贮存分区方式贮存液态危险废物的，应具有液体泄漏堵截设施，堵截设施最小容积不应低于对应贮存区域最大液态废物容器容积或液态废物总储量1</w:t>
            </w:r>
            <w:r>
              <w:rPr>
                <w:color w:val="auto"/>
                <w:sz w:val="24"/>
                <w:szCs w:val="24"/>
              </w:rPr>
              <w:t>/10</w:t>
            </w:r>
            <w:r>
              <w:rPr>
                <w:rFonts w:hint="eastAsia"/>
                <w:color w:val="auto"/>
                <w:sz w:val="24"/>
                <w:szCs w:val="24"/>
              </w:rPr>
              <w:t>（二者取较大值）；用于贮存可能产生渗滤液的危险废物的贮存库或贮存分区应设计渗滤液收集设施，收集设施容积应满足渗滤液的收集要求。</w:t>
            </w:r>
          </w:p>
          <w:p w14:paraId="20DB3F18">
            <w:pPr>
              <w:tabs>
                <w:tab w:val="left" w:pos="426"/>
              </w:tabs>
              <w:spacing w:line="360" w:lineRule="auto"/>
              <w:ind w:firstLine="435"/>
              <w:rPr>
                <w:color w:val="auto"/>
                <w:sz w:val="24"/>
                <w:szCs w:val="24"/>
              </w:rPr>
            </w:pPr>
            <w:r>
              <w:rPr>
                <w:color w:val="auto"/>
                <w:sz w:val="24"/>
                <w:szCs w:val="24"/>
              </w:rPr>
              <w:t>本项目危废暂存间基本情况详见表4-</w:t>
            </w:r>
            <w:r>
              <w:rPr>
                <w:rFonts w:hint="eastAsia"/>
                <w:color w:val="auto"/>
                <w:sz w:val="24"/>
                <w:szCs w:val="24"/>
              </w:rPr>
              <w:t>1</w:t>
            </w:r>
            <w:r>
              <w:rPr>
                <w:rFonts w:hint="eastAsia"/>
                <w:color w:val="auto"/>
                <w:sz w:val="24"/>
                <w:szCs w:val="24"/>
                <w:lang w:val="en-US" w:eastAsia="zh-CN"/>
              </w:rPr>
              <w:t>3</w:t>
            </w:r>
            <w:r>
              <w:rPr>
                <w:color w:val="auto"/>
                <w:sz w:val="24"/>
                <w:szCs w:val="24"/>
              </w:rPr>
              <w:t>。</w:t>
            </w:r>
          </w:p>
          <w:p w14:paraId="447EC07C">
            <w:pPr>
              <w:tabs>
                <w:tab w:val="left" w:pos="426"/>
              </w:tabs>
              <w:spacing w:line="360" w:lineRule="auto"/>
              <w:ind w:firstLine="435"/>
              <w:jc w:val="center"/>
              <w:rPr>
                <w:b/>
                <w:color w:val="auto"/>
                <w:szCs w:val="24"/>
              </w:rPr>
            </w:pPr>
            <w:r>
              <w:rPr>
                <w:b/>
                <w:color w:val="auto"/>
                <w:szCs w:val="24"/>
              </w:rPr>
              <w:t>表4-</w:t>
            </w:r>
            <w:r>
              <w:rPr>
                <w:rFonts w:hint="eastAsia"/>
                <w:b/>
                <w:color w:val="auto"/>
                <w:szCs w:val="24"/>
              </w:rPr>
              <w:t>1</w:t>
            </w:r>
            <w:r>
              <w:rPr>
                <w:rFonts w:hint="eastAsia"/>
                <w:b/>
                <w:color w:val="auto"/>
                <w:szCs w:val="24"/>
                <w:lang w:val="en-US" w:eastAsia="zh-CN"/>
              </w:rPr>
              <w:t>3</w:t>
            </w:r>
            <w:r>
              <w:rPr>
                <w:rFonts w:hint="eastAsia"/>
                <w:b/>
                <w:color w:val="auto"/>
                <w:szCs w:val="24"/>
              </w:rPr>
              <w:t xml:space="preserve"> </w:t>
            </w:r>
            <w:r>
              <w:rPr>
                <w:b/>
                <w:color w:val="auto"/>
                <w:szCs w:val="24"/>
              </w:rPr>
              <w:t>建设项目危废暂存间基本情况一览表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1"/>
              <w:gridCol w:w="2058"/>
              <w:gridCol w:w="1373"/>
              <w:gridCol w:w="2258"/>
              <w:gridCol w:w="1043"/>
              <w:gridCol w:w="1432"/>
              <w:gridCol w:w="992"/>
              <w:gridCol w:w="1368"/>
              <w:gridCol w:w="1051"/>
            </w:tblGrid>
            <w:tr w14:paraId="19B37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Align w:val="center"/>
                </w:tcPr>
                <w:p w14:paraId="2FB01623">
                  <w:pPr>
                    <w:tabs>
                      <w:tab w:val="left" w:pos="426"/>
                    </w:tabs>
                    <w:spacing w:line="360" w:lineRule="auto"/>
                    <w:jc w:val="center"/>
                    <w:rPr>
                      <w:b/>
                      <w:color w:val="auto"/>
                      <w:szCs w:val="24"/>
                    </w:rPr>
                  </w:pPr>
                  <w:r>
                    <w:rPr>
                      <w:rFonts w:hAnsi="宋体"/>
                      <w:b/>
                      <w:color w:val="auto"/>
                      <w:szCs w:val="24"/>
                    </w:rPr>
                    <w:t>贮存场所名称</w:t>
                  </w:r>
                </w:p>
              </w:tc>
              <w:tc>
                <w:tcPr>
                  <w:tcW w:w="805" w:type="pct"/>
                  <w:vAlign w:val="center"/>
                </w:tcPr>
                <w:p w14:paraId="35F47D8C">
                  <w:pPr>
                    <w:tabs>
                      <w:tab w:val="left" w:pos="426"/>
                    </w:tabs>
                    <w:spacing w:line="360" w:lineRule="auto"/>
                    <w:jc w:val="center"/>
                    <w:rPr>
                      <w:rFonts w:hAnsi="宋体"/>
                      <w:b/>
                      <w:color w:val="auto"/>
                      <w:szCs w:val="24"/>
                    </w:rPr>
                  </w:pPr>
                  <w:r>
                    <w:rPr>
                      <w:rFonts w:hAnsi="宋体"/>
                      <w:b/>
                      <w:color w:val="auto"/>
                      <w:szCs w:val="24"/>
                    </w:rPr>
                    <w:t>危险废物</w:t>
                  </w:r>
                </w:p>
                <w:p w14:paraId="6F23CCB5">
                  <w:pPr>
                    <w:tabs>
                      <w:tab w:val="left" w:pos="426"/>
                    </w:tabs>
                    <w:spacing w:line="360" w:lineRule="auto"/>
                    <w:jc w:val="center"/>
                    <w:rPr>
                      <w:b/>
                      <w:color w:val="auto"/>
                      <w:szCs w:val="24"/>
                    </w:rPr>
                  </w:pPr>
                  <w:r>
                    <w:rPr>
                      <w:rFonts w:hAnsi="宋体"/>
                      <w:b/>
                      <w:color w:val="auto"/>
                      <w:szCs w:val="24"/>
                    </w:rPr>
                    <w:t>名称</w:t>
                  </w:r>
                </w:p>
              </w:tc>
              <w:tc>
                <w:tcPr>
                  <w:tcW w:w="537" w:type="pct"/>
                  <w:vAlign w:val="center"/>
                </w:tcPr>
                <w:p w14:paraId="72E802A8">
                  <w:pPr>
                    <w:tabs>
                      <w:tab w:val="left" w:pos="426"/>
                    </w:tabs>
                    <w:spacing w:line="360" w:lineRule="auto"/>
                    <w:jc w:val="center"/>
                    <w:rPr>
                      <w:b/>
                      <w:color w:val="auto"/>
                      <w:szCs w:val="24"/>
                    </w:rPr>
                  </w:pPr>
                  <w:r>
                    <w:rPr>
                      <w:rFonts w:hAnsi="宋体"/>
                      <w:b/>
                      <w:color w:val="auto"/>
                      <w:szCs w:val="24"/>
                    </w:rPr>
                    <w:t>危险废物类别</w:t>
                  </w:r>
                </w:p>
              </w:tc>
              <w:tc>
                <w:tcPr>
                  <w:tcW w:w="883" w:type="pct"/>
                  <w:vAlign w:val="center"/>
                </w:tcPr>
                <w:p w14:paraId="199145DE">
                  <w:pPr>
                    <w:tabs>
                      <w:tab w:val="left" w:pos="426"/>
                    </w:tabs>
                    <w:spacing w:line="360" w:lineRule="auto"/>
                    <w:jc w:val="center"/>
                    <w:rPr>
                      <w:rFonts w:hAnsi="宋体"/>
                      <w:b/>
                      <w:color w:val="auto"/>
                      <w:szCs w:val="24"/>
                    </w:rPr>
                  </w:pPr>
                  <w:r>
                    <w:rPr>
                      <w:rFonts w:hAnsi="宋体"/>
                      <w:b/>
                      <w:color w:val="auto"/>
                      <w:szCs w:val="24"/>
                    </w:rPr>
                    <w:t>危险废物</w:t>
                  </w:r>
                </w:p>
                <w:p w14:paraId="61ACBC7A">
                  <w:pPr>
                    <w:tabs>
                      <w:tab w:val="left" w:pos="426"/>
                    </w:tabs>
                    <w:spacing w:line="360" w:lineRule="auto"/>
                    <w:jc w:val="center"/>
                    <w:rPr>
                      <w:b/>
                      <w:color w:val="auto"/>
                      <w:szCs w:val="24"/>
                    </w:rPr>
                  </w:pPr>
                  <w:r>
                    <w:rPr>
                      <w:rFonts w:hAnsi="宋体"/>
                      <w:b/>
                      <w:color w:val="auto"/>
                      <w:szCs w:val="24"/>
                    </w:rPr>
                    <w:t>代码</w:t>
                  </w:r>
                </w:p>
              </w:tc>
              <w:tc>
                <w:tcPr>
                  <w:tcW w:w="408" w:type="pct"/>
                  <w:vAlign w:val="center"/>
                </w:tcPr>
                <w:p w14:paraId="798904CC">
                  <w:pPr>
                    <w:tabs>
                      <w:tab w:val="left" w:pos="426"/>
                    </w:tabs>
                    <w:spacing w:line="360" w:lineRule="auto"/>
                    <w:jc w:val="center"/>
                    <w:rPr>
                      <w:b/>
                      <w:color w:val="auto"/>
                      <w:szCs w:val="24"/>
                    </w:rPr>
                  </w:pPr>
                  <w:r>
                    <w:rPr>
                      <w:rFonts w:hAnsi="宋体"/>
                      <w:b/>
                      <w:color w:val="auto"/>
                      <w:szCs w:val="24"/>
                    </w:rPr>
                    <w:t>位置</w:t>
                  </w:r>
                </w:p>
              </w:tc>
              <w:tc>
                <w:tcPr>
                  <w:tcW w:w="560" w:type="pct"/>
                  <w:vAlign w:val="center"/>
                </w:tcPr>
                <w:p w14:paraId="75224077">
                  <w:pPr>
                    <w:tabs>
                      <w:tab w:val="left" w:pos="426"/>
                    </w:tabs>
                    <w:spacing w:line="360" w:lineRule="auto"/>
                    <w:jc w:val="center"/>
                    <w:rPr>
                      <w:b/>
                      <w:color w:val="auto"/>
                      <w:szCs w:val="24"/>
                    </w:rPr>
                  </w:pPr>
                  <w:r>
                    <w:rPr>
                      <w:rFonts w:hAnsi="宋体"/>
                      <w:b/>
                      <w:color w:val="auto"/>
                      <w:szCs w:val="24"/>
                    </w:rPr>
                    <w:t>占地面积（</w:t>
                  </w:r>
                  <w:r>
                    <w:rPr>
                      <w:b/>
                      <w:color w:val="auto"/>
                      <w:szCs w:val="24"/>
                    </w:rPr>
                    <w:t>m</w:t>
                  </w:r>
                  <w:r>
                    <w:rPr>
                      <w:b/>
                      <w:color w:val="auto"/>
                      <w:szCs w:val="24"/>
                      <w:vertAlign w:val="superscript"/>
                    </w:rPr>
                    <w:t>2</w:t>
                  </w:r>
                  <w:r>
                    <w:rPr>
                      <w:b/>
                      <w:color w:val="auto"/>
                      <w:szCs w:val="24"/>
                    </w:rPr>
                    <w:t>）</w:t>
                  </w:r>
                </w:p>
              </w:tc>
              <w:tc>
                <w:tcPr>
                  <w:tcW w:w="388" w:type="pct"/>
                  <w:vAlign w:val="center"/>
                </w:tcPr>
                <w:p w14:paraId="1115FB65">
                  <w:pPr>
                    <w:tabs>
                      <w:tab w:val="left" w:pos="426"/>
                    </w:tabs>
                    <w:spacing w:line="360" w:lineRule="auto"/>
                    <w:jc w:val="center"/>
                    <w:rPr>
                      <w:b/>
                      <w:color w:val="auto"/>
                      <w:szCs w:val="24"/>
                    </w:rPr>
                  </w:pPr>
                  <w:r>
                    <w:rPr>
                      <w:rFonts w:hAnsi="宋体"/>
                      <w:b/>
                      <w:color w:val="auto"/>
                      <w:szCs w:val="24"/>
                    </w:rPr>
                    <w:t>贮存方式</w:t>
                  </w:r>
                </w:p>
              </w:tc>
              <w:tc>
                <w:tcPr>
                  <w:tcW w:w="535" w:type="pct"/>
                  <w:vAlign w:val="center"/>
                </w:tcPr>
                <w:p w14:paraId="56CFB15C">
                  <w:pPr>
                    <w:tabs>
                      <w:tab w:val="left" w:pos="426"/>
                    </w:tabs>
                    <w:spacing w:line="360" w:lineRule="auto"/>
                    <w:jc w:val="center"/>
                    <w:rPr>
                      <w:b/>
                      <w:color w:val="auto"/>
                      <w:szCs w:val="24"/>
                    </w:rPr>
                  </w:pPr>
                  <w:r>
                    <w:rPr>
                      <w:rFonts w:hint="eastAsia" w:hAnsi="宋体"/>
                      <w:b/>
                      <w:color w:val="auto"/>
                      <w:szCs w:val="24"/>
                    </w:rPr>
                    <w:t>最大</w:t>
                  </w:r>
                  <w:r>
                    <w:rPr>
                      <w:rFonts w:hAnsi="宋体"/>
                      <w:b/>
                      <w:color w:val="auto"/>
                      <w:szCs w:val="24"/>
                    </w:rPr>
                    <w:t>贮存能力</w:t>
                  </w:r>
                  <w:r>
                    <w:rPr>
                      <w:rFonts w:hint="eastAsia" w:hAnsi="宋体"/>
                      <w:b/>
                      <w:color w:val="auto"/>
                      <w:szCs w:val="24"/>
                    </w:rPr>
                    <w:t>（t）</w:t>
                  </w:r>
                </w:p>
              </w:tc>
              <w:tc>
                <w:tcPr>
                  <w:tcW w:w="411" w:type="pct"/>
                  <w:vAlign w:val="center"/>
                </w:tcPr>
                <w:p w14:paraId="7E55F23B">
                  <w:pPr>
                    <w:tabs>
                      <w:tab w:val="left" w:pos="426"/>
                    </w:tabs>
                    <w:spacing w:line="360" w:lineRule="auto"/>
                    <w:jc w:val="center"/>
                    <w:rPr>
                      <w:rFonts w:hAnsi="宋体"/>
                      <w:b/>
                      <w:color w:val="auto"/>
                      <w:szCs w:val="24"/>
                    </w:rPr>
                  </w:pPr>
                  <w:r>
                    <w:rPr>
                      <w:rFonts w:hAnsi="宋体"/>
                      <w:b/>
                      <w:color w:val="auto"/>
                      <w:szCs w:val="24"/>
                    </w:rPr>
                    <w:t>贮存</w:t>
                  </w:r>
                </w:p>
                <w:p w14:paraId="30387789">
                  <w:pPr>
                    <w:tabs>
                      <w:tab w:val="left" w:pos="426"/>
                    </w:tabs>
                    <w:spacing w:line="360" w:lineRule="auto"/>
                    <w:jc w:val="center"/>
                    <w:rPr>
                      <w:b/>
                      <w:color w:val="auto"/>
                      <w:szCs w:val="24"/>
                    </w:rPr>
                  </w:pPr>
                  <w:r>
                    <w:rPr>
                      <w:rFonts w:hAnsi="宋体"/>
                      <w:b/>
                      <w:color w:val="auto"/>
                      <w:szCs w:val="24"/>
                    </w:rPr>
                    <w:t>周期</w:t>
                  </w:r>
                </w:p>
              </w:tc>
            </w:tr>
            <w:tr w14:paraId="1CFED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restart"/>
                  <w:vAlign w:val="center"/>
                </w:tcPr>
                <w:p w14:paraId="52E808CE">
                  <w:pPr>
                    <w:tabs>
                      <w:tab w:val="left" w:pos="426"/>
                    </w:tabs>
                    <w:spacing w:line="360" w:lineRule="auto"/>
                    <w:jc w:val="center"/>
                    <w:rPr>
                      <w:color w:val="auto"/>
                      <w:szCs w:val="24"/>
                    </w:rPr>
                  </w:pPr>
                  <w:r>
                    <w:rPr>
                      <w:rFonts w:hAnsi="宋体"/>
                      <w:color w:val="auto"/>
                      <w:szCs w:val="24"/>
                    </w:rPr>
                    <w:t>危废暂存间</w:t>
                  </w:r>
                </w:p>
              </w:tc>
              <w:tc>
                <w:tcPr>
                  <w:tcW w:w="805" w:type="pct"/>
                  <w:vAlign w:val="center"/>
                </w:tcPr>
                <w:p w14:paraId="30CCDBEA">
                  <w:pPr>
                    <w:spacing w:line="336" w:lineRule="auto"/>
                    <w:jc w:val="center"/>
                    <w:rPr>
                      <w:color w:val="auto"/>
                      <w:szCs w:val="21"/>
                    </w:rPr>
                  </w:pPr>
                  <w:r>
                    <w:rPr>
                      <w:rFonts w:hint="eastAsia"/>
                      <w:color w:val="auto"/>
                      <w:szCs w:val="21"/>
                    </w:rPr>
                    <w:t>废润滑油</w:t>
                  </w:r>
                </w:p>
              </w:tc>
              <w:tc>
                <w:tcPr>
                  <w:tcW w:w="537" w:type="pct"/>
                  <w:vAlign w:val="center"/>
                </w:tcPr>
                <w:p w14:paraId="0DB463F0">
                  <w:pPr>
                    <w:tabs>
                      <w:tab w:val="left" w:pos="426"/>
                    </w:tabs>
                    <w:spacing w:line="360" w:lineRule="auto"/>
                    <w:jc w:val="center"/>
                    <w:rPr>
                      <w:color w:val="auto"/>
                      <w:kern w:val="0"/>
                      <w:szCs w:val="21"/>
                    </w:rPr>
                  </w:pPr>
                  <w:r>
                    <w:rPr>
                      <w:rFonts w:hint="eastAsia"/>
                      <w:color w:val="auto"/>
                      <w:kern w:val="0"/>
                      <w:szCs w:val="21"/>
                    </w:rPr>
                    <w:t>HW08</w:t>
                  </w:r>
                </w:p>
              </w:tc>
              <w:tc>
                <w:tcPr>
                  <w:tcW w:w="883" w:type="pct"/>
                  <w:vAlign w:val="center"/>
                </w:tcPr>
                <w:p w14:paraId="6EEBDB04">
                  <w:pPr>
                    <w:jc w:val="center"/>
                    <w:rPr>
                      <w:color w:val="auto"/>
                      <w:kern w:val="0"/>
                      <w:szCs w:val="21"/>
                    </w:rPr>
                  </w:pPr>
                  <w:r>
                    <w:rPr>
                      <w:color w:val="auto"/>
                      <w:szCs w:val="21"/>
                    </w:rPr>
                    <w:t>900-</w:t>
                  </w:r>
                  <w:r>
                    <w:rPr>
                      <w:rFonts w:hint="eastAsia"/>
                      <w:color w:val="auto"/>
                      <w:szCs w:val="21"/>
                    </w:rPr>
                    <w:t>2</w:t>
                  </w:r>
                  <w:r>
                    <w:rPr>
                      <w:color w:val="auto"/>
                      <w:szCs w:val="21"/>
                    </w:rPr>
                    <w:t>17-08</w:t>
                  </w:r>
                </w:p>
              </w:tc>
              <w:tc>
                <w:tcPr>
                  <w:tcW w:w="408" w:type="pct"/>
                  <w:vMerge w:val="restart"/>
                  <w:vAlign w:val="center"/>
                </w:tcPr>
                <w:p w14:paraId="039304F5">
                  <w:pPr>
                    <w:tabs>
                      <w:tab w:val="left" w:pos="426"/>
                    </w:tabs>
                    <w:spacing w:line="360" w:lineRule="auto"/>
                    <w:jc w:val="center"/>
                    <w:rPr>
                      <w:color w:val="auto"/>
                      <w:szCs w:val="24"/>
                    </w:rPr>
                  </w:pPr>
                  <w:r>
                    <w:rPr>
                      <w:rFonts w:hint="eastAsia" w:hAnsi="宋体"/>
                      <w:color w:val="auto"/>
                      <w:szCs w:val="24"/>
                    </w:rPr>
                    <w:t>生产车间东南侧</w:t>
                  </w:r>
                </w:p>
              </w:tc>
              <w:tc>
                <w:tcPr>
                  <w:tcW w:w="560" w:type="pct"/>
                  <w:vMerge w:val="restart"/>
                  <w:vAlign w:val="center"/>
                </w:tcPr>
                <w:p w14:paraId="58D398A2">
                  <w:pPr>
                    <w:tabs>
                      <w:tab w:val="left" w:pos="426"/>
                    </w:tabs>
                    <w:spacing w:line="360" w:lineRule="auto"/>
                    <w:jc w:val="center"/>
                    <w:rPr>
                      <w:color w:val="auto"/>
                      <w:szCs w:val="24"/>
                    </w:rPr>
                  </w:pPr>
                  <w:r>
                    <w:rPr>
                      <w:rFonts w:hint="eastAsia"/>
                      <w:color w:val="auto"/>
                      <w:szCs w:val="24"/>
                    </w:rPr>
                    <w:t>3</w:t>
                  </w:r>
                </w:p>
              </w:tc>
              <w:tc>
                <w:tcPr>
                  <w:tcW w:w="388" w:type="pct"/>
                  <w:vAlign w:val="center"/>
                </w:tcPr>
                <w:p w14:paraId="28E85EEC">
                  <w:pPr>
                    <w:tabs>
                      <w:tab w:val="left" w:pos="426"/>
                    </w:tabs>
                    <w:spacing w:line="360" w:lineRule="auto"/>
                    <w:jc w:val="center"/>
                    <w:rPr>
                      <w:color w:val="auto"/>
                      <w:szCs w:val="24"/>
                    </w:rPr>
                  </w:pPr>
                  <w:r>
                    <w:rPr>
                      <w:rFonts w:hint="eastAsia"/>
                      <w:color w:val="auto"/>
                      <w:szCs w:val="24"/>
                    </w:rPr>
                    <w:t>桶装</w:t>
                  </w:r>
                </w:p>
              </w:tc>
              <w:tc>
                <w:tcPr>
                  <w:tcW w:w="535" w:type="pct"/>
                  <w:vAlign w:val="center"/>
                </w:tcPr>
                <w:p w14:paraId="4B46853A">
                  <w:pPr>
                    <w:tabs>
                      <w:tab w:val="left" w:pos="426"/>
                    </w:tabs>
                    <w:spacing w:line="360" w:lineRule="auto"/>
                    <w:jc w:val="center"/>
                    <w:rPr>
                      <w:color w:val="auto"/>
                      <w:szCs w:val="24"/>
                    </w:rPr>
                  </w:pPr>
                  <w:r>
                    <w:rPr>
                      <w:rFonts w:hint="eastAsia"/>
                      <w:color w:val="auto"/>
                      <w:szCs w:val="24"/>
                    </w:rPr>
                    <w:t>0</w:t>
                  </w:r>
                  <w:r>
                    <w:rPr>
                      <w:color w:val="auto"/>
                      <w:szCs w:val="24"/>
                    </w:rPr>
                    <w:t>.</w:t>
                  </w:r>
                  <w:r>
                    <w:rPr>
                      <w:rFonts w:hint="eastAsia"/>
                      <w:color w:val="auto"/>
                      <w:szCs w:val="24"/>
                    </w:rPr>
                    <w:t>1</w:t>
                  </w:r>
                </w:p>
              </w:tc>
              <w:tc>
                <w:tcPr>
                  <w:tcW w:w="411" w:type="pct"/>
                  <w:vMerge w:val="restart"/>
                  <w:vAlign w:val="center"/>
                </w:tcPr>
                <w:p w14:paraId="4206BAE7">
                  <w:pPr>
                    <w:tabs>
                      <w:tab w:val="left" w:pos="426"/>
                    </w:tabs>
                    <w:spacing w:line="360" w:lineRule="auto"/>
                    <w:jc w:val="center"/>
                    <w:rPr>
                      <w:color w:val="auto"/>
                      <w:szCs w:val="24"/>
                    </w:rPr>
                  </w:pPr>
                  <w:r>
                    <w:rPr>
                      <w:color w:val="auto"/>
                      <w:szCs w:val="24"/>
                    </w:rPr>
                    <w:t>6</w:t>
                  </w:r>
                  <w:r>
                    <w:rPr>
                      <w:rFonts w:hint="eastAsia"/>
                      <w:color w:val="auto"/>
                      <w:szCs w:val="24"/>
                    </w:rPr>
                    <w:t>个月</w:t>
                  </w:r>
                </w:p>
              </w:tc>
            </w:tr>
            <w:tr w14:paraId="743A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 w:type="pct"/>
                  <w:vMerge w:val="continue"/>
                  <w:vAlign w:val="center"/>
                </w:tcPr>
                <w:p w14:paraId="40C75816">
                  <w:pPr>
                    <w:tabs>
                      <w:tab w:val="left" w:pos="426"/>
                    </w:tabs>
                    <w:spacing w:line="360" w:lineRule="auto"/>
                    <w:jc w:val="center"/>
                    <w:rPr>
                      <w:rFonts w:hAnsi="宋体"/>
                      <w:color w:val="auto"/>
                      <w:szCs w:val="24"/>
                    </w:rPr>
                  </w:pPr>
                </w:p>
              </w:tc>
              <w:tc>
                <w:tcPr>
                  <w:tcW w:w="805" w:type="pct"/>
                  <w:vAlign w:val="center"/>
                </w:tcPr>
                <w:p w14:paraId="6F958340">
                  <w:pPr>
                    <w:jc w:val="center"/>
                    <w:rPr>
                      <w:color w:val="auto"/>
                      <w:szCs w:val="21"/>
                    </w:rPr>
                  </w:pPr>
                  <w:r>
                    <w:rPr>
                      <w:rFonts w:hint="eastAsia"/>
                      <w:color w:val="auto"/>
                      <w:spacing w:val="-4"/>
                      <w:szCs w:val="21"/>
                    </w:rPr>
                    <w:t>废油桶</w:t>
                  </w:r>
                </w:p>
              </w:tc>
              <w:tc>
                <w:tcPr>
                  <w:tcW w:w="537" w:type="pct"/>
                  <w:vAlign w:val="center"/>
                </w:tcPr>
                <w:p w14:paraId="00AC367F">
                  <w:pPr>
                    <w:tabs>
                      <w:tab w:val="left" w:pos="426"/>
                    </w:tabs>
                    <w:spacing w:line="360" w:lineRule="auto"/>
                    <w:jc w:val="center"/>
                    <w:rPr>
                      <w:color w:val="auto"/>
                      <w:kern w:val="0"/>
                      <w:szCs w:val="21"/>
                    </w:rPr>
                  </w:pPr>
                  <w:r>
                    <w:rPr>
                      <w:rFonts w:hint="eastAsia"/>
                      <w:color w:val="auto"/>
                      <w:kern w:val="0"/>
                      <w:szCs w:val="21"/>
                    </w:rPr>
                    <w:t>HW49</w:t>
                  </w:r>
                </w:p>
              </w:tc>
              <w:tc>
                <w:tcPr>
                  <w:tcW w:w="883" w:type="pct"/>
                  <w:vAlign w:val="center"/>
                </w:tcPr>
                <w:p w14:paraId="57D79C9A">
                  <w:pPr>
                    <w:jc w:val="center"/>
                    <w:rPr>
                      <w:color w:val="auto"/>
                      <w:szCs w:val="21"/>
                    </w:rPr>
                  </w:pPr>
                  <w:r>
                    <w:rPr>
                      <w:color w:val="auto"/>
                      <w:szCs w:val="21"/>
                    </w:rPr>
                    <w:t>900-</w:t>
                  </w:r>
                  <w:r>
                    <w:rPr>
                      <w:rFonts w:hint="eastAsia"/>
                      <w:color w:val="auto"/>
                      <w:szCs w:val="21"/>
                    </w:rPr>
                    <w:t>041</w:t>
                  </w:r>
                  <w:r>
                    <w:rPr>
                      <w:color w:val="auto"/>
                      <w:szCs w:val="21"/>
                    </w:rPr>
                    <w:t>-</w:t>
                  </w:r>
                  <w:r>
                    <w:rPr>
                      <w:rFonts w:hint="eastAsia"/>
                      <w:color w:val="auto"/>
                      <w:szCs w:val="21"/>
                    </w:rPr>
                    <w:t>49</w:t>
                  </w:r>
                </w:p>
              </w:tc>
              <w:tc>
                <w:tcPr>
                  <w:tcW w:w="408" w:type="pct"/>
                  <w:vMerge w:val="continue"/>
                  <w:vAlign w:val="center"/>
                </w:tcPr>
                <w:p w14:paraId="409FAAA1">
                  <w:pPr>
                    <w:tabs>
                      <w:tab w:val="left" w:pos="426"/>
                    </w:tabs>
                    <w:spacing w:line="360" w:lineRule="auto"/>
                    <w:jc w:val="center"/>
                    <w:rPr>
                      <w:rFonts w:hAnsi="宋体"/>
                      <w:color w:val="auto"/>
                      <w:szCs w:val="24"/>
                    </w:rPr>
                  </w:pPr>
                </w:p>
              </w:tc>
              <w:tc>
                <w:tcPr>
                  <w:tcW w:w="560" w:type="pct"/>
                  <w:vMerge w:val="continue"/>
                  <w:vAlign w:val="center"/>
                </w:tcPr>
                <w:p w14:paraId="11D0DAD5">
                  <w:pPr>
                    <w:tabs>
                      <w:tab w:val="left" w:pos="426"/>
                    </w:tabs>
                    <w:spacing w:line="360" w:lineRule="auto"/>
                    <w:jc w:val="center"/>
                    <w:rPr>
                      <w:color w:val="auto"/>
                      <w:szCs w:val="24"/>
                    </w:rPr>
                  </w:pPr>
                </w:p>
              </w:tc>
              <w:tc>
                <w:tcPr>
                  <w:tcW w:w="388" w:type="pct"/>
                  <w:vAlign w:val="center"/>
                </w:tcPr>
                <w:p w14:paraId="7CB01911">
                  <w:pPr>
                    <w:tabs>
                      <w:tab w:val="left" w:pos="426"/>
                    </w:tabs>
                    <w:spacing w:line="360" w:lineRule="auto"/>
                    <w:jc w:val="center"/>
                    <w:rPr>
                      <w:color w:val="auto"/>
                      <w:szCs w:val="24"/>
                    </w:rPr>
                  </w:pPr>
                  <w:r>
                    <w:rPr>
                      <w:rFonts w:hint="eastAsia"/>
                      <w:color w:val="auto"/>
                      <w:szCs w:val="24"/>
                    </w:rPr>
                    <w:t>桶装</w:t>
                  </w:r>
                </w:p>
              </w:tc>
              <w:tc>
                <w:tcPr>
                  <w:tcW w:w="535" w:type="pct"/>
                  <w:vAlign w:val="center"/>
                </w:tcPr>
                <w:p w14:paraId="501D593A">
                  <w:pPr>
                    <w:tabs>
                      <w:tab w:val="left" w:pos="426"/>
                    </w:tabs>
                    <w:spacing w:line="360" w:lineRule="auto"/>
                    <w:jc w:val="center"/>
                    <w:rPr>
                      <w:color w:val="auto"/>
                      <w:szCs w:val="24"/>
                    </w:rPr>
                  </w:pPr>
                  <w:r>
                    <w:rPr>
                      <w:rFonts w:hint="eastAsia"/>
                      <w:color w:val="auto"/>
                      <w:szCs w:val="24"/>
                    </w:rPr>
                    <w:t>0.1</w:t>
                  </w:r>
                </w:p>
              </w:tc>
              <w:tc>
                <w:tcPr>
                  <w:tcW w:w="411" w:type="pct"/>
                  <w:vMerge w:val="continue"/>
                  <w:vAlign w:val="center"/>
                </w:tcPr>
                <w:p w14:paraId="712E2062">
                  <w:pPr>
                    <w:tabs>
                      <w:tab w:val="left" w:pos="426"/>
                    </w:tabs>
                    <w:spacing w:line="360" w:lineRule="auto"/>
                    <w:jc w:val="center"/>
                    <w:rPr>
                      <w:color w:val="auto"/>
                      <w:szCs w:val="24"/>
                    </w:rPr>
                  </w:pPr>
                </w:p>
              </w:tc>
            </w:tr>
            <w:tr w14:paraId="2B74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470" w:type="pct"/>
                  <w:vMerge w:val="continue"/>
                  <w:vAlign w:val="center"/>
                </w:tcPr>
                <w:p w14:paraId="08046B67">
                  <w:pPr>
                    <w:tabs>
                      <w:tab w:val="left" w:pos="426"/>
                    </w:tabs>
                    <w:spacing w:line="360" w:lineRule="auto"/>
                    <w:jc w:val="center"/>
                    <w:rPr>
                      <w:rFonts w:hAnsi="宋体"/>
                      <w:color w:val="auto"/>
                      <w:szCs w:val="24"/>
                    </w:rPr>
                  </w:pPr>
                </w:p>
              </w:tc>
              <w:tc>
                <w:tcPr>
                  <w:tcW w:w="805" w:type="pct"/>
                  <w:vAlign w:val="center"/>
                </w:tcPr>
                <w:p w14:paraId="1864FAF8">
                  <w:pPr>
                    <w:jc w:val="center"/>
                    <w:rPr>
                      <w:color w:val="auto"/>
                      <w:szCs w:val="21"/>
                    </w:rPr>
                  </w:pPr>
                  <w:r>
                    <w:rPr>
                      <w:rFonts w:hint="eastAsia"/>
                      <w:color w:val="auto"/>
                      <w:spacing w:val="-4"/>
                      <w:szCs w:val="21"/>
                    </w:rPr>
                    <w:t>含油抹布、废手套</w:t>
                  </w:r>
                </w:p>
              </w:tc>
              <w:tc>
                <w:tcPr>
                  <w:tcW w:w="537" w:type="pct"/>
                  <w:vAlign w:val="center"/>
                </w:tcPr>
                <w:p w14:paraId="3FA0E1B5">
                  <w:pPr>
                    <w:tabs>
                      <w:tab w:val="left" w:pos="426"/>
                    </w:tabs>
                    <w:spacing w:line="360" w:lineRule="auto"/>
                    <w:jc w:val="center"/>
                    <w:rPr>
                      <w:color w:val="auto"/>
                      <w:szCs w:val="21"/>
                    </w:rPr>
                  </w:pPr>
                  <w:r>
                    <w:rPr>
                      <w:color w:val="auto"/>
                      <w:szCs w:val="21"/>
                    </w:rPr>
                    <w:t>HW49</w:t>
                  </w:r>
                </w:p>
              </w:tc>
              <w:tc>
                <w:tcPr>
                  <w:tcW w:w="883" w:type="pct"/>
                  <w:vAlign w:val="center"/>
                </w:tcPr>
                <w:p w14:paraId="1A6D2650">
                  <w:pPr>
                    <w:jc w:val="center"/>
                    <w:rPr>
                      <w:color w:val="auto"/>
                      <w:szCs w:val="21"/>
                    </w:rPr>
                  </w:pPr>
                  <w:r>
                    <w:rPr>
                      <w:rFonts w:hint="eastAsia"/>
                      <w:color w:val="auto"/>
                      <w:szCs w:val="21"/>
                    </w:rPr>
                    <w:t>9</w:t>
                  </w:r>
                  <w:r>
                    <w:rPr>
                      <w:color w:val="auto"/>
                      <w:szCs w:val="21"/>
                    </w:rPr>
                    <w:t>00-041-49</w:t>
                  </w:r>
                </w:p>
              </w:tc>
              <w:tc>
                <w:tcPr>
                  <w:tcW w:w="408" w:type="pct"/>
                  <w:vMerge w:val="continue"/>
                  <w:vAlign w:val="center"/>
                </w:tcPr>
                <w:p w14:paraId="7FB1E7E8">
                  <w:pPr>
                    <w:tabs>
                      <w:tab w:val="left" w:pos="426"/>
                    </w:tabs>
                    <w:spacing w:line="360" w:lineRule="auto"/>
                    <w:jc w:val="center"/>
                    <w:rPr>
                      <w:rFonts w:hAnsi="宋体"/>
                      <w:color w:val="auto"/>
                      <w:szCs w:val="24"/>
                    </w:rPr>
                  </w:pPr>
                </w:p>
              </w:tc>
              <w:tc>
                <w:tcPr>
                  <w:tcW w:w="560" w:type="pct"/>
                  <w:vMerge w:val="continue"/>
                  <w:vAlign w:val="center"/>
                </w:tcPr>
                <w:p w14:paraId="290502D0">
                  <w:pPr>
                    <w:tabs>
                      <w:tab w:val="left" w:pos="426"/>
                    </w:tabs>
                    <w:spacing w:line="360" w:lineRule="auto"/>
                    <w:jc w:val="center"/>
                    <w:rPr>
                      <w:color w:val="auto"/>
                      <w:szCs w:val="24"/>
                    </w:rPr>
                  </w:pPr>
                </w:p>
              </w:tc>
              <w:tc>
                <w:tcPr>
                  <w:tcW w:w="388" w:type="pct"/>
                  <w:vAlign w:val="center"/>
                </w:tcPr>
                <w:p w14:paraId="59FE6081">
                  <w:pPr>
                    <w:tabs>
                      <w:tab w:val="left" w:pos="426"/>
                    </w:tabs>
                    <w:spacing w:line="360" w:lineRule="auto"/>
                    <w:jc w:val="center"/>
                    <w:rPr>
                      <w:color w:val="auto"/>
                      <w:szCs w:val="24"/>
                    </w:rPr>
                  </w:pPr>
                  <w:r>
                    <w:rPr>
                      <w:rFonts w:hint="eastAsia"/>
                      <w:color w:val="auto"/>
                      <w:szCs w:val="24"/>
                    </w:rPr>
                    <w:t>袋装</w:t>
                  </w:r>
                </w:p>
              </w:tc>
              <w:tc>
                <w:tcPr>
                  <w:tcW w:w="535" w:type="pct"/>
                  <w:vAlign w:val="center"/>
                </w:tcPr>
                <w:p w14:paraId="4E2193F7">
                  <w:pPr>
                    <w:tabs>
                      <w:tab w:val="left" w:pos="426"/>
                    </w:tabs>
                    <w:spacing w:line="360" w:lineRule="auto"/>
                    <w:jc w:val="center"/>
                    <w:rPr>
                      <w:color w:val="auto"/>
                      <w:szCs w:val="24"/>
                    </w:rPr>
                  </w:pPr>
                  <w:r>
                    <w:rPr>
                      <w:rFonts w:hint="eastAsia"/>
                      <w:color w:val="auto"/>
                      <w:szCs w:val="24"/>
                    </w:rPr>
                    <w:t>0</w:t>
                  </w:r>
                  <w:r>
                    <w:rPr>
                      <w:color w:val="auto"/>
                      <w:szCs w:val="24"/>
                    </w:rPr>
                    <w:t>.</w:t>
                  </w:r>
                  <w:r>
                    <w:rPr>
                      <w:rFonts w:hint="eastAsia"/>
                      <w:color w:val="auto"/>
                      <w:szCs w:val="24"/>
                    </w:rPr>
                    <w:t>1</w:t>
                  </w:r>
                </w:p>
              </w:tc>
              <w:tc>
                <w:tcPr>
                  <w:tcW w:w="411" w:type="pct"/>
                  <w:vMerge w:val="continue"/>
                  <w:vAlign w:val="center"/>
                </w:tcPr>
                <w:p w14:paraId="1A4383ED">
                  <w:pPr>
                    <w:tabs>
                      <w:tab w:val="left" w:pos="426"/>
                    </w:tabs>
                    <w:spacing w:line="360" w:lineRule="auto"/>
                    <w:jc w:val="center"/>
                    <w:rPr>
                      <w:color w:val="auto"/>
                      <w:szCs w:val="24"/>
                    </w:rPr>
                  </w:pPr>
                </w:p>
              </w:tc>
            </w:tr>
          </w:tbl>
          <w:p w14:paraId="7F71BCFA">
            <w:pPr>
              <w:tabs>
                <w:tab w:val="left" w:pos="426"/>
              </w:tabs>
              <w:spacing w:line="360" w:lineRule="auto"/>
              <w:ind w:firstLine="435"/>
              <w:rPr>
                <w:color w:val="auto"/>
                <w:sz w:val="24"/>
                <w:szCs w:val="24"/>
              </w:rPr>
            </w:pPr>
            <w:r>
              <w:rPr>
                <w:color w:val="auto"/>
                <w:sz w:val="24"/>
                <w:szCs w:val="24"/>
              </w:rPr>
              <w:t>（2）</w:t>
            </w:r>
            <w:r>
              <w:rPr>
                <w:bCs/>
                <w:color w:val="auto"/>
                <w:sz w:val="24"/>
                <w:szCs w:val="24"/>
              </w:rPr>
              <w:t>危险废物运输过程环境管理要求</w:t>
            </w:r>
          </w:p>
          <w:p w14:paraId="7104F2B2">
            <w:pPr>
              <w:tabs>
                <w:tab w:val="left" w:pos="426"/>
              </w:tabs>
              <w:spacing w:line="360" w:lineRule="auto"/>
              <w:ind w:firstLine="435"/>
              <w:rPr>
                <w:b/>
                <w:color w:val="auto"/>
                <w:szCs w:val="21"/>
              </w:rPr>
            </w:pPr>
            <w:r>
              <w:rPr>
                <w:color w:val="auto"/>
                <w:sz w:val="24"/>
                <w:szCs w:val="24"/>
              </w:rPr>
              <w:t>危险废物在收集时，应清楚废物的类别及</w:t>
            </w:r>
            <w:r>
              <w:rPr>
                <w:rFonts w:hint="eastAsia"/>
                <w:color w:val="auto"/>
                <w:sz w:val="24"/>
                <w:szCs w:val="24"/>
              </w:rPr>
              <w:t>主要成分</w:t>
            </w:r>
            <w:r>
              <w:rPr>
                <w:color w:val="auto"/>
                <w:sz w:val="24"/>
                <w:szCs w:val="24"/>
              </w:rPr>
              <w:t>，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p>
        </w:tc>
      </w:tr>
    </w:tbl>
    <w:p w14:paraId="57668652">
      <w:pPr>
        <w:outlineLvl w:val="0"/>
        <w:rPr>
          <w:rFonts w:eastAsia="黑体"/>
          <w:b/>
          <w:bCs/>
          <w:color w:val="auto"/>
          <w:sz w:val="30"/>
          <w:szCs w:val="24"/>
        </w:rPr>
        <w:sectPr>
          <w:pgSz w:w="16838" w:h="11906" w:orient="landscape"/>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8"/>
        <w:gridCol w:w="8092"/>
      </w:tblGrid>
      <w:tr w14:paraId="1903A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8" w:type="dxa"/>
            <w:vAlign w:val="center"/>
          </w:tcPr>
          <w:p w14:paraId="662E4703">
            <w:pPr>
              <w:spacing w:line="360" w:lineRule="auto"/>
              <w:jc w:val="center"/>
              <w:rPr>
                <w:rFonts w:eastAsia="黑体"/>
                <w:b/>
                <w:bCs/>
                <w:color w:val="auto"/>
                <w:sz w:val="24"/>
                <w:szCs w:val="24"/>
              </w:rPr>
            </w:pPr>
            <w:r>
              <w:rPr>
                <w:rFonts w:hint="eastAsia"/>
                <w:color w:val="auto"/>
                <w:szCs w:val="18"/>
              </w:rPr>
              <w:t>运营期环境影响和保护措施</w:t>
            </w:r>
          </w:p>
        </w:tc>
        <w:tc>
          <w:tcPr>
            <w:tcW w:w="8092" w:type="dxa"/>
          </w:tcPr>
          <w:p w14:paraId="146CB477">
            <w:pPr>
              <w:tabs>
                <w:tab w:val="left" w:pos="426"/>
              </w:tabs>
              <w:spacing w:line="360" w:lineRule="auto"/>
              <w:ind w:firstLine="435"/>
              <w:rPr>
                <w:color w:val="auto"/>
                <w:sz w:val="24"/>
                <w:szCs w:val="24"/>
              </w:rPr>
            </w:pPr>
            <w:r>
              <w:rPr>
                <w:color w:val="auto"/>
                <w:sz w:val="24"/>
                <w:szCs w:val="24"/>
              </w:rPr>
              <w:t>厂内转运时，危险废物产生后放入专门盛装危险废物的容器或防漏胶袋中，由带有防漏托盘的车辆转运至危废暂存间，转运过程中由于人为操作失误造成的容器倒翻、胶袋破损等情况时，泄漏的危险废物大部分会进入托盘中，极少情况下会出现托盘满溢泄漏情况。由于本项目危险废物产生点距离厂内危废暂存间较近，因此企业在加强管理的情况下，厂内转运过程中出现散落、泄漏概率很小，不会产生二次污染。</w:t>
            </w:r>
          </w:p>
          <w:p w14:paraId="3F5C622A">
            <w:pPr>
              <w:tabs>
                <w:tab w:val="left" w:pos="426"/>
              </w:tabs>
              <w:spacing w:line="360" w:lineRule="auto"/>
              <w:ind w:firstLine="435"/>
              <w:rPr>
                <w:color w:val="auto"/>
                <w:sz w:val="24"/>
                <w:szCs w:val="24"/>
              </w:rPr>
            </w:pPr>
            <w:r>
              <w:rPr>
                <w:color w:val="auto"/>
                <w:sz w:val="24"/>
                <w:szCs w:val="24"/>
              </w:rPr>
              <w:t>（3）</w:t>
            </w:r>
            <w:r>
              <w:rPr>
                <w:bCs/>
                <w:color w:val="auto"/>
                <w:sz w:val="24"/>
                <w:szCs w:val="32"/>
              </w:rPr>
              <w:t>一般固废贮存场所环境管理要求</w:t>
            </w:r>
          </w:p>
          <w:p w14:paraId="06B708DD">
            <w:pPr>
              <w:tabs>
                <w:tab w:val="left" w:pos="426"/>
              </w:tabs>
              <w:spacing w:line="360" w:lineRule="auto"/>
              <w:ind w:firstLine="435"/>
              <w:rPr>
                <w:color w:val="auto"/>
                <w:sz w:val="24"/>
              </w:rPr>
            </w:pPr>
            <w:r>
              <w:rPr>
                <w:rFonts w:hint="eastAsia" w:hAnsi="宋体"/>
                <w:color w:val="auto"/>
                <w:sz w:val="24"/>
              </w:rPr>
              <w:t>贮存场的建设类型与将要堆放的一般工业固体废物的类别相一致；</w:t>
            </w:r>
          </w:p>
          <w:p w14:paraId="36DBB800">
            <w:pPr>
              <w:tabs>
                <w:tab w:val="left" w:pos="426"/>
              </w:tabs>
              <w:spacing w:line="360" w:lineRule="auto"/>
              <w:ind w:firstLine="435"/>
              <w:rPr>
                <w:color w:val="auto"/>
                <w:sz w:val="24"/>
              </w:rPr>
            </w:pPr>
            <w:r>
              <w:rPr>
                <w:rFonts w:hint="eastAsia" w:ascii="宋体" w:hAnsi="宋体"/>
                <w:color w:val="auto"/>
                <w:sz w:val="24"/>
              </w:rPr>
              <w:t>①</w:t>
            </w:r>
            <w:r>
              <w:rPr>
                <w:rFonts w:hint="eastAsia" w:hAnsi="宋体"/>
                <w:color w:val="auto"/>
                <w:sz w:val="24"/>
              </w:rPr>
              <w:t>不相同的一般工业固体废物应按照不同的分区进行贮存，禁止混合贮存；</w:t>
            </w:r>
          </w:p>
          <w:p w14:paraId="262EB28E">
            <w:pPr>
              <w:tabs>
                <w:tab w:val="left" w:pos="426"/>
              </w:tabs>
              <w:spacing w:line="360" w:lineRule="auto"/>
              <w:ind w:firstLine="435"/>
              <w:rPr>
                <w:color w:val="auto"/>
                <w:sz w:val="24"/>
              </w:rPr>
            </w:pPr>
            <w:r>
              <w:rPr>
                <w:rFonts w:hint="eastAsia" w:ascii="宋体" w:hAnsi="宋体"/>
                <w:color w:val="auto"/>
                <w:sz w:val="24"/>
              </w:rPr>
              <w:t>②</w:t>
            </w:r>
            <w:r>
              <w:rPr>
                <w:rFonts w:hint="eastAsia" w:hAnsi="宋体"/>
                <w:color w:val="auto"/>
                <w:sz w:val="24"/>
              </w:rPr>
              <w:t>一般固废暂存间应定期检查和维护；</w:t>
            </w:r>
          </w:p>
          <w:p w14:paraId="6884A596">
            <w:pPr>
              <w:tabs>
                <w:tab w:val="left" w:pos="426"/>
              </w:tabs>
              <w:spacing w:line="360" w:lineRule="auto"/>
              <w:ind w:firstLine="435"/>
              <w:rPr>
                <w:rFonts w:ascii="宋体" w:hAnsi="宋体"/>
                <w:color w:val="auto"/>
                <w:sz w:val="24"/>
              </w:rPr>
            </w:pPr>
            <w:r>
              <w:rPr>
                <w:rFonts w:hint="eastAsia" w:ascii="宋体" w:hAnsi="宋体"/>
                <w:color w:val="auto"/>
                <w:sz w:val="24"/>
              </w:rPr>
              <w:t>③一般固废暂存间内的一般固废应及时进行转移，防止出现爆仓现象；</w:t>
            </w:r>
          </w:p>
          <w:p w14:paraId="43D14794">
            <w:pPr>
              <w:tabs>
                <w:tab w:val="left" w:pos="426"/>
              </w:tabs>
              <w:spacing w:line="360" w:lineRule="auto"/>
              <w:ind w:firstLine="435"/>
              <w:rPr>
                <w:rFonts w:ascii="宋体" w:hAnsi="宋体"/>
                <w:color w:val="auto"/>
                <w:sz w:val="24"/>
              </w:rPr>
            </w:pPr>
            <w:r>
              <w:rPr>
                <w:rFonts w:hint="eastAsia" w:hAnsi="宋体"/>
                <w:color w:val="auto"/>
                <w:sz w:val="24"/>
              </w:rPr>
              <w:t>④危险废物和生活垃圾不得进入一般工业固体废物贮存场。</w:t>
            </w:r>
          </w:p>
          <w:p w14:paraId="4EB3DBAC">
            <w:pPr>
              <w:spacing w:line="360" w:lineRule="auto"/>
              <w:ind w:firstLine="480" w:firstLineChars="200"/>
              <w:outlineLvl w:val="0"/>
              <w:rPr>
                <w:rFonts w:ascii="宋体" w:hAnsi="宋体"/>
                <w:color w:val="auto"/>
                <w:sz w:val="24"/>
              </w:rPr>
            </w:pPr>
            <w:bookmarkStart w:id="18" w:name="_Toc3330"/>
            <w:bookmarkStart w:id="19" w:name="_Toc31191"/>
            <w:r>
              <w:rPr>
                <w:rFonts w:hint="eastAsia" w:ascii="宋体" w:hAnsi="宋体"/>
                <w:color w:val="auto"/>
                <w:sz w:val="24"/>
              </w:rPr>
              <w:t>本项目在厂内设置生活垃圾暂存点，每日委托环卫部门清运，生活垃圾暂存设施可满足项目需求。</w:t>
            </w:r>
            <w:bookmarkEnd w:id="18"/>
            <w:bookmarkEnd w:id="19"/>
          </w:p>
          <w:p w14:paraId="3C5D4CF0">
            <w:pPr>
              <w:tabs>
                <w:tab w:val="left" w:pos="426"/>
              </w:tabs>
              <w:spacing w:line="360" w:lineRule="auto"/>
              <w:rPr>
                <w:b/>
                <w:bCs/>
                <w:color w:val="auto"/>
                <w:sz w:val="24"/>
                <w:szCs w:val="24"/>
              </w:rPr>
            </w:pPr>
            <w:r>
              <w:rPr>
                <w:rFonts w:hint="eastAsia"/>
                <w:b/>
                <w:bCs/>
                <w:color w:val="auto"/>
                <w:sz w:val="24"/>
                <w:szCs w:val="24"/>
              </w:rPr>
              <w:t>5、地下水、土壤环境影响及保护措施</w:t>
            </w:r>
          </w:p>
          <w:p w14:paraId="03F71120">
            <w:pPr>
              <w:spacing w:line="360" w:lineRule="auto"/>
              <w:ind w:firstLine="480" w:firstLineChars="200"/>
              <w:rPr>
                <w:color w:val="auto"/>
                <w:sz w:val="24"/>
                <w:szCs w:val="24"/>
              </w:rPr>
            </w:pPr>
            <w:r>
              <w:rPr>
                <w:rFonts w:hint="eastAsia"/>
                <w:color w:val="auto"/>
                <w:sz w:val="24"/>
                <w:szCs w:val="24"/>
              </w:rPr>
              <w:t>（1）地下水污染的可能途径</w:t>
            </w:r>
          </w:p>
          <w:p w14:paraId="0F1E9768">
            <w:pPr>
              <w:spacing w:line="360" w:lineRule="auto"/>
              <w:ind w:firstLine="480" w:firstLineChars="200"/>
              <w:rPr>
                <w:rFonts w:hAnsi="宋体"/>
                <w:color w:val="auto"/>
                <w:sz w:val="24"/>
              </w:rPr>
            </w:pPr>
            <w:r>
              <w:rPr>
                <w:rFonts w:hint="eastAsia"/>
                <w:color w:val="auto"/>
                <w:sz w:val="24"/>
              </w:rPr>
              <w:t>项目厂区内实行雨污分流排水体制，</w:t>
            </w:r>
            <w:r>
              <w:rPr>
                <w:rFonts w:hint="eastAsia" w:hAnsi="宋体"/>
                <w:color w:val="auto"/>
                <w:sz w:val="24"/>
              </w:rPr>
              <w:t>项目所用润滑油即买即用，厂内不暂存，废润滑油、废油桶、含油抹布、</w:t>
            </w:r>
            <w:r>
              <w:rPr>
                <w:rFonts w:hint="eastAsia" w:hAnsi="宋体"/>
                <w:color w:val="auto"/>
                <w:sz w:val="24"/>
                <w:lang w:eastAsia="zh-CN"/>
              </w:rPr>
              <w:t>废</w:t>
            </w:r>
            <w:r>
              <w:rPr>
                <w:rFonts w:hint="eastAsia" w:hAnsi="宋体"/>
                <w:color w:val="auto"/>
                <w:sz w:val="24"/>
              </w:rPr>
              <w:t>手套等暂存于危废暂存间，危废暂存间设有防渗结构。正常状态下，厂区的地表与地下的水力联系基本被切断，危险废物等不会渗入地下水。</w:t>
            </w:r>
          </w:p>
          <w:p w14:paraId="1BD2A874">
            <w:pPr>
              <w:spacing w:line="360" w:lineRule="auto"/>
              <w:ind w:firstLine="480" w:firstLineChars="200"/>
              <w:rPr>
                <w:color w:val="auto"/>
                <w:sz w:val="24"/>
              </w:rPr>
            </w:pPr>
            <w:r>
              <w:rPr>
                <w:rFonts w:hint="eastAsia" w:hAnsi="宋体"/>
                <w:color w:val="auto"/>
                <w:sz w:val="24"/>
              </w:rPr>
              <w:t>本项目可能发生的地下水污染主要是在事故状态下，可能发生的污染事故主要是废润滑油发生泄漏，渗漏的废润滑油渗入地下水造成地下水污染。一般情况下当危险废物发生泄漏时，厂内将立即启动环境风险事故应急预案，同时厂内危废暂存间下方均采取了重点防渗措施，短时间内，</w:t>
            </w:r>
            <w:r>
              <w:rPr>
                <w:rFonts w:hint="eastAsia"/>
                <w:color w:val="auto"/>
                <w:sz w:val="24"/>
              </w:rPr>
              <w:t>外泄的废润滑油将流入危废暂存间设置的托盘中，</w:t>
            </w:r>
            <w:r>
              <w:rPr>
                <w:rFonts w:hint="eastAsia" w:hAnsi="宋体"/>
                <w:color w:val="auto"/>
                <w:sz w:val="24"/>
              </w:rPr>
              <w:t>引起地下水污染的可能性较小。</w:t>
            </w:r>
          </w:p>
          <w:p w14:paraId="63F7D323">
            <w:pPr>
              <w:spacing w:line="360" w:lineRule="auto"/>
              <w:ind w:firstLine="480" w:firstLineChars="200"/>
              <w:rPr>
                <w:color w:val="auto"/>
                <w:sz w:val="24"/>
                <w:szCs w:val="24"/>
              </w:rPr>
            </w:pPr>
            <w:r>
              <w:rPr>
                <w:rFonts w:hint="eastAsia"/>
                <w:color w:val="auto"/>
                <w:sz w:val="24"/>
                <w:szCs w:val="24"/>
              </w:rPr>
              <w:t>（2）地下水分区防控措施</w:t>
            </w:r>
          </w:p>
          <w:p w14:paraId="1441F7FD">
            <w:pPr>
              <w:spacing w:line="360" w:lineRule="auto"/>
              <w:ind w:firstLine="480" w:firstLineChars="200"/>
              <w:rPr>
                <w:color w:val="auto"/>
                <w:sz w:val="24"/>
                <w:szCs w:val="24"/>
              </w:rPr>
            </w:pPr>
            <w:r>
              <w:rPr>
                <w:color w:val="auto"/>
                <w:sz w:val="24"/>
                <w:szCs w:val="24"/>
              </w:rPr>
              <w:t>对厂区可能泄漏污染物的污染区地面进行防渗处理，并及时地将泄漏/渗漏的污染物收集起来进行处理，可有效防止洒落地面的污染物渗入地下。根据厂区各生产功能单元可能泄漏至地面区域的污染物性质和生产单元的构筑方式，将厂区划分为重点污染防治区、一般污染防治区。分区防渗情况详见附图</w:t>
            </w:r>
            <w:r>
              <w:rPr>
                <w:rFonts w:hint="eastAsia"/>
                <w:color w:val="auto"/>
                <w:sz w:val="24"/>
                <w:szCs w:val="24"/>
              </w:rPr>
              <w:t>5</w:t>
            </w:r>
            <w:r>
              <w:rPr>
                <w:color w:val="auto"/>
                <w:sz w:val="24"/>
                <w:szCs w:val="24"/>
              </w:rPr>
              <w:t>建设项目厂区分区防渗图。</w:t>
            </w:r>
          </w:p>
          <w:p w14:paraId="5BEC1FD8">
            <w:pPr>
              <w:widowControl/>
              <w:ind w:firstLine="480" w:firstLineChars="200"/>
              <w:jc w:val="left"/>
              <w:rPr>
                <w:color w:val="auto"/>
                <w:sz w:val="24"/>
              </w:rPr>
            </w:pPr>
            <w:r>
              <w:rPr>
                <w:rFonts w:hint="eastAsia" w:hAnsi="宋体"/>
                <w:color w:val="auto"/>
                <w:sz w:val="24"/>
                <w:szCs w:val="24"/>
              </w:rPr>
              <w:t>建设项目地下水分区防控内容详见表4-1</w:t>
            </w:r>
            <w:r>
              <w:rPr>
                <w:rFonts w:hint="eastAsia" w:hAnsi="宋体"/>
                <w:color w:val="auto"/>
                <w:sz w:val="24"/>
                <w:szCs w:val="24"/>
                <w:lang w:val="en-US" w:eastAsia="zh-CN"/>
              </w:rPr>
              <w:t>4</w:t>
            </w:r>
            <w:r>
              <w:rPr>
                <w:rFonts w:hint="eastAsia" w:hAnsi="宋体"/>
                <w:color w:val="auto"/>
                <w:sz w:val="24"/>
                <w:szCs w:val="24"/>
              </w:rPr>
              <w:t>。</w:t>
            </w:r>
          </w:p>
          <w:p w14:paraId="7535534F">
            <w:pPr>
              <w:spacing w:line="360" w:lineRule="auto"/>
              <w:ind w:firstLine="422" w:firstLineChars="200"/>
              <w:jc w:val="center"/>
              <w:rPr>
                <w:b/>
                <w:color w:val="auto"/>
                <w:szCs w:val="21"/>
              </w:rPr>
            </w:pPr>
            <w:r>
              <w:rPr>
                <w:b/>
                <w:color w:val="auto"/>
                <w:szCs w:val="21"/>
                <w:lang w:bidi="ar"/>
              </w:rPr>
              <w:t>表4-</w:t>
            </w:r>
            <w:r>
              <w:rPr>
                <w:rFonts w:hint="eastAsia"/>
                <w:b/>
                <w:color w:val="auto"/>
                <w:szCs w:val="21"/>
                <w:lang w:bidi="ar"/>
              </w:rPr>
              <w:t>1</w:t>
            </w:r>
            <w:r>
              <w:rPr>
                <w:rFonts w:hint="eastAsia"/>
                <w:b/>
                <w:color w:val="auto"/>
                <w:szCs w:val="21"/>
                <w:lang w:val="en-US" w:eastAsia="zh-CN" w:bidi="ar"/>
              </w:rPr>
              <w:t>4</w:t>
            </w:r>
            <w:r>
              <w:rPr>
                <w:rFonts w:hint="eastAsia"/>
                <w:b/>
                <w:color w:val="auto"/>
                <w:szCs w:val="21"/>
                <w:lang w:bidi="ar"/>
              </w:rPr>
              <w:t xml:space="preserve"> </w:t>
            </w:r>
            <w:r>
              <w:rPr>
                <w:b/>
                <w:color w:val="auto"/>
                <w:szCs w:val="21"/>
              </w:rPr>
              <w:t>建设项目分区防渗内容一览表</w:t>
            </w:r>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869"/>
              <w:gridCol w:w="2351"/>
              <w:gridCol w:w="4026"/>
            </w:tblGrid>
            <w:tr w14:paraId="4433D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Align w:val="center"/>
                </w:tcPr>
                <w:p w14:paraId="3B3E7CF9">
                  <w:pPr>
                    <w:spacing w:line="360" w:lineRule="auto"/>
                    <w:jc w:val="center"/>
                    <w:rPr>
                      <w:b/>
                      <w:color w:val="auto"/>
                      <w:szCs w:val="21"/>
                    </w:rPr>
                  </w:pPr>
                  <w:r>
                    <w:rPr>
                      <w:b/>
                      <w:color w:val="auto"/>
                      <w:szCs w:val="21"/>
                    </w:rPr>
                    <w:t>序号</w:t>
                  </w:r>
                </w:p>
              </w:tc>
              <w:tc>
                <w:tcPr>
                  <w:tcW w:w="869" w:type="dxa"/>
                  <w:vAlign w:val="center"/>
                </w:tcPr>
                <w:p w14:paraId="6CBFCDF5">
                  <w:pPr>
                    <w:spacing w:line="360" w:lineRule="auto"/>
                    <w:jc w:val="center"/>
                    <w:rPr>
                      <w:b/>
                      <w:color w:val="auto"/>
                      <w:szCs w:val="21"/>
                    </w:rPr>
                  </w:pPr>
                  <w:r>
                    <w:rPr>
                      <w:b/>
                      <w:color w:val="auto"/>
                      <w:szCs w:val="21"/>
                    </w:rPr>
                    <w:t>类别</w:t>
                  </w:r>
                </w:p>
              </w:tc>
              <w:tc>
                <w:tcPr>
                  <w:tcW w:w="2351" w:type="dxa"/>
                  <w:vAlign w:val="center"/>
                </w:tcPr>
                <w:p w14:paraId="3FA728E4">
                  <w:pPr>
                    <w:spacing w:line="360" w:lineRule="auto"/>
                    <w:jc w:val="center"/>
                    <w:rPr>
                      <w:b/>
                      <w:color w:val="auto"/>
                      <w:szCs w:val="21"/>
                    </w:rPr>
                  </w:pPr>
                  <w:r>
                    <w:rPr>
                      <w:b/>
                      <w:color w:val="auto"/>
                      <w:szCs w:val="21"/>
                    </w:rPr>
                    <w:t>区域</w:t>
                  </w:r>
                </w:p>
              </w:tc>
              <w:tc>
                <w:tcPr>
                  <w:tcW w:w="4026" w:type="dxa"/>
                  <w:vAlign w:val="center"/>
                </w:tcPr>
                <w:p w14:paraId="1A7C1003">
                  <w:pPr>
                    <w:spacing w:line="360" w:lineRule="auto"/>
                    <w:jc w:val="center"/>
                    <w:rPr>
                      <w:b/>
                      <w:color w:val="auto"/>
                      <w:szCs w:val="21"/>
                    </w:rPr>
                  </w:pPr>
                  <w:r>
                    <w:rPr>
                      <w:b/>
                      <w:color w:val="auto"/>
                      <w:szCs w:val="21"/>
                    </w:rPr>
                    <w:t>防渗技术要求</w:t>
                  </w:r>
                </w:p>
              </w:tc>
            </w:tr>
            <w:tr w14:paraId="1FC1A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620" w:type="dxa"/>
                  <w:vAlign w:val="center"/>
                </w:tcPr>
                <w:p w14:paraId="3AAC617B">
                  <w:pPr>
                    <w:spacing w:line="360" w:lineRule="auto"/>
                    <w:jc w:val="center"/>
                    <w:rPr>
                      <w:color w:val="auto"/>
                      <w:szCs w:val="21"/>
                    </w:rPr>
                  </w:pPr>
                  <w:r>
                    <w:rPr>
                      <w:color w:val="auto"/>
                      <w:szCs w:val="21"/>
                    </w:rPr>
                    <w:t>1</w:t>
                  </w:r>
                </w:p>
              </w:tc>
              <w:tc>
                <w:tcPr>
                  <w:tcW w:w="869" w:type="dxa"/>
                  <w:vAlign w:val="center"/>
                </w:tcPr>
                <w:p w14:paraId="7084803A">
                  <w:pPr>
                    <w:spacing w:line="360" w:lineRule="auto"/>
                    <w:jc w:val="center"/>
                    <w:rPr>
                      <w:color w:val="auto"/>
                      <w:szCs w:val="21"/>
                    </w:rPr>
                  </w:pPr>
                  <w:r>
                    <w:rPr>
                      <w:color w:val="auto"/>
                      <w:szCs w:val="21"/>
                    </w:rPr>
                    <w:t>重点污染防治区</w:t>
                  </w:r>
                </w:p>
              </w:tc>
              <w:tc>
                <w:tcPr>
                  <w:tcW w:w="2351" w:type="dxa"/>
                  <w:vAlign w:val="center"/>
                </w:tcPr>
                <w:p w14:paraId="13D8C08B">
                  <w:pPr>
                    <w:spacing w:line="360" w:lineRule="auto"/>
                    <w:jc w:val="center"/>
                    <w:rPr>
                      <w:color w:val="auto"/>
                      <w:szCs w:val="21"/>
                    </w:rPr>
                  </w:pPr>
                  <w:r>
                    <w:rPr>
                      <w:color w:val="auto"/>
                      <w:szCs w:val="21"/>
                    </w:rPr>
                    <w:t>危废暂存间</w:t>
                  </w:r>
                </w:p>
              </w:tc>
              <w:tc>
                <w:tcPr>
                  <w:tcW w:w="4026" w:type="dxa"/>
                  <w:vAlign w:val="center"/>
                </w:tcPr>
                <w:p w14:paraId="57EECD32">
                  <w:pPr>
                    <w:spacing w:line="360" w:lineRule="auto"/>
                    <w:jc w:val="center"/>
                    <w:rPr>
                      <w:color w:val="auto"/>
                      <w:szCs w:val="21"/>
                    </w:rPr>
                  </w:pPr>
                  <w:r>
                    <w:rPr>
                      <w:rFonts w:hint="eastAsia" w:hAnsi="宋体"/>
                      <w:color w:val="auto"/>
                      <w:szCs w:val="21"/>
                    </w:rPr>
                    <w:t>防渗层为至少1m厚粘土层（渗透系数≤10</w:t>
                  </w:r>
                  <w:r>
                    <w:rPr>
                      <w:rFonts w:hint="eastAsia" w:hAnsi="宋体"/>
                      <w:color w:val="auto"/>
                      <w:szCs w:val="21"/>
                      <w:vertAlign w:val="superscript"/>
                    </w:rPr>
                    <w:t>-7</w:t>
                  </w:r>
                  <w:r>
                    <w:rPr>
                      <w:rFonts w:hint="eastAsia" w:hAnsi="宋体"/>
                      <w:color w:val="auto"/>
                      <w:szCs w:val="21"/>
                    </w:rPr>
                    <w:t>cm/s），或2mm厚高密度聚乙烯，或至少2mm厚的其他人工材料，渗透系数≤10</w:t>
                  </w:r>
                  <w:r>
                    <w:rPr>
                      <w:rFonts w:hint="eastAsia" w:hAnsi="宋体"/>
                      <w:color w:val="auto"/>
                      <w:szCs w:val="21"/>
                      <w:vertAlign w:val="superscript"/>
                    </w:rPr>
                    <w:t>-10</w:t>
                  </w:r>
                  <w:r>
                    <w:rPr>
                      <w:rFonts w:hint="eastAsia" w:hAnsi="宋体"/>
                      <w:color w:val="auto"/>
                      <w:szCs w:val="21"/>
                    </w:rPr>
                    <w:t>cm/s</w:t>
                  </w:r>
                </w:p>
              </w:tc>
            </w:tr>
            <w:tr w14:paraId="0D671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Merge w:val="restart"/>
                  <w:vAlign w:val="center"/>
                </w:tcPr>
                <w:p w14:paraId="7B4BAF48">
                  <w:pPr>
                    <w:spacing w:line="360" w:lineRule="auto"/>
                    <w:jc w:val="center"/>
                    <w:rPr>
                      <w:color w:val="auto"/>
                      <w:szCs w:val="21"/>
                    </w:rPr>
                  </w:pPr>
                  <w:r>
                    <w:rPr>
                      <w:color w:val="auto"/>
                      <w:szCs w:val="21"/>
                    </w:rPr>
                    <w:t>2</w:t>
                  </w:r>
                </w:p>
              </w:tc>
              <w:tc>
                <w:tcPr>
                  <w:tcW w:w="869" w:type="dxa"/>
                  <w:vMerge w:val="restart"/>
                  <w:vAlign w:val="center"/>
                </w:tcPr>
                <w:p w14:paraId="52B5AD2A">
                  <w:pPr>
                    <w:spacing w:line="360" w:lineRule="auto"/>
                    <w:jc w:val="center"/>
                    <w:rPr>
                      <w:color w:val="auto"/>
                      <w:szCs w:val="21"/>
                    </w:rPr>
                  </w:pPr>
                  <w:r>
                    <w:rPr>
                      <w:color w:val="auto"/>
                      <w:szCs w:val="21"/>
                    </w:rPr>
                    <w:t>一般污染防治区</w:t>
                  </w:r>
                </w:p>
              </w:tc>
              <w:tc>
                <w:tcPr>
                  <w:tcW w:w="2351" w:type="dxa"/>
                  <w:vAlign w:val="center"/>
                </w:tcPr>
                <w:p w14:paraId="500C1787">
                  <w:pPr>
                    <w:spacing w:line="348" w:lineRule="auto"/>
                    <w:jc w:val="center"/>
                    <w:rPr>
                      <w:rFonts w:hAnsi="宋体"/>
                      <w:color w:val="auto"/>
                      <w:szCs w:val="21"/>
                    </w:rPr>
                  </w:pPr>
                  <w:r>
                    <w:rPr>
                      <w:rFonts w:hint="eastAsia" w:hAnsi="宋体"/>
                      <w:color w:val="auto"/>
                      <w:szCs w:val="21"/>
                    </w:rPr>
                    <w:t>生产车间区域</w:t>
                  </w:r>
                </w:p>
              </w:tc>
              <w:tc>
                <w:tcPr>
                  <w:tcW w:w="4026" w:type="dxa"/>
                  <w:vAlign w:val="center"/>
                </w:tcPr>
                <w:p w14:paraId="17B7F73B">
                  <w:pPr>
                    <w:spacing w:line="348" w:lineRule="auto"/>
                    <w:jc w:val="center"/>
                    <w:rPr>
                      <w:rFonts w:hAnsi="宋体"/>
                      <w:color w:val="auto"/>
                      <w:szCs w:val="21"/>
                    </w:rPr>
                  </w:pPr>
                  <w:r>
                    <w:rPr>
                      <w:rFonts w:hint="eastAsia" w:hAnsi="宋体"/>
                      <w:color w:val="auto"/>
                      <w:szCs w:val="21"/>
                    </w:rPr>
                    <w:t>等效粘土防渗层Mb≥1.5m，K≤1×10</w:t>
                  </w:r>
                  <w:r>
                    <w:rPr>
                      <w:rFonts w:hint="eastAsia" w:hAnsi="宋体"/>
                      <w:color w:val="auto"/>
                      <w:szCs w:val="21"/>
                      <w:vertAlign w:val="superscript"/>
                    </w:rPr>
                    <w:t>-7</w:t>
                  </w:r>
                  <w:r>
                    <w:rPr>
                      <w:rFonts w:hint="eastAsia" w:hAnsi="宋体"/>
                      <w:color w:val="auto"/>
                      <w:szCs w:val="21"/>
                    </w:rPr>
                    <w:t>cm/s；或参照GB16889执行</w:t>
                  </w:r>
                </w:p>
              </w:tc>
            </w:tr>
            <w:tr w14:paraId="38F7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20" w:type="dxa"/>
                  <w:vMerge w:val="continue"/>
                  <w:vAlign w:val="center"/>
                </w:tcPr>
                <w:p w14:paraId="53D54734">
                  <w:pPr>
                    <w:spacing w:line="360" w:lineRule="auto"/>
                    <w:jc w:val="center"/>
                    <w:rPr>
                      <w:color w:val="auto"/>
                      <w:szCs w:val="21"/>
                    </w:rPr>
                  </w:pPr>
                </w:p>
              </w:tc>
              <w:tc>
                <w:tcPr>
                  <w:tcW w:w="869" w:type="dxa"/>
                  <w:vMerge w:val="continue"/>
                  <w:vAlign w:val="center"/>
                </w:tcPr>
                <w:p w14:paraId="4BBE4A8D">
                  <w:pPr>
                    <w:spacing w:line="360" w:lineRule="auto"/>
                    <w:jc w:val="center"/>
                    <w:rPr>
                      <w:color w:val="auto"/>
                      <w:szCs w:val="21"/>
                    </w:rPr>
                  </w:pPr>
                </w:p>
              </w:tc>
              <w:tc>
                <w:tcPr>
                  <w:tcW w:w="2351" w:type="dxa"/>
                  <w:vAlign w:val="center"/>
                </w:tcPr>
                <w:p w14:paraId="2D4FA423">
                  <w:pPr>
                    <w:spacing w:line="348" w:lineRule="auto"/>
                    <w:jc w:val="center"/>
                    <w:rPr>
                      <w:rFonts w:hAnsi="宋体"/>
                      <w:color w:val="auto"/>
                      <w:szCs w:val="21"/>
                    </w:rPr>
                  </w:pPr>
                  <w:r>
                    <w:rPr>
                      <w:rFonts w:hint="eastAsia" w:hAnsi="宋体"/>
                      <w:color w:val="auto"/>
                      <w:szCs w:val="21"/>
                    </w:rPr>
                    <w:t>一般固废暂存场所</w:t>
                  </w:r>
                </w:p>
              </w:tc>
              <w:tc>
                <w:tcPr>
                  <w:tcW w:w="4026" w:type="dxa"/>
                  <w:vAlign w:val="center"/>
                </w:tcPr>
                <w:p w14:paraId="52EF291C">
                  <w:pPr>
                    <w:spacing w:line="348" w:lineRule="auto"/>
                    <w:jc w:val="center"/>
                    <w:rPr>
                      <w:rFonts w:hAnsi="宋体"/>
                      <w:color w:val="auto"/>
                      <w:szCs w:val="21"/>
                    </w:rPr>
                  </w:pPr>
                  <w:r>
                    <w:rPr>
                      <w:rFonts w:hint="eastAsia" w:hAnsi="宋体"/>
                      <w:color w:val="auto"/>
                      <w:szCs w:val="21"/>
                    </w:rPr>
                    <w:t>采用单人工复合衬层：①人工合成材料应采用高密度聚乙烯膜，厚度不小于1.5mm，并满足GB/T17643规定的技术指标要求。采用其他人工合成材料的，其防渗性能至少相当于1.5mm高密度聚乙烯膜的防渗性能。②粘土衬层厚度应不小于0.75m，且经压实、人工改性等措施处理后的饱和渗透系数不应大于1×10</w:t>
                  </w:r>
                  <w:r>
                    <w:rPr>
                      <w:rFonts w:hint="eastAsia" w:hAnsi="宋体"/>
                      <w:color w:val="auto"/>
                      <w:szCs w:val="21"/>
                      <w:vertAlign w:val="superscript"/>
                    </w:rPr>
                    <w:t>-7</w:t>
                  </w:r>
                  <w:r>
                    <w:rPr>
                      <w:rFonts w:hint="eastAsia" w:hAnsi="宋体"/>
                      <w:color w:val="auto"/>
                      <w:szCs w:val="21"/>
                    </w:rPr>
                    <w:t>cm/s。使用其他粘土类防渗衬层材料时，应具有同等以上隔水效力。</w:t>
                  </w:r>
                </w:p>
              </w:tc>
            </w:tr>
          </w:tbl>
          <w:p w14:paraId="4BF0FECE">
            <w:pPr>
              <w:spacing w:line="360" w:lineRule="auto"/>
              <w:ind w:firstLine="480" w:firstLineChars="200"/>
              <w:rPr>
                <w:color w:val="auto"/>
                <w:sz w:val="24"/>
                <w:szCs w:val="24"/>
              </w:rPr>
            </w:pPr>
            <w:r>
              <w:rPr>
                <w:rFonts w:hint="eastAsia"/>
                <w:color w:val="auto"/>
                <w:sz w:val="24"/>
                <w:szCs w:val="24"/>
              </w:rPr>
              <w:t>（3）土壤污染的可能途径</w:t>
            </w:r>
          </w:p>
          <w:p w14:paraId="1FE11D6F">
            <w:pPr>
              <w:spacing w:line="360" w:lineRule="auto"/>
              <w:ind w:firstLine="480" w:firstLineChars="200"/>
              <w:rPr>
                <w:color w:val="auto"/>
                <w:sz w:val="24"/>
              </w:rPr>
            </w:pPr>
            <w:r>
              <w:rPr>
                <w:color w:val="auto"/>
                <w:sz w:val="24"/>
              </w:rPr>
              <w:t>本项目土壤环境污染途径主要是</w:t>
            </w:r>
            <w:r>
              <w:rPr>
                <w:rFonts w:hint="eastAsia"/>
                <w:color w:val="auto"/>
                <w:sz w:val="24"/>
              </w:rPr>
              <w:t>地表漫流和垂直入渗</w:t>
            </w:r>
            <w:r>
              <w:rPr>
                <w:color w:val="auto"/>
                <w:sz w:val="24"/>
              </w:rPr>
              <w:t>，</w:t>
            </w:r>
            <w:r>
              <w:rPr>
                <w:rFonts w:hint="eastAsia"/>
                <w:color w:val="auto"/>
                <w:sz w:val="24"/>
              </w:rPr>
              <w:t>建设项目</w:t>
            </w:r>
            <w:r>
              <w:rPr>
                <w:color w:val="auto"/>
                <w:sz w:val="24"/>
              </w:rPr>
              <w:t>土壤环境影响类型与影响途径识别</w:t>
            </w:r>
            <w:r>
              <w:rPr>
                <w:rFonts w:hint="eastAsia"/>
                <w:color w:val="auto"/>
                <w:sz w:val="24"/>
              </w:rPr>
              <w:t>情况详见下表。</w:t>
            </w:r>
          </w:p>
          <w:p w14:paraId="2ACCC9AA">
            <w:pPr>
              <w:spacing w:line="360" w:lineRule="auto"/>
              <w:ind w:firstLine="422" w:firstLineChars="200"/>
              <w:jc w:val="center"/>
              <w:rPr>
                <w:b/>
                <w:color w:val="auto"/>
                <w:szCs w:val="21"/>
              </w:rPr>
            </w:pPr>
            <w:r>
              <w:rPr>
                <w:rFonts w:hint="eastAsia"/>
                <w:b/>
                <w:color w:val="auto"/>
                <w:szCs w:val="21"/>
              </w:rPr>
              <w:t>表4-1</w:t>
            </w:r>
            <w:r>
              <w:rPr>
                <w:rFonts w:hint="eastAsia"/>
                <w:b/>
                <w:color w:val="auto"/>
                <w:szCs w:val="21"/>
                <w:lang w:val="en-US" w:eastAsia="zh-CN"/>
              </w:rPr>
              <w:t>5</w:t>
            </w:r>
            <w:r>
              <w:rPr>
                <w:rFonts w:hint="eastAsia"/>
                <w:b/>
                <w:color w:val="auto"/>
                <w:szCs w:val="21"/>
              </w:rPr>
              <w:t xml:space="preserve"> 建设项目</w:t>
            </w:r>
            <w:r>
              <w:rPr>
                <w:b/>
                <w:color w:val="auto"/>
                <w:szCs w:val="21"/>
              </w:rPr>
              <w:t>土壤环境影响类型与影响途径</w:t>
            </w:r>
            <w:r>
              <w:rPr>
                <w:rFonts w:hint="eastAsia"/>
                <w:b/>
                <w:color w:val="auto"/>
                <w:szCs w:val="21"/>
              </w:rPr>
              <w:t>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73"/>
              <w:gridCol w:w="1573"/>
              <w:gridCol w:w="1573"/>
              <w:gridCol w:w="1573"/>
              <w:gridCol w:w="1574"/>
            </w:tblGrid>
            <w:tr w14:paraId="6BEF01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Merge w:val="restart"/>
                  <w:vAlign w:val="center"/>
                </w:tcPr>
                <w:p w14:paraId="5C78F16A">
                  <w:pPr>
                    <w:spacing w:line="360" w:lineRule="auto"/>
                    <w:jc w:val="center"/>
                    <w:rPr>
                      <w:b/>
                      <w:color w:val="auto"/>
                      <w:szCs w:val="21"/>
                    </w:rPr>
                  </w:pPr>
                  <w:r>
                    <w:rPr>
                      <w:rFonts w:hint="eastAsia"/>
                      <w:b/>
                      <w:color w:val="auto"/>
                      <w:szCs w:val="21"/>
                    </w:rPr>
                    <w:t>不同时段</w:t>
                  </w:r>
                </w:p>
              </w:tc>
              <w:tc>
                <w:tcPr>
                  <w:tcW w:w="7429" w:type="dxa"/>
                  <w:gridSpan w:val="4"/>
                  <w:vAlign w:val="center"/>
                </w:tcPr>
                <w:p w14:paraId="053907AD">
                  <w:pPr>
                    <w:spacing w:line="360" w:lineRule="auto"/>
                    <w:jc w:val="center"/>
                    <w:rPr>
                      <w:b/>
                      <w:color w:val="auto"/>
                      <w:szCs w:val="21"/>
                    </w:rPr>
                  </w:pPr>
                  <w:r>
                    <w:rPr>
                      <w:rFonts w:hint="eastAsia"/>
                      <w:b/>
                      <w:color w:val="auto"/>
                      <w:szCs w:val="21"/>
                    </w:rPr>
                    <w:t>污染影响型</w:t>
                  </w:r>
                </w:p>
              </w:tc>
            </w:tr>
            <w:tr w14:paraId="5D845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Merge w:val="continue"/>
                  <w:vAlign w:val="center"/>
                </w:tcPr>
                <w:p w14:paraId="5EEA9518">
                  <w:pPr>
                    <w:spacing w:line="360" w:lineRule="auto"/>
                    <w:jc w:val="center"/>
                    <w:rPr>
                      <w:b/>
                      <w:color w:val="auto"/>
                      <w:szCs w:val="21"/>
                    </w:rPr>
                  </w:pPr>
                </w:p>
              </w:tc>
              <w:tc>
                <w:tcPr>
                  <w:tcW w:w="1857" w:type="dxa"/>
                  <w:vAlign w:val="center"/>
                </w:tcPr>
                <w:p w14:paraId="73FECB01">
                  <w:pPr>
                    <w:spacing w:line="360" w:lineRule="auto"/>
                    <w:jc w:val="center"/>
                    <w:rPr>
                      <w:b/>
                      <w:color w:val="auto"/>
                      <w:szCs w:val="21"/>
                    </w:rPr>
                  </w:pPr>
                  <w:r>
                    <w:rPr>
                      <w:rFonts w:hint="eastAsia"/>
                      <w:b/>
                      <w:color w:val="auto"/>
                      <w:szCs w:val="21"/>
                    </w:rPr>
                    <w:t>大气沉降</w:t>
                  </w:r>
                </w:p>
              </w:tc>
              <w:tc>
                <w:tcPr>
                  <w:tcW w:w="1857" w:type="dxa"/>
                  <w:vAlign w:val="center"/>
                </w:tcPr>
                <w:p w14:paraId="22056DFD">
                  <w:pPr>
                    <w:spacing w:line="360" w:lineRule="auto"/>
                    <w:jc w:val="center"/>
                    <w:rPr>
                      <w:b/>
                      <w:color w:val="auto"/>
                      <w:szCs w:val="21"/>
                    </w:rPr>
                  </w:pPr>
                  <w:r>
                    <w:rPr>
                      <w:rFonts w:hint="eastAsia"/>
                      <w:b/>
                      <w:color w:val="auto"/>
                      <w:szCs w:val="21"/>
                    </w:rPr>
                    <w:t>地表漫流</w:t>
                  </w:r>
                </w:p>
              </w:tc>
              <w:tc>
                <w:tcPr>
                  <w:tcW w:w="1857" w:type="dxa"/>
                  <w:vAlign w:val="center"/>
                </w:tcPr>
                <w:p w14:paraId="47CCE9C3">
                  <w:pPr>
                    <w:spacing w:line="360" w:lineRule="auto"/>
                    <w:jc w:val="center"/>
                    <w:rPr>
                      <w:b/>
                      <w:color w:val="auto"/>
                      <w:szCs w:val="21"/>
                    </w:rPr>
                  </w:pPr>
                  <w:r>
                    <w:rPr>
                      <w:rFonts w:hint="eastAsia"/>
                      <w:b/>
                      <w:color w:val="auto"/>
                      <w:szCs w:val="21"/>
                    </w:rPr>
                    <w:t>垂直入渗</w:t>
                  </w:r>
                </w:p>
              </w:tc>
              <w:tc>
                <w:tcPr>
                  <w:tcW w:w="1858" w:type="dxa"/>
                  <w:vAlign w:val="center"/>
                </w:tcPr>
                <w:p w14:paraId="6E58E4FA">
                  <w:pPr>
                    <w:spacing w:line="360" w:lineRule="auto"/>
                    <w:jc w:val="center"/>
                    <w:rPr>
                      <w:b/>
                      <w:color w:val="auto"/>
                      <w:szCs w:val="21"/>
                    </w:rPr>
                  </w:pPr>
                  <w:r>
                    <w:rPr>
                      <w:rFonts w:hint="eastAsia"/>
                      <w:b/>
                      <w:color w:val="auto"/>
                      <w:szCs w:val="21"/>
                    </w:rPr>
                    <w:t>其他</w:t>
                  </w:r>
                </w:p>
              </w:tc>
            </w:tr>
            <w:tr w14:paraId="48CF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14:paraId="4FBC42D8">
                  <w:pPr>
                    <w:spacing w:line="360" w:lineRule="auto"/>
                    <w:jc w:val="center"/>
                    <w:rPr>
                      <w:color w:val="auto"/>
                      <w:szCs w:val="21"/>
                    </w:rPr>
                  </w:pPr>
                  <w:r>
                    <w:rPr>
                      <w:rFonts w:hint="eastAsia"/>
                      <w:color w:val="auto"/>
                      <w:szCs w:val="21"/>
                    </w:rPr>
                    <w:t>建设期</w:t>
                  </w:r>
                </w:p>
              </w:tc>
              <w:tc>
                <w:tcPr>
                  <w:tcW w:w="1857" w:type="dxa"/>
                  <w:vAlign w:val="center"/>
                </w:tcPr>
                <w:p w14:paraId="1DAED936">
                  <w:pPr>
                    <w:spacing w:line="360" w:lineRule="auto"/>
                    <w:jc w:val="center"/>
                    <w:rPr>
                      <w:color w:val="auto"/>
                      <w:szCs w:val="21"/>
                    </w:rPr>
                  </w:pPr>
                  <w:r>
                    <w:rPr>
                      <w:rFonts w:hint="eastAsia"/>
                      <w:color w:val="auto"/>
                      <w:szCs w:val="21"/>
                    </w:rPr>
                    <w:t>--</w:t>
                  </w:r>
                </w:p>
              </w:tc>
              <w:tc>
                <w:tcPr>
                  <w:tcW w:w="1857" w:type="dxa"/>
                  <w:vAlign w:val="center"/>
                </w:tcPr>
                <w:p w14:paraId="1E209B38">
                  <w:pPr>
                    <w:spacing w:line="360" w:lineRule="auto"/>
                    <w:jc w:val="center"/>
                    <w:rPr>
                      <w:color w:val="auto"/>
                      <w:szCs w:val="21"/>
                    </w:rPr>
                  </w:pPr>
                  <w:r>
                    <w:rPr>
                      <w:rFonts w:hint="eastAsia"/>
                      <w:color w:val="auto"/>
                      <w:szCs w:val="21"/>
                    </w:rPr>
                    <w:t>--</w:t>
                  </w:r>
                </w:p>
              </w:tc>
              <w:tc>
                <w:tcPr>
                  <w:tcW w:w="1857" w:type="dxa"/>
                  <w:vAlign w:val="center"/>
                </w:tcPr>
                <w:p w14:paraId="04153182">
                  <w:pPr>
                    <w:spacing w:line="360" w:lineRule="auto"/>
                    <w:jc w:val="center"/>
                    <w:rPr>
                      <w:color w:val="auto"/>
                      <w:szCs w:val="21"/>
                    </w:rPr>
                  </w:pPr>
                  <w:r>
                    <w:rPr>
                      <w:rFonts w:hint="eastAsia"/>
                      <w:color w:val="auto"/>
                      <w:szCs w:val="21"/>
                    </w:rPr>
                    <w:t>--</w:t>
                  </w:r>
                </w:p>
              </w:tc>
              <w:tc>
                <w:tcPr>
                  <w:tcW w:w="1858" w:type="dxa"/>
                  <w:vAlign w:val="center"/>
                </w:tcPr>
                <w:p w14:paraId="73B0A3A4">
                  <w:pPr>
                    <w:spacing w:line="360" w:lineRule="auto"/>
                    <w:jc w:val="center"/>
                    <w:rPr>
                      <w:color w:val="auto"/>
                      <w:szCs w:val="21"/>
                    </w:rPr>
                  </w:pPr>
                  <w:r>
                    <w:rPr>
                      <w:rFonts w:hint="eastAsia"/>
                      <w:color w:val="auto"/>
                      <w:szCs w:val="21"/>
                    </w:rPr>
                    <w:t>--</w:t>
                  </w:r>
                </w:p>
              </w:tc>
            </w:tr>
            <w:tr w14:paraId="3BA51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14:paraId="03B3B02C">
                  <w:pPr>
                    <w:spacing w:line="360" w:lineRule="auto"/>
                    <w:jc w:val="center"/>
                    <w:rPr>
                      <w:color w:val="auto"/>
                      <w:szCs w:val="21"/>
                    </w:rPr>
                  </w:pPr>
                  <w:r>
                    <w:rPr>
                      <w:rFonts w:hint="eastAsia"/>
                      <w:color w:val="auto"/>
                      <w:szCs w:val="21"/>
                    </w:rPr>
                    <w:t>运营期</w:t>
                  </w:r>
                </w:p>
              </w:tc>
              <w:tc>
                <w:tcPr>
                  <w:tcW w:w="1857" w:type="dxa"/>
                  <w:vAlign w:val="center"/>
                </w:tcPr>
                <w:p w14:paraId="7186AF62">
                  <w:pPr>
                    <w:spacing w:line="360" w:lineRule="auto"/>
                    <w:jc w:val="center"/>
                    <w:rPr>
                      <w:color w:val="auto"/>
                      <w:szCs w:val="21"/>
                    </w:rPr>
                  </w:pPr>
                  <w:r>
                    <w:rPr>
                      <w:rFonts w:hint="eastAsia"/>
                      <w:color w:val="auto"/>
                      <w:szCs w:val="21"/>
                    </w:rPr>
                    <w:t>--</w:t>
                  </w:r>
                </w:p>
              </w:tc>
              <w:tc>
                <w:tcPr>
                  <w:tcW w:w="1857" w:type="dxa"/>
                  <w:vAlign w:val="center"/>
                </w:tcPr>
                <w:p w14:paraId="08AA1A41">
                  <w:pPr>
                    <w:spacing w:line="360" w:lineRule="auto"/>
                    <w:jc w:val="center"/>
                    <w:rPr>
                      <w:color w:val="auto"/>
                      <w:szCs w:val="21"/>
                    </w:rPr>
                  </w:pPr>
                  <w:r>
                    <w:rPr>
                      <w:color w:val="auto"/>
                      <w:szCs w:val="21"/>
                    </w:rPr>
                    <w:t>√</w:t>
                  </w:r>
                </w:p>
              </w:tc>
              <w:tc>
                <w:tcPr>
                  <w:tcW w:w="1857" w:type="dxa"/>
                  <w:vAlign w:val="center"/>
                </w:tcPr>
                <w:p w14:paraId="3EE3C42E">
                  <w:pPr>
                    <w:spacing w:line="360" w:lineRule="auto"/>
                    <w:jc w:val="center"/>
                    <w:rPr>
                      <w:color w:val="auto"/>
                      <w:szCs w:val="21"/>
                    </w:rPr>
                  </w:pPr>
                  <w:r>
                    <w:rPr>
                      <w:color w:val="auto"/>
                      <w:szCs w:val="21"/>
                    </w:rPr>
                    <w:t>√</w:t>
                  </w:r>
                </w:p>
              </w:tc>
              <w:tc>
                <w:tcPr>
                  <w:tcW w:w="1858" w:type="dxa"/>
                  <w:vAlign w:val="center"/>
                </w:tcPr>
                <w:p w14:paraId="3A664D22">
                  <w:pPr>
                    <w:spacing w:line="360" w:lineRule="auto"/>
                    <w:jc w:val="center"/>
                    <w:rPr>
                      <w:color w:val="auto"/>
                      <w:szCs w:val="21"/>
                    </w:rPr>
                  </w:pPr>
                  <w:r>
                    <w:rPr>
                      <w:rFonts w:hint="eastAsia"/>
                      <w:color w:val="auto"/>
                      <w:szCs w:val="21"/>
                    </w:rPr>
                    <w:t>--</w:t>
                  </w:r>
                </w:p>
              </w:tc>
            </w:tr>
            <w:tr w14:paraId="20F5E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7" w:type="dxa"/>
                  <w:vAlign w:val="center"/>
                </w:tcPr>
                <w:p w14:paraId="12D21413">
                  <w:pPr>
                    <w:spacing w:line="360" w:lineRule="auto"/>
                    <w:jc w:val="center"/>
                    <w:rPr>
                      <w:color w:val="auto"/>
                      <w:szCs w:val="21"/>
                    </w:rPr>
                  </w:pPr>
                  <w:r>
                    <w:rPr>
                      <w:rFonts w:hint="eastAsia"/>
                      <w:color w:val="auto"/>
                      <w:szCs w:val="21"/>
                    </w:rPr>
                    <w:t>服务期满后</w:t>
                  </w:r>
                </w:p>
              </w:tc>
              <w:tc>
                <w:tcPr>
                  <w:tcW w:w="1857" w:type="dxa"/>
                  <w:vAlign w:val="center"/>
                </w:tcPr>
                <w:p w14:paraId="12D44D8E">
                  <w:pPr>
                    <w:spacing w:line="360" w:lineRule="auto"/>
                    <w:jc w:val="center"/>
                    <w:rPr>
                      <w:color w:val="auto"/>
                      <w:szCs w:val="21"/>
                    </w:rPr>
                  </w:pPr>
                  <w:r>
                    <w:rPr>
                      <w:rFonts w:hint="eastAsia"/>
                      <w:color w:val="auto"/>
                      <w:szCs w:val="21"/>
                    </w:rPr>
                    <w:t>--</w:t>
                  </w:r>
                </w:p>
              </w:tc>
              <w:tc>
                <w:tcPr>
                  <w:tcW w:w="1857" w:type="dxa"/>
                  <w:vAlign w:val="center"/>
                </w:tcPr>
                <w:p w14:paraId="4E1F5A5F">
                  <w:pPr>
                    <w:spacing w:line="360" w:lineRule="auto"/>
                    <w:jc w:val="center"/>
                    <w:rPr>
                      <w:color w:val="auto"/>
                      <w:szCs w:val="21"/>
                    </w:rPr>
                  </w:pPr>
                  <w:r>
                    <w:rPr>
                      <w:rFonts w:hint="eastAsia"/>
                      <w:color w:val="auto"/>
                      <w:szCs w:val="21"/>
                    </w:rPr>
                    <w:t>--</w:t>
                  </w:r>
                </w:p>
              </w:tc>
              <w:tc>
                <w:tcPr>
                  <w:tcW w:w="1857" w:type="dxa"/>
                  <w:vAlign w:val="center"/>
                </w:tcPr>
                <w:p w14:paraId="40B06FD3">
                  <w:pPr>
                    <w:spacing w:line="360" w:lineRule="auto"/>
                    <w:jc w:val="center"/>
                    <w:rPr>
                      <w:color w:val="auto"/>
                      <w:szCs w:val="21"/>
                    </w:rPr>
                  </w:pPr>
                  <w:r>
                    <w:rPr>
                      <w:rFonts w:hint="eastAsia"/>
                      <w:color w:val="auto"/>
                      <w:szCs w:val="21"/>
                    </w:rPr>
                    <w:t>--</w:t>
                  </w:r>
                </w:p>
              </w:tc>
              <w:tc>
                <w:tcPr>
                  <w:tcW w:w="1858" w:type="dxa"/>
                  <w:vAlign w:val="center"/>
                </w:tcPr>
                <w:p w14:paraId="2215E987">
                  <w:pPr>
                    <w:spacing w:line="360" w:lineRule="auto"/>
                    <w:jc w:val="center"/>
                    <w:rPr>
                      <w:color w:val="auto"/>
                      <w:szCs w:val="21"/>
                    </w:rPr>
                  </w:pPr>
                  <w:r>
                    <w:rPr>
                      <w:rFonts w:hint="eastAsia"/>
                      <w:color w:val="auto"/>
                      <w:szCs w:val="21"/>
                    </w:rPr>
                    <w:t>--</w:t>
                  </w:r>
                </w:p>
              </w:tc>
            </w:tr>
            <w:tr w14:paraId="14539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86" w:type="dxa"/>
                  <w:gridSpan w:val="5"/>
                  <w:vAlign w:val="center"/>
                </w:tcPr>
                <w:p w14:paraId="7483EB45">
                  <w:pPr>
                    <w:spacing w:line="360" w:lineRule="auto"/>
                    <w:ind w:firstLine="420" w:firstLineChars="200"/>
                    <w:jc w:val="left"/>
                    <w:rPr>
                      <w:color w:val="auto"/>
                      <w:szCs w:val="21"/>
                    </w:rPr>
                  </w:pPr>
                  <w:r>
                    <w:rPr>
                      <w:rFonts w:hint="eastAsia"/>
                      <w:color w:val="auto"/>
                      <w:szCs w:val="21"/>
                    </w:rPr>
                    <w:t>注：在可能产生的土壤环境影响类型处打“</w:t>
                  </w:r>
                  <w:r>
                    <w:rPr>
                      <w:color w:val="auto"/>
                      <w:szCs w:val="21"/>
                    </w:rPr>
                    <w:t>√</w:t>
                  </w:r>
                  <w:r>
                    <w:rPr>
                      <w:rFonts w:hint="eastAsia"/>
                      <w:color w:val="auto"/>
                      <w:szCs w:val="21"/>
                    </w:rPr>
                    <w:t>”，列表未涵盖的可自行设计。</w:t>
                  </w:r>
                </w:p>
              </w:tc>
            </w:tr>
          </w:tbl>
          <w:p w14:paraId="79B70150">
            <w:pPr>
              <w:spacing w:line="360" w:lineRule="auto"/>
              <w:ind w:firstLine="480" w:firstLineChars="200"/>
              <w:rPr>
                <w:color w:val="auto"/>
                <w:sz w:val="24"/>
              </w:rPr>
            </w:pPr>
            <w:r>
              <w:rPr>
                <w:rFonts w:hint="eastAsia"/>
                <w:color w:val="auto"/>
                <w:sz w:val="24"/>
              </w:rPr>
              <w:t>建设</w:t>
            </w:r>
            <w:r>
              <w:rPr>
                <w:color w:val="auto"/>
                <w:sz w:val="24"/>
              </w:rPr>
              <w:t>项目土壤环境影响源及影响因子识别见</w:t>
            </w:r>
            <w:r>
              <w:rPr>
                <w:rFonts w:hint="eastAsia"/>
                <w:color w:val="auto"/>
                <w:sz w:val="24"/>
              </w:rPr>
              <w:t>下表。</w:t>
            </w:r>
          </w:p>
          <w:p w14:paraId="55230843">
            <w:pPr>
              <w:spacing w:line="360" w:lineRule="auto"/>
              <w:ind w:firstLine="422" w:firstLineChars="200"/>
              <w:jc w:val="center"/>
              <w:rPr>
                <w:b/>
                <w:color w:val="auto"/>
                <w:szCs w:val="21"/>
              </w:rPr>
            </w:pPr>
            <w:r>
              <w:rPr>
                <w:rFonts w:hint="eastAsia"/>
                <w:b/>
                <w:color w:val="auto"/>
                <w:szCs w:val="21"/>
              </w:rPr>
              <w:t>表4-1</w:t>
            </w:r>
            <w:r>
              <w:rPr>
                <w:rFonts w:hint="eastAsia"/>
                <w:b/>
                <w:color w:val="auto"/>
                <w:szCs w:val="21"/>
                <w:lang w:val="en-US" w:eastAsia="zh-CN"/>
              </w:rPr>
              <w:t>6</w:t>
            </w:r>
            <w:r>
              <w:rPr>
                <w:rFonts w:hint="eastAsia"/>
                <w:b/>
                <w:color w:val="auto"/>
                <w:szCs w:val="21"/>
              </w:rPr>
              <w:t xml:space="preserve"> 建设</w:t>
            </w:r>
            <w:r>
              <w:rPr>
                <w:b/>
                <w:color w:val="auto"/>
                <w:szCs w:val="21"/>
              </w:rPr>
              <w:t>项目土壤环境影响源及影响因子识别</w:t>
            </w:r>
            <w:r>
              <w:rPr>
                <w:rFonts w:hint="eastAsia"/>
                <w:b/>
                <w:color w:val="auto"/>
                <w:szCs w:val="21"/>
              </w:rPr>
              <w:t>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1451"/>
              <w:gridCol w:w="1078"/>
              <w:gridCol w:w="1794"/>
              <w:gridCol w:w="1220"/>
              <w:gridCol w:w="1052"/>
            </w:tblGrid>
            <w:tr w14:paraId="4533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1F0CD3E8">
                  <w:pPr>
                    <w:spacing w:line="360" w:lineRule="auto"/>
                    <w:jc w:val="center"/>
                    <w:rPr>
                      <w:b/>
                      <w:color w:val="auto"/>
                      <w:szCs w:val="21"/>
                    </w:rPr>
                  </w:pPr>
                  <w:r>
                    <w:rPr>
                      <w:rFonts w:hint="eastAsia"/>
                      <w:b/>
                      <w:color w:val="auto"/>
                      <w:szCs w:val="21"/>
                    </w:rPr>
                    <w:t>污染源</w:t>
                  </w:r>
                </w:p>
              </w:tc>
              <w:tc>
                <w:tcPr>
                  <w:tcW w:w="1451" w:type="dxa"/>
                  <w:vAlign w:val="center"/>
                </w:tcPr>
                <w:p w14:paraId="36BF4055">
                  <w:pPr>
                    <w:spacing w:line="360" w:lineRule="auto"/>
                    <w:jc w:val="center"/>
                    <w:rPr>
                      <w:b/>
                      <w:color w:val="auto"/>
                      <w:szCs w:val="21"/>
                    </w:rPr>
                  </w:pPr>
                  <w:r>
                    <w:rPr>
                      <w:rFonts w:hint="eastAsia"/>
                      <w:b/>
                      <w:color w:val="auto"/>
                      <w:szCs w:val="21"/>
                    </w:rPr>
                    <w:t>工艺流程/节点</w:t>
                  </w:r>
                </w:p>
              </w:tc>
              <w:tc>
                <w:tcPr>
                  <w:tcW w:w="1078" w:type="dxa"/>
                  <w:vAlign w:val="center"/>
                </w:tcPr>
                <w:p w14:paraId="00AAC1E0">
                  <w:pPr>
                    <w:spacing w:line="360" w:lineRule="auto"/>
                    <w:jc w:val="center"/>
                    <w:rPr>
                      <w:b/>
                      <w:color w:val="auto"/>
                      <w:szCs w:val="21"/>
                    </w:rPr>
                  </w:pPr>
                  <w:r>
                    <w:rPr>
                      <w:rFonts w:hint="eastAsia"/>
                      <w:b/>
                      <w:color w:val="auto"/>
                      <w:szCs w:val="21"/>
                    </w:rPr>
                    <w:t>污染途径</w:t>
                  </w:r>
                </w:p>
              </w:tc>
              <w:tc>
                <w:tcPr>
                  <w:tcW w:w="1794" w:type="dxa"/>
                  <w:vAlign w:val="center"/>
                </w:tcPr>
                <w:p w14:paraId="5C114D26">
                  <w:pPr>
                    <w:spacing w:line="360" w:lineRule="auto"/>
                    <w:jc w:val="center"/>
                    <w:rPr>
                      <w:b/>
                      <w:color w:val="auto"/>
                      <w:szCs w:val="21"/>
                    </w:rPr>
                  </w:pPr>
                  <w:r>
                    <w:rPr>
                      <w:rFonts w:hint="eastAsia"/>
                      <w:b/>
                      <w:color w:val="auto"/>
                      <w:szCs w:val="21"/>
                    </w:rPr>
                    <w:t>全部污染物指标</w:t>
                  </w:r>
                  <w:r>
                    <w:rPr>
                      <w:rFonts w:hint="eastAsia"/>
                      <w:b/>
                      <w:color w:val="auto"/>
                      <w:szCs w:val="21"/>
                      <w:vertAlign w:val="superscript"/>
                    </w:rPr>
                    <w:t>a</w:t>
                  </w:r>
                </w:p>
              </w:tc>
              <w:tc>
                <w:tcPr>
                  <w:tcW w:w="1220" w:type="dxa"/>
                  <w:vAlign w:val="center"/>
                </w:tcPr>
                <w:p w14:paraId="09D686A4">
                  <w:pPr>
                    <w:spacing w:line="360" w:lineRule="auto"/>
                    <w:jc w:val="center"/>
                    <w:rPr>
                      <w:b/>
                      <w:color w:val="auto"/>
                      <w:szCs w:val="21"/>
                    </w:rPr>
                  </w:pPr>
                  <w:r>
                    <w:rPr>
                      <w:rFonts w:hint="eastAsia"/>
                      <w:b/>
                      <w:color w:val="auto"/>
                      <w:szCs w:val="21"/>
                    </w:rPr>
                    <w:t>特征因子</w:t>
                  </w:r>
                </w:p>
              </w:tc>
              <w:tc>
                <w:tcPr>
                  <w:tcW w:w="1052" w:type="dxa"/>
                  <w:vAlign w:val="center"/>
                </w:tcPr>
                <w:p w14:paraId="3609418B">
                  <w:pPr>
                    <w:spacing w:line="360" w:lineRule="auto"/>
                    <w:jc w:val="center"/>
                    <w:rPr>
                      <w:b/>
                      <w:color w:val="auto"/>
                      <w:szCs w:val="21"/>
                    </w:rPr>
                  </w:pPr>
                  <w:r>
                    <w:rPr>
                      <w:rFonts w:hint="eastAsia"/>
                      <w:b/>
                      <w:color w:val="auto"/>
                      <w:szCs w:val="21"/>
                    </w:rPr>
                    <w:t>备注</w:t>
                  </w:r>
                  <w:r>
                    <w:rPr>
                      <w:rFonts w:hint="eastAsia"/>
                      <w:b/>
                      <w:color w:val="auto"/>
                      <w:szCs w:val="21"/>
                      <w:vertAlign w:val="superscript"/>
                    </w:rPr>
                    <w:t>b</w:t>
                  </w:r>
                </w:p>
              </w:tc>
            </w:tr>
            <w:tr w14:paraId="3DB5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71" w:type="dxa"/>
                  <w:vAlign w:val="center"/>
                </w:tcPr>
                <w:p w14:paraId="372A1BFB">
                  <w:pPr>
                    <w:spacing w:line="360" w:lineRule="auto"/>
                    <w:jc w:val="center"/>
                    <w:rPr>
                      <w:color w:val="auto"/>
                      <w:szCs w:val="21"/>
                    </w:rPr>
                  </w:pPr>
                  <w:r>
                    <w:rPr>
                      <w:rFonts w:hint="eastAsia"/>
                      <w:color w:val="auto"/>
                      <w:szCs w:val="21"/>
                    </w:rPr>
                    <w:t>危废暂存间</w:t>
                  </w:r>
                </w:p>
              </w:tc>
              <w:tc>
                <w:tcPr>
                  <w:tcW w:w="1451" w:type="dxa"/>
                  <w:vAlign w:val="center"/>
                </w:tcPr>
                <w:p w14:paraId="78F98321">
                  <w:pPr>
                    <w:spacing w:line="360" w:lineRule="auto"/>
                    <w:jc w:val="center"/>
                    <w:rPr>
                      <w:color w:val="auto"/>
                      <w:szCs w:val="21"/>
                    </w:rPr>
                  </w:pPr>
                  <w:r>
                    <w:rPr>
                      <w:rFonts w:hint="eastAsia"/>
                      <w:color w:val="auto"/>
                      <w:szCs w:val="21"/>
                    </w:rPr>
                    <w:t>废润滑油</w:t>
                  </w:r>
                </w:p>
              </w:tc>
              <w:tc>
                <w:tcPr>
                  <w:tcW w:w="1078" w:type="dxa"/>
                  <w:vAlign w:val="center"/>
                </w:tcPr>
                <w:p w14:paraId="3CB19255">
                  <w:pPr>
                    <w:spacing w:line="360" w:lineRule="auto"/>
                    <w:jc w:val="center"/>
                    <w:rPr>
                      <w:color w:val="auto"/>
                      <w:szCs w:val="21"/>
                    </w:rPr>
                  </w:pPr>
                  <w:r>
                    <w:rPr>
                      <w:rFonts w:hint="eastAsia"/>
                      <w:color w:val="auto"/>
                      <w:szCs w:val="21"/>
                    </w:rPr>
                    <w:t>地表漫流</w:t>
                  </w:r>
                </w:p>
                <w:p w14:paraId="2C67A700">
                  <w:pPr>
                    <w:spacing w:line="360" w:lineRule="auto"/>
                    <w:jc w:val="center"/>
                    <w:rPr>
                      <w:color w:val="auto"/>
                      <w:szCs w:val="21"/>
                    </w:rPr>
                  </w:pPr>
                  <w:r>
                    <w:rPr>
                      <w:rFonts w:hint="eastAsia"/>
                      <w:color w:val="auto"/>
                      <w:szCs w:val="21"/>
                    </w:rPr>
                    <w:t>垂直入渗</w:t>
                  </w:r>
                </w:p>
              </w:tc>
              <w:tc>
                <w:tcPr>
                  <w:tcW w:w="1794" w:type="dxa"/>
                  <w:vAlign w:val="center"/>
                </w:tcPr>
                <w:p w14:paraId="13F5DEF2">
                  <w:pPr>
                    <w:spacing w:line="360" w:lineRule="auto"/>
                    <w:jc w:val="center"/>
                    <w:rPr>
                      <w:color w:val="auto"/>
                      <w:szCs w:val="21"/>
                    </w:rPr>
                  </w:pPr>
                  <w:r>
                    <w:rPr>
                      <w:rFonts w:hint="eastAsia"/>
                      <w:color w:val="auto"/>
                      <w:szCs w:val="21"/>
                    </w:rPr>
                    <w:t>矿物油等</w:t>
                  </w:r>
                </w:p>
              </w:tc>
              <w:tc>
                <w:tcPr>
                  <w:tcW w:w="1220" w:type="dxa"/>
                  <w:vAlign w:val="center"/>
                </w:tcPr>
                <w:p w14:paraId="6CD8A437">
                  <w:pPr>
                    <w:spacing w:line="360" w:lineRule="auto"/>
                    <w:jc w:val="center"/>
                    <w:rPr>
                      <w:color w:val="auto"/>
                      <w:szCs w:val="21"/>
                    </w:rPr>
                  </w:pPr>
                  <w:r>
                    <w:rPr>
                      <w:rFonts w:hint="eastAsia"/>
                      <w:color w:val="auto"/>
                      <w:szCs w:val="21"/>
                    </w:rPr>
                    <w:t>石油烃</w:t>
                  </w:r>
                </w:p>
              </w:tc>
              <w:tc>
                <w:tcPr>
                  <w:tcW w:w="1052" w:type="dxa"/>
                  <w:vAlign w:val="center"/>
                </w:tcPr>
                <w:p w14:paraId="58E6EC03">
                  <w:pPr>
                    <w:spacing w:line="360" w:lineRule="auto"/>
                    <w:jc w:val="center"/>
                    <w:rPr>
                      <w:color w:val="auto"/>
                      <w:szCs w:val="21"/>
                    </w:rPr>
                  </w:pPr>
                  <w:r>
                    <w:rPr>
                      <w:rFonts w:hint="eastAsia"/>
                      <w:color w:val="auto"/>
                      <w:szCs w:val="21"/>
                    </w:rPr>
                    <w:t>事故</w:t>
                  </w:r>
                </w:p>
              </w:tc>
            </w:tr>
            <w:tr w14:paraId="42476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7866" w:type="dxa"/>
                  <w:gridSpan w:val="6"/>
                  <w:vAlign w:val="center"/>
                </w:tcPr>
                <w:p w14:paraId="3DAAB561">
                  <w:pPr>
                    <w:spacing w:line="360" w:lineRule="auto"/>
                    <w:jc w:val="left"/>
                    <w:rPr>
                      <w:color w:val="auto"/>
                      <w:szCs w:val="21"/>
                    </w:rPr>
                  </w:pPr>
                  <w:r>
                    <w:rPr>
                      <w:rFonts w:hint="eastAsia"/>
                      <w:color w:val="auto"/>
                      <w:szCs w:val="21"/>
                    </w:rPr>
                    <w:t>a根据工程分析结果填写</w:t>
                  </w:r>
                </w:p>
                <w:p w14:paraId="79DD9469">
                  <w:pPr>
                    <w:spacing w:line="360" w:lineRule="auto"/>
                    <w:jc w:val="left"/>
                    <w:rPr>
                      <w:color w:val="auto"/>
                      <w:szCs w:val="21"/>
                    </w:rPr>
                  </w:pPr>
                  <w:r>
                    <w:rPr>
                      <w:rFonts w:hint="eastAsia"/>
                      <w:color w:val="auto"/>
                      <w:szCs w:val="21"/>
                    </w:rPr>
                    <w:t>b应描述污染源特征，如连续、间断、正常、事故等；涉及大气沉降途径的，应识别建设项目周边的土壤环境敏感目标</w:t>
                  </w:r>
                </w:p>
              </w:tc>
            </w:tr>
          </w:tbl>
          <w:p w14:paraId="44092ED3">
            <w:pPr>
              <w:spacing w:line="360" w:lineRule="auto"/>
              <w:ind w:firstLine="480" w:firstLineChars="200"/>
              <w:rPr>
                <w:color w:val="auto"/>
                <w:sz w:val="24"/>
              </w:rPr>
            </w:pPr>
            <w:r>
              <w:rPr>
                <w:rFonts w:hint="eastAsia"/>
                <w:color w:val="auto"/>
                <w:sz w:val="24"/>
              </w:rPr>
              <w:t>（</w:t>
            </w:r>
            <w:r>
              <w:rPr>
                <w:color w:val="auto"/>
                <w:sz w:val="24"/>
              </w:rPr>
              <w:t>2</w:t>
            </w:r>
            <w:r>
              <w:rPr>
                <w:rFonts w:hint="eastAsia"/>
                <w:color w:val="auto"/>
                <w:sz w:val="24"/>
              </w:rPr>
              <w:t>）土壤污染防治措施</w:t>
            </w:r>
          </w:p>
          <w:p w14:paraId="52F474E3">
            <w:pPr>
              <w:spacing w:line="360" w:lineRule="auto"/>
              <w:ind w:firstLine="480" w:firstLineChars="200"/>
              <w:rPr>
                <w:rFonts w:hAnsi="宋体"/>
                <w:color w:val="auto"/>
                <w:sz w:val="24"/>
              </w:rPr>
            </w:pPr>
            <w:r>
              <w:rPr>
                <w:rFonts w:hint="eastAsia" w:hAnsi="宋体"/>
                <w:color w:val="auto"/>
                <w:sz w:val="24"/>
              </w:rPr>
              <w:t>拟建项目土壤污染防护措施包括源头控制措施及过程措施，建设项目土壤污染防护措施详见下表。</w:t>
            </w:r>
          </w:p>
          <w:p w14:paraId="2DB96CC3">
            <w:pPr>
              <w:spacing w:line="360" w:lineRule="auto"/>
              <w:ind w:firstLine="422" w:firstLineChars="200"/>
              <w:jc w:val="center"/>
              <w:rPr>
                <w:rFonts w:hAnsi="宋体"/>
                <w:b/>
                <w:color w:val="auto"/>
                <w:szCs w:val="21"/>
              </w:rPr>
            </w:pPr>
            <w:r>
              <w:rPr>
                <w:rFonts w:hint="eastAsia" w:hAnsi="宋体"/>
                <w:b/>
                <w:color w:val="auto"/>
                <w:szCs w:val="21"/>
              </w:rPr>
              <w:t>表4-1</w:t>
            </w:r>
            <w:r>
              <w:rPr>
                <w:rFonts w:hint="eastAsia" w:hAnsi="宋体"/>
                <w:b/>
                <w:color w:val="auto"/>
                <w:szCs w:val="21"/>
                <w:lang w:val="en-US" w:eastAsia="zh-CN"/>
              </w:rPr>
              <w:t>7</w:t>
            </w:r>
            <w:r>
              <w:rPr>
                <w:rFonts w:hint="eastAsia" w:hAnsi="宋体"/>
                <w:b/>
                <w:color w:val="auto"/>
                <w:szCs w:val="21"/>
              </w:rPr>
              <w:t xml:space="preserve">  建设项目土壤污染防治措施一览表</w:t>
            </w:r>
          </w:p>
          <w:tbl>
            <w:tblPr>
              <w:tblStyle w:val="4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8"/>
              <w:gridCol w:w="1393"/>
              <w:gridCol w:w="636"/>
              <w:gridCol w:w="966"/>
              <w:gridCol w:w="3903"/>
            </w:tblGrid>
            <w:tr w14:paraId="6B36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pct"/>
                  <w:vAlign w:val="center"/>
                </w:tcPr>
                <w:p w14:paraId="41946A5E">
                  <w:pPr>
                    <w:spacing w:line="360" w:lineRule="auto"/>
                    <w:jc w:val="center"/>
                    <w:rPr>
                      <w:rFonts w:hAnsi="宋体"/>
                      <w:b/>
                      <w:color w:val="auto"/>
                      <w:szCs w:val="21"/>
                    </w:rPr>
                  </w:pPr>
                  <w:r>
                    <w:rPr>
                      <w:rFonts w:hint="eastAsia" w:hAnsi="宋体"/>
                      <w:b/>
                      <w:color w:val="auto"/>
                      <w:szCs w:val="21"/>
                    </w:rPr>
                    <w:t>污染类别</w:t>
                  </w:r>
                </w:p>
              </w:tc>
              <w:tc>
                <w:tcPr>
                  <w:tcW w:w="885" w:type="pct"/>
                  <w:vAlign w:val="center"/>
                </w:tcPr>
                <w:p w14:paraId="5E76F641">
                  <w:pPr>
                    <w:spacing w:line="360" w:lineRule="auto"/>
                    <w:jc w:val="center"/>
                    <w:rPr>
                      <w:rFonts w:hAnsi="宋体"/>
                      <w:b/>
                      <w:color w:val="auto"/>
                      <w:szCs w:val="21"/>
                    </w:rPr>
                  </w:pPr>
                  <w:r>
                    <w:rPr>
                      <w:rFonts w:hint="eastAsia" w:hAnsi="宋体"/>
                      <w:b/>
                      <w:color w:val="auto"/>
                      <w:szCs w:val="21"/>
                    </w:rPr>
                    <w:t>污染源</w:t>
                  </w:r>
                </w:p>
              </w:tc>
              <w:tc>
                <w:tcPr>
                  <w:tcW w:w="404" w:type="pct"/>
                  <w:vAlign w:val="center"/>
                </w:tcPr>
                <w:p w14:paraId="526149D4">
                  <w:pPr>
                    <w:spacing w:line="360" w:lineRule="auto"/>
                    <w:jc w:val="center"/>
                    <w:rPr>
                      <w:rFonts w:hAnsi="宋体"/>
                      <w:b/>
                      <w:color w:val="auto"/>
                      <w:szCs w:val="21"/>
                    </w:rPr>
                  </w:pPr>
                  <w:r>
                    <w:rPr>
                      <w:rFonts w:hint="eastAsia" w:hAnsi="宋体"/>
                      <w:b/>
                      <w:color w:val="auto"/>
                      <w:szCs w:val="21"/>
                    </w:rPr>
                    <w:t>污染</w:t>
                  </w:r>
                </w:p>
                <w:p w14:paraId="09A46A61">
                  <w:pPr>
                    <w:spacing w:line="360" w:lineRule="auto"/>
                    <w:jc w:val="center"/>
                    <w:rPr>
                      <w:rFonts w:hAnsi="宋体"/>
                      <w:b/>
                      <w:color w:val="auto"/>
                      <w:szCs w:val="21"/>
                    </w:rPr>
                  </w:pPr>
                  <w:r>
                    <w:rPr>
                      <w:rFonts w:hint="eastAsia" w:hAnsi="宋体"/>
                      <w:b/>
                      <w:color w:val="auto"/>
                      <w:szCs w:val="21"/>
                    </w:rPr>
                    <w:t>因子</w:t>
                  </w:r>
                </w:p>
              </w:tc>
              <w:tc>
                <w:tcPr>
                  <w:tcW w:w="3094" w:type="pct"/>
                  <w:gridSpan w:val="2"/>
                  <w:vAlign w:val="center"/>
                </w:tcPr>
                <w:p w14:paraId="190B5EF2">
                  <w:pPr>
                    <w:spacing w:line="360" w:lineRule="auto"/>
                    <w:jc w:val="center"/>
                    <w:rPr>
                      <w:rFonts w:hAnsi="宋体"/>
                      <w:b/>
                      <w:color w:val="auto"/>
                      <w:szCs w:val="21"/>
                    </w:rPr>
                  </w:pPr>
                  <w:r>
                    <w:rPr>
                      <w:rFonts w:hint="eastAsia" w:hAnsi="宋体"/>
                      <w:b/>
                      <w:color w:val="auto"/>
                      <w:szCs w:val="21"/>
                    </w:rPr>
                    <w:t>污染防控措施</w:t>
                  </w:r>
                </w:p>
              </w:tc>
            </w:tr>
            <w:tr w14:paraId="636D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pct"/>
                  <w:vMerge w:val="restart"/>
                  <w:vAlign w:val="center"/>
                </w:tcPr>
                <w:p w14:paraId="060AC85F">
                  <w:pPr>
                    <w:spacing w:line="360" w:lineRule="auto"/>
                    <w:jc w:val="center"/>
                    <w:rPr>
                      <w:rFonts w:hAnsi="宋体"/>
                      <w:color w:val="auto"/>
                      <w:szCs w:val="21"/>
                    </w:rPr>
                  </w:pPr>
                  <w:r>
                    <w:rPr>
                      <w:rFonts w:hint="eastAsia" w:hAnsi="宋体"/>
                      <w:color w:val="auto"/>
                      <w:szCs w:val="21"/>
                    </w:rPr>
                    <w:t>地表漫流影响垂直入渗影响</w:t>
                  </w:r>
                </w:p>
              </w:tc>
              <w:tc>
                <w:tcPr>
                  <w:tcW w:w="885" w:type="pct"/>
                  <w:vMerge w:val="restart"/>
                  <w:vAlign w:val="center"/>
                </w:tcPr>
                <w:p w14:paraId="68DD1A91">
                  <w:pPr>
                    <w:spacing w:line="360" w:lineRule="auto"/>
                    <w:jc w:val="center"/>
                    <w:rPr>
                      <w:rFonts w:hAnsi="宋体"/>
                      <w:color w:val="auto"/>
                      <w:szCs w:val="21"/>
                    </w:rPr>
                  </w:pPr>
                  <w:r>
                    <w:rPr>
                      <w:rFonts w:hint="eastAsia" w:hAnsi="宋体"/>
                      <w:color w:val="auto"/>
                      <w:szCs w:val="21"/>
                    </w:rPr>
                    <w:t>危废暂存间：废润滑油</w:t>
                  </w:r>
                </w:p>
              </w:tc>
              <w:tc>
                <w:tcPr>
                  <w:tcW w:w="404" w:type="pct"/>
                  <w:vMerge w:val="restart"/>
                  <w:vAlign w:val="center"/>
                </w:tcPr>
                <w:p w14:paraId="56FE6493">
                  <w:pPr>
                    <w:spacing w:line="360" w:lineRule="auto"/>
                    <w:jc w:val="center"/>
                    <w:rPr>
                      <w:rFonts w:hAnsi="宋体"/>
                      <w:color w:val="auto"/>
                      <w:szCs w:val="21"/>
                    </w:rPr>
                  </w:pPr>
                  <w:r>
                    <w:rPr>
                      <w:rFonts w:hint="eastAsia" w:hAnsi="宋体"/>
                      <w:color w:val="auto"/>
                      <w:szCs w:val="21"/>
                    </w:rPr>
                    <w:t>石油烃</w:t>
                  </w:r>
                </w:p>
              </w:tc>
              <w:tc>
                <w:tcPr>
                  <w:tcW w:w="614" w:type="pct"/>
                  <w:vAlign w:val="center"/>
                </w:tcPr>
                <w:p w14:paraId="26DB3FCD">
                  <w:pPr>
                    <w:spacing w:line="360" w:lineRule="auto"/>
                    <w:jc w:val="center"/>
                    <w:rPr>
                      <w:rFonts w:hAnsi="宋体"/>
                      <w:color w:val="auto"/>
                      <w:szCs w:val="21"/>
                    </w:rPr>
                  </w:pPr>
                  <w:r>
                    <w:rPr>
                      <w:rFonts w:hint="eastAsia" w:hAnsi="宋体"/>
                      <w:color w:val="auto"/>
                      <w:szCs w:val="21"/>
                    </w:rPr>
                    <w:t>源头控制措施</w:t>
                  </w:r>
                </w:p>
              </w:tc>
              <w:tc>
                <w:tcPr>
                  <w:tcW w:w="2480" w:type="pct"/>
                  <w:vAlign w:val="center"/>
                </w:tcPr>
                <w:p w14:paraId="448B849D">
                  <w:pPr>
                    <w:spacing w:line="360" w:lineRule="auto"/>
                    <w:jc w:val="center"/>
                    <w:rPr>
                      <w:rFonts w:hAnsi="宋体"/>
                      <w:color w:val="auto"/>
                      <w:szCs w:val="21"/>
                    </w:rPr>
                  </w:pPr>
                  <w:r>
                    <w:rPr>
                      <w:rFonts w:hint="eastAsia" w:hAnsi="宋体"/>
                      <w:color w:val="auto"/>
                      <w:szCs w:val="21"/>
                    </w:rPr>
                    <w:t>从专业的厂家采购润滑油等，由合格的盛装容器进行盛装</w:t>
                  </w:r>
                </w:p>
              </w:tc>
            </w:tr>
            <w:tr w14:paraId="291D7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5" w:type="pct"/>
                  <w:vMerge w:val="continue"/>
                  <w:vAlign w:val="center"/>
                </w:tcPr>
                <w:p w14:paraId="6215F0F0">
                  <w:pPr>
                    <w:widowControl/>
                    <w:jc w:val="center"/>
                    <w:rPr>
                      <w:rFonts w:hAnsi="宋体"/>
                      <w:color w:val="auto"/>
                      <w:szCs w:val="21"/>
                    </w:rPr>
                  </w:pPr>
                </w:p>
              </w:tc>
              <w:tc>
                <w:tcPr>
                  <w:tcW w:w="885" w:type="pct"/>
                  <w:vMerge w:val="continue"/>
                  <w:vAlign w:val="center"/>
                </w:tcPr>
                <w:p w14:paraId="3256BAF5">
                  <w:pPr>
                    <w:widowControl/>
                    <w:jc w:val="center"/>
                    <w:rPr>
                      <w:rFonts w:hAnsi="宋体"/>
                      <w:color w:val="auto"/>
                      <w:szCs w:val="21"/>
                    </w:rPr>
                  </w:pPr>
                </w:p>
              </w:tc>
              <w:tc>
                <w:tcPr>
                  <w:tcW w:w="404" w:type="pct"/>
                  <w:vMerge w:val="continue"/>
                  <w:vAlign w:val="center"/>
                </w:tcPr>
                <w:p w14:paraId="604DBF9D">
                  <w:pPr>
                    <w:widowControl/>
                    <w:jc w:val="center"/>
                    <w:rPr>
                      <w:rFonts w:hAnsi="宋体"/>
                      <w:color w:val="auto"/>
                      <w:szCs w:val="21"/>
                    </w:rPr>
                  </w:pPr>
                </w:p>
              </w:tc>
              <w:tc>
                <w:tcPr>
                  <w:tcW w:w="614" w:type="pct"/>
                  <w:vAlign w:val="center"/>
                </w:tcPr>
                <w:p w14:paraId="78533B79">
                  <w:pPr>
                    <w:spacing w:line="360" w:lineRule="auto"/>
                    <w:jc w:val="center"/>
                    <w:rPr>
                      <w:rFonts w:hAnsi="宋体"/>
                      <w:color w:val="auto"/>
                      <w:szCs w:val="21"/>
                    </w:rPr>
                  </w:pPr>
                  <w:r>
                    <w:rPr>
                      <w:rFonts w:hint="eastAsia" w:hAnsi="宋体"/>
                      <w:color w:val="auto"/>
                      <w:szCs w:val="21"/>
                    </w:rPr>
                    <w:t>过程防控措施</w:t>
                  </w:r>
                </w:p>
              </w:tc>
              <w:tc>
                <w:tcPr>
                  <w:tcW w:w="2480" w:type="pct"/>
                  <w:vAlign w:val="center"/>
                </w:tcPr>
                <w:p w14:paraId="4471B0F6">
                  <w:pPr>
                    <w:spacing w:line="360" w:lineRule="auto"/>
                    <w:jc w:val="center"/>
                    <w:rPr>
                      <w:rFonts w:hAnsi="宋体"/>
                      <w:color w:val="auto"/>
                      <w:szCs w:val="21"/>
                    </w:rPr>
                  </w:pPr>
                  <w:r>
                    <w:rPr>
                      <w:rFonts w:hint="eastAsia" w:hAnsi="宋体"/>
                      <w:color w:val="auto"/>
                      <w:szCs w:val="21"/>
                    </w:rPr>
                    <w:t>危废暂存间做重点防渗，设置托盘，危险废物放置在托盘上，设置专员定期对危废暂存间进行巡查</w:t>
                  </w:r>
                </w:p>
              </w:tc>
            </w:tr>
          </w:tbl>
          <w:p w14:paraId="0A7417A2">
            <w:pPr>
              <w:tabs>
                <w:tab w:val="left" w:pos="426"/>
              </w:tabs>
              <w:spacing w:line="360" w:lineRule="auto"/>
              <w:rPr>
                <w:b/>
                <w:bCs/>
                <w:color w:val="auto"/>
                <w:sz w:val="24"/>
                <w:szCs w:val="24"/>
              </w:rPr>
            </w:pPr>
            <w:r>
              <w:rPr>
                <w:rFonts w:hint="eastAsia"/>
                <w:b/>
                <w:bCs/>
                <w:color w:val="auto"/>
                <w:sz w:val="24"/>
                <w:szCs w:val="24"/>
              </w:rPr>
              <w:t>6、环境风险</w:t>
            </w:r>
          </w:p>
          <w:p w14:paraId="3EB19485">
            <w:pPr>
              <w:spacing w:line="360" w:lineRule="auto"/>
              <w:jc w:val="left"/>
              <w:rPr>
                <w:b/>
                <w:color w:val="auto"/>
                <w:sz w:val="24"/>
                <w:szCs w:val="24"/>
              </w:rPr>
            </w:pPr>
            <w:r>
              <w:rPr>
                <w:rFonts w:hint="eastAsia"/>
                <w:b/>
                <w:color w:val="auto"/>
                <w:sz w:val="24"/>
                <w:szCs w:val="24"/>
              </w:rPr>
              <w:t>6.1危险物质和风险源分布情况及可能影响途径</w:t>
            </w:r>
          </w:p>
          <w:p w14:paraId="28070422">
            <w:pPr>
              <w:spacing w:line="360" w:lineRule="auto"/>
              <w:ind w:firstLine="480" w:firstLineChars="200"/>
              <w:rPr>
                <w:color w:val="auto"/>
                <w:sz w:val="24"/>
                <w:szCs w:val="24"/>
              </w:rPr>
            </w:pPr>
            <w:r>
              <w:rPr>
                <w:color w:val="auto"/>
                <w:sz w:val="24"/>
                <w:szCs w:val="24"/>
              </w:rPr>
              <w:t>经对照《建设项目环境风险评价技术导则》（HJ169-2018）中的</w:t>
            </w:r>
            <w:r>
              <w:rPr>
                <w:rFonts w:hint="eastAsia"/>
                <w:color w:val="auto"/>
                <w:sz w:val="24"/>
                <w:szCs w:val="24"/>
              </w:rPr>
              <w:t>“附录B.1  突发环境事件风险物质及临界量”</w:t>
            </w:r>
            <w:r>
              <w:rPr>
                <w:color w:val="auto"/>
                <w:sz w:val="24"/>
                <w:szCs w:val="24"/>
              </w:rPr>
              <w:t>可知，</w:t>
            </w:r>
            <w:r>
              <w:rPr>
                <w:rFonts w:hint="eastAsia"/>
                <w:color w:val="auto"/>
                <w:sz w:val="24"/>
                <w:szCs w:val="24"/>
              </w:rPr>
              <w:t>本项目生产过程中产生的</w:t>
            </w:r>
            <w:r>
              <w:rPr>
                <w:color w:val="auto"/>
                <w:sz w:val="24"/>
                <w:szCs w:val="24"/>
              </w:rPr>
              <w:t>废</w:t>
            </w:r>
            <w:r>
              <w:rPr>
                <w:rFonts w:hint="eastAsia"/>
                <w:color w:val="auto"/>
                <w:sz w:val="24"/>
                <w:szCs w:val="24"/>
              </w:rPr>
              <w:t>润滑油、废油桶</w:t>
            </w:r>
            <w:r>
              <w:rPr>
                <w:color w:val="auto"/>
                <w:sz w:val="24"/>
                <w:szCs w:val="24"/>
              </w:rPr>
              <w:t>属于风险物质。本项目危险物质数量和分布情况详见表4-</w:t>
            </w:r>
            <w:r>
              <w:rPr>
                <w:rFonts w:hint="eastAsia"/>
                <w:color w:val="auto"/>
                <w:sz w:val="24"/>
                <w:szCs w:val="24"/>
              </w:rPr>
              <w:t>1</w:t>
            </w:r>
            <w:r>
              <w:rPr>
                <w:rFonts w:hint="eastAsia"/>
                <w:color w:val="auto"/>
                <w:sz w:val="24"/>
                <w:szCs w:val="24"/>
                <w:lang w:val="en-US" w:eastAsia="zh-CN"/>
              </w:rPr>
              <w:t>8</w:t>
            </w:r>
            <w:r>
              <w:rPr>
                <w:color w:val="auto"/>
                <w:sz w:val="24"/>
                <w:szCs w:val="24"/>
              </w:rPr>
              <w:t>。</w:t>
            </w:r>
          </w:p>
          <w:p w14:paraId="1D8BD008">
            <w:pPr>
              <w:spacing w:line="360" w:lineRule="auto"/>
              <w:ind w:firstLine="422" w:firstLineChars="200"/>
              <w:jc w:val="center"/>
              <w:rPr>
                <w:b/>
                <w:color w:val="auto"/>
                <w:szCs w:val="21"/>
              </w:rPr>
            </w:pPr>
            <w:r>
              <w:rPr>
                <w:b/>
                <w:color w:val="auto"/>
                <w:szCs w:val="21"/>
              </w:rPr>
              <w:t>表4-</w:t>
            </w:r>
            <w:r>
              <w:rPr>
                <w:rFonts w:hint="eastAsia"/>
                <w:b/>
                <w:color w:val="auto"/>
                <w:szCs w:val="21"/>
              </w:rPr>
              <w:t>1</w:t>
            </w:r>
            <w:r>
              <w:rPr>
                <w:rFonts w:hint="eastAsia"/>
                <w:b/>
                <w:color w:val="auto"/>
                <w:szCs w:val="21"/>
                <w:lang w:val="en-US" w:eastAsia="zh-CN"/>
              </w:rPr>
              <w:t>8</w:t>
            </w:r>
            <w:r>
              <w:rPr>
                <w:b/>
                <w:color w:val="auto"/>
                <w:szCs w:val="21"/>
              </w:rPr>
              <w:t xml:space="preserve"> 建设项目危险物质数量和分布情况一览表</w:t>
            </w:r>
          </w:p>
          <w:tbl>
            <w:tblPr>
              <w:tblStyle w:val="4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0"/>
              <w:gridCol w:w="1048"/>
              <w:gridCol w:w="672"/>
              <w:gridCol w:w="655"/>
              <w:gridCol w:w="1026"/>
              <w:gridCol w:w="862"/>
              <w:gridCol w:w="1100"/>
              <w:gridCol w:w="1303"/>
            </w:tblGrid>
            <w:tr w14:paraId="4A9F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pct"/>
                  <w:vAlign w:val="center"/>
                </w:tcPr>
                <w:p w14:paraId="49546003">
                  <w:pPr>
                    <w:jc w:val="center"/>
                    <w:rPr>
                      <w:b/>
                      <w:color w:val="auto"/>
                      <w:szCs w:val="21"/>
                    </w:rPr>
                  </w:pPr>
                  <w:r>
                    <w:rPr>
                      <w:rFonts w:hint="eastAsia"/>
                      <w:b/>
                      <w:color w:val="auto"/>
                      <w:szCs w:val="21"/>
                    </w:rPr>
                    <w:t>名称</w:t>
                  </w:r>
                </w:p>
              </w:tc>
              <w:tc>
                <w:tcPr>
                  <w:tcW w:w="666" w:type="pct"/>
                  <w:vAlign w:val="center"/>
                </w:tcPr>
                <w:p w14:paraId="79ADC56D">
                  <w:pPr>
                    <w:jc w:val="center"/>
                    <w:rPr>
                      <w:b/>
                      <w:color w:val="auto"/>
                      <w:szCs w:val="21"/>
                    </w:rPr>
                  </w:pPr>
                  <w:r>
                    <w:rPr>
                      <w:rFonts w:hint="eastAsia"/>
                      <w:b/>
                      <w:color w:val="auto"/>
                      <w:szCs w:val="21"/>
                    </w:rPr>
                    <w:t>包装方式</w:t>
                  </w:r>
                </w:p>
              </w:tc>
              <w:tc>
                <w:tcPr>
                  <w:tcW w:w="427" w:type="pct"/>
                  <w:vAlign w:val="center"/>
                </w:tcPr>
                <w:p w14:paraId="0B202D2D">
                  <w:pPr>
                    <w:jc w:val="center"/>
                    <w:rPr>
                      <w:b/>
                      <w:color w:val="auto"/>
                      <w:szCs w:val="21"/>
                    </w:rPr>
                  </w:pPr>
                  <w:r>
                    <w:rPr>
                      <w:rFonts w:hint="eastAsia"/>
                      <w:b/>
                      <w:color w:val="auto"/>
                      <w:szCs w:val="21"/>
                    </w:rPr>
                    <w:t>性状</w:t>
                  </w:r>
                </w:p>
              </w:tc>
              <w:tc>
                <w:tcPr>
                  <w:tcW w:w="416" w:type="pct"/>
                  <w:vAlign w:val="center"/>
                </w:tcPr>
                <w:p w14:paraId="18295DAC">
                  <w:pPr>
                    <w:jc w:val="center"/>
                    <w:rPr>
                      <w:b/>
                      <w:color w:val="auto"/>
                      <w:szCs w:val="21"/>
                    </w:rPr>
                  </w:pPr>
                  <w:r>
                    <w:rPr>
                      <w:rFonts w:hint="eastAsia"/>
                      <w:b/>
                      <w:color w:val="auto"/>
                      <w:szCs w:val="21"/>
                    </w:rPr>
                    <w:t>单位</w:t>
                  </w:r>
                </w:p>
              </w:tc>
              <w:tc>
                <w:tcPr>
                  <w:tcW w:w="652" w:type="pct"/>
                  <w:vAlign w:val="center"/>
                </w:tcPr>
                <w:p w14:paraId="6D88EEB9">
                  <w:pPr>
                    <w:jc w:val="center"/>
                    <w:rPr>
                      <w:b/>
                      <w:color w:val="auto"/>
                      <w:szCs w:val="21"/>
                    </w:rPr>
                  </w:pPr>
                  <w:r>
                    <w:rPr>
                      <w:rFonts w:hint="eastAsia"/>
                      <w:b/>
                      <w:color w:val="auto"/>
                      <w:szCs w:val="21"/>
                    </w:rPr>
                    <w:t>最大存放量（含在线量）</w:t>
                  </w:r>
                </w:p>
              </w:tc>
              <w:tc>
                <w:tcPr>
                  <w:tcW w:w="547" w:type="pct"/>
                  <w:vAlign w:val="center"/>
                </w:tcPr>
                <w:p w14:paraId="6FA04832">
                  <w:pPr>
                    <w:jc w:val="center"/>
                    <w:rPr>
                      <w:b/>
                      <w:color w:val="auto"/>
                      <w:szCs w:val="21"/>
                    </w:rPr>
                  </w:pPr>
                  <w:r>
                    <w:rPr>
                      <w:rFonts w:hint="eastAsia"/>
                      <w:b/>
                      <w:color w:val="auto"/>
                      <w:szCs w:val="21"/>
                    </w:rPr>
                    <w:t>临界量</w:t>
                  </w:r>
                </w:p>
              </w:tc>
              <w:tc>
                <w:tcPr>
                  <w:tcW w:w="699" w:type="pct"/>
                  <w:vAlign w:val="center"/>
                </w:tcPr>
                <w:p w14:paraId="606E9ACC">
                  <w:pPr>
                    <w:jc w:val="center"/>
                    <w:rPr>
                      <w:b/>
                      <w:color w:val="auto"/>
                      <w:szCs w:val="21"/>
                    </w:rPr>
                  </w:pPr>
                  <w:r>
                    <w:rPr>
                      <w:rFonts w:hint="eastAsia"/>
                      <w:b/>
                      <w:color w:val="auto"/>
                      <w:szCs w:val="21"/>
                    </w:rPr>
                    <w:t>Q值</w:t>
                  </w:r>
                </w:p>
              </w:tc>
              <w:tc>
                <w:tcPr>
                  <w:tcW w:w="828" w:type="pct"/>
                  <w:vAlign w:val="center"/>
                </w:tcPr>
                <w:p w14:paraId="43B0AEF4">
                  <w:pPr>
                    <w:jc w:val="center"/>
                    <w:rPr>
                      <w:b/>
                      <w:color w:val="auto"/>
                      <w:szCs w:val="21"/>
                    </w:rPr>
                  </w:pPr>
                  <w:r>
                    <w:rPr>
                      <w:rFonts w:hint="eastAsia"/>
                      <w:b/>
                      <w:color w:val="auto"/>
                      <w:szCs w:val="21"/>
                    </w:rPr>
                    <w:t>存放位置</w:t>
                  </w:r>
                </w:p>
              </w:tc>
            </w:tr>
            <w:tr w14:paraId="15482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pct"/>
                  <w:vAlign w:val="center"/>
                </w:tcPr>
                <w:p w14:paraId="4D899382">
                  <w:pPr>
                    <w:jc w:val="center"/>
                    <w:rPr>
                      <w:color w:val="auto"/>
                      <w:szCs w:val="21"/>
                    </w:rPr>
                  </w:pPr>
                  <w:r>
                    <w:rPr>
                      <w:color w:val="auto"/>
                      <w:szCs w:val="21"/>
                    </w:rPr>
                    <w:t>废润滑油</w:t>
                  </w:r>
                </w:p>
              </w:tc>
              <w:tc>
                <w:tcPr>
                  <w:tcW w:w="666" w:type="pct"/>
                  <w:vAlign w:val="center"/>
                </w:tcPr>
                <w:p w14:paraId="155BCE09">
                  <w:pPr>
                    <w:jc w:val="center"/>
                    <w:rPr>
                      <w:color w:val="auto"/>
                      <w:kern w:val="0"/>
                      <w:szCs w:val="21"/>
                    </w:rPr>
                  </w:pPr>
                  <w:r>
                    <w:rPr>
                      <w:rFonts w:hint="eastAsia"/>
                      <w:color w:val="auto"/>
                      <w:kern w:val="0"/>
                      <w:szCs w:val="21"/>
                    </w:rPr>
                    <w:t>桶装</w:t>
                  </w:r>
                </w:p>
              </w:tc>
              <w:tc>
                <w:tcPr>
                  <w:tcW w:w="427" w:type="pct"/>
                  <w:vAlign w:val="center"/>
                </w:tcPr>
                <w:p w14:paraId="7F13E77F">
                  <w:pPr>
                    <w:jc w:val="center"/>
                    <w:rPr>
                      <w:color w:val="auto"/>
                      <w:szCs w:val="21"/>
                    </w:rPr>
                  </w:pPr>
                  <w:r>
                    <w:rPr>
                      <w:rFonts w:hint="eastAsia"/>
                      <w:color w:val="auto"/>
                      <w:szCs w:val="21"/>
                    </w:rPr>
                    <w:t>液态</w:t>
                  </w:r>
                </w:p>
              </w:tc>
              <w:tc>
                <w:tcPr>
                  <w:tcW w:w="416" w:type="pct"/>
                  <w:vAlign w:val="center"/>
                </w:tcPr>
                <w:p w14:paraId="79AA9B27">
                  <w:pPr>
                    <w:jc w:val="center"/>
                    <w:rPr>
                      <w:color w:val="auto"/>
                      <w:szCs w:val="21"/>
                    </w:rPr>
                  </w:pPr>
                  <w:r>
                    <w:rPr>
                      <w:color w:val="auto"/>
                      <w:szCs w:val="21"/>
                    </w:rPr>
                    <w:t>t</w:t>
                  </w:r>
                </w:p>
              </w:tc>
              <w:tc>
                <w:tcPr>
                  <w:tcW w:w="652" w:type="pct"/>
                  <w:vAlign w:val="center"/>
                </w:tcPr>
                <w:p w14:paraId="4F7D3451">
                  <w:pPr>
                    <w:jc w:val="center"/>
                    <w:rPr>
                      <w:color w:val="auto"/>
                      <w:szCs w:val="21"/>
                    </w:rPr>
                  </w:pPr>
                  <w:r>
                    <w:rPr>
                      <w:color w:val="auto"/>
                      <w:szCs w:val="21"/>
                    </w:rPr>
                    <w:t>0.0</w:t>
                  </w:r>
                  <w:r>
                    <w:rPr>
                      <w:rFonts w:hint="eastAsia"/>
                      <w:color w:val="auto"/>
                      <w:szCs w:val="21"/>
                    </w:rPr>
                    <w:t>2</w:t>
                  </w:r>
                  <w:r>
                    <w:rPr>
                      <w:color w:val="auto"/>
                      <w:szCs w:val="21"/>
                    </w:rPr>
                    <w:t>5</w:t>
                  </w:r>
                </w:p>
              </w:tc>
              <w:tc>
                <w:tcPr>
                  <w:tcW w:w="547" w:type="pct"/>
                  <w:vAlign w:val="center"/>
                </w:tcPr>
                <w:p w14:paraId="5FF660B4">
                  <w:pPr>
                    <w:jc w:val="center"/>
                    <w:rPr>
                      <w:color w:val="auto"/>
                      <w:szCs w:val="21"/>
                    </w:rPr>
                  </w:pPr>
                  <w:r>
                    <w:rPr>
                      <w:color w:val="auto"/>
                      <w:szCs w:val="21"/>
                    </w:rPr>
                    <w:t>50</w:t>
                  </w:r>
                </w:p>
              </w:tc>
              <w:tc>
                <w:tcPr>
                  <w:tcW w:w="699" w:type="pct"/>
                  <w:vAlign w:val="center"/>
                </w:tcPr>
                <w:p w14:paraId="7DC57843">
                  <w:pPr>
                    <w:jc w:val="center"/>
                    <w:rPr>
                      <w:rFonts w:eastAsia="等线"/>
                      <w:color w:val="auto"/>
                      <w:szCs w:val="21"/>
                    </w:rPr>
                  </w:pPr>
                  <w:r>
                    <w:rPr>
                      <w:rFonts w:eastAsia="等线"/>
                      <w:color w:val="auto"/>
                      <w:szCs w:val="21"/>
                    </w:rPr>
                    <w:t>0.00</w:t>
                  </w:r>
                  <w:r>
                    <w:rPr>
                      <w:rFonts w:hint="eastAsia" w:eastAsia="等线"/>
                      <w:color w:val="auto"/>
                      <w:szCs w:val="21"/>
                    </w:rPr>
                    <w:t>050</w:t>
                  </w:r>
                </w:p>
              </w:tc>
              <w:tc>
                <w:tcPr>
                  <w:tcW w:w="828" w:type="pct"/>
                  <w:vAlign w:val="center"/>
                </w:tcPr>
                <w:p w14:paraId="000E8410">
                  <w:pPr>
                    <w:jc w:val="center"/>
                    <w:rPr>
                      <w:color w:val="auto"/>
                      <w:szCs w:val="21"/>
                    </w:rPr>
                  </w:pPr>
                  <w:r>
                    <w:rPr>
                      <w:rFonts w:hint="eastAsia"/>
                      <w:color w:val="auto"/>
                      <w:szCs w:val="21"/>
                    </w:rPr>
                    <w:t>危废暂存间</w:t>
                  </w:r>
                </w:p>
              </w:tc>
            </w:tr>
            <w:tr w14:paraId="66523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3" w:type="pct"/>
                  <w:vAlign w:val="center"/>
                </w:tcPr>
                <w:p w14:paraId="7EF6FA94">
                  <w:pPr>
                    <w:jc w:val="center"/>
                    <w:rPr>
                      <w:color w:val="auto"/>
                      <w:szCs w:val="21"/>
                    </w:rPr>
                  </w:pPr>
                  <w:r>
                    <w:rPr>
                      <w:rFonts w:hint="eastAsia"/>
                      <w:color w:val="auto"/>
                      <w:szCs w:val="21"/>
                    </w:rPr>
                    <w:t>废油桶</w:t>
                  </w:r>
                </w:p>
              </w:tc>
              <w:tc>
                <w:tcPr>
                  <w:tcW w:w="666" w:type="pct"/>
                  <w:vAlign w:val="center"/>
                </w:tcPr>
                <w:p w14:paraId="79AB7139">
                  <w:pPr>
                    <w:jc w:val="center"/>
                    <w:rPr>
                      <w:color w:val="auto"/>
                      <w:szCs w:val="21"/>
                    </w:rPr>
                  </w:pPr>
                  <w:r>
                    <w:rPr>
                      <w:rFonts w:hint="eastAsia"/>
                      <w:color w:val="auto"/>
                      <w:szCs w:val="21"/>
                    </w:rPr>
                    <w:t>桶装</w:t>
                  </w:r>
                </w:p>
              </w:tc>
              <w:tc>
                <w:tcPr>
                  <w:tcW w:w="427" w:type="pct"/>
                  <w:vAlign w:val="center"/>
                </w:tcPr>
                <w:p w14:paraId="10372864">
                  <w:pPr>
                    <w:jc w:val="center"/>
                    <w:rPr>
                      <w:color w:val="auto"/>
                      <w:szCs w:val="21"/>
                    </w:rPr>
                  </w:pPr>
                  <w:r>
                    <w:rPr>
                      <w:rFonts w:hint="eastAsia"/>
                      <w:color w:val="auto"/>
                      <w:szCs w:val="21"/>
                    </w:rPr>
                    <w:t>固态</w:t>
                  </w:r>
                </w:p>
              </w:tc>
              <w:tc>
                <w:tcPr>
                  <w:tcW w:w="416" w:type="pct"/>
                  <w:vAlign w:val="center"/>
                </w:tcPr>
                <w:p w14:paraId="7AB10C7F">
                  <w:pPr>
                    <w:jc w:val="center"/>
                    <w:rPr>
                      <w:color w:val="auto"/>
                      <w:szCs w:val="21"/>
                    </w:rPr>
                  </w:pPr>
                  <w:r>
                    <w:rPr>
                      <w:color w:val="auto"/>
                      <w:szCs w:val="21"/>
                    </w:rPr>
                    <w:t>t</w:t>
                  </w:r>
                </w:p>
              </w:tc>
              <w:tc>
                <w:tcPr>
                  <w:tcW w:w="652" w:type="pct"/>
                  <w:vAlign w:val="center"/>
                </w:tcPr>
                <w:p w14:paraId="3C7E094F">
                  <w:pPr>
                    <w:jc w:val="center"/>
                    <w:rPr>
                      <w:color w:val="auto"/>
                      <w:szCs w:val="21"/>
                    </w:rPr>
                  </w:pPr>
                  <w:r>
                    <w:rPr>
                      <w:color w:val="auto"/>
                      <w:szCs w:val="21"/>
                    </w:rPr>
                    <w:t>0.00</w:t>
                  </w:r>
                  <w:r>
                    <w:rPr>
                      <w:rFonts w:hint="eastAsia"/>
                      <w:color w:val="auto"/>
                      <w:szCs w:val="21"/>
                    </w:rPr>
                    <w:t>1</w:t>
                  </w:r>
                </w:p>
              </w:tc>
              <w:tc>
                <w:tcPr>
                  <w:tcW w:w="547" w:type="pct"/>
                  <w:vAlign w:val="center"/>
                </w:tcPr>
                <w:p w14:paraId="7A21364B">
                  <w:pPr>
                    <w:jc w:val="center"/>
                    <w:rPr>
                      <w:color w:val="auto"/>
                      <w:szCs w:val="21"/>
                    </w:rPr>
                  </w:pPr>
                  <w:r>
                    <w:rPr>
                      <w:color w:val="auto"/>
                      <w:szCs w:val="21"/>
                    </w:rPr>
                    <w:t>50</w:t>
                  </w:r>
                </w:p>
              </w:tc>
              <w:tc>
                <w:tcPr>
                  <w:tcW w:w="699" w:type="pct"/>
                  <w:vAlign w:val="center"/>
                </w:tcPr>
                <w:p w14:paraId="6DC3C725">
                  <w:pPr>
                    <w:jc w:val="center"/>
                    <w:rPr>
                      <w:rFonts w:eastAsia="等线"/>
                      <w:color w:val="auto"/>
                      <w:szCs w:val="21"/>
                    </w:rPr>
                  </w:pPr>
                  <w:r>
                    <w:rPr>
                      <w:rFonts w:eastAsia="等线"/>
                      <w:color w:val="auto"/>
                      <w:szCs w:val="21"/>
                    </w:rPr>
                    <w:t>0.0000</w:t>
                  </w:r>
                  <w:r>
                    <w:rPr>
                      <w:rFonts w:hint="eastAsia" w:eastAsia="等线"/>
                      <w:color w:val="auto"/>
                      <w:szCs w:val="21"/>
                    </w:rPr>
                    <w:t>2</w:t>
                  </w:r>
                </w:p>
              </w:tc>
              <w:tc>
                <w:tcPr>
                  <w:tcW w:w="828" w:type="pct"/>
                  <w:vAlign w:val="center"/>
                </w:tcPr>
                <w:p w14:paraId="59F976E2">
                  <w:pPr>
                    <w:jc w:val="center"/>
                    <w:rPr>
                      <w:color w:val="auto"/>
                      <w:szCs w:val="21"/>
                    </w:rPr>
                  </w:pPr>
                  <w:r>
                    <w:rPr>
                      <w:rFonts w:hint="eastAsia"/>
                      <w:color w:val="auto"/>
                      <w:szCs w:val="21"/>
                    </w:rPr>
                    <w:t>危废暂存间</w:t>
                  </w:r>
                </w:p>
              </w:tc>
            </w:tr>
            <w:tr w14:paraId="3864F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72" w:type="pct"/>
                  <w:gridSpan w:val="6"/>
                  <w:vAlign w:val="center"/>
                </w:tcPr>
                <w:p w14:paraId="6F93EA9C">
                  <w:pPr>
                    <w:jc w:val="center"/>
                    <w:rPr>
                      <w:color w:val="auto"/>
                      <w:szCs w:val="21"/>
                    </w:rPr>
                  </w:pPr>
                  <w:r>
                    <w:rPr>
                      <w:rFonts w:hint="eastAsia"/>
                      <w:color w:val="auto"/>
                      <w:szCs w:val="21"/>
                    </w:rPr>
                    <w:t>合计</w:t>
                  </w:r>
                </w:p>
              </w:tc>
              <w:tc>
                <w:tcPr>
                  <w:tcW w:w="699" w:type="pct"/>
                  <w:vAlign w:val="center"/>
                </w:tcPr>
                <w:p w14:paraId="7F631728">
                  <w:pPr>
                    <w:jc w:val="center"/>
                    <w:rPr>
                      <w:color w:val="auto"/>
                      <w:szCs w:val="21"/>
                    </w:rPr>
                  </w:pPr>
                  <w:r>
                    <w:rPr>
                      <w:color w:val="auto"/>
                      <w:szCs w:val="21"/>
                    </w:rPr>
                    <w:t>0.0</w:t>
                  </w:r>
                  <w:r>
                    <w:rPr>
                      <w:rFonts w:hint="eastAsia"/>
                      <w:color w:val="auto"/>
                      <w:szCs w:val="21"/>
                    </w:rPr>
                    <w:t>0052</w:t>
                  </w:r>
                </w:p>
              </w:tc>
              <w:tc>
                <w:tcPr>
                  <w:tcW w:w="828" w:type="pct"/>
                  <w:vAlign w:val="center"/>
                </w:tcPr>
                <w:p w14:paraId="3E773883">
                  <w:pPr>
                    <w:jc w:val="center"/>
                    <w:rPr>
                      <w:color w:val="auto"/>
                      <w:szCs w:val="21"/>
                    </w:rPr>
                  </w:pPr>
                  <w:r>
                    <w:rPr>
                      <w:rFonts w:hint="eastAsia"/>
                      <w:color w:val="auto"/>
                      <w:szCs w:val="21"/>
                    </w:rPr>
                    <w:t>--</w:t>
                  </w:r>
                </w:p>
              </w:tc>
            </w:tr>
          </w:tbl>
          <w:p w14:paraId="78EE0070">
            <w:pPr>
              <w:spacing w:line="360" w:lineRule="auto"/>
              <w:ind w:firstLine="480" w:firstLineChars="200"/>
              <w:rPr>
                <w:color w:val="auto"/>
                <w:sz w:val="24"/>
                <w:szCs w:val="24"/>
              </w:rPr>
            </w:pPr>
            <w:r>
              <w:rPr>
                <w:color w:val="auto"/>
                <w:sz w:val="24"/>
                <w:szCs w:val="24"/>
              </w:rPr>
              <w:t>由上表可知，本项目的Q值为</w:t>
            </w:r>
            <w:r>
              <w:rPr>
                <w:rFonts w:hint="eastAsia"/>
                <w:color w:val="auto"/>
                <w:sz w:val="24"/>
                <w:szCs w:val="24"/>
              </w:rPr>
              <w:t>0.</w:t>
            </w:r>
            <w:r>
              <w:rPr>
                <w:color w:val="auto"/>
                <w:sz w:val="24"/>
                <w:szCs w:val="24"/>
              </w:rPr>
              <w:t>0</w:t>
            </w:r>
            <w:r>
              <w:rPr>
                <w:rFonts w:hint="eastAsia"/>
                <w:color w:val="auto"/>
                <w:sz w:val="24"/>
                <w:szCs w:val="24"/>
              </w:rPr>
              <w:t>0052，属于Q</w:t>
            </w:r>
            <w:r>
              <w:rPr>
                <w:color w:val="auto"/>
                <w:sz w:val="24"/>
                <w:szCs w:val="24"/>
              </w:rPr>
              <w:t>＜1，建设项目环境风险潜势为Ⅰ</w:t>
            </w:r>
            <w:r>
              <w:rPr>
                <w:rFonts w:hint="eastAsia" w:ascii="等线" w:hAnsi="等线"/>
                <w:color w:val="auto"/>
                <w:sz w:val="24"/>
                <w:szCs w:val="24"/>
              </w:rPr>
              <w:t>，</w:t>
            </w:r>
            <w:r>
              <w:rPr>
                <w:color w:val="auto"/>
                <w:sz w:val="24"/>
                <w:szCs w:val="24"/>
              </w:rPr>
              <w:t>无需设置环境风险专项评价。</w:t>
            </w:r>
          </w:p>
          <w:p w14:paraId="564B974A">
            <w:pPr>
              <w:spacing w:line="360" w:lineRule="auto"/>
              <w:jc w:val="left"/>
              <w:rPr>
                <w:b/>
                <w:color w:val="auto"/>
                <w:sz w:val="24"/>
                <w:szCs w:val="24"/>
              </w:rPr>
            </w:pPr>
            <w:r>
              <w:rPr>
                <w:rFonts w:hint="eastAsia"/>
                <w:b/>
                <w:color w:val="auto"/>
                <w:sz w:val="24"/>
                <w:szCs w:val="24"/>
              </w:rPr>
              <w:t>6.2</w:t>
            </w:r>
            <w:r>
              <w:rPr>
                <w:b/>
                <w:color w:val="auto"/>
                <w:sz w:val="24"/>
                <w:szCs w:val="24"/>
              </w:rPr>
              <w:t>环境</w:t>
            </w:r>
            <w:r>
              <w:rPr>
                <w:rFonts w:hint="eastAsia"/>
                <w:b/>
                <w:color w:val="auto"/>
                <w:sz w:val="24"/>
                <w:szCs w:val="24"/>
              </w:rPr>
              <w:t>风险</w:t>
            </w:r>
            <w:r>
              <w:rPr>
                <w:b/>
                <w:color w:val="auto"/>
                <w:sz w:val="24"/>
                <w:szCs w:val="24"/>
              </w:rPr>
              <w:t>识别</w:t>
            </w:r>
          </w:p>
          <w:p w14:paraId="297BBE1B">
            <w:pPr>
              <w:spacing w:line="360" w:lineRule="auto"/>
              <w:ind w:firstLine="480" w:firstLineChars="200"/>
              <w:rPr>
                <w:color w:val="auto"/>
                <w:sz w:val="24"/>
                <w:szCs w:val="24"/>
              </w:rPr>
            </w:pPr>
            <w:r>
              <w:rPr>
                <w:color w:val="auto"/>
                <w:sz w:val="24"/>
                <w:szCs w:val="24"/>
              </w:rPr>
              <w:t>建设项目涉及的风险物质</w:t>
            </w:r>
            <w:r>
              <w:rPr>
                <w:rFonts w:hint="eastAsia"/>
                <w:color w:val="auto"/>
                <w:sz w:val="24"/>
                <w:szCs w:val="24"/>
              </w:rPr>
              <w:t>为</w:t>
            </w:r>
            <w:r>
              <w:rPr>
                <w:color w:val="auto"/>
                <w:sz w:val="24"/>
                <w:szCs w:val="24"/>
              </w:rPr>
              <w:t>生产过程中产生的废</w:t>
            </w:r>
            <w:r>
              <w:rPr>
                <w:rFonts w:hint="eastAsia"/>
                <w:color w:val="auto"/>
                <w:sz w:val="24"/>
                <w:szCs w:val="24"/>
              </w:rPr>
              <w:t>润滑</w:t>
            </w:r>
            <w:r>
              <w:rPr>
                <w:color w:val="auto"/>
                <w:sz w:val="24"/>
                <w:szCs w:val="24"/>
              </w:rPr>
              <w:t>油。在生产过程中，一旦发生原料泄漏、火灾，这些风险物质将通过垂直入渗或地表漫流的方式进入土壤和地下水。此外，在事故应急处置过程中，产生的事故废水，如果未经有效拦截、收集而进入外部地表水体，将有可能对区域地表水环境造成污染。</w:t>
            </w:r>
          </w:p>
          <w:p w14:paraId="61109737">
            <w:pPr>
              <w:spacing w:line="360" w:lineRule="auto"/>
              <w:ind w:firstLine="480" w:firstLineChars="200"/>
              <w:rPr>
                <w:color w:val="auto"/>
                <w:sz w:val="24"/>
                <w:szCs w:val="24"/>
              </w:rPr>
            </w:pPr>
            <w:r>
              <w:rPr>
                <w:color w:val="auto"/>
                <w:sz w:val="24"/>
                <w:szCs w:val="24"/>
              </w:rPr>
              <w:t>因此，建设项目可能存在的事故影响途径汇总见表4-</w:t>
            </w:r>
            <w:r>
              <w:rPr>
                <w:rFonts w:hint="eastAsia"/>
                <w:color w:val="auto"/>
                <w:sz w:val="24"/>
                <w:szCs w:val="24"/>
                <w:lang w:val="en-US" w:eastAsia="zh-CN"/>
              </w:rPr>
              <w:t>19</w:t>
            </w:r>
            <w:r>
              <w:rPr>
                <w:color w:val="auto"/>
                <w:sz w:val="24"/>
                <w:szCs w:val="24"/>
              </w:rPr>
              <w:t>。</w:t>
            </w:r>
          </w:p>
          <w:p w14:paraId="25CBC8F8">
            <w:pPr>
              <w:spacing w:line="360" w:lineRule="auto"/>
              <w:ind w:firstLine="422" w:firstLineChars="200"/>
              <w:jc w:val="center"/>
              <w:rPr>
                <w:b/>
                <w:color w:val="auto"/>
                <w:szCs w:val="21"/>
              </w:rPr>
            </w:pPr>
            <w:r>
              <w:rPr>
                <w:b/>
                <w:color w:val="auto"/>
                <w:szCs w:val="21"/>
              </w:rPr>
              <w:t>表4-</w:t>
            </w:r>
            <w:r>
              <w:rPr>
                <w:rFonts w:hint="eastAsia"/>
                <w:b/>
                <w:color w:val="auto"/>
                <w:szCs w:val="21"/>
                <w:lang w:val="en-US" w:eastAsia="zh-CN"/>
              </w:rPr>
              <w:t>19</w:t>
            </w:r>
            <w:r>
              <w:rPr>
                <w:b/>
                <w:color w:val="auto"/>
                <w:szCs w:val="21"/>
              </w:rPr>
              <w:t xml:space="preserve"> 建设项目环境事故影响途径分析汇总一览表</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3"/>
              <w:gridCol w:w="1266"/>
              <w:gridCol w:w="2315"/>
              <w:gridCol w:w="516"/>
              <w:gridCol w:w="691"/>
              <w:gridCol w:w="691"/>
              <w:gridCol w:w="1694"/>
            </w:tblGrid>
            <w:tr w14:paraId="4F1F1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restart"/>
                  <w:vAlign w:val="center"/>
                </w:tcPr>
                <w:p w14:paraId="790B1685">
                  <w:pPr>
                    <w:jc w:val="center"/>
                    <w:rPr>
                      <w:b/>
                      <w:color w:val="auto"/>
                      <w:szCs w:val="21"/>
                    </w:rPr>
                  </w:pPr>
                  <w:r>
                    <w:rPr>
                      <w:b/>
                      <w:color w:val="auto"/>
                      <w:szCs w:val="21"/>
                    </w:rPr>
                    <w:t>事故类型</w:t>
                  </w:r>
                </w:p>
              </w:tc>
              <w:tc>
                <w:tcPr>
                  <w:tcW w:w="0" w:type="auto"/>
                  <w:vMerge w:val="restart"/>
                  <w:vAlign w:val="center"/>
                </w:tcPr>
                <w:p w14:paraId="67E60999">
                  <w:pPr>
                    <w:jc w:val="center"/>
                    <w:rPr>
                      <w:b/>
                      <w:color w:val="auto"/>
                      <w:szCs w:val="21"/>
                    </w:rPr>
                  </w:pPr>
                  <w:r>
                    <w:rPr>
                      <w:b/>
                      <w:color w:val="auto"/>
                      <w:szCs w:val="21"/>
                    </w:rPr>
                    <w:t>事故位置</w:t>
                  </w:r>
                </w:p>
              </w:tc>
              <w:tc>
                <w:tcPr>
                  <w:tcW w:w="0" w:type="auto"/>
                  <w:vMerge w:val="restart"/>
                  <w:vAlign w:val="center"/>
                </w:tcPr>
                <w:p w14:paraId="77F86424">
                  <w:pPr>
                    <w:jc w:val="center"/>
                    <w:rPr>
                      <w:b/>
                      <w:color w:val="auto"/>
                      <w:szCs w:val="21"/>
                    </w:rPr>
                  </w:pPr>
                  <w:r>
                    <w:rPr>
                      <w:b/>
                      <w:color w:val="auto"/>
                      <w:szCs w:val="21"/>
                    </w:rPr>
                    <w:t>泄漏物料</w:t>
                  </w:r>
                </w:p>
              </w:tc>
              <w:tc>
                <w:tcPr>
                  <w:tcW w:w="0" w:type="auto"/>
                  <w:gridSpan w:val="3"/>
                  <w:vAlign w:val="center"/>
                </w:tcPr>
                <w:p w14:paraId="02C706CB">
                  <w:pPr>
                    <w:jc w:val="center"/>
                    <w:rPr>
                      <w:b/>
                      <w:color w:val="auto"/>
                      <w:szCs w:val="21"/>
                    </w:rPr>
                  </w:pPr>
                  <w:r>
                    <w:rPr>
                      <w:b/>
                      <w:color w:val="auto"/>
                      <w:szCs w:val="21"/>
                    </w:rPr>
                    <w:t>污染物转移途径</w:t>
                  </w:r>
                </w:p>
              </w:tc>
              <w:tc>
                <w:tcPr>
                  <w:tcW w:w="0" w:type="auto"/>
                  <w:vMerge w:val="restart"/>
                  <w:vAlign w:val="center"/>
                </w:tcPr>
                <w:p w14:paraId="162E81B3">
                  <w:pPr>
                    <w:jc w:val="center"/>
                    <w:rPr>
                      <w:b/>
                      <w:color w:val="auto"/>
                      <w:szCs w:val="21"/>
                    </w:rPr>
                  </w:pPr>
                  <w:r>
                    <w:rPr>
                      <w:b/>
                      <w:color w:val="auto"/>
                      <w:szCs w:val="21"/>
                    </w:rPr>
                    <w:t>危害形式</w:t>
                  </w:r>
                </w:p>
              </w:tc>
            </w:tr>
            <w:tr w14:paraId="0012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Merge w:val="continue"/>
                  <w:vAlign w:val="center"/>
                </w:tcPr>
                <w:p w14:paraId="6A2A15A5">
                  <w:pPr>
                    <w:jc w:val="center"/>
                    <w:rPr>
                      <w:color w:val="auto"/>
                      <w:szCs w:val="21"/>
                    </w:rPr>
                  </w:pPr>
                </w:p>
              </w:tc>
              <w:tc>
                <w:tcPr>
                  <w:tcW w:w="0" w:type="auto"/>
                  <w:vMerge w:val="continue"/>
                  <w:vAlign w:val="center"/>
                </w:tcPr>
                <w:p w14:paraId="09531780">
                  <w:pPr>
                    <w:jc w:val="center"/>
                    <w:rPr>
                      <w:color w:val="auto"/>
                      <w:szCs w:val="21"/>
                    </w:rPr>
                  </w:pPr>
                </w:p>
              </w:tc>
              <w:tc>
                <w:tcPr>
                  <w:tcW w:w="0" w:type="auto"/>
                  <w:vMerge w:val="continue"/>
                  <w:vAlign w:val="center"/>
                </w:tcPr>
                <w:p w14:paraId="41627D9D">
                  <w:pPr>
                    <w:jc w:val="center"/>
                    <w:rPr>
                      <w:color w:val="auto"/>
                      <w:szCs w:val="21"/>
                    </w:rPr>
                  </w:pPr>
                </w:p>
              </w:tc>
              <w:tc>
                <w:tcPr>
                  <w:tcW w:w="0" w:type="auto"/>
                  <w:vAlign w:val="center"/>
                </w:tcPr>
                <w:p w14:paraId="45307A68">
                  <w:pPr>
                    <w:jc w:val="center"/>
                    <w:rPr>
                      <w:b/>
                      <w:color w:val="auto"/>
                      <w:szCs w:val="21"/>
                    </w:rPr>
                  </w:pPr>
                  <w:r>
                    <w:rPr>
                      <w:b/>
                      <w:color w:val="auto"/>
                      <w:szCs w:val="21"/>
                    </w:rPr>
                    <w:t>大气</w:t>
                  </w:r>
                </w:p>
              </w:tc>
              <w:tc>
                <w:tcPr>
                  <w:tcW w:w="0" w:type="auto"/>
                  <w:vAlign w:val="center"/>
                </w:tcPr>
                <w:p w14:paraId="2B026D3E">
                  <w:pPr>
                    <w:jc w:val="center"/>
                    <w:rPr>
                      <w:b/>
                      <w:color w:val="auto"/>
                      <w:szCs w:val="21"/>
                    </w:rPr>
                  </w:pPr>
                  <w:r>
                    <w:rPr>
                      <w:b/>
                      <w:color w:val="auto"/>
                      <w:szCs w:val="21"/>
                    </w:rPr>
                    <w:t>地表水</w:t>
                  </w:r>
                </w:p>
              </w:tc>
              <w:tc>
                <w:tcPr>
                  <w:tcW w:w="0" w:type="auto"/>
                  <w:vAlign w:val="center"/>
                </w:tcPr>
                <w:p w14:paraId="0DF5B722">
                  <w:pPr>
                    <w:jc w:val="center"/>
                    <w:rPr>
                      <w:b/>
                      <w:color w:val="auto"/>
                      <w:szCs w:val="21"/>
                    </w:rPr>
                  </w:pPr>
                  <w:r>
                    <w:rPr>
                      <w:b/>
                      <w:color w:val="auto"/>
                      <w:szCs w:val="21"/>
                    </w:rPr>
                    <w:t>其他</w:t>
                  </w:r>
                </w:p>
              </w:tc>
              <w:tc>
                <w:tcPr>
                  <w:tcW w:w="0" w:type="auto"/>
                  <w:vMerge w:val="continue"/>
                  <w:vAlign w:val="center"/>
                </w:tcPr>
                <w:p w14:paraId="40120647">
                  <w:pPr>
                    <w:jc w:val="center"/>
                    <w:rPr>
                      <w:color w:val="auto"/>
                      <w:szCs w:val="21"/>
                    </w:rPr>
                  </w:pPr>
                </w:p>
              </w:tc>
            </w:tr>
            <w:tr w14:paraId="27193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7FF91401">
                  <w:pPr>
                    <w:jc w:val="center"/>
                    <w:rPr>
                      <w:color w:val="auto"/>
                      <w:szCs w:val="21"/>
                    </w:rPr>
                  </w:pPr>
                  <w:r>
                    <w:rPr>
                      <w:color w:val="auto"/>
                      <w:szCs w:val="21"/>
                    </w:rPr>
                    <w:t>物料泄漏</w:t>
                  </w:r>
                </w:p>
              </w:tc>
              <w:tc>
                <w:tcPr>
                  <w:tcW w:w="1266" w:type="dxa"/>
                  <w:vAlign w:val="center"/>
                </w:tcPr>
                <w:p w14:paraId="5F4920A0">
                  <w:pPr>
                    <w:jc w:val="center"/>
                    <w:rPr>
                      <w:color w:val="auto"/>
                      <w:szCs w:val="21"/>
                    </w:rPr>
                  </w:pPr>
                  <w:r>
                    <w:rPr>
                      <w:color w:val="auto"/>
                      <w:szCs w:val="21"/>
                    </w:rPr>
                    <w:t>危废暂存间</w:t>
                  </w:r>
                </w:p>
              </w:tc>
              <w:tc>
                <w:tcPr>
                  <w:tcW w:w="2315" w:type="dxa"/>
                  <w:vAlign w:val="center"/>
                </w:tcPr>
                <w:p w14:paraId="11997113">
                  <w:pPr>
                    <w:jc w:val="center"/>
                    <w:rPr>
                      <w:color w:val="auto"/>
                      <w:szCs w:val="21"/>
                    </w:rPr>
                  </w:pPr>
                  <w:r>
                    <w:rPr>
                      <w:color w:val="auto"/>
                      <w:szCs w:val="21"/>
                    </w:rPr>
                    <w:t>废</w:t>
                  </w:r>
                  <w:r>
                    <w:rPr>
                      <w:rFonts w:hint="eastAsia"/>
                      <w:color w:val="auto"/>
                      <w:szCs w:val="21"/>
                    </w:rPr>
                    <w:t>润滑油</w:t>
                  </w:r>
                </w:p>
              </w:tc>
              <w:tc>
                <w:tcPr>
                  <w:tcW w:w="0" w:type="auto"/>
                  <w:vAlign w:val="center"/>
                </w:tcPr>
                <w:p w14:paraId="658DAA55">
                  <w:pPr>
                    <w:jc w:val="center"/>
                    <w:rPr>
                      <w:color w:val="auto"/>
                      <w:szCs w:val="21"/>
                    </w:rPr>
                  </w:pPr>
                  <w:r>
                    <w:rPr>
                      <w:color w:val="auto"/>
                      <w:szCs w:val="21"/>
                    </w:rPr>
                    <w:t>--</w:t>
                  </w:r>
                </w:p>
              </w:tc>
              <w:tc>
                <w:tcPr>
                  <w:tcW w:w="0" w:type="auto"/>
                  <w:vAlign w:val="center"/>
                </w:tcPr>
                <w:p w14:paraId="6DF548FB">
                  <w:pPr>
                    <w:jc w:val="center"/>
                    <w:rPr>
                      <w:color w:val="auto"/>
                      <w:szCs w:val="21"/>
                    </w:rPr>
                  </w:pPr>
                  <w:r>
                    <w:rPr>
                      <w:color w:val="auto"/>
                      <w:szCs w:val="21"/>
                    </w:rPr>
                    <w:t>地表漫流</w:t>
                  </w:r>
                </w:p>
              </w:tc>
              <w:tc>
                <w:tcPr>
                  <w:tcW w:w="0" w:type="auto"/>
                  <w:vAlign w:val="center"/>
                </w:tcPr>
                <w:p w14:paraId="3B475DE5">
                  <w:pPr>
                    <w:jc w:val="center"/>
                    <w:rPr>
                      <w:color w:val="auto"/>
                      <w:szCs w:val="21"/>
                    </w:rPr>
                  </w:pPr>
                  <w:r>
                    <w:rPr>
                      <w:color w:val="auto"/>
                      <w:szCs w:val="21"/>
                    </w:rPr>
                    <w:t>垂直入渗</w:t>
                  </w:r>
                </w:p>
              </w:tc>
              <w:tc>
                <w:tcPr>
                  <w:tcW w:w="0" w:type="auto"/>
                  <w:vAlign w:val="center"/>
                </w:tcPr>
                <w:p w14:paraId="0711509F">
                  <w:pPr>
                    <w:jc w:val="center"/>
                    <w:rPr>
                      <w:color w:val="auto"/>
                      <w:szCs w:val="21"/>
                    </w:rPr>
                  </w:pPr>
                  <w:r>
                    <w:rPr>
                      <w:color w:val="auto"/>
                      <w:szCs w:val="21"/>
                    </w:rPr>
                    <w:t>地表水、地下水、土壤环境污染</w:t>
                  </w:r>
                </w:p>
              </w:tc>
            </w:tr>
            <w:tr w14:paraId="041D4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0" w:type="auto"/>
                  <w:vAlign w:val="center"/>
                </w:tcPr>
                <w:p w14:paraId="3F70591E">
                  <w:pPr>
                    <w:jc w:val="center"/>
                    <w:rPr>
                      <w:color w:val="auto"/>
                      <w:szCs w:val="21"/>
                    </w:rPr>
                  </w:pPr>
                  <w:r>
                    <w:rPr>
                      <w:color w:val="auto"/>
                      <w:szCs w:val="21"/>
                    </w:rPr>
                    <w:t>火灾</w:t>
                  </w:r>
                </w:p>
              </w:tc>
              <w:tc>
                <w:tcPr>
                  <w:tcW w:w="0" w:type="auto"/>
                  <w:vAlign w:val="center"/>
                </w:tcPr>
                <w:p w14:paraId="7C18E6E4">
                  <w:pPr>
                    <w:jc w:val="center"/>
                    <w:rPr>
                      <w:color w:val="auto"/>
                      <w:szCs w:val="21"/>
                    </w:rPr>
                  </w:pPr>
                  <w:r>
                    <w:rPr>
                      <w:color w:val="auto"/>
                      <w:szCs w:val="21"/>
                    </w:rPr>
                    <w:t>生产车间</w:t>
                  </w:r>
                </w:p>
              </w:tc>
              <w:tc>
                <w:tcPr>
                  <w:tcW w:w="0" w:type="auto"/>
                  <w:vAlign w:val="center"/>
                </w:tcPr>
                <w:p w14:paraId="43DB48C8">
                  <w:pPr>
                    <w:jc w:val="center"/>
                    <w:rPr>
                      <w:color w:val="auto"/>
                      <w:szCs w:val="21"/>
                    </w:rPr>
                  </w:pPr>
                  <w:r>
                    <w:rPr>
                      <w:color w:val="auto"/>
                      <w:szCs w:val="21"/>
                    </w:rPr>
                    <w:t>消防水</w:t>
                  </w:r>
                </w:p>
              </w:tc>
              <w:tc>
                <w:tcPr>
                  <w:tcW w:w="0" w:type="auto"/>
                  <w:vAlign w:val="center"/>
                </w:tcPr>
                <w:p w14:paraId="430A57BE">
                  <w:pPr>
                    <w:jc w:val="center"/>
                    <w:rPr>
                      <w:color w:val="auto"/>
                      <w:szCs w:val="21"/>
                    </w:rPr>
                  </w:pPr>
                  <w:r>
                    <w:rPr>
                      <w:color w:val="auto"/>
                      <w:szCs w:val="21"/>
                    </w:rPr>
                    <w:t>--</w:t>
                  </w:r>
                </w:p>
              </w:tc>
              <w:tc>
                <w:tcPr>
                  <w:tcW w:w="0" w:type="auto"/>
                  <w:vAlign w:val="center"/>
                </w:tcPr>
                <w:p w14:paraId="4BA2E862">
                  <w:pPr>
                    <w:jc w:val="center"/>
                    <w:rPr>
                      <w:color w:val="auto"/>
                      <w:szCs w:val="21"/>
                    </w:rPr>
                  </w:pPr>
                  <w:r>
                    <w:rPr>
                      <w:color w:val="auto"/>
                      <w:szCs w:val="21"/>
                    </w:rPr>
                    <w:t>地表漫流</w:t>
                  </w:r>
                </w:p>
              </w:tc>
              <w:tc>
                <w:tcPr>
                  <w:tcW w:w="0" w:type="auto"/>
                  <w:vAlign w:val="center"/>
                </w:tcPr>
                <w:p w14:paraId="4DDAB8E4">
                  <w:pPr>
                    <w:jc w:val="center"/>
                    <w:rPr>
                      <w:color w:val="auto"/>
                      <w:szCs w:val="21"/>
                    </w:rPr>
                  </w:pPr>
                  <w:r>
                    <w:rPr>
                      <w:color w:val="auto"/>
                      <w:szCs w:val="21"/>
                    </w:rPr>
                    <w:t>垂直入渗</w:t>
                  </w:r>
                </w:p>
              </w:tc>
              <w:tc>
                <w:tcPr>
                  <w:tcW w:w="0" w:type="auto"/>
                  <w:vAlign w:val="center"/>
                </w:tcPr>
                <w:p w14:paraId="50A5EA31">
                  <w:pPr>
                    <w:jc w:val="center"/>
                    <w:rPr>
                      <w:color w:val="auto"/>
                      <w:szCs w:val="21"/>
                    </w:rPr>
                  </w:pPr>
                  <w:r>
                    <w:rPr>
                      <w:color w:val="auto"/>
                      <w:szCs w:val="21"/>
                    </w:rPr>
                    <w:t>地表水、地下水、土壤环境污染</w:t>
                  </w:r>
                </w:p>
              </w:tc>
            </w:tr>
          </w:tbl>
          <w:p w14:paraId="67B7D736">
            <w:pPr>
              <w:spacing w:line="360" w:lineRule="auto"/>
              <w:rPr>
                <w:b/>
                <w:color w:val="auto"/>
                <w:sz w:val="24"/>
                <w:szCs w:val="24"/>
              </w:rPr>
            </w:pPr>
            <w:r>
              <w:rPr>
                <w:rFonts w:hint="eastAsia"/>
                <w:b/>
                <w:color w:val="auto"/>
                <w:sz w:val="24"/>
                <w:szCs w:val="24"/>
              </w:rPr>
              <w:t>6.3</w:t>
            </w:r>
            <w:r>
              <w:rPr>
                <w:b/>
                <w:color w:val="auto"/>
                <w:sz w:val="24"/>
              </w:rPr>
              <w:t>环境风险防范措施</w:t>
            </w:r>
          </w:p>
          <w:p w14:paraId="40D03786">
            <w:pPr>
              <w:spacing w:line="360" w:lineRule="auto"/>
              <w:ind w:firstLine="480" w:firstLineChars="200"/>
              <w:rPr>
                <w:color w:val="auto"/>
                <w:sz w:val="24"/>
                <w:szCs w:val="24"/>
              </w:rPr>
            </w:pPr>
            <w:r>
              <w:rPr>
                <w:color w:val="auto"/>
                <w:sz w:val="24"/>
              </w:rPr>
              <w:t>实践证明，许多环境污染事故平时只要提高警惕，加强管理和防范是可以完全避免的。因此项目首要的是加强事故防范措施的宣传教育，防止风险事故的发生。此外应根据环评及实际生产情况对安全事故隐患进行调查登记，对企业的安全措施常抓不懈，将本项目风险事故的发生概率控制在最小范围内。</w:t>
            </w:r>
          </w:p>
          <w:p w14:paraId="4B23BCB2">
            <w:pPr>
              <w:spacing w:line="360" w:lineRule="auto"/>
              <w:ind w:firstLine="480" w:firstLineChars="200"/>
              <w:rPr>
                <w:color w:val="auto"/>
                <w:sz w:val="24"/>
                <w:szCs w:val="24"/>
              </w:rPr>
            </w:pPr>
            <w:r>
              <w:rPr>
                <w:color w:val="auto"/>
                <w:sz w:val="24"/>
                <w:szCs w:val="24"/>
              </w:rPr>
              <w:t>本项目具有易燃物料泄漏，进而引发火灾等次生事故的潜在环境风险隐患，对此，必须采取有效的事故防范措施。</w:t>
            </w:r>
          </w:p>
          <w:p w14:paraId="7DE06C3A">
            <w:pPr>
              <w:spacing w:line="360" w:lineRule="auto"/>
              <w:ind w:firstLine="480" w:firstLineChars="200"/>
              <w:rPr>
                <w:color w:val="auto"/>
                <w:sz w:val="24"/>
                <w:szCs w:val="24"/>
              </w:rPr>
            </w:pPr>
            <w:r>
              <w:rPr>
                <w:rFonts w:hint="eastAsia" w:ascii="宋体" w:hAnsi="宋体" w:cs="宋体"/>
                <w:color w:val="auto"/>
                <w:sz w:val="24"/>
                <w:szCs w:val="24"/>
              </w:rPr>
              <w:t>①</w:t>
            </w:r>
            <w:r>
              <w:rPr>
                <w:color w:val="auto"/>
                <w:sz w:val="24"/>
                <w:szCs w:val="24"/>
              </w:rPr>
              <w:t>总图布置和建筑安全防范措施</w:t>
            </w:r>
          </w:p>
          <w:p w14:paraId="25A4ED6D">
            <w:pPr>
              <w:spacing w:line="360" w:lineRule="auto"/>
              <w:ind w:firstLine="480" w:firstLineChars="200"/>
              <w:rPr>
                <w:color w:val="auto"/>
                <w:sz w:val="24"/>
                <w:szCs w:val="24"/>
              </w:rPr>
            </w:pPr>
            <w:r>
              <w:rPr>
                <w:rFonts w:hint="eastAsia"/>
                <w:color w:val="auto"/>
                <w:sz w:val="24"/>
                <w:szCs w:val="24"/>
              </w:rPr>
              <w:t>1、</w:t>
            </w:r>
            <w:r>
              <w:rPr>
                <w:color w:val="auto"/>
                <w:sz w:val="24"/>
                <w:szCs w:val="24"/>
              </w:rPr>
              <w:t>厂区总平面布置、防火间距应符合《建筑设计防火规范》</w:t>
            </w:r>
            <w:r>
              <w:rPr>
                <w:rFonts w:hint="eastAsia"/>
                <w:color w:val="auto"/>
                <w:sz w:val="24"/>
                <w:szCs w:val="24"/>
              </w:rPr>
              <w:t>（</w:t>
            </w:r>
            <w:r>
              <w:rPr>
                <w:color w:val="auto"/>
                <w:sz w:val="24"/>
                <w:szCs w:val="24"/>
              </w:rPr>
              <w:t>GB</w:t>
            </w:r>
            <w:r>
              <w:rPr>
                <w:rFonts w:hint="eastAsia"/>
                <w:color w:val="auto"/>
                <w:sz w:val="24"/>
                <w:szCs w:val="24"/>
              </w:rPr>
              <w:t xml:space="preserve"> </w:t>
            </w:r>
            <w:r>
              <w:rPr>
                <w:color w:val="auto"/>
                <w:sz w:val="24"/>
                <w:szCs w:val="24"/>
              </w:rPr>
              <w:t>50016-20</w:t>
            </w:r>
            <w:r>
              <w:rPr>
                <w:rFonts w:hint="eastAsia"/>
                <w:color w:val="auto"/>
                <w:sz w:val="24"/>
                <w:szCs w:val="24"/>
              </w:rPr>
              <w:t>14，2018版）</w:t>
            </w:r>
            <w:r>
              <w:rPr>
                <w:color w:val="auto"/>
                <w:sz w:val="24"/>
                <w:szCs w:val="24"/>
              </w:rPr>
              <w:t>和《工业企业总平面设计规范》（GB50187-</w:t>
            </w:r>
            <w:r>
              <w:rPr>
                <w:rFonts w:hint="eastAsia"/>
                <w:color w:val="auto"/>
                <w:sz w:val="24"/>
                <w:szCs w:val="24"/>
              </w:rPr>
              <w:t>2012</w:t>
            </w:r>
            <w:r>
              <w:rPr>
                <w:color w:val="auto"/>
                <w:sz w:val="24"/>
                <w:szCs w:val="24"/>
              </w:rPr>
              <w:t>）等相关规定。生产区车间、物料存储车间等建、构筑物的设计应与火灾类别相应的防火对策措施，建筑物耐火等级应符合《建筑设计防火规范》的有关规定，并通过消防、安全验收。</w:t>
            </w:r>
          </w:p>
          <w:p w14:paraId="433527EB">
            <w:pPr>
              <w:spacing w:line="360" w:lineRule="auto"/>
              <w:ind w:firstLine="480" w:firstLineChars="200"/>
              <w:rPr>
                <w:color w:val="auto"/>
                <w:sz w:val="24"/>
                <w:szCs w:val="24"/>
              </w:rPr>
            </w:pPr>
            <w:r>
              <w:rPr>
                <w:color w:val="auto"/>
                <w:sz w:val="24"/>
                <w:szCs w:val="24"/>
              </w:rPr>
              <w:t>2</w:t>
            </w:r>
            <w:r>
              <w:rPr>
                <w:rFonts w:hAnsi="宋体"/>
                <w:color w:val="auto"/>
                <w:sz w:val="24"/>
                <w:szCs w:val="24"/>
              </w:rPr>
              <w:t>、</w:t>
            </w:r>
            <w:r>
              <w:rPr>
                <w:rFonts w:hint="eastAsia"/>
                <w:color w:val="auto"/>
                <w:sz w:val="24"/>
                <w:szCs w:val="24"/>
              </w:rPr>
              <w:t>生产车间</w:t>
            </w:r>
            <w:r>
              <w:rPr>
                <w:color w:val="auto"/>
                <w:sz w:val="24"/>
                <w:szCs w:val="24"/>
              </w:rPr>
              <w:t>主要出入口不应少于两个，并且位于不同方位，厂内道路的布置应满足生产、运输、安装、检修、消防及环境卫生的要求。</w:t>
            </w:r>
          </w:p>
          <w:p w14:paraId="69493A7C">
            <w:pPr>
              <w:spacing w:line="360" w:lineRule="auto"/>
              <w:ind w:firstLine="480" w:firstLineChars="200"/>
              <w:rPr>
                <w:color w:val="auto"/>
                <w:sz w:val="24"/>
                <w:szCs w:val="24"/>
              </w:rPr>
            </w:pPr>
            <w:r>
              <w:rPr>
                <w:color w:val="auto"/>
                <w:sz w:val="24"/>
                <w:szCs w:val="24"/>
              </w:rPr>
              <w:t>3</w:t>
            </w:r>
            <w:r>
              <w:rPr>
                <w:rFonts w:hAnsi="宋体"/>
                <w:color w:val="auto"/>
                <w:sz w:val="24"/>
                <w:szCs w:val="24"/>
              </w:rPr>
              <w:t>、</w:t>
            </w:r>
            <w:r>
              <w:rPr>
                <w:color w:val="auto"/>
                <w:sz w:val="24"/>
                <w:szCs w:val="24"/>
              </w:rPr>
              <w:t>各功能区之间应设有联系通道，有利于安全疏散和消防。分区内部和相互之间保持一定的通道和安全间距。厂区应有应急救援设施及救援通道、应急救援设施及救援通道。</w:t>
            </w:r>
          </w:p>
          <w:p w14:paraId="39559844">
            <w:pPr>
              <w:spacing w:line="360" w:lineRule="auto"/>
              <w:ind w:firstLine="480" w:firstLineChars="200"/>
              <w:rPr>
                <w:color w:val="auto"/>
                <w:sz w:val="24"/>
                <w:szCs w:val="24"/>
              </w:rPr>
            </w:pPr>
            <w:r>
              <w:rPr>
                <w:color w:val="auto"/>
                <w:sz w:val="24"/>
                <w:szCs w:val="24"/>
              </w:rPr>
              <w:t>4</w:t>
            </w:r>
            <w:r>
              <w:rPr>
                <w:rFonts w:hAnsi="宋体"/>
                <w:color w:val="auto"/>
                <w:sz w:val="24"/>
                <w:szCs w:val="24"/>
              </w:rPr>
              <w:t>、</w:t>
            </w:r>
            <w:r>
              <w:rPr>
                <w:color w:val="auto"/>
                <w:sz w:val="24"/>
                <w:szCs w:val="24"/>
              </w:rPr>
              <w:t>按照《建筑物防雷设计规范》（GB50057-</w:t>
            </w:r>
            <w:r>
              <w:rPr>
                <w:rFonts w:hint="eastAsia"/>
                <w:color w:val="auto"/>
                <w:sz w:val="24"/>
                <w:szCs w:val="24"/>
              </w:rPr>
              <w:t>2010</w:t>
            </w:r>
            <w:r>
              <w:rPr>
                <w:color w:val="auto"/>
                <w:sz w:val="24"/>
                <w:szCs w:val="24"/>
              </w:rPr>
              <w:t>）的要求对建、构筑物采取防直击雷、防雷电感应、防雷电波侵入的措施。</w:t>
            </w:r>
          </w:p>
          <w:p w14:paraId="23BF2DCA">
            <w:pPr>
              <w:spacing w:line="360" w:lineRule="auto"/>
              <w:ind w:firstLine="480" w:firstLineChars="200"/>
              <w:rPr>
                <w:color w:val="auto"/>
                <w:sz w:val="24"/>
                <w:szCs w:val="24"/>
              </w:rPr>
            </w:pPr>
            <w:r>
              <w:rPr>
                <w:color w:val="auto"/>
                <w:sz w:val="24"/>
                <w:szCs w:val="24"/>
              </w:rPr>
              <w:t>5</w:t>
            </w:r>
            <w:r>
              <w:rPr>
                <w:rFonts w:hAnsi="宋体"/>
                <w:color w:val="auto"/>
                <w:sz w:val="24"/>
                <w:szCs w:val="24"/>
              </w:rPr>
              <w:t>、</w:t>
            </w:r>
            <w:r>
              <w:rPr>
                <w:color w:val="auto"/>
                <w:sz w:val="24"/>
                <w:szCs w:val="24"/>
              </w:rPr>
              <w:t>属于火灾爆炸危险场所的设计必须符合《爆炸和火灾危险环境电力装置设计规范》（GB50058-</w:t>
            </w:r>
            <w:r>
              <w:rPr>
                <w:rFonts w:hint="eastAsia"/>
                <w:color w:val="auto"/>
                <w:sz w:val="24"/>
                <w:szCs w:val="24"/>
              </w:rPr>
              <w:t>2014</w:t>
            </w:r>
            <w:r>
              <w:rPr>
                <w:color w:val="auto"/>
                <w:sz w:val="24"/>
                <w:szCs w:val="24"/>
              </w:rPr>
              <w:t>）和《爆炸危险场所安全规定》的相关规定。</w:t>
            </w:r>
          </w:p>
          <w:p w14:paraId="778F4B95">
            <w:pPr>
              <w:spacing w:line="360" w:lineRule="auto"/>
              <w:ind w:firstLine="480" w:firstLineChars="200"/>
              <w:rPr>
                <w:color w:val="auto"/>
                <w:sz w:val="24"/>
                <w:szCs w:val="24"/>
              </w:rPr>
            </w:pPr>
            <w:r>
              <w:rPr>
                <w:rFonts w:hint="eastAsia"/>
                <w:color w:val="auto"/>
                <w:sz w:val="24"/>
                <w:szCs w:val="24"/>
              </w:rPr>
              <w:t>②</w:t>
            </w:r>
            <w:r>
              <w:rPr>
                <w:color w:val="auto"/>
                <w:sz w:val="24"/>
                <w:szCs w:val="24"/>
              </w:rPr>
              <w:t>危险品使用防范措施</w:t>
            </w:r>
          </w:p>
          <w:p w14:paraId="4BB86362">
            <w:pPr>
              <w:spacing w:line="360" w:lineRule="auto"/>
              <w:ind w:firstLine="480" w:firstLineChars="200"/>
              <w:rPr>
                <w:color w:val="auto"/>
                <w:sz w:val="24"/>
                <w:szCs w:val="24"/>
              </w:rPr>
            </w:pPr>
            <w:r>
              <w:rPr>
                <w:color w:val="auto"/>
                <w:sz w:val="24"/>
                <w:szCs w:val="24"/>
              </w:rPr>
              <w:t>1、针对现场电线、电器设备等不安全因素，车间建筑电器进行消防电气安全检测。</w:t>
            </w:r>
          </w:p>
          <w:p w14:paraId="74F8C47D">
            <w:pPr>
              <w:spacing w:line="360" w:lineRule="auto"/>
              <w:ind w:firstLine="480" w:firstLineChars="200"/>
              <w:rPr>
                <w:color w:val="auto"/>
                <w:sz w:val="24"/>
                <w:szCs w:val="24"/>
              </w:rPr>
            </w:pPr>
            <w:r>
              <w:rPr>
                <w:color w:val="auto"/>
                <w:sz w:val="24"/>
                <w:szCs w:val="24"/>
              </w:rPr>
              <w:t>2、生产车间的电器设备、开关选用均应考虑防腐蚀和密闭。线路的材料和安装件等必须采用具有防腐蚀性能的材质，以保证作业人员的安全。</w:t>
            </w:r>
          </w:p>
          <w:p w14:paraId="0678CC3C">
            <w:pPr>
              <w:spacing w:line="360" w:lineRule="auto"/>
              <w:ind w:firstLine="480" w:firstLineChars="200"/>
              <w:rPr>
                <w:color w:val="auto"/>
                <w:sz w:val="24"/>
                <w:szCs w:val="24"/>
              </w:rPr>
            </w:pPr>
            <w:r>
              <w:rPr>
                <w:color w:val="auto"/>
                <w:sz w:val="24"/>
                <w:szCs w:val="24"/>
              </w:rPr>
              <w:t>3、作业人员应接受安全技术培训后方可上岗，工作区、贮存区等禁止明火，应有禁止烟火的安全标志。设备检修时需要采用电焊、气焊、喷灯等明火作业，应严格执行动火安全制度，遵守安全操作规程，施工现场应有专人监管并配备灭火设施。</w:t>
            </w:r>
          </w:p>
          <w:p w14:paraId="753F67FE">
            <w:pPr>
              <w:spacing w:line="360" w:lineRule="auto"/>
              <w:ind w:firstLine="480" w:firstLineChars="200"/>
              <w:rPr>
                <w:color w:val="auto"/>
                <w:sz w:val="24"/>
                <w:szCs w:val="24"/>
              </w:rPr>
            </w:pPr>
            <w:r>
              <w:rPr>
                <w:color w:val="auto"/>
                <w:sz w:val="24"/>
                <w:szCs w:val="24"/>
              </w:rPr>
              <w:t>4、</w:t>
            </w:r>
            <w:r>
              <w:rPr>
                <w:rFonts w:hint="eastAsia"/>
                <w:color w:val="auto"/>
                <w:sz w:val="24"/>
                <w:szCs w:val="24"/>
              </w:rPr>
              <w:t>需要</w:t>
            </w:r>
            <w:r>
              <w:rPr>
                <w:color w:val="auto"/>
                <w:sz w:val="24"/>
                <w:szCs w:val="24"/>
              </w:rPr>
              <w:t>动火作业时</w:t>
            </w:r>
            <w:r>
              <w:rPr>
                <w:rFonts w:hint="eastAsia"/>
                <w:color w:val="auto"/>
                <w:sz w:val="24"/>
                <w:szCs w:val="24"/>
              </w:rPr>
              <w:t>，</w:t>
            </w:r>
            <w:r>
              <w:rPr>
                <w:color w:val="auto"/>
                <w:sz w:val="24"/>
                <w:szCs w:val="24"/>
              </w:rPr>
              <w:t>应严格执行动火安全制度，遵守安全操作规程，施工现场应有专人监管并配备灭火设施。作业前应清理易燃易爆物品至安全距离外。</w:t>
            </w:r>
          </w:p>
          <w:p w14:paraId="089FA02E">
            <w:pPr>
              <w:spacing w:line="360" w:lineRule="auto"/>
              <w:rPr>
                <w:b/>
                <w:color w:val="auto"/>
                <w:sz w:val="24"/>
                <w:szCs w:val="24"/>
              </w:rPr>
            </w:pPr>
            <w:r>
              <w:rPr>
                <w:rFonts w:hint="eastAsia"/>
                <w:b/>
                <w:color w:val="auto"/>
                <w:sz w:val="24"/>
                <w:szCs w:val="24"/>
              </w:rPr>
              <w:t>6</w:t>
            </w:r>
            <w:r>
              <w:rPr>
                <w:b/>
                <w:color w:val="auto"/>
                <w:sz w:val="24"/>
                <w:szCs w:val="24"/>
              </w:rPr>
              <w:t>.4</w:t>
            </w:r>
            <w:r>
              <w:rPr>
                <w:rFonts w:hint="eastAsia"/>
                <w:b/>
                <w:color w:val="auto"/>
                <w:sz w:val="24"/>
                <w:szCs w:val="24"/>
              </w:rPr>
              <w:t>火灾风险防范措施</w:t>
            </w:r>
          </w:p>
          <w:p w14:paraId="6BB296BD">
            <w:pPr>
              <w:spacing w:line="360" w:lineRule="auto"/>
              <w:ind w:firstLine="480" w:firstLineChars="200"/>
              <w:rPr>
                <w:color w:val="auto"/>
                <w:sz w:val="24"/>
                <w:szCs w:val="24"/>
              </w:rPr>
            </w:pPr>
            <w:r>
              <w:rPr>
                <w:rFonts w:hint="eastAsia"/>
                <w:color w:val="auto"/>
                <w:sz w:val="24"/>
                <w:szCs w:val="24"/>
              </w:rPr>
              <w:t>①设备的安全管理：定期对设备进行安全检测，检测内容、时间、人员应有记录保存。安全检测应根据设备的安全性、危险性设定检测频次。</w:t>
            </w:r>
          </w:p>
          <w:p w14:paraId="2BC41419">
            <w:pPr>
              <w:spacing w:line="360" w:lineRule="auto"/>
              <w:ind w:firstLine="480" w:firstLineChars="200"/>
              <w:rPr>
                <w:color w:val="auto"/>
                <w:sz w:val="24"/>
                <w:szCs w:val="24"/>
              </w:rPr>
            </w:pPr>
            <w:r>
              <w:rPr>
                <w:rFonts w:hint="eastAsia"/>
                <w:color w:val="auto"/>
                <w:sz w:val="24"/>
                <w:szCs w:val="24"/>
              </w:rPr>
              <w:t>②应加强火源的管理，严禁烟火带入，对设备需进行维修焊接，应经安全部门确认、准许，并有记录。机动车在厂内行驶，须安装阻火器，必要设备安装防火、防爆装置。</w:t>
            </w:r>
          </w:p>
          <w:p w14:paraId="7D7486F3">
            <w:pPr>
              <w:spacing w:line="360" w:lineRule="auto"/>
              <w:ind w:firstLine="480" w:firstLineChars="200"/>
              <w:rPr>
                <w:color w:val="auto"/>
                <w:sz w:val="24"/>
                <w:szCs w:val="24"/>
              </w:rPr>
            </w:pPr>
            <w:r>
              <w:rPr>
                <w:rFonts w:hint="eastAsia"/>
                <w:color w:val="auto"/>
                <w:sz w:val="24"/>
                <w:szCs w:val="24"/>
              </w:rPr>
              <w:t>③要有完善的安全消防措施。设置火灾报警装置、消防灭火设施和防雷设施。从平面布置上，本厂的生产装置区等各功能区之间应按国家消防安全规定，设置足够的安全距离和道路，以便安全疏散和消防。</w:t>
            </w:r>
          </w:p>
          <w:p w14:paraId="64473FD8">
            <w:pPr>
              <w:pStyle w:val="2"/>
              <w:spacing w:before="0" w:after="0" w:line="360" w:lineRule="auto"/>
              <w:rPr>
                <w:color w:val="auto"/>
                <w:sz w:val="24"/>
              </w:rPr>
            </w:pPr>
            <w:bookmarkStart w:id="20" w:name="_Toc28134"/>
            <w:r>
              <w:rPr>
                <w:rFonts w:hint="eastAsia"/>
                <w:color w:val="auto"/>
                <w:sz w:val="24"/>
              </w:rPr>
              <w:t>7、与排污许可联动内容分析</w:t>
            </w:r>
            <w:bookmarkEnd w:id="20"/>
          </w:p>
          <w:p w14:paraId="4B0D4038">
            <w:pPr>
              <w:spacing w:line="360" w:lineRule="auto"/>
              <w:ind w:firstLine="480" w:firstLineChars="200"/>
              <w:rPr>
                <w:color w:val="auto"/>
                <w:sz w:val="24"/>
                <w:szCs w:val="24"/>
              </w:rPr>
            </w:pPr>
            <w:r>
              <w:rPr>
                <w:rFonts w:hint="eastAsia"/>
                <w:bCs/>
                <w:color w:val="auto"/>
                <w:sz w:val="24"/>
              </w:rPr>
              <w:t>根据安徽省生态环境厅于2021年1月30日发布的《安徽省生态环境厅关于统筹做好固定污染源排污许可日常监管工作的通知》（皖环发〔2021〕7号），属于现行《固定污染源排污许可分类管理名录》内重点管理和简化管理的行业，在环评文件应明确“建设项目环境影响评价与排污许可联动内容”和《建设项目排污许可申请与填发信息表》。</w:t>
            </w:r>
            <w:r>
              <w:rPr>
                <w:rFonts w:hint="eastAsia"/>
                <w:color w:val="auto"/>
                <w:sz w:val="24"/>
              </w:rPr>
              <w:t>经对照《固定污染源排污许可分类管理名录》（2019年版），</w:t>
            </w:r>
            <w:r>
              <w:rPr>
                <w:color w:val="auto"/>
                <w:sz w:val="24"/>
                <w:szCs w:val="24"/>
              </w:rPr>
              <w:t>本项目属于</w:t>
            </w:r>
            <w:r>
              <w:rPr>
                <w:rFonts w:hint="eastAsia"/>
                <w:color w:val="auto"/>
                <w:sz w:val="24"/>
                <w:szCs w:val="24"/>
              </w:rPr>
              <w:t>“</w:t>
            </w:r>
            <w:r>
              <w:rPr>
                <w:rFonts w:hint="eastAsia"/>
                <w:color w:val="auto"/>
                <w:sz w:val="24"/>
                <w:szCs w:val="24"/>
                <w:lang w:val="en-US" w:eastAsia="zh-CN"/>
              </w:rPr>
              <w:t>八</w:t>
            </w:r>
            <w:r>
              <w:rPr>
                <w:rFonts w:hint="eastAsia"/>
                <w:color w:val="auto"/>
                <w:sz w:val="24"/>
                <w:szCs w:val="24"/>
              </w:rPr>
              <w:t>、</w:t>
            </w:r>
            <w:r>
              <w:rPr>
                <w:rFonts w:hint="eastAsia"/>
                <w:color w:val="auto"/>
                <w:sz w:val="24"/>
                <w:szCs w:val="24"/>
                <w:lang w:eastAsia="zh-CN"/>
              </w:rPr>
              <w:t>农副食品加工业</w:t>
            </w:r>
            <w:r>
              <w:rPr>
                <w:rFonts w:hint="eastAsia"/>
                <w:color w:val="auto"/>
                <w:sz w:val="24"/>
                <w:szCs w:val="24"/>
                <w:lang w:val="en-US" w:eastAsia="zh-CN"/>
              </w:rPr>
              <w:t xml:space="preserve"> 13</w:t>
            </w:r>
            <w:r>
              <w:rPr>
                <w:rFonts w:hint="eastAsia"/>
                <w:color w:val="auto"/>
                <w:sz w:val="24"/>
                <w:szCs w:val="24"/>
              </w:rPr>
              <w:t>”</w:t>
            </w:r>
            <w:r>
              <w:rPr>
                <w:color w:val="auto"/>
                <w:sz w:val="24"/>
                <w:szCs w:val="24"/>
              </w:rPr>
              <w:t>中的</w:t>
            </w:r>
            <w:r>
              <w:rPr>
                <w:rFonts w:hint="eastAsia"/>
                <w:color w:val="auto"/>
                <w:sz w:val="24"/>
                <w:szCs w:val="24"/>
              </w:rPr>
              <w:t>“</w:t>
            </w:r>
            <w:r>
              <w:rPr>
                <w:rFonts w:hint="eastAsia"/>
                <w:color w:val="auto"/>
                <w:sz w:val="24"/>
                <w:szCs w:val="24"/>
                <w:lang w:eastAsia="zh-CN"/>
              </w:rPr>
              <w:t>谷物磨制</w:t>
            </w:r>
            <w:r>
              <w:rPr>
                <w:rFonts w:hint="eastAsia"/>
                <w:color w:val="auto"/>
                <w:sz w:val="24"/>
                <w:szCs w:val="24"/>
                <w:lang w:val="en-US" w:eastAsia="zh-CN"/>
              </w:rPr>
              <w:t>131</w:t>
            </w:r>
            <w:r>
              <w:rPr>
                <w:rFonts w:hint="eastAsia"/>
                <w:color w:val="auto"/>
                <w:sz w:val="24"/>
                <w:szCs w:val="24"/>
              </w:rPr>
              <w:t>”</w:t>
            </w:r>
            <w:r>
              <w:rPr>
                <w:rFonts w:hint="eastAsia"/>
                <w:color w:val="auto"/>
                <w:sz w:val="24"/>
                <w:szCs w:val="24"/>
                <w:lang w:eastAsia="zh-CN"/>
              </w:rPr>
              <w:t>，项目排污类别为</w:t>
            </w:r>
            <w:r>
              <w:rPr>
                <w:rFonts w:hint="eastAsia"/>
                <w:color w:val="auto"/>
                <w:sz w:val="24"/>
                <w:szCs w:val="24"/>
              </w:rPr>
              <w:t>“</w:t>
            </w:r>
            <w:r>
              <w:rPr>
                <w:rFonts w:hint="eastAsia"/>
                <w:color w:val="auto"/>
                <w:sz w:val="24"/>
                <w:szCs w:val="24"/>
                <w:lang w:eastAsia="zh-CN"/>
              </w:rPr>
              <w:t>登记</w:t>
            </w:r>
            <w:r>
              <w:rPr>
                <w:rFonts w:hint="eastAsia"/>
                <w:color w:val="auto"/>
                <w:sz w:val="24"/>
                <w:szCs w:val="24"/>
              </w:rPr>
              <w:t>管理”</w:t>
            </w:r>
            <w:r>
              <w:rPr>
                <w:color w:val="auto"/>
                <w:sz w:val="24"/>
                <w:szCs w:val="24"/>
              </w:rPr>
              <w:t>。</w:t>
            </w:r>
          </w:p>
          <w:p w14:paraId="227A4BA2">
            <w:pPr>
              <w:spacing w:line="360" w:lineRule="auto"/>
              <w:ind w:firstLine="480" w:firstLineChars="200"/>
              <w:rPr>
                <w:color w:val="auto"/>
                <w:sz w:val="24"/>
                <w:szCs w:val="24"/>
              </w:rPr>
            </w:pPr>
            <w:r>
              <w:rPr>
                <w:rFonts w:hint="eastAsia"/>
                <w:color w:val="auto"/>
                <w:sz w:val="24"/>
                <w:szCs w:val="24"/>
              </w:rPr>
              <w:t>本</w:t>
            </w:r>
            <w:r>
              <w:rPr>
                <w:color w:val="auto"/>
                <w:sz w:val="24"/>
                <w:szCs w:val="24"/>
              </w:rPr>
              <w:t>项目建成投产前</w:t>
            </w:r>
            <w:r>
              <w:rPr>
                <w:rFonts w:hint="eastAsia"/>
                <w:color w:val="auto"/>
                <w:sz w:val="24"/>
                <w:szCs w:val="24"/>
                <w:lang w:val="en-US" w:eastAsia="zh-CN"/>
              </w:rPr>
              <w:t>需完成</w:t>
            </w:r>
            <w:r>
              <w:rPr>
                <w:color w:val="auto"/>
                <w:sz w:val="24"/>
                <w:szCs w:val="24"/>
              </w:rPr>
              <w:t>排污许</w:t>
            </w:r>
            <w:r>
              <w:rPr>
                <w:rStyle w:val="59"/>
                <w:rFonts w:hint="eastAsia"/>
                <w:color w:val="auto"/>
                <w:sz w:val="24"/>
                <w:szCs w:val="24"/>
              </w:rPr>
              <w:t>可</w:t>
            </w:r>
            <w:r>
              <w:rPr>
                <w:rStyle w:val="59"/>
                <w:rFonts w:hint="eastAsia"/>
                <w:color w:val="auto"/>
                <w:sz w:val="24"/>
                <w:szCs w:val="24"/>
                <w:lang w:eastAsia="zh-CN"/>
              </w:rPr>
              <w:t>登记管理申报工作</w:t>
            </w:r>
            <w:r>
              <w:rPr>
                <w:color w:val="auto"/>
                <w:sz w:val="24"/>
                <w:szCs w:val="24"/>
              </w:rPr>
              <w:t>。</w:t>
            </w:r>
          </w:p>
          <w:p w14:paraId="7D83B7EC">
            <w:pPr>
              <w:spacing w:line="360" w:lineRule="auto"/>
              <w:ind w:firstLine="480" w:firstLineChars="200"/>
              <w:rPr>
                <w:color w:val="auto"/>
                <w:sz w:val="24"/>
                <w:szCs w:val="24"/>
              </w:rPr>
            </w:pPr>
          </w:p>
          <w:p w14:paraId="3DBCEC66">
            <w:pPr>
              <w:spacing w:line="360" w:lineRule="auto"/>
              <w:ind w:firstLine="482" w:firstLineChars="200"/>
              <w:rPr>
                <w:rFonts w:eastAsia="黑体"/>
                <w:b/>
                <w:bCs/>
                <w:color w:val="auto"/>
                <w:sz w:val="24"/>
                <w:szCs w:val="24"/>
              </w:rPr>
            </w:pPr>
          </w:p>
          <w:p w14:paraId="4828F8F2">
            <w:pPr>
              <w:spacing w:line="360" w:lineRule="auto"/>
              <w:ind w:firstLine="482" w:firstLineChars="200"/>
              <w:rPr>
                <w:rFonts w:eastAsia="黑体"/>
                <w:b/>
                <w:bCs/>
                <w:color w:val="auto"/>
                <w:sz w:val="24"/>
                <w:szCs w:val="24"/>
              </w:rPr>
            </w:pPr>
          </w:p>
          <w:p w14:paraId="31A395AF">
            <w:pPr>
              <w:spacing w:line="360" w:lineRule="auto"/>
              <w:ind w:firstLine="482" w:firstLineChars="200"/>
              <w:rPr>
                <w:rFonts w:eastAsia="黑体"/>
                <w:b/>
                <w:bCs/>
                <w:color w:val="auto"/>
                <w:sz w:val="24"/>
                <w:szCs w:val="24"/>
              </w:rPr>
            </w:pPr>
          </w:p>
          <w:p w14:paraId="281EE15F">
            <w:pPr>
              <w:spacing w:line="360" w:lineRule="auto"/>
              <w:ind w:firstLine="482" w:firstLineChars="200"/>
              <w:rPr>
                <w:rFonts w:eastAsia="黑体"/>
                <w:b/>
                <w:bCs/>
                <w:color w:val="auto"/>
                <w:sz w:val="24"/>
                <w:szCs w:val="24"/>
              </w:rPr>
            </w:pPr>
          </w:p>
          <w:p w14:paraId="19219A8C">
            <w:pPr>
              <w:spacing w:line="360" w:lineRule="auto"/>
              <w:ind w:firstLine="482" w:firstLineChars="200"/>
              <w:rPr>
                <w:rFonts w:eastAsia="黑体"/>
                <w:b/>
                <w:bCs/>
                <w:color w:val="auto"/>
                <w:sz w:val="24"/>
                <w:szCs w:val="24"/>
              </w:rPr>
            </w:pPr>
          </w:p>
          <w:p w14:paraId="5536F447">
            <w:pPr>
              <w:spacing w:line="360" w:lineRule="auto"/>
              <w:ind w:firstLine="482" w:firstLineChars="200"/>
              <w:rPr>
                <w:rFonts w:eastAsia="黑体"/>
                <w:b/>
                <w:bCs/>
                <w:color w:val="auto"/>
                <w:sz w:val="24"/>
                <w:szCs w:val="24"/>
              </w:rPr>
            </w:pPr>
          </w:p>
          <w:p w14:paraId="2E6C4F8A">
            <w:pPr>
              <w:spacing w:line="360" w:lineRule="auto"/>
              <w:ind w:firstLine="482" w:firstLineChars="200"/>
              <w:rPr>
                <w:rFonts w:eastAsia="黑体"/>
                <w:b/>
                <w:bCs/>
                <w:color w:val="auto"/>
                <w:sz w:val="24"/>
                <w:szCs w:val="24"/>
              </w:rPr>
            </w:pPr>
          </w:p>
          <w:p w14:paraId="781B90A3">
            <w:pPr>
              <w:spacing w:line="360" w:lineRule="auto"/>
              <w:ind w:firstLine="482" w:firstLineChars="200"/>
              <w:rPr>
                <w:rFonts w:eastAsia="黑体"/>
                <w:b/>
                <w:bCs/>
                <w:color w:val="auto"/>
                <w:sz w:val="24"/>
                <w:szCs w:val="24"/>
              </w:rPr>
            </w:pPr>
          </w:p>
          <w:p w14:paraId="155CBB81">
            <w:pPr>
              <w:spacing w:line="360" w:lineRule="auto"/>
              <w:ind w:firstLine="482" w:firstLineChars="200"/>
              <w:rPr>
                <w:rFonts w:eastAsia="黑体"/>
                <w:b/>
                <w:bCs/>
                <w:color w:val="auto"/>
                <w:sz w:val="24"/>
                <w:szCs w:val="24"/>
              </w:rPr>
            </w:pPr>
          </w:p>
          <w:p w14:paraId="3AC75AC5">
            <w:pPr>
              <w:spacing w:line="360" w:lineRule="auto"/>
              <w:ind w:firstLine="482" w:firstLineChars="200"/>
              <w:rPr>
                <w:rFonts w:eastAsia="黑体"/>
                <w:b/>
                <w:bCs/>
                <w:color w:val="auto"/>
                <w:sz w:val="24"/>
                <w:szCs w:val="24"/>
              </w:rPr>
            </w:pPr>
          </w:p>
          <w:p w14:paraId="5BF7B9CD">
            <w:pPr>
              <w:spacing w:line="360" w:lineRule="auto"/>
              <w:ind w:firstLine="482" w:firstLineChars="200"/>
              <w:rPr>
                <w:rFonts w:eastAsia="黑体"/>
                <w:b/>
                <w:bCs/>
                <w:color w:val="auto"/>
                <w:sz w:val="24"/>
                <w:szCs w:val="24"/>
              </w:rPr>
            </w:pPr>
          </w:p>
          <w:p w14:paraId="664F4750">
            <w:pPr>
              <w:spacing w:line="360" w:lineRule="auto"/>
              <w:ind w:firstLine="482" w:firstLineChars="200"/>
              <w:rPr>
                <w:rFonts w:eastAsia="黑体"/>
                <w:b/>
                <w:bCs/>
                <w:color w:val="auto"/>
                <w:sz w:val="24"/>
                <w:szCs w:val="24"/>
              </w:rPr>
            </w:pPr>
          </w:p>
          <w:p w14:paraId="3D5CA52F">
            <w:pPr>
              <w:spacing w:line="360" w:lineRule="auto"/>
              <w:ind w:firstLine="482" w:firstLineChars="200"/>
              <w:rPr>
                <w:rFonts w:eastAsia="黑体"/>
                <w:b/>
                <w:bCs/>
                <w:color w:val="auto"/>
                <w:sz w:val="24"/>
                <w:szCs w:val="24"/>
              </w:rPr>
            </w:pPr>
          </w:p>
          <w:p w14:paraId="1BC7561F">
            <w:pPr>
              <w:spacing w:line="360" w:lineRule="auto"/>
              <w:ind w:firstLine="482" w:firstLineChars="200"/>
              <w:rPr>
                <w:rFonts w:eastAsia="黑体"/>
                <w:b/>
                <w:bCs/>
                <w:color w:val="auto"/>
                <w:sz w:val="24"/>
                <w:szCs w:val="24"/>
              </w:rPr>
            </w:pPr>
          </w:p>
          <w:p w14:paraId="35475FE5">
            <w:pPr>
              <w:spacing w:line="360" w:lineRule="auto"/>
              <w:ind w:firstLine="482" w:firstLineChars="200"/>
              <w:rPr>
                <w:rFonts w:eastAsia="黑体"/>
                <w:b/>
                <w:bCs/>
                <w:color w:val="auto"/>
                <w:sz w:val="24"/>
                <w:szCs w:val="24"/>
              </w:rPr>
            </w:pPr>
          </w:p>
          <w:p w14:paraId="5A644023">
            <w:pPr>
              <w:spacing w:line="360" w:lineRule="auto"/>
              <w:ind w:firstLine="482" w:firstLineChars="200"/>
              <w:rPr>
                <w:rFonts w:eastAsia="黑体"/>
                <w:b/>
                <w:bCs/>
                <w:color w:val="auto"/>
                <w:sz w:val="24"/>
                <w:szCs w:val="24"/>
              </w:rPr>
            </w:pPr>
          </w:p>
          <w:p w14:paraId="777D372E">
            <w:pPr>
              <w:spacing w:line="360" w:lineRule="auto"/>
              <w:ind w:firstLine="482" w:firstLineChars="200"/>
              <w:rPr>
                <w:rFonts w:eastAsia="黑体"/>
                <w:b/>
                <w:bCs/>
                <w:color w:val="auto"/>
                <w:sz w:val="24"/>
                <w:szCs w:val="24"/>
              </w:rPr>
            </w:pPr>
          </w:p>
          <w:p w14:paraId="76318744">
            <w:pPr>
              <w:spacing w:line="360" w:lineRule="auto"/>
              <w:ind w:firstLine="482" w:firstLineChars="200"/>
              <w:rPr>
                <w:rFonts w:eastAsia="黑体"/>
                <w:b/>
                <w:bCs/>
                <w:color w:val="auto"/>
                <w:sz w:val="24"/>
                <w:szCs w:val="24"/>
              </w:rPr>
            </w:pPr>
          </w:p>
          <w:p w14:paraId="32A71A7F">
            <w:pPr>
              <w:spacing w:line="360" w:lineRule="auto"/>
              <w:ind w:firstLine="482" w:firstLineChars="200"/>
              <w:rPr>
                <w:rFonts w:eastAsia="黑体"/>
                <w:b/>
                <w:bCs/>
                <w:color w:val="auto"/>
                <w:sz w:val="24"/>
                <w:szCs w:val="24"/>
              </w:rPr>
            </w:pPr>
          </w:p>
          <w:p w14:paraId="1A659F09">
            <w:pPr>
              <w:spacing w:line="360" w:lineRule="auto"/>
              <w:ind w:firstLine="482" w:firstLineChars="200"/>
              <w:rPr>
                <w:rFonts w:eastAsia="黑体"/>
                <w:b/>
                <w:bCs/>
                <w:color w:val="auto"/>
                <w:sz w:val="24"/>
                <w:szCs w:val="24"/>
              </w:rPr>
            </w:pPr>
          </w:p>
        </w:tc>
      </w:tr>
    </w:tbl>
    <w:p w14:paraId="2335F4BB">
      <w:pPr>
        <w:rPr>
          <w:rFonts w:hint="eastAsia" w:eastAsia="黑体"/>
          <w:b/>
          <w:bCs/>
          <w:color w:val="auto"/>
          <w:sz w:val="30"/>
          <w:szCs w:val="24"/>
        </w:rPr>
      </w:pPr>
      <w:r>
        <w:rPr>
          <w:rFonts w:hint="eastAsia" w:eastAsia="黑体"/>
          <w:b/>
          <w:bCs/>
          <w:color w:val="auto"/>
          <w:sz w:val="30"/>
          <w:szCs w:val="24"/>
        </w:rPr>
        <w:br w:type="page"/>
      </w:r>
    </w:p>
    <w:p w14:paraId="45CCBE02">
      <w:pPr>
        <w:jc w:val="center"/>
        <w:outlineLvl w:val="0"/>
        <w:rPr>
          <w:rFonts w:eastAsia="黑体"/>
          <w:b/>
          <w:bCs/>
          <w:color w:val="auto"/>
          <w:sz w:val="30"/>
          <w:szCs w:val="24"/>
        </w:rPr>
      </w:pPr>
      <w:bookmarkStart w:id="21" w:name="_Toc14614"/>
      <w:r>
        <w:rPr>
          <w:rFonts w:hint="eastAsia" w:eastAsia="黑体"/>
          <w:b/>
          <w:bCs/>
          <w:color w:val="auto"/>
          <w:sz w:val="30"/>
          <w:szCs w:val="24"/>
        </w:rPr>
        <w:t>五、环境保护措施监督检查清单</w:t>
      </w:r>
      <w:bookmarkEnd w:id="21"/>
    </w:p>
    <w:tbl>
      <w:tblPr>
        <w:tblStyle w:val="45"/>
        <w:tblW w:w="912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3"/>
        <w:gridCol w:w="1956"/>
        <w:gridCol w:w="1275"/>
        <w:gridCol w:w="1764"/>
        <w:gridCol w:w="2720"/>
      </w:tblGrid>
      <w:tr w14:paraId="21D60F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13" w:type="dxa"/>
            <w:tcBorders>
              <w:tl2br w:val="single" w:color="auto" w:sz="4" w:space="0"/>
            </w:tcBorders>
            <w:vAlign w:val="center"/>
          </w:tcPr>
          <w:p w14:paraId="001F3BB6">
            <w:pPr>
              <w:adjustRightInd w:val="0"/>
              <w:snapToGrid w:val="0"/>
              <w:jc w:val="right"/>
              <w:rPr>
                <w:rFonts w:ascii="宋体" w:hAnsi="宋体" w:cs="宋体"/>
                <w:b/>
                <w:color w:val="auto"/>
                <w:szCs w:val="21"/>
              </w:rPr>
            </w:pPr>
            <w:r>
              <w:rPr>
                <w:rFonts w:hint="eastAsia" w:ascii="宋体" w:hAnsi="宋体" w:cs="宋体"/>
                <w:b/>
                <w:color w:val="auto"/>
                <w:szCs w:val="21"/>
              </w:rPr>
              <w:t>内容</w:t>
            </w:r>
          </w:p>
          <w:p w14:paraId="01E04572">
            <w:pPr>
              <w:adjustRightInd w:val="0"/>
              <w:snapToGrid w:val="0"/>
              <w:rPr>
                <w:rFonts w:ascii="宋体" w:hAnsi="宋体" w:cs="宋体"/>
                <w:b/>
                <w:color w:val="auto"/>
                <w:szCs w:val="21"/>
              </w:rPr>
            </w:pPr>
            <w:r>
              <w:rPr>
                <w:rFonts w:hint="eastAsia" w:ascii="宋体" w:hAnsi="宋体" w:cs="宋体"/>
                <w:b/>
                <w:color w:val="auto"/>
                <w:szCs w:val="21"/>
              </w:rPr>
              <w:t>要素</w:t>
            </w:r>
          </w:p>
        </w:tc>
        <w:tc>
          <w:tcPr>
            <w:tcW w:w="1956" w:type="dxa"/>
            <w:vAlign w:val="center"/>
          </w:tcPr>
          <w:p w14:paraId="35AB66BF">
            <w:pPr>
              <w:adjustRightInd w:val="0"/>
              <w:snapToGrid w:val="0"/>
              <w:jc w:val="center"/>
              <w:rPr>
                <w:rFonts w:ascii="宋体" w:hAnsi="宋体" w:cs="宋体"/>
                <w:b/>
                <w:color w:val="auto"/>
                <w:szCs w:val="21"/>
              </w:rPr>
            </w:pPr>
            <w:r>
              <w:rPr>
                <w:rFonts w:hint="eastAsia" w:ascii="宋体" w:hAnsi="宋体" w:cs="宋体"/>
                <w:b/>
                <w:color w:val="auto"/>
                <w:szCs w:val="21"/>
              </w:rPr>
              <w:t>排放口</w:t>
            </w:r>
            <w:r>
              <w:rPr>
                <w:rFonts w:hint="eastAsia" w:ascii="宋体" w:hAnsi="宋体" w:cs="宋体"/>
                <w:b/>
                <w:color w:val="auto"/>
                <w:szCs w:val="21"/>
                <w:lang w:eastAsia="zh-CN"/>
              </w:rPr>
              <w:t>（</w:t>
            </w:r>
            <w:r>
              <w:rPr>
                <w:rFonts w:hint="eastAsia" w:ascii="宋体" w:hAnsi="宋体" w:cs="宋体"/>
                <w:b/>
                <w:color w:val="auto"/>
                <w:szCs w:val="21"/>
              </w:rPr>
              <w:t>编号、名称</w:t>
            </w:r>
            <w:r>
              <w:rPr>
                <w:rFonts w:hint="eastAsia" w:ascii="宋体" w:hAnsi="宋体" w:cs="宋体"/>
                <w:b/>
                <w:color w:val="auto"/>
                <w:szCs w:val="21"/>
                <w:lang w:eastAsia="zh-CN"/>
              </w:rPr>
              <w:t>）</w:t>
            </w:r>
            <w:r>
              <w:rPr>
                <w:rFonts w:hint="eastAsia" w:ascii="宋体" w:hAnsi="宋体" w:cs="宋体"/>
                <w:b/>
                <w:color w:val="auto"/>
                <w:szCs w:val="21"/>
              </w:rPr>
              <w:t>/污染源</w:t>
            </w:r>
          </w:p>
        </w:tc>
        <w:tc>
          <w:tcPr>
            <w:tcW w:w="1275" w:type="dxa"/>
            <w:vAlign w:val="center"/>
          </w:tcPr>
          <w:p w14:paraId="4A95F388">
            <w:pPr>
              <w:adjustRightInd w:val="0"/>
              <w:snapToGrid w:val="0"/>
              <w:jc w:val="center"/>
              <w:rPr>
                <w:rFonts w:ascii="宋体" w:hAnsi="宋体" w:cs="宋体"/>
                <w:b/>
                <w:color w:val="auto"/>
                <w:szCs w:val="21"/>
              </w:rPr>
            </w:pPr>
            <w:r>
              <w:rPr>
                <w:rFonts w:hint="eastAsia" w:ascii="宋体" w:hAnsi="宋体" w:cs="宋体"/>
                <w:b/>
                <w:color w:val="auto"/>
                <w:szCs w:val="21"/>
              </w:rPr>
              <w:t>污染物项目</w:t>
            </w:r>
          </w:p>
        </w:tc>
        <w:tc>
          <w:tcPr>
            <w:tcW w:w="1764" w:type="dxa"/>
            <w:vAlign w:val="center"/>
          </w:tcPr>
          <w:p w14:paraId="7595D90A">
            <w:pPr>
              <w:adjustRightInd w:val="0"/>
              <w:snapToGrid w:val="0"/>
              <w:jc w:val="center"/>
              <w:rPr>
                <w:rFonts w:ascii="宋体" w:hAnsi="宋体" w:cs="宋体"/>
                <w:b/>
                <w:color w:val="auto"/>
                <w:szCs w:val="21"/>
              </w:rPr>
            </w:pPr>
            <w:r>
              <w:rPr>
                <w:rFonts w:hint="eastAsia" w:ascii="宋体" w:hAnsi="宋体" w:cs="宋体"/>
                <w:b/>
                <w:color w:val="auto"/>
                <w:szCs w:val="21"/>
              </w:rPr>
              <w:t>环境保护措施</w:t>
            </w:r>
          </w:p>
        </w:tc>
        <w:tc>
          <w:tcPr>
            <w:tcW w:w="2720" w:type="dxa"/>
            <w:vAlign w:val="center"/>
          </w:tcPr>
          <w:p w14:paraId="50C0FB97">
            <w:pPr>
              <w:adjustRightInd w:val="0"/>
              <w:snapToGrid w:val="0"/>
              <w:jc w:val="center"/>
              <w:rPr>
                <w:rFonts w:ascii="宋体" w:hAnsi="宋体" w:cs="宋体"/>
                <w:b/>
                <w:color w:val="auto"/>
                <w:szCs w:val="21"/>
              </w:rPr>
            </w:pPr>
            <w:r>
              <w:rPr>
                <w:rFonts w:hint="eastAsia" w:ascii="宋体" w:hAnsi="宋体" w:cs="宋体"/>
                <w:b/>
                <w:color w:val="auto"/>
                <w:szCs w:val="21"/>
              </w:rPr>
              <w:t>执行标准</w:t>
            </w:r>
          </w:p>
        </w:tc>
      </w:tr>
      <w:tr w14:paraId="1E4C33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413" w:type="dxa"/>
            <w:vMerge w:val="restart"/>
            <w:vAlign w:val="center"/>
          </w:tcPr>
          <w:p w14:paraId="6831A4C5">
            <w:pPr>
              <w:adjustRightInd w:val="0"/>
              <w:snapToGrid w:val="0"/>
              <w:jc w:val="center"/>
              <w:rPr>
                <w:rFonts w:ascii="宋体" w:hAnsi="宋体" w:cs="宋体"/>
                <w:color w:val="auto"/>
                <w:szCs w:val="21"/>
              </w:rPr>
            </w:pPr>
            <w:r>
              <w:rPr>
                <w:rFonts w:hint="eastAsia" w:ascii="宋体" w:hAnsi="宋体" w:cs="宋体"/>
                <w:color w:val="auto"/>
                <w:szCs w:val="21"/>
              </w:rPr>
              <w:t>大气环境</w:t>
            </w:r>
          </w:p>
        </w:tc>
        <w:tc>
          <w:tcPr>
            <w:tcW w:w="1956" w:type="dxa"/>
            <w:vAlign w:val="center"/>
          </w:tcPr>
          <w:p w14:paraId="7D4674F3">
            <w:pPr>
              <w:adjustRightInd w:val="0"/>
              <w:snapToGrid w:val="0"/>
              <w:jc w:val="center"/>
              <w:rPr>
                <w:color w:val="auto"/>
                <w:szCs w:val="21"/>
              </w:rPr>
            </w:pPr>
            <w:r>
              <w:rPr>
                <w:rFonts w:hint="eastAsia"/>
                <w:color w:val="auto"/>
                <w:szCs w:val="21"/>
                <w:lang w:eastAsia="zh-CN"/>
              </w:rPr>
              <w:t>卸料废气、清理</w:t>
            </w:r>
            <w:r>
              <w:rPr>
                <w:rFonts w:hint="eastAsia"/>
                <w:color w:val="auto"/>
                <w:szCs w:val="21"/>
              </w:rPr>
              <w:t>废气排放口（DA001）/</w:t>
            </w:r>
            <w:r>
              <w:rPr>
                <w:rFonts w:hint="eastAsia"/>
                <w:color w:val="auto"/>
                <w:szCs w:val="21"/>
                <w:lang w:eastAsia="zh-CN"/>
              </w:rPr>
              <w:t>卸料废气、清理</w:t>
            </w:r>
            <w:r>
              <w:rPr>
                <w:rFonts w:hint="eastAsia"/>
                <w:color w:val="auto"/>
                <w:szCs w:val="21"/>
              </w:rPr>
              <w:t>废气</w:t>
            </w:r>
          </w:p>
        </w:tc>
        <w:tc>
          <w:tcPr>
            <w:tcW w:w="1275" w:type="dxa"/>
            <w:vAlign w:val="center"/>
          </w:tcPr>
          <w:p w14:paraId="0B04F9F4">
            <w:pPr>
              <w:adjustRightInd w:val="0"/>
              <w:snapToGrid w:val="0"/>
              <w:jc w:val="center"/>
              <w:rPr>
                <w:color w:val="auto"/>
                <w:szCs w:val="21"/>
              </w:rPr>
            </w:pPr>
            <w:r>
              <w:rPr>
                <w:rFonts w:hint="eastAsia"/>
                <w:color w:val="auto"/>
                <w:szCs w:val="21"/>
              </w:rPr>
              <w:t>颗粒物</w:t>
            </w:r>
          </w:p>
        </w:tc>
        <w:tc>
          <w:tcPr>
            <w:tcW w:w="1764" w:type="dxa"/>
            <w:vAlign w:val="center"/>
          </w:tcPr>
          <w:p w14:paraId="4CE31A45">
            <w:pPr>
              <w:adjustRightInd w:val="0"/>
              <w:snapToGrid w:val="0"/>
              <w:jc w:val="center"/>
              <w:rPr>
                <w:color w:val="auto"/>
                <w:szCs w:val="21"/>
              </w:rPr>
            </w:pPr>
            <w:r>
              <w:rPr>
                <w:rFonts w:hint="eastAsia"/>
                <w:snapToGrid w:val="0"/>
                <w:color w:val="auto"/>
                <w:kern w:val="0"/>
                <w:szCs w:val="21"/>
                <w:lang w:val="en-US" w:eastAsia="zh-CN"/>
              </w:rPr>
              <w:t>经上方设置的集气罩收集至旋风除尘器+袋式除尘器装置处理后通过1根15m高排气筒（DA001）排放</w:t>
            </w:r>
          </w:p>
        </w:tc>
        <w:tc>
          <w:tcPr>
            <w:tcW w:w="2720" w:type="dxa"/>
            <w:vMerge w:val="restart"/>
            <w:vAlign w:val="center"/>
          </w:tcPr>
          <w:p w14:paraId="63A6671A">
            <w:pPr>
              <w:adjustRightInd w:val="0"/>
              <w:snapToGrid w:val="0"/>
              <w:jc w:val="center"/>
              <w:rPr>
                <w:color w:val="auto"/>
                <w:szCs w:val="21"/>
              </w:rPr>
            </w:pPr>
            <w:r>
              <w:rPr>
                <w:rFonts w:hint="eastAsia" w:ascii="Times New Roman" w:hAnsi="Times New Roman" w:eastAsia="宋体" w:cs="Times New Roman"/>
                <w:color w:val="auto"/>
                <w:szCs w:val="21"/>
                <w:lang w:eastAsia="zh-CN"/>
              </w:rPr>
              <w:t>《大气污染物综合排放标准》（GB12697-1996）</w:t>
            </w:r>
          </w:p>
        </w:tc>
      </w:tr>
      <w:tr w14:paraId="156BCF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0" w:hRule="atLeast"/>
          <w:jc w:val="center"/>
        </w:trPr>
        <w:tc>
          <w:tcPr>
            <w:tcW w:w="1413" w:type="dxa"/>
            <w:vMerge w:val="continue"/>
            <w:vAlign w:val="center"/>
          </w:tcPr>
          <w:p w14:paraId="2AC285BB">
            <w:pPr>
              <w:adjustRightInd w:val="0"/>
              <w:snapToGrid w:val="0"/>
              <w:jc w:val="center"/>
              <w:rPr>
                <w:color w:val="auto"/>
              </w:rPr>
            </w:pPr>
          </w:p>
        </w:tc>
        <w:tc>
          <w:tcPr>
            <w:tcW w:w="1956" w:type="dxa"/>
            <w:vAlign w:val="center"/>
          </w:tcPr>
          <w:p w14:paraId="6C3E5D7B">
            <w:pPr>
              <w:adjustRightInd w:val="0"/>
              <w:snapToGrid w:val="0"/>
              <w:jc w:val="center"/>
              <w:rPr>
                <w:rFonts w:hint="eastAsia"/>
                <w:color w:val="auto"/>
                <w:szCs w:val="21"/>
                <w:lang w:eastAsia="zh-CN"/>
              </w:rPr>
            </w:pPr>
            <w:r>
              <w:rPr>
                <w:rFonts w:hint="eastAsia" w:ascii="Times New Roman" w:hAnsi="Times New Roman" w:eastAsia="宋体" w:cs="Times New Roman"/>
                <w:color w:val="auto"/>
                <w:szCs w:val="21"/>
                <w:lang w:val="en-US" w:eastAsia="zh-CN"/>
              </w:rPr>
              <w:t>大米加工废气排放口（DA002）/</w:t>
            </w:r>
            <w:r>
              <w:rPr>
                <w:rFonts w:hint="eastAsia" w:cs="Times New Roman"/>
                <w:color w:val="auto"/>
                <w:kern w:val="0"/>
                <w:sz w:val="21"/>
                <w:szCs w:val="21"/>
                <w:lang w:val="en-US" w:eastAsia="zh-CN"/>
              </w:rPr>
              <w:t>大米加工废气</w:t>
            </w:r>
          </w:p>
        </w:tc>
        <w:tc>
          <w:tcPr>
            <w:tcW w:w="1275" w:type="dxa"/>
            <w:vAlign w:val="center"/>
          </w:tcPr>
          <w:p w14:paraId="3EC6DC6D">
            <w:pPr>
              <w:adjustRightInd w:val="0"/>
              <w:snapToGrid w:val="0"/>
              <w:jc w:val="center"/>
              <w:rPr>
                <w:rFonts w:hint="eastAsia"/>
                <w:color w:val="auto"/>
                <w:szCs w:val="21"/>
                <w:lang w:eastAsia="zh-CN"/>
              </w:rPr>
            </w:pPr>
            <w:r>
              <w:rPr>
                <w:rFonts w:hint="eastAsia" w:ascii="Times New Roman" w:hAnsi="Times New Roman" w:eastAsia="宋体" w:cs="Times New Roman"/>
                <w:color w:val="auto"/>
                <w:szCs w:val="21"/>
                <w:lang w:val="en-US" w:eastAsia="zh-CN"/>
              </w:rPr>
              <w:t>颗粒物</w:t>
            </w:r>
          </w:p>
        </w:tc>
        <w:tc>
          <w:tcPr>
            <w:tcW w:w="1764" w:type="dxa"/>
            <w:vAlign w:val="center"/>
          </w:tcPr>
          <w:p w14:paraId="62090B59">
            <w:pPr>
              <w:jc w:val="center"/>
              <w:rPr>
                <w:rFonts w:hint="eastAsia"/>
                <w:color w:val="auto"/>
                <w:szCs w:val="21"/>
                <w:lang w:eastAsia="zh-CN"/>
              </w:rPr>
            </w:pPr>
            <w:r>
              <w:rPr>
                <w:rFonts w:hint="eastAsia"/>
                <w:snapToGrid w:val="0"/>
                <w:color w:val="auto"/>
                <w:kern w:val="0"/>
                <w:szCs w:val="21"/>
                <w:lang w:val="en-US" w:eastAsia="zh-CN"/>
              </w:rPr>
              <w:t>设备密闭收集收集至旋风除尘器+袋式除尘器装置处理后通过1根15m高排气筒（DA002）排放</w:t>
            </w:r>
          </w:p>
        </w:tc>
        <w:tc>
          <w:tcPr>
            <w:tcW w:w="2720" w:type="dxa"/>
            <w:vMerge w:val="continue"/>
            <w:vAlign w:val="center"/>
          </w:tcPr>
          <w:p w14:paraId="345A0800">
            <w:pPr>
              <w:adjustRightInd w:val="0"/>
              <w:snapToGrid w:val="0"/>
              <w:jc w:val="center"/>
              <w:rPr>
                <w:rFonts w:hint="eastAsia"/>
                <w:color w:val="auto"/>
                <w:szCs w:val="21"/>
                <w:lang w:eastAsia="zh-CN"/>
              </w:rPr>
            </w:pPr>
          </w:p>
        </w:tc>
      </w:tr>
      <w:tr w14:paraId="5AA52AD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Merge w:val="restart"/>
            <w:vAlign w:val="center"/>
          </w:tcPr>
          <w:p w14:paraId="67C3B5D1">
            <w:pPr>
              <w:adjustRightInd w:val="0"/>
              <w:snapToGrid w:val="0"/>
              <w:jc w:val="center"/>
              <w:rPr>
                <w:rFonts w:ascii="宋体" w:hAnsi="宋体" w:cs="宋体"/>
                <w:color w:val="auto"/>
                <w:szCs w:val="21"/>
              </w:rPr>
            </w:pPr>
            <w:r>
              <w:rPr>
                <w:rFonts w:hint="eastAsia" w:ascii="宋体" w:hAnsi="宋体" w:cs="宋体"/>
                <w:color w:val="auto"/>
                <w:szCs w:val="21"/>
              </w:rPr>
              <w:t>地表水环境</w:t>
            </w:r>
          </w:p>
        </w:tc>
        <w:tc>
          <w:tcPr>
            <w:tcW w:w="1956" w:type="dxa"/>
            <w:vMerge w:val="restart"/>
            <w:vAlign w:val="center"/>
          </w:tcPr>
          <w:p w14:paraId="1D8AAF1F">
            <w:pPr>
              <w:adjustRightInd w:val="0"/>
              <w:snapToGrid w:val="0"/>
              <w:jc w:val="center"/>
              <w:rPr>
                <w:color w:val="auto"/>
                <w:szCs w:val="21"/>
              </w:rPr>
            </w:pPr>
            <w:r>
              <w:rPr>
                <w:rFonts w:hint="eastAsia"/>
                <w:color w:val="auto"/>
                <w:szCs w:val="21"/>
              </w:rPr>
              <w:t>生活污水</w:t>
            </w:r>
          </w:p>
        </w:tc>
        <w:tc>
          <w:tcPr>
            <w:tcW w:w="1275" w:type="dxa"/>
            <w:tcBorders>
              <w:top w:val="single" w:color="auto" w:sz="4" w:space="0"/>
            </w:tcBorders>
            <w:vAlign w:val="center"/>
          </w:tcPr>
          <w:p w14:paraId="1CAA8846">
            <w:pPr>
              <w:adjustRightInd w:val="0"/>
              <w:snapToGrid w:val="0"/>
              <w:jc w:val="center"/>
              <w:rPr>
                <w:color w:val="auto"/>
                <w:szCs w:val="21"/>
              </w:rPr>
            </w:pPr>
            <w:r>
              <w:rPr>
                <w:rFonts w:hint="eastAsia"/>
                <w:color w:val="auto"/>
                <w:szCs w:val="21"/>
              </w:rPr>
              <w:t>pH</w:t>
            </w:r>
          </w:p>
        </w:tc>
        <w:tc>
          <w:tcPr>
            <w:tcW w:w="1764" w:type="dxa"/>
            <w:vMerge w:val="restart"/>
            <w:vAlign w:val="center"/>
          </w:tcPr>
          <w:p w14:paraId="2567DC21">
            <w:pPr>
              <w:adjustRightInd w:val="0"/>
              <w:snapToGrid w:val="0"/>
              <w:jc w:val="center"/>
              <w:rPr>
                <w:rFonts w:hint="eastAsia" w:eastAsia="宋体"/>
                <w:color w:val="auto"/>
                <w:szCs w:val="21"/>
                <w:lang w:eastAsia="zh-CN"/>
              </w:rPr>
            </w:pPr>
            <w:r>
              <w:rPr>
                <w:rFonts w:hint="eastAsia"/>
                <w:color w:val="auto"/>
                <w:szCs w:val="21"/>
                <w:lang w:eastAsia="zh-CN"/>
              </w:rPr>
              <w:t>生活污水经化粪池处理后用于周边农田施肥，不外排</w:t>
            </w:r>
          </w:p>
        </w:tc>
        <w:tc>
          <w:tcPr>
            <w:tcW w:w="2720" w:type="dxa"/>
            <w:vMerge w:val="restart"/>
            <w:tcBorders>
              <w:top w:val="single" w:color="auto" w:sz="4" w:space="0"/>
            </w:tcBorders>
            <w:vAlign w:val="center"/>
          </w:tcPr>
          <w:p w14:paraId="042F39D7">
            <w:pPr>
              <w:adjustRightInd w:val="0"/>
              <w:snapToGrid w:val="0"/>
              <w:jc w:val="center"/>
              <w:rPr>
                <w:rFonts w:hint="eastAsia" w:eastAsia="宋体"/>
                <w:color w:val="auto"/>
                <w:szCs w:val="21"/>
                <w:lang w:eastAsia="zh-CN"/>
              </w:rPr>
            </w:pPr>
            <w:r>
              <w:rPr>
                <w:rFonts w:hint="eastAsia"/>
                <w:color w:val="auto"/>
                <w:szCs w:val="21"/>
                <w:lang w:val="en-US" w:eastAsia="zh-CN"/>
              </w:rPr>
              <w:t>/</w:t>
            </w:r>
          </w:p>
        </w:tc>
      </w:tr>
      <w:tr w14:paraId="32EF3B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Merge w:val="continue"/>
            <w:vAlign w:val="center"/>
          </w:tcPr>
          <w:p w14:paraId="2D54806D">
            <w:pPr>
              <w:adjustRightInd w:val="0"/>
              <w:snapToGrid w:val="0"/>
              <w:jc w:val="center"/>
              <w:rPr>
                <w:rFonts w:ascii="宋体" w:hAnsi="宋体" w:cs="宋体"/>
                <w:color w:val="auto"/>
                <w:szCs w:val="21"/>
              </w:rPr>
            </w:pPr>
          </w:p>
        </w:tc>
        <w:tc>
          <w:tcPr>
            <w:tcW w:w="1956" w:type="dxa"/>
            <w:vMerge w:val="continue"/>
            <w:vAlign w:val="center"/>
          </w:tcPr>
          <w:p w14:paraId="231B23D9">
            <w:pPr>
              <w:adjustRightInd w:val="0"/>
              <w:snapToGrid w:val="0"/>
              <w:jc w:val="center"/>
              <w:rPr>
                <w:color w:val="auto"/>
                <w:szCs w:val="21"/>
              </w:rPr>
            </w:pPr>
          </w:p>
        </w:tc>
        <w:tc>
          <w:tcPr>
            <w:tcW w:w="1275" w:type="dxa"/>
            <w:tcBorders>
              <w:top w:val="single" w:color="auto" w:sz="4" w:space="0"/>
            </w:tcBorders>
            <w:vAlign w:val="center"/>
          </w:tcPr>
          <w:p w14:paraId="7EC57B98">
            <w:pPr>
              <w:adjustRightInd w:val="0"/>
              <w:snapToGrid w:val="0"/>
              <w:jc w:val="center"/>
              <w:rPr>
                <w:color w:val="auto"/>
                <w:szCs w:val="21"/>
              </w:rPr>
            </w:pPr>
            <w:r>
              <w:rPr>
                <w:rFonts w:hint="eastAsia"/>
                <w:color w:val="auto"/>
                <w:szCs w:val="21"/>
              </w:rPr>
              <w:t>BOD</w:t>
            </w:r>
            <w:r>
              <w:rPr>
                <w:rFonts w:hint="eastAsia"/>
                <w:color w:val="auto"/>
                <w:szCs w:val="21"/>
                <w:vertAlign w:val="subscript"/>
              </w:rPr>
              <w:t>5</w:t>
            </w:r>
          </w:p>
        </w:tc>
        <w:tc>
          <w:tcPr>
            <w:tcW w:w="1764" w:type="dxa"/>
            <w:vMerge w:val="continue"/>
            <w:vAlign w:val="center"/>
          </w:tcPr>
          <w:p w14:paraId="3B5F2641">
            <w:pPr>
              <w:adjustRightInd w:val="0"/>
              <w:snapToGrid w:val="0"/>
              <w:jc w:val="center"/>
              <w:rPr>
                <w:color w:val="auto"/>
                <w:szCs w:val="21"/>
              </w:rPr>
            </w:pPr>
          </w:p>
        </w:tc>
        <w:tc>
          <w:tcPr>
            <w:tcW w:w="2720" w:type="dxa"/>
            <w:vMerge w:val="continue"/>
            <w:vAlign w:val="center"/>
          </w:tcPr>
          <w:p w14:paraId="557FA8E8">
            <w:pPr>
              <w:snapToGrid w:val="0"/>
              <w:jc w:val="center"/>
              <w:rPr>
                <w:bCs/>
                <w:color w:val="auto"/>
                <w:szCs w:val="21"/>
              </w:rPr>
            </w:pPr>
          </w:p>
        </w:tc>
      </w:tr>
      <w:tr w14:paraId="51C1CD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Merge w:val="continue"/>
            <w:vAlign w:val="center"/>
          </w:tcPr>
          <w:p w14:paraId="14B968D0">
            <w:pPr>
              <w:adjustRightInd w:val="0"/>
              <w:snapToGrid w:val="0"/>
              <w:jc w:val="center"/>
              <w:rPr>
                <w:rFonts w:ascii="宋体" w:hAnsi="宋体" w:cs="宋体"/>
                <w:color w:val="auto"/>
                <w:szCs w:val="21"/>
              </w:rPr>
            </w:pPr>
          </w:p>
        </w:tc>
        <w:tc>
          <w:tcPr>
            <w:tcW w:w="1956" w:type="dxa"/>
            <w:vMerge w:val="continue"/>
            <w:vAlign w:val="center"/>
          </w:tcPr>
          <w:p w14:paraId="5C8A299A">
            <w:pPr>
              <w:adjustRightInd w:val="0"/>
              <w:snapToGrid w:val="0"/>
              <w:jc w:val="center"/>
              <w:rPr>
                <w:color w:val="auto"/>
                <w:szCs w:val="21"/>
              </w:rPr>
            </w:pPr>
          </w:p>
        </w:tc>
        <w:tc>
          <w:tcPr>
            <w:tcW w:w="1275" w:type="dxa"/>
            <w:tcBorders>
              <w:top w:val="single" w:color="auto" w:sz="4" w:space="0"/>
            </w:tcBorders>
            <w:vAlign w:val="center"/>
          </w:tcPr>
          <w:p w14:paraId="6CA72D58">
            <w:pPr>
              <w:adjustRightInd w:val="0"/>
              <w:snapToGrid w:val="0"/>
              <w:jc w:val="center"/>
              <w:rPr>
                <w:color w:val="auto"/>
                <w:szCs w:val="21"/>
              </w:rPr>
            </w:pPr>
            <w:r>
              <w:rPr>
                <w:rFonts w:hint="eastAsia"/>
                <w:color w:val="auto"/>
                <w:szCs w:val="21"/>
              </w:rPr>
              <w:t>SS</w:t>
            </w:r>
          </w:p>
        </w:tc>
        <w:tc>
          <w:tcPr>
            <w:tcW w:w="1764" w:type="dxa"/>
            <w:vMerge w:val="continue"/>
            <w:vAlign w:val="center"/>
          </w:tcPr>
          <w:p w14:paraId="003FCF5B">
            <w:pPr>
              <w:adjustRightInd w:val="0"/>
              <w:snapToGrid w:val="0"/>
              <w:jc w:val="center"/>
              <w:rPr>
                <w:color w:val="auto"/>
                <w:szCs w:val="21"/>
              </w:rPr>
            </w:pPr>
          </w:p>
        </w:tc>
        <w:tc>
          <w:tcPr>
            <w:tcW w:w="2720" w:type="dxa"/>
            <w:vMerge w:val="continue"/>
            <w:vAlign w:val="center"/>
          </w:tcPr>
          <w:p w14:paraId="12F14838">
            <w:pPr>
              <w:snapToGrid w:val="0"/>
              <w:jc w:val="center"/>
              <w:rPr>
                <w:bCs/>
                <w:color w:val="auto"/>
                <w:szCs w:val="21"/>
              </w:rPr>
            </w:pPr>
          </w:p>
        </w:tc>
      </w:tr>
      <w:tr w14:paraId="4AEB6F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Merge w:val="continue"/>
            <w:vAlign w:val="center"/>
          </w:tcPr>
          <w:p w14:paraId="3529C204">
            <w:pPr>
              <w:adjustRightInd w:val="0"/>
              <w:snapToGrid w:val="0"/>
              <w:jc w:val="center"/>
              <w:rPr>
                <w:rFonts w:ascii="宋体" w:hAnsi="宋体" w:cs="宋体"/>
                <w:color w:val="auto"/>
                <w:szCs w:val="21"/>
              </w:rPr>
            </w:pPr>
          </w:p>
        </w:tc>
        <w:tc>
          <w:tcPr>
            <w:tcW w:w="1956" w:type="dxa"/>
            <w:vMerge w:val="continue"/>
            <w:vAlign w:val="center"/>
          </w:tcPr>
          <w:p w14:paraId="6035FD83">
            <w:pPr>
              <w:adjustRightInd w:val="0"/>
              <w:snapToGrid w:val="0"/>
              <w:jc w:val="center"/>
              <w:rPr>
                <w:color w:val="auto"/>
                <w:szCs w:val="21"/>
              </w:rPr>
            </w:pPr>
          </w:p>
        </w:tc>
        <w:tc>
          <w:tcPr>
            <w:tcW w:w="1275" w:type="dxa"/>
            <w:tcBorders>
              <w:top w:val="single" w:color="auto" w:sz="4" w:space="0"/>
            </w:tcBorders>
            <w:vAlign w:val="center"/>
          </w:tcPr>
          <w:p w14:paraId="5B94EBB5">
            <w:pPr>
              <w:adjustRightInd w:val="0"/>
              <w:snapToGrid w:val="0"/>
              <w:jc w:val="center"/>
              <w:rPr>
                <w:color w:val="auto"/>
                <w:szCs w:val="21"/>
              </w:rPr>
            </w:pPr>
            <w:r>
              <w:rPr>
                <w:rFonts w:hint="eastAsia"/>
                <w:color w:val="auto"/>
                <w:szCs w:val="21"/>
              </w:rPr>
              <w:t>氨氮</w:t>
            </w:r>
          </w:p>
        </w:tc>
        <w:tc>
          <w:tcPr>
            <w:tcW w:w="1764" w:type="dxa"/>
            <w:vMerge w:val="continue"/>
            <w:vAlign w:val="center"/>
          </w:tcPr>
          <w:p w14:paraId="6624E5F8">
            <w:pPr>
              <w:adjustRightInd w:val="0"/>
              <w:snapToGrid w:val="0"/>
              <w:jc w:val="center"/>
              <w:rPr>
                <w:color w:val="auto"/>
                <w:szCs w:val="21"/>
              </w:rPr>
            </w:pPr>
          </w:p>
        </w:tc>
        <w:tc>
          <w:tcPr>
            <w:tcW w:w="2720" w:type="dxa"/>
            <w:vMerge w:val="continue"/>
            <w:vAlign w:val="center"/>
          </w:tcPr>
          <w:p w14:paraId="595FAE59">
            <w:pPr>
              <w:snapToGrid w:val="0"/>
              <w:jc w:val="center"/>
              <w:rPr>
                <w:bCs/>
                <w:color w:val="auto"/>
                <w:szCs w:val="21"/>
              </w:rPr>
            </w:pPr>
          </w:p>
        </w:tc>
      </w:tr>
      <w:tr w14:paraId="64C5CE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Merge w:val="continue"/>
            <w:vAlign w:val="center"/>
          </w:tcPr>
          <w:p w14:paraId="6F8EEC25">
            <w:pPr>
              <w:adjustRightInd w:val="0"/>
              <w:snapToGrid w:val="0"/>
              <w:jc w:val="center"/>
              <w:rPr>
                <w:rFonts w:ascii="宋体" w:hAnsi="宋体" w:cs="宋体"/>
                <w:color w:val="auto"/>
                <w:szCs w:val="21"/>
              </w:rPr>
            </w:pPr>
          </w:p>
        </w:tc>
        <w:tc>
          <w:tcPr>
            <w:tcW w:w="1956" w:type="dxa"/>
            <w:vMerge w:val="continue"/>
            <w:tcBorders>
              <w:bottom w:val="single" w:color="auto" w:sz="4" w:space="0"/>
            </w:tcBorders>
            <w:vAlign w:val="center"/>
          </w:tcPr>
          <w:p w14:paraId="4FB75C24">
            <w:pPr>
              <w:adjustRightInd w:val="0"/>
              <w:snapToGrid w:val="0"/>
              <w:jc w:val="center"/>
              <w:rPr>
                <w:color w:val="auto"/>
                <w:szCs w:val="21"/>
              </w:rPr>
            </w:pPr>
          </w:p>
        </w:tc>
        <w:tc>
          <w:tcPr>
            <w:tcW w:w="1275" w:type="dxa"/>
            <w:tcBorders>
              <w:top w:val="single" w:color="auto" w:sz="4" w:space="0"/>
              <w:bottom w:val="single" w:color="auto" w:sz="4" w:space="0"/>
            </w:tcBorders>
            <w:vAlign w:val="center"/>
          </w:tcPr>
          <w:p w14:paraId="3AAD9E6C">
            <w:pPr>
              <w:adjustRightInd w:val="0"/>
              <w:snapToGrid w:val="0"/>
              <w:jc w:val="center"/>
              <w:rPr>
                <w:color w:val="auto"/>
                <w:szCs w:val="21"/>
              </w:rPr>
            </w:pPr>
            <w:r>
              <w:rPr>
                <w:rFonts w:hint="eastAsia"/>
                <w:color w:val="auto"/>
                <w:szCs w:val="21"/>
              </w:rPr>
              <w:t>COD</w:t>
            </w:r>
          </w:p>
        </w:tc>
        <w:tc>
          <w:tcPr>
            <w:tcW w:w="1764" w:type="dxa"/>
            <w:vMerge w:val="continue"/>
            <w:vAlign w:val="center"/>
          </w:tcPr>
          <w:p w14:paraId="670852B3">
            <w:pPr>
              <w:adjustRightInd w:val="0"/>
              <w:snapToGrid w:val="0"/>
              <w:jc w:val="center"/>
              <w:rPr>
                <w:color w:val="auto"/>
                <w:szCs w:val="21"/>
              </w:rPr>
            </w:pPr>
          </w:p>
        </w:tc>
        <w:tc>
          <w:tcPr>
            <w:tcW w:w="2720" w:type="dxa"/>
            <w:vMerge w:val="continue"/>
            <w:tcBorders>
              <w:bottom w:val="single" w:color="auto" w:sz="4" w:space="0"/>
            </w:tcBorders>
            <w:vAlign w:val="center"/>
          </w:tcPr>
          <w:p w14:paraId="3D758F73">
            <w:pPr>
              <w:snapToGrid w:val="0"/>
              <w:jc w:val="center"/>
              <w:rPr>
                <w:bCs/>
                <w:color w:val="auto"/>
                <w:szCs w:val="21"/>
              </w:rPr>
            </w:pPr>
          </w:p>
        </w:tc>
      </w:tr>
      <w:tr w14:paraId="16ACA4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6B2D5574">
            <w:pPr>
              <w:adjustRightInd w:val="0"/>
              <w:snapToGrid w:val="0"/>
              <w:jc w:val="center"/>
              <w:rPr>
                <w:rFonts w:ascii="宋体" w:hAnsi="宋体" w:cs="宋体"/>
                <w:color w:val="auto"/>
                <w:szCs w:val="21"/>
              </w:rPr>
            </w:pPr>
            <w:r>
              <w:rPr>
                <w:rFonts w:hint="eastAsia" w:ascii="宋体" w:hAnsi="宋体" w:cs="宋体"/>
                <w:color w:val="auto"/>
                <w:szCs w:val="21"/>
              </w:rPr>
              <w:t>声环境</w:t>
            </w:r>
          </w:p>
        </w:tc>
        <w:tc>
          <w:tcPr>
            <w:tcW w:w="1956" w:type="dxa"/>
            <w:vAlign w:val="center"/>
          </w:tcPr>
          <w:p w14:paraId="6E42C723">
            <w:pPr>
              <w:adjustRightInd w:val="0"/>
              <w:snapToGrid w:val="0"/>
              <w:jc w:val="center"/>
              <w:rPr>
                <w:color w:val="auto"/>
                <w:szCs w:val="21"/>
              </w:rPr>
            </w:pPr>
            <w:r>
              <w:rPr>
                <w:rFonts w:hint="eastAsia"/>
                <w:color w:val="auto"/>
                <w:szCs w:val="21"/>
              </w:rPr>
              <w:t>生产设备</w:t>
            </w:r>
          </w:p>
        </w:tc>
        <w:tc>
          <w:tcPr>
            <w:tcW w:w="1275" w:type="dxa"/>
            <w:vAlign w:val="center"/>
          </w:tcPr>
          <w:p w14:paraId="1044918D">
            <w:pPr>
              <w:adjustRightInd w:val="0"/>
              <w:snapToGrid w:val="0"/>
              <w:jc w:val="center"/>
              <w:rPr>
                <w:color w:val="auto"/>
                <w:szCs w:val="21"/>
              </w:rPr>
            </w:pPr>
            <w:r>
              <w:rPr>
                <w:rFonts w:hint="eastAsia"/>
                <w:color w:val="auto"/>
                <w:szCs w:val="21"/>
              </w:rPr>
              <w:t>噪声</w:t>
            </w:r>
          </w:p>
        </w:tc>
        <w:tc>
          <w:tcPr>
            <w:tcW w:w="1764" w:type="dxa"/>
            <w:vAlign w:val="center"/>
          </w:tcPr>
          <w:p w14:paraId="7F6DBBEA">
            <w:pPr>
              <w:adjustRightInd w:val="0"/>
              <w:snapToGrid w:val="0"/>
              <w:jc w:val="center"/>
              <w:rPr>
                <w:color w:val="auto"/>
                <w:szCs w:val="21"/>
              </w:rPr>
            </w:pPr>
            <w:r>
              <w:rPr>
                <w:color w:val="auto"/>
                <w:szCs w:val="21"/>
              </w:rPr>
              <w:t>置于室内、构筑物</w:t>
            </w:r>
            <w:r>
              <w:rPr>
                <w:rFonts w:hint="eastAsia"/>
                <w:bCs/>
                <w:color w:val="auto"/>
                <w:szCs w:val="21"/>
              </w:rPr>
              <w:t>隔声、设置减振基座</w:t>
            </w:r>
            <w:r>
              <w:rPr>
                <w:bCs/>
                <w:color w:val="auto"/>
                <w:szCs w:val="21"/>
              </w:rPr>
              <w:t>等</w:t>
            </w:r>
          </w:p>
        </w:tc>
        <w:tc>
          <w:tcPr>
            <w:tcW w:w="2720" w:type="dxa"/>
            <w:vAlign w:val="center"/>
          </w:tcPr>
          <w:p w14:paraId="009A3CCE">
            <w:pPr>
              <w:adjustRightInd w:val="0"/>
              <w:snapToGrid w:val="0"/>
              <w:jc w:val="center"/>
              <w:rPr>
                <w:color w:val="auto"/>
                <w:spacing w:val="-6"/>
                <w:szCs w:val="21"/>
              </w:rPr>
            </w:pPr>
            <w:r>
              <w:rPr>
                <w:bCs/>
                <w:color w:val="auto"/>
                <w:spacing w:val="-6"/>
                <w:szCs w:val="21"/>
              </w:rPr>
              <w:t>《工业企业厂界环境噪声排放标准》（GB12348-2008）</w:t>
            </w:r>
          </w:p>
        </w:tc>
      </w:tr>
      <w:tr w14:paraId="6E98B1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0472748C">
            <w:pPr>
              <w:adjustRightInd w:val="0"/>
              <w:snapToGrid w:val="0"/>
              <w:jc w:val="center"/>
              <w:rPr>
                <w:rFonts w:ascii="宋体" w:hAnsi="宋体" w:cs="宋体"/>
                <w:color w:val="auto"/>
                <w:szCs w:val="21"/>
              </w:rPr>
            </w:pPr>
            <w:r>
              <w:rPr>
                <w:rFonts w:hint="eastAsia" w:ascii="宋体" w:hAnsi="宋体" w:cs="宋体"/>
                <w:color w:val="auto"/>
                <w:szCs w:val="21"/>
              </w:rPr>
              <w:t>电磁辐射</w:t>
            </w:r>
          </w:p>
        </w:tc>
        <w:tc>
          <w:tcPr>
            <w:tcW w:w="7715" w:type="dxa"/>
            <w:gridSpan w:val="4"/>
            <w:vAlign w:val="center"/>
          </w:tcPr>
          <w:p w14:paraId="5A315136">
            <w:pPr>
              <w:adjustRightInd w:val="0"/>
              <w:snapToGrid w:val="0"/>
              <w:jc w:val="center"/>
              <w:rPr>
                <w:color w:val="auto"/>
                <w:szCs w:val="21"/>
              </w:rPr>
            </w:pPr>
            <w:r>
              <w:rPr>
                <w:rFonts w:hint="eastAsia"/>
                <w:color w:val="auto"/>
                <w:szCs w:val="21"/>
              </w:rPr>
              <w:t>无</w:t>
            </w:r>
          </w:p>
        </w:tc>
      </w:tr>
      <w:tr w14:paraId="46A461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115468A8">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固体废物</w:t>
            </w:r>
          </w:p>
        </w:tc>
        <w:tc>
          <w:tcPr>
            <w:tcW w:w="7715" w:type="dxa"/>
            <w:gridSpan w:val="4"/>
            <w:vAlign w:val="center"/>
          </w:tcPr>
          <w:p w14:paraId="28C39FEE">
            <w:pPr>
              <w:adjustRightInd w:val="0"/>
              <w:snapToGrid w:val="0"/>
              <w:spacing w:line="360" w:lineRule="auto"/>
              <w:jc w:val="left"/>
              <w:rPr>
                <w:rFonts w:ascii="宋体" w:hAnsi="宋体" w:cs="宋体"/>
                <w:color w:val="auto"/>
                <w:szCs w:val="21"/>
              </w:rPr>
            </w:pPr>
            <w:r>
              <w:rPr>
                <w:rFonts w:hint="eastAsia" w:ascii="宋体" w:hAnsi="宋体" w:cs="宋体"/>
                <w:b/>
                <w:color w:val="auto"/>
                <w:szCs w:val="21"/>
              </w:rPr>
              <w:t>危险废物：</w:t>
            </w:r>
            <w:bookmarkStart w:id="22" w:name="_Hlk88747012"/>
            <w:r>
              <w:rPr>
                <w:rFonts w:hint="eastAsia" w:ascii="宋体" w:hAnsi="宋体" w:cs="宋体"/>
                <w:color w:val="auto"/>
                <w:szCs w:val="21"/>
              </w:rPr>
              <w:t>废润滑油和废油桶由建设单位集中收集后，暂存在危废暂存间内，定期交由有资质单位处置</w:t>
            </w:r>
            <w:bookmarkEnd w:id="22"/>
            <w:r>
              <w:rPr>
                <w:rFonts w:hint="eastAsia" w:ascii="宋体" w:hAnsi="宋体" w:cs="宋体"/>
                <w:color w:val="auto"/>
                <w:szCs w:val="21"/>
              </w:rPr>
              <w:t>；含油抹布、废手套由建设单位收集后，暂存在危废暂存间内，处置过程不按危险废物管理。</w:t>
            </w:r>
          </w:p>
          <w:p w14:paraId="1D2C5BD3">
            <w:pPr>
              <w:adjustRightInd w:val="0"/>
              <w:snapToGrid w:val="0"/>
              <w:spacing w:line="360" w:lineRule="auto"/>
              <w:jc w:val="left"/>
              <w:rPr>
                <w:rFonts w:ascii="宋体" w:hAnsi="宋体" w:cs="宋体"/>
                <w:color w:val="auto"/>
                <w:szCs w:val="21"/>
              </w:rPr>
            </w:pPr>
            <w:r>
              <w:rPr>
                <w:rFonts w:hint="eastAsia" w:ascii="宋体" w:hAnsi="宋体" w:cs="宋体"/>
                <w:b/>
                <w:color w:val="auto"/>
                <w:szCs w:val="21"/>
              </w:rPr>
              <w:t>一般固废：</w:t>
            </w:r>
            <w:bookmarkStart w:id="23" w:name="_Hlk88747005"/>
            <w:r>
              <w:rPr>
                <w:rFonts w:hint="eastAsia" w:ascii="宋体" w:hAnsi="宋体" w:cs="宋体"/>
                <w:b w:val="0"/>
                <w:bCs/>
                <w:color w:val="auto"/>
                <w:szCs w:val="21"/>
                <w:lang w:eastAsia="zh-CN"/>
              </w:rPr>
              <w:t>除尘灰、</w:t>
            </w:r>
            <w:r>
              <w:rPr>
                <w:rFonts w:hint="eastAsia" w:ascii="宋体" w:hAnsi="宋体" w:cs="宋体"/>
                <w:color w:val="auto"/>
                <w:szCs w:val="21"/>
                <w:lang w:eastAsia="zh-CN"/>
              </w:rPr>
              <w:t>废包装</w:t>
            </w:r>
            <w:r>
              <w:rPr>
                <w:rFonts w:hint="eastAsia" w:ascii="宋体" w:hAnsi="宋体" w:cs="宋体"/>
                <w:color w:val="auto"/>
                <w:szCs w:val="21"/>
              </w:rPr>
              <w:t>由建设单位集中收集后，暂存在一般固废暂存间内，定期外售予物资回收部门；</w:t>
            </w:r>
            <w:r>
              <w:rPr>
                <w:rFonts w:hint="eastAsia" w:ascii="宋体" w:hAnsi="宋体" w:cs="宋体"/>
                <w:color w:val="auto"/>
                <w:szCs w:val="21"/>
                <w:lang w:eastAsia="zh-CN"/>
              </w:rPr>
              <w:t>碎石杂质、</w:t>
            </w:r>
            <w:r>
              <w:rPr>
                <w:rFonts w:hint="eastAsia" w:ascii="宋体" w:hAnsi="宋体" w:cs="宋体"/>
                <w:color w:val="auto"/>
                <w:szCs w:val="21"/>
              </w:rPr>
              <w:t>生活垃圾交由环卫部门处理。</w:t>
            </w:r>
            <w:bookmarkEnd w:id="23"/>
          </w:p>
        </w:tc>
      </w:tr>
      <w:tr w14:paraId="482C6F3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5961A1B7">
            <w:pPr>
              <w:adjustRightInd w:val="0"/>
              <w:snapToGrid w:val="0"/>
              <w:jc w:val="center"/>
              <w:rPr>
                <w:rFonts w:ascii="宋体" w:hAnsi="宋体" w:cs="宋体"/>
                <w:color w:val="auto"/>
                <w:szCs w:val="21"/>
              </w:rPr>
            </w:pPr>
            <w:r>
              <w:rPr>
                <w:rFonts w:hint="eastAsia" w:ascii="宋体" w:hAnsi="宋体" w:cs="宋体"/>
                <w:color w:val="auto"/>
                <w:szCs w:val="21"/>
              </w:rPr>
              <w:t>土壤及地下水污染防治措施</w:t>
            </w:r>
          </w:p>
        </w:tc>
        <w:tc>
          <w:tcPr>
            <w:tcW w:w="7715" w:type="dxa"/>
            <w:gridSpan w:val="4"/>
            <w:vAlign w:val="center"/>
          </w:tcPr>
          <w:p w14:paraId="19D59BCB">
            <w:pPr>
              <w:adjustRightInd w:val="0"/>
              <w:snapToGrid w:val="0"/>
              <w:spacing w:line="360" w:lineRule="auto"/>
              <w:jc w:val="left"/>
              <w:rPr>
                <w:color w:val="auto"/>
                <w:szCs w:val="21"/>
              </w:rPr>
            </w:pPr>
            <w:r>
              <w:rPr>
                <w:rFonts w:hAnsi="宋体"/>
                <w:color w:val="auto"/>
                <w:szCs w:val="21"/>
              </w:rPr>
              <w:t>按照</w:t>
            </w:r>
            <w:r>
              <w:rPr>
                <w:rFonts w:ascii="宋体" w:hAnsi="宋体"/>
                <w:color w:val="auto"/>
                <w:szCs w:val="21"/>
              </w:rPr>
              <w:t>“分区防控”</w:t>
            </w:r>
            <w:r>
              <w:rPr>
                <w:rFonts w:hAnsi="宋体"/>
                <w:color w:val="auto"/>
                <w:szCs w:val="21"/>
              </w:rPr>
              <w:t>要求，对厂区进行分区防渗</w:t>
            </w:r>
            <w:r>
              <w:rPr>
                <w:rFonts w:hint="eastAsia" w:hAnsi="宋体"/>
                <w:color w:val="auto"/>
                <w:szCs w:val="21"/>
              </w:rPr>
              <w:t>，其中</w:t>
            </w:r>
            <w:r>
              <w:rPr>
                <w:b/>
                <w:color w:val="auto"/>
                <w:szCs w:val="21"/>
              </w:rPr>
              <w:t>重点防渗区域：危废暂存间</w:t>
            </w:r>
            <w:r>
              <w:rPr>
                <w:rFonts w:hint="eastAsia"/>
                <w:b/>
                <w:color w:val="auto"/>
                <w:szCs w:val="21"/>
              </w:rPr>
              <w:t>防渗技术要求：</w:t>
            </w:r>
            <w:r>
              <w:rPr>
                <w:rFonts w:hint="eastAsia" w:hAnsi="宋体"/>
                <w:color w:val="auto"/>
                <w:szCs w:val="21"/>
              </w:rPr>
              <w:t>防渗层为至少1m厚粘土层（渗透系数≤10</w:t>
            </w:r>
            <w:r>
              <w:rPr>
                <w:rFonts w:hint="eastAsia" w:hAnsi="宋体"/>
                <w:color w:val="auto"/>
                <w:szCs w:val="21"/>
                <w:vertAlign w:val="superscript"/>
              </w:rPr>
              <w:t>-7</w:t>
            </w:r>
            <w:r>
              <w:rPr>
                <w:rFonts w:hint="eastAsia" w:hAnsi="宋体"/>
                <w:color w:val="auto"/>
                <w:szCs w:val="21"/>
              </w:rPr>
              <w:t>cm/s），或2mm厚高密度聚乙烯，或至少2mm厚的其他人工材料，渗透系数≤10</w:t>
            </w:r>
            <w:r>
              <w:rPr>
                <w:rFonts w:hint="eastAsia" w:hAnsi="宋体"/>
                <w:color w:val="auto"/>
                <w:szCs w:val="21"/>
                <w:vertAlign w:val="superscript"/>
              </w:rPr>
              <w:t>-10</w:t>
            </w:r>
            <w:r>
              <w:rPr>
                <w:rFonts w:hint="eastAsia" w:hAnsi="宋体"/>
                <w:color w:val="auto"/>
                <w:szCs w:val="21"/>
              </w:rPr>
              <w:t>cm/s</w:t>
            </w:r>
            <w:r>
              <w:rPr>
                <w:rFonts w:hint="eastAsia"/>
                <w:color w:val="auto"/>
                <w:szCs w:val="21"/>
              </w:rPr>
              <w:t>；</w:t>
            </w:r>
            <w:r>
              <w:rPr>
                <w:rFonts w:hint="eastAsia" w:hAnsi="宋体"/>
                <w:b/>
                <w:color w:val="auto"/>
                <w:szCs w:val="21"/>
              </w:rPr>
              <w:t>一般防渗区域：一般固废暂存场所防渗技术要求：</w:t>
            </w:r>
            <w:r>
              <w:rPr>
                <w:rFonts w:hint="eastAsia" w:hAnsi="宋体"/>
                <w:color w:val="auto"/>
                <w:szCs w:val="21"/>
              </w:rPr>
              <w:t>采用单人工复合衬层：①人工合成材料应采用高密度聚乙烯膜，厚度不小于1.5mm，并满足GB/T17643规定的技术指标要求。采用其他人工合成材料的，其防渗性能至少相当于1.5mm高密度聚乙烯膜的防渗性能。②粘土衬层厚度应不小于0.75m，且经压实、人工改性等措施处理后的饱和渗透系数不应大于1×10</w:t>
            </w:r>
            <w:r>
              <w:rPr>
                <w:rFonts w:hint="eastAsia" w:hAnsi="宋体"/>
                <w:color w:val="auto"/>
                <w:szCs w:val="21"/>
                <w:vertAlign w:val="superscript"/>
              </w:rPr>
              <w:t>-7</w:t>
            </w:r>
            <w:r>
              <w:rPr>
                <w:rFonts w:hint="eastAsia" w:hAnsi="宋体"/>
                <w:color w:val="auto"/>
                <w:szCs w:val="21"/>
              </w:rPr>
              <w:t>cm/s。使用其他粘土类防渗衬层材料时，应具有同等以上隔水效力。</w:t>
            </w:r>
            <w:r>
              <w:rPr>
                <w:rFonts w:hint="eastAsia" w:hAnsi="宋体"/>
                <w:b/>
                <w:color w:val="auto"/>
                <w:szCs w:val="21"/>
              </w:rPr>
              <w:t>生产车间防渗技术要求：</w:t>
            </w:r>
            <w:r>
              <w:rPr>
                <w:rFonts w:hint="eastAsia" w:hAnsi="宋体"/>
                <w:color w:val="auto"/>
                <w:szCs w:val="21"/>
              </w:rPr>
              <w:t>等效粘土防渗层Mb≥1.5m，K≤1×10</w:t>
            </w:r>
            <w:r>
              <w:rPr>
                <w:rFonts w:hint="eastAsia" w:hAnsi="宋体"/>
                <w:color w:val="auto"/>
                <w:szCs w:val="21"/>
                <w:vertAlign w:val="superscript"/>
              </w:rPr>
              <w:t>-7</w:t>
            </w:r>
            <w:r>
              <w:rPr>
                <w:rFonts w:hint="eastAsia" w:hAnsi="宋体"/>
                <w:color w:val="auto"/>
                <w:szCs w:val="21"/>
              </w:rPr>
              <w:t>cm/s；或参照GB16889执行</w:t>
            </w:r>
            <w:r>
              <w:rPr>
                <w:rFonts w:hint="eastAsia"/>
                <w:color w:val="auto"/>
                <w:szCs w:val="21"/>
              </w:rPr>
              <w:t>。</w:t>
            </w:r>
          </w:p>
        </w:tc>
      </w:tr>
      <w:tr w14:paraId="0BA096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71681C2D">
            <w:pPr>
              <w:adjustRightInd w:val="0"/>
              <w:snapToGrid w:val="0"/>
              <w:jc w:val="center"/>
              <w:rPr>
                <w:rFonts w:ascii="宋体" w:hAnsi="宋体" w:cs="宋体"/>
                <w:color w:val="auto"/>
                <w:szCs w:val="21"/>
              </w:rPr>
            </w:pPr>
            <w:r>
              <w:rPr>
                <w:rFonts w:hint="eastAsia" w:ascii="宋体" w:hAnsi="宋体" w:cs="宋体"/>
                <w:color w:val="auto"/>
                <w:szCs w:val="21"/>
              </w:rPr>
              <w:t>生态保护措施</w:t>
            </w:r>
          </w:p>
        </w:tc>
        <w:tc>
          <w:tcPr>
            <w:tcW w:w="7715" w:type="dxa"/>
            <w:gridSpan w:val="4"/>
            <w:vAlign w:val="center"/>
          </w:tcPr>
          <w:p w14:paraId="6BA30971">
            <w:pPr>
              <w:adjustRightInd w:val="0"/>
              <w:snapToGrid w:val="0"/>
              <w:spacing w:line="360" w:lineRule="auto"/>
              <w:jc w:val="center"/>
              <w:rPr>
                <w:rFonts w:ascii="宋体" w:hAnsi="宋体" w:cs="宋体"/>
                <w:color w:val="auto"/>
                <w:szCs w:val="21"/>
              </w:rPr>
            </w:pPr>
            <w:r>
              <w:rPr>
                <w:rFonts w:hint="eastAsia" w:ascii="宋体" w:hAnsi="宋体" w:cs="宋体"/>
                <w:color w:val="auto"/>
                <w:szCs w:val="21"/>
              </w:rPr>
              <w:t>不涉及</w:t>
            </w:r>
          </w:p>
        </w:tc>
      </w:tr>
      <w:tr w14:paraId="34BCC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397D884C">
            <w:pPr>
              <w:adjustRightInd w:val="0"/>
              <w:snapToGrid w:val="0"/>
              <w:jc w:val="center"/>
              <w:rPr>
                <w:rFonts w:ascii="宋体" w:hAnsi="宋体" w:cs="宋体"/>
                <w:color w:val="auto"/>
                <w:szCs w:val="21"/>
              </w:rPr>
            </w:pPr>
            <w:r>
              <w:rPr>
                <w:rFonts w:hint="eastAsia" w:ascii="宋体" w:hAnsi="宋体" w:cs="宋体"/>
                <w:color w:val="auto"/>
                <w:szCs w:val="21"/>
              </w:rPr>
              <w:t>环境风险</w:t>
            </w:r>
          </w:p>
          <w:p w14:paraId="0C76AB87">
            <w:pPr>
              <w:adjustRightInd w:val="0"/>
              <w:snapToGrid w:val="0"/>
              <w:jc w:val="center"/>
              <w:rPr>
                <w:rFonts w:ascii="宋体" w:hAnsi="宋体" w:cs="宋体"/>
                <w:color w:val="auto"/>
                <w:szCs w:val="21"/>
              </w:rPr>
            </w:pPr>
            <w:r>
              <w:rPr>
                <w:rFonts w:hint="eastAsia" w:ascii="宋体" w:hAnsi="宋体" w:cs="宋体"/>
                <w:color w:val="auto"/>
                <w:szCs w:val="21"/>
              </w:rPr>
              <w:t>防范措施</w:t>
            </w:r>
          </w:p>
        </w:tc>
        <w:tc>
          <w:tcPr>
            <w:tcW w:w="7715" w:type="dxa"/>
            <w:gridSpan w:val="4"/>
            <w:vAlign w:val="center"/>
          </w:tcPr>
          <w:p w14:paraId="1CF62A8F">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color w:val="auto"/>
                <w:szCs w:val="21"/>
              </w:rPr>
            </w:pPr>
            <w:r>
              <w:rPr>
                <w:rFonts w:hint="eastAsia"/>
                <w:color w:val="auto"/>
                <w:szCs w:val="21"/>
              </w:rPr>
              <w:t>①废气处理设备定期检修、维护。严格按照环评要求进行废气的监测。</w:t>
            </w:r>
          </w:p>
          <w:p w14:paraId="13C4550D">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ascii="宋体" w:hAnsi="宋体" w:cs="宋体"/>
                <w:color w:val="auto"/>
                <w:szCs w:val="21"/>
              </w:rPr>
            </w:pPr>
            <w:r>
              <w:rPr>
                <w:rFonts w:hint="eastAsia"/>
                <w:color w:val="auto"/>
                <w:szCs w:val="21"/>
              </w:rPr>
              <w:t>②加强生产车间岗位责任制，严格按照安全生产操作流程进行操作。生产车间及库房内杜绝明火、易燃易爆物质。</w:t>
            </w:r>
          </w:p>
        </w:tc>
      </w:tr>
      <w:tr w14:paraId="71F775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413" w:type="dxa"/>
            <w:vAlign w:val="center"/>
          </w:tcPr>
          <w:p w14:paraId="14B5B461">
            <w:pPr>
              <w:adjustRightInd w:val="0"/>
              <w:snapToGrid w:val="0"/>
              <w:jc w:val="center"/>
              <w:rPr>
                <w:rFonts w:ascii="宋体" w:hAnsi="宋体" w:cs="宋体"/>
                <w:color w:val="auto"/>
                <w:szCs w:val="21"/>
              </w:rPr>
            </w:pPr>
            <w:r>
              <w:rPr>
                <w:rFonts w:hint="eastAsia" w:ascii="宋体" w:hAnsi="宋体" w:cs="宋体"/>
                <w:color w:val="auto"/>
                <w:szCs w:val="21"/>
              </w:rPr>
              <w:t>其他环境</w:t>
            </w:r>
          </w:p>
          <w:p w14:paraId="5EE0CC9D">
            <w:pPr>
              <w:adjustRightInd w:val="0"/>
              <w:snapToGrid w:val="0"/>
              <w:jc w:val="center"/>
              <w:rPr>
                <w:rFonts w:ascii="宋体" w:hAnsi="宋体" w:cs="宋体"/>
                <w:color w:val="auto"/>
                <w:szCs w:val="21"/>
              </w:rPr>
            </w:pPr>
            <w:r>
              <w:rPr>
                <w:rFonts w:hint="eastAsia" w:ascii="宋体" w:hAnsi="宋体" w:cs="宋体"/>
                <w:color w:val="auto"/>
                <w:szCs w:val="21"/>
              </w:rPr>
              <w:t>管理要求</w:t>
            </w:r>
          </w:p>
        </w:tc>
        <w:tc>
          <w:tcPr>
            <w:tcW w:w="7715" w:type="dxa"/>
            <w:gridSpan w:val="4"/>
            <w:vAlign w:val="center"/>
          </w:tcPr>
          <w:p w14:paraId="6F171193">
            <w:pPr>
              <w:ind w:firstLine="400" w:firstLineChars="200"/>
              <w:jc w:val="left"/>
              <w:rPr>
                <w:color w:val="auto"/>
                <w:sz w:val="20"/>
              </w:rPr>
            </w:pPr>
          </w:p>
          <w:p w14:paraId="64F9822D">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1、规范排污口</w:t>
            </w:r>
          </w:p>
          <w:p w14:paraId="69DCCBB4">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 xml:space="preserve">①污水排放口规范化设置 </w:t>
            </w:r>
          </w:p>
          <w:p w14:paraId="6ED58DB1">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项目排水体制实施“雨污分流”制，规范设置明显排口标志。</w:t>
            </w:r>
          </w:p>
          <w:p w14:paraId="34E2511E">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②废气排气筒规范化设置</w:t>
            </w:r>
          </w:p>
          <w:p w14:paraId="7372C9A5">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在每个排气筒附近醒目处设立环境保护图形标志牌，按要求加以标识（排气筒高度、出口内径、排放污染物种类等）。在适当位置设置便于采样、监测的采样口和采样平台。排污口规范化整治应符合国家、省、市有关规定，并通过主管环保部门认证和验收。</w:t>
            </w:r>
          </w:p>
          <w:p w14:paraId="518B4F94">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③固定噪声污染源规范化标志牌设置</w:t>
            </w:r>
          </w:p>
          <w:p w14:paraId="2E29A00F">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固定噪声污染源对边界影响最大处，应设置噪声监测点，根据上述原则并兼顾厂界形状，在边界上设置噪声监测点同时设置标志牌。</w:t>
            </w:r>
          </w:p>
          <w:p w14:paraId="279F709E">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④固体废物贮存（处置）场所</w:t>
            </w:r>
          </w:p>
          <w:p w14:paraId="32099EF1">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本项目新建一般固废，需根据《环境保护图形标志－固体废物贮存（处置）场》（GB15562.2－1995）的要求设置环境保护图形标志，标志牌设在与之功能相应的醒目处，标志牌必须保护持清晰、完整。在后期运营过程中，当发现形象损坏、颜色污染或有变化、褪色等不符合本标准的情况，应及时修复或更换。检查时间至少每年一次。</w:t>
            </w:r>
          </w:p>
          <w:p w14:paraId="560C3E24">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一般固废贮存场所贮存过程应满足相应防渗漏、防雨淋、防扬尘等要求。</w:t>
            </w:r>
          </w:p>
          <w:p w14:paraId="352DCF3E">
            <w:pPr>
              <w:keepNext w:val="0"/>
              <w:keepLines w:val="0"/>
              <w:pageBreakBefore w:val="0"/>
              <w:widowControl w:val="0"/>
              <w:kinsoku/>
              <w:wordWrap/>
              <w:overflowPunct/>
              <w:topLinePunct w:val="0"/>
              <w:autoSpaceDE/>
              <w:autoSpaceDN/>
              <w:bidi w:val="0"/>
              <w:adjustRightInd w:val="0"/>
              <w:snapToGrid/>
              <w:spacing w:line="360" w:lineRule="auto"/>
              <w:ind w:firstLine="420" w:firstLineChars="200"/>
              <w:jc w:val="left"/>
              <w:textAlignment w:val="auto"/>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为了公众监督管理，按照《环境保护图形标志》</w:t>
            </w:r>
            <w:r>
              <w:rPr>
                <w:rFonts w:hint="eastAsia" w:cs="Times New Roman"/>
                <w:color w:val="auto"/>
                <w:lang w:val="en-US" w:eastAsia="zh-CN"/>
              </w:rPr>
              <w:t>（</w:t>
            </w:r>
            <w:r>
              <w:rPr>
                <w:rFonts w:hint="default" w:ascii="Times New Roman" w:hAnsi="Times New Roman" w:eastAsia="宋体" w:cs="Times New Roman"/>
                <w:color w:val="auto"/>
                <w:lang w:val="en-US" w:eastAsia="zh-CN"/>
              </w:rPr>
              <w:t>GB15562.1-1995；GB15562.2-1995</w:t>
            </w:r>
            <w:r>
              <w:rPr>
                <w:rFonts w:hint="eastAsia" w:cs="Times New Roman"/>
                <w:color w:val="auto"/>
                <w:lang w:val="en-US" w:eastAsia="zh-CN"/>
              </w:rPr>
              <w:t>）</w:t>
            </w:r>
            <w:r>
              <w:rPr>
                <w:rFonts w:hint="default"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fldChar w:fldCharType="begin"/>
            </w:r>
            <w:r>
              <w:rPr>
                <w:rFonts w:hint="default" w:ascii="Times New Roman" w:hAnsi="Times New Roman" w:eastAsia="宋体" w:cs="Times New Roman"/>
                <w:color w:val="auto"/>
                <w:lang w:val="en-US" w:eastAsia="zh-CN"/>
              </w:rPr>
              <w:instrText xml:space="preserve"> HYPERLINK "https://www.mee.gov.cn/xxgk2018/xxgk/xxgk01/202302/W020230224719650513549.pdf" </w:instrText>
            </w:r>
            <w:r>
              <w:rPr>
                <w:rFonts w:hint="default" w:ascii="Times New Roman" w:hAnsi="Times New Roman" w:eastAsia="宋体" w:cs="Times New Roman"/>
                <w:color w:val="auto"/>
                <w:lang w:val="en-US" w:eastAsia="zh-CN"/>
              </w:rPr>
              <w:fldChar w:fldCharType="separate"/>
            </w:r>
            <w:r>
              <w:rPr>
                <w:rFonts w:hint="default" w:ascii="Times New Roman" w:hAnsi="Times New Roman" w:eastAsia="宋体" w:cs="Times New Roman"/>
                <w:color w:val="auto"/>
                <w:lang w:val="en-US" w:eastAsia="zh-CN"/>
              </w:rPr>
              <w:t>《环境保护图形标志—固体废物贮存（处置）场》（GB 15562.2-1995）修改单</w:t>
            </w:r>
            <w:r>
              <w:rPr>
                <w:rFonts w:hint="default" w:ascii="Times New Roman" w:hAnsi="Times New Roman" w:eastAsia="宋体" w:cs="Times New Roman"/>
                <w:color w:val="auto"/>
                <w:lang w:val="en-US" w:eastAsia="zh-CN"/>
              </w:rPr>
              <w:fldChar w:fldCharType="end"/>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《环境保护图形标志〉实施细则（试行）》（环监[1996]463号）的规定，在各排污口设立相应的环境保护图形标志牌。</w:t>
            </w:r>
          </w:p>
          <w:p w14:paraId="06CDA544">
            <w:pPr>
              <w:pStyle w:val="240"/>
              <w:rPr>
                <w:color w:val="auto"/>
                <w:sz w:val="21"/>
                <w:szCs w:val="20"/>
              </w:rPr>
            </w:pPr>
            <w:r>
              <w:rPr>
                <w:color w:val="auto"/>
                <w:sz w:val="21"/>
                <w:szCs w:val="20"/>
              </w:rPr>
              <w:t>表</w:t>
            </w:r>
            <w:r>
              <w:rPr>
                <w:rFonts w:hint="eastAsia"/>
                <w:color w:val="auto"/>
                <w:sz w:val="21"/>
                <w:szCs w:val="20"/>
                <w:lang w:val="en-US" w:eastAsia="zh-CN"/>
              </w:rPr>
              <w:t>5-1</w:t>
            </w:r>
            <w:r>
              <w:rPr>
                <w:color w:val="auto"/>
                <w:sz w:val="21"/>
                <w:szCs w:val="20"/>
              </w:rPr>
              <w:t xml:space="preserve">  项目环境保护图形符号表</w:t>
            </w:r>
          </w:p>
          <w:tbl>
            <w:tblPr>
              <w:tblStyle w:val="45"/>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5"/>
              <w:gridCol w:w="1676"/>
              <w:gridCol w:w="1846"/>
              <w:gridCol w:w="1645"/>
              <w:gridCol w:w="1753"/>
            </w:tblGrid>
            <w:tr w14:paraId="64AA3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tcBorders>
                    <w:top w:val="single" w:color="auto" w:sz="4" w:space="0"/>
                    <w:left w:val="single" w:color="auto" w:sz="4" w:space="0"/>
                    <w:bottom w:val="single" w:color="auto" w:sz="4" w:space="0"/>
                    <w:right w:val="single" w:color="auto" w:sz="4" w:space="0"/>
                  </w:tcBorders>
                  <w:noWrap w:val="0"/>
                  <w:vAlign w:val="center"/>
                </w:tcPr>
                <w:p w14:paraId="4827652A">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序号</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B47F0AE">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提示图形符号</w:t>
                  </w:r>
                </w:p>
              </w:tc>
              <w:tc>
                <w:tcPr>
                  <w:tcW w:w="1232" w:type="pct"/>
                  <w:tcBorders>
                    <w:top w:val="single" w:color="auto" w:sz="4" w:space="0"/>
                    <w:left w:val="single" w:color="auto" w:sz="4" w:space="0"/>
                    <w:bottom w:val="single" w:color="auto" w:sz="4" w:space="0"/>
                    <w:right w:val="single" w:color="auto" w:sz="4" w:space="0"/>
                  </w:tcBorders>
                  <w:noWrap w:val="0"/>
                  <w:vAlign w:val="center"/>
                </w:tcPr>
                <w:p w14:paraId="2DBD3684">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警告图形符号</w:t>
                  </w:r>
                </w:p>
              </w:tc>
              <w:tc>
                <w:tcPr>
                  <w:tcW w:w="1098" w:type="pct"/>
                  <w:tcBorders>
                    <w:top w:val="single" w:color="auto" w:sz="4" w:space="0"/>
                    <w:left w:val="single" w:color="auto" w:sz="4" w:space="0"/>
                    <w:bottom w:val="single" w:color="auto" w:sz="4" w:space="0"/>
                    <w:right w:val="single" w:color="auto" w:sz="4" w:space="0"/>
                  </w:tcBorders>
                  <w:noWrap w:val="0"/>
                  <w:vAlign w:val="center"/>
                </w:tcPr>
                <w:p w14:paraId="3A26932A">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名称</w:t>
                  </w:r>
                </w:p>
              </w:tc>
              <w:tc>
                <w:tcPr>
                  <w:tcW w:w="1170" w:type="pct"/>
                  <w:tcBorders>
                    <w:top w:val="single" w:color="auto" w:sz="4" w:space="0"/>
                    <w:left w:val="single" w:color="auto" w:sz="4" w:space="0"/>
                    <w:bottom w:val="single" w:color="auto" w:sz="4" w:space="0"/>
                    <w:right w:val="single" w:color="auto" w:sz="4" w:space="0"/>
                  </w:tcBorders>
                  <w:noWrap w:val="0"/>
                  <w:vAlign w:val="center"/>
                </w:tcPr>
                <w:p w14:paraId="441D948F">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功能</w:t>
                  </w:r>
                </w:p>
              </w:tc>
            </w:tr>
            <w:tr w14:paraId="49D3C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tcBorders>
                    <w:top w:val="single" w:color="auto" w:sz="4" w:space="0"/>
                    <w:left w:val="single" w:color="auto" w:sz="4" w:space="0"/>
                    <w:bottom w:val="single" w:color="auto" w:sz="4" w:space="0"/>
                    <w:right w:val="single" w:color="auto" w:sz="4" w:space="0"/>
                  </w:tcBorders>
                  <w:noWrap w:val="0"/>
                  <w:vAlign w:val="center"/>
                </w:tcPr>
                <w:p w14:paraId="65492882">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1</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73AB2A35">
                  <w:pPr>
                    <w:pStyle w:val="114"/>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"http://www.jjj999.com/anquanbiaozhi/images/13003.gif"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drawing>
                      <wp:inline distT="0" distB="0" distL="114300" distR="114300">
                        <wp:extent cx="859790" cy="859790"/>
                        <wp:effectExtent l="0" t="0" r="16510" b="16510"/>
                        <wp:docPr id="9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1"/>
                                <pic:cNvPicPr>
                                  <a:picLocks noChangeAspect="1"/>
                                </pic:cNvPicPr>
                              </pic:nvPicPr>
                              <pic:blipFill>
                                <a:blip r:embed="rId26"/>
                                <a:stretch>
                                  <a:fillRect/>
                                </a:stretch>
                              </pic:blipFill>
                              <pic:spPr>
                                <a:xfrm>
                                  <a:off x="0" y="0"/>
                                  <a:ext cx="859790" cy="859790"/>
                                </a:xfrm>
                                <a:prstGeom prst="rect">
                                  <a:avLst/>
                                </a:prstGeom>
                                <a:noFill/>
                                <a:ln>
                                  <a:noFill/>
                                </a:ln>
                              </pic:spPr>
                            </pic:pic>
                          </a:graphicData>
                        </a:graphic>
                      </wp:inline>
                    </w:drawing>
                  </w:r>
                  <w:r>
                    <w:rPr>
                      <w:rFonts w:hint="default" w:ascii="Times New Roman" w:hAnsi="Times New Roman" w:eastAsia="宋体" w:cs="Times New Roman"/>
                      <w:color w:val="auto"/>
                      <w:sz w:val="21"/>
                      <w:szCs w:val="21"/>
                    </w:rPr>
                    <w:fldChar w:fldCharType="end"/>
                  </w:r>
                </w:p>
              </w:tc>
              <w:tc>
                <w:tcPr>
                  <w:tcW w:w="1232" w:type="pct"/>
                  <w:tcBorders>
                    <w:top w:val="single" w:color="auto" w:sz="4" w:space="0"/>
                    <w:left w:val="single" w:color="auto" w:sz="4" w:space="0"/>
                    <w:bottom w:val="single" w:color="auto" w:sz="4" w:space="0"/>
                    <w:right w:val="single" w:color="auto" w:sz="4" w:space="0"/>
                  </w:tcBorders>
                  <w:noWrap w:val="0"/>
                  <w:vAlign w:val="center"/>
                </w:tcPr>
                <w:p w14:paraId="7A94AF31">
                  <w:pPr>
                    <w:pStyle w:val="114"/>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"http://dqmhj.china-fire.com/image/aqbz/tb11/4.gif"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drawing>
                      <wp:inline distT="0" distB="0" distL="114300" distR="114300">
                        <wp:extent cx="941705" cy="846455"/>
                        <wp:effectExtent l="0" t="0" r="10795" b="10795"/>
                        <wp:docPr id="9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2"/>
                                <pic:cNvPicPr>
                                  <a:picLocks noChangeAspect="1"/>
                                </pic:cNvPicPr>
                              </pic:nvPicPr>
                              <pic:blipFill>
                                <a:blip r:embed="rId27"/>
                                <a:stretch>
                                  <a:fillRect/>
                                </a:stretch>
                              </pic:blipFill>
                              <pic:spPr>
                                <a:xfrm>
                                  <a:off x="0" y="0"/>
                                  <a:ext cx="941705" cy="846455"/>
                                </a:xfrm>
                                <a:prstGeom prst="rect">
                                  <a:avLst/>
                                </a:prstGeom>
                                <a:noFill/>
                                <a:ln>
                                  <a:noFill/>
                                </a:ln>
                              </pic:spPr>
                            </pic:pic>
                          </a:graphicData>
                        </a:graphic>
                      </wp:inline>
                    </w:drawing>
                  </w:r>
                  <w:r>
                    <w:rPr>
                      <w:rFonts w:hint="default" w:ascii="Times New Roman" w:hAnsi="Times New Roman" w:eastAsia="宋体" w:cs="Times New Roman"/>
                      <w:color w:val="auto"/>
                      <w:sz w:val="21"/>
                      <w:szCs w:val="21"/>
                    </w:rPr>
                    <w:fldChar w:fldCharType="end"/>
                  </w:r>
                </w:p>
              </w:tc>
              <w:tc>
                <w:tcPr>
                  <w:tcW w:w="1098" w:type="pct"/>
                  <w:tcBorders>
                    <w:top w:val="single" w:color="auto" w:sz="4" w:space="0"/>
                    <w:left w:val="single" w:color="auto" w:sz="4" w:space="0"/>
                    <w:bottom w:val="single" w:color="auto" w:sz="4" w:space="0"/>
                    <w:right w:val="single" w:color="auto" w:sz="4" w:space="0"/>
                  </w:tcBorders>
                  <w:noWrap w:val="0"/>
                  <w:vAlign w:val="center"/>
                </w:tcPr>
                <w:p w14:paraId="405F3C3C">
                  <w:pPr>
                    <w:pStyle w:val="114"/>
                    <w:keepNext w:val="0"/>
                    <w:keepLines w:val="0"/>
                    <w:pageBreakBefore w:val="0"/>
                    <w:widowControl/>
                    <w:kinsoku/>
                    <w:wordWrap/>
                    <w:overflowPunct/>
                    <w:topLinePunct w:val="0"/>
                    <w:autoSpaceDE/>
                    <w:autoSpaceDN/>
                    <w:bidi w:val="0"/>
                    <w:adjustRightInd/>
                    <w:snapToGrid/>
                    <w:spacing w:before="0" w:after="0" w:line="240" w:lineRule="auto"/>
                    <w:ind w:right="0" w:rightChars="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废气排放口</w:t>
                  </w:r>
                </w:p>
              </w:tc>
              <w:tc>
                <w:tcPr>
                  <w:tcW w:w="1170" w:type="pct"/>
                  <w:tcBorders>
                    <w:top w:val="single" w:color="auto" w:sz="4" w:space="0"/>
                    <w:left w:val="single" w:color="auto" w:sz="4" w:space="0"/>
                    <w:bottom w:val="single" w:color="auto" w:sz="4" w:space="0"/>
                    <w:right w:val="single" w:color="auto" w:sz="4" w:space="0"/>
                  </w:tcBorders>
                  <w:noWrap w:val="0"/>
                  <w:vAlign w:val="center"/>
                </w:tcPr>
                <w:p w14:paraId="50644EFD">
                  <w:pPr>
                    <w:pStyle w:val="114"/>
                    <w:keepNext w:val="0"/>
                    <w:keepLines w:val="0"/>
                    <w:pageBreakBefore w:val="0"/>
                    <w:widowControl/>
                    <w:kinsoku/>
                    <w:wordWrap/>
                    <w:overflowPunct/>
                    <w:topLinePunct w:val="0"/>
                    <w:autoSpaceDE/>
                    <w:autoSpaceDN/>
                    <w:bidi w:val="0"/>
                    <w:adjustRightInd/>
                    <w:snapToGrid/>
                    <w:spacing w:before="0" w:after="0" w:line="240" w:lineRule="auto"/>
                    <w:ind w:right="0" w:rightChars="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表示废气向大气环境排放</w:t>
                  </w:r>
                </w:p>
              </w:tc>
            </w:tr>
            <w:tr w14:paraId="76D23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tcBorders>
                    <w:top w:val="single" w:color="auto" w:sz="4" w:space="0"/>
                    <w:left w:val="single" w:color="auto" w:sz="4" w:space="0"/>
                    <w:bottom w:val="single" w:color="auto" w:sz="4" w:space="0"/>
                    <w:right w:val="single" w:color="auto" w:sz="4" w:space="0"/>
                  </w:tcBorders>
                  <w:noWrap w:val="0"/>
                  <w:vAlign w:val="center"/>
                </w:tcPr>
                <w:p w14:paraId="43124060">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2</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493C51F4">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"http://www.jjj999.com/anquanbiaozhi/images/14001.gif"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"http://www.jjj999.com/anquanbiaozhi/images/14001.gif"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"http://www.jjj999.com/anquanbiaozhi/images/14001.gif"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"http://www.jjj999.com/anquanbiaozhi/images/14001.gif"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"http://www.jjj999.com/anquanbiaozhi/images/14001.gif"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drawing>
                      <wp:inline distT="0" distB="0" distL="114300" distR="114300">
                        <wp:extent cx="859790" cy="859790"/>
                        <wp:effectExtent l="0" t="0" r="16510" b="16510"/>
                        <wp:docPr id="9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3"/>
                                <pic:cNvPicPr>
                                  <a:picLocks noChangeAspect="1"/>
                                </pic:cNvPicPr>
                              </pic:nvPicPr>
                              <pic:blipFill>
                                <a:blip r:embed="rId28"/>
                                <a:stretch>
                                  <a:fillRect/>
                                </a:stretch>
                              </pic:blipFill>
                              <pic:spPr>
                                <a:xfrm>
                                  <a:off x="0" y="0"/>
                                  <a:ext cx="859790" cy="859790"/>
                                </a:xfrm>
                                <a:prstGeom prst="rect">
                                  <a:avLst/>
                                </a:prstGeom>
                                <a:noFill/>
                                <a:ln>
                                  <a:noFill/>
                                </a:ln>
                              </pic:spPr>
                            </pic:pic>
                          </a:graphicData>
                        </a:graphic>
                      </wp:inline>
                    </w:drawing>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tc>
              <w:tc>
                <w:tcPr>
                  <w:tcW w:w="1232" w:type="pct"/>
                  <w:tcBorders>
                    <w:top w:val="single" w:color="auto" w:sz="4" w:space="0"/>
                    <w:left w:val="single" w:color="auto" w:sz="4" w:space="0"/>
                    <w:bottom w:val="single" w:color="auto" w:sz="4" w:space="0"/>
                    <w:right w:val="single" w:color="auto" w:sz="4" w:space="0"/>
                  </w:tcBorders>
                  <w:noWrap w:val="0"/>
                  <w:vAlign w:val="center"/>
                </w:tcPr>
                <w:p w14:paraId="35621556">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"http://www.jjj999.com/anquanbiaozhi/images/14002.gif"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"http://www.jjj999.com/anquanbiaozhi/images/14002.gif"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"http://www.jjj999.com/anquanbiaozhi/images/14002.gif"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"http://www.jjj999.com/anquanbiaozhi/images/14002.gif"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fldChar w:fldCharType="begin"/>
                  </w:r>
                  <w:r>
                    <w:rPr>
                      <w:rFonts w:hint="default" w:ascii="Times New Roman" w:hAnsi="Times New Roman" w:eastAsia="宋体" w:cs="Times New Roman"/>
                      <w:color w:val="auto"/>
                      <w:sz w:val="21"/>
                      <w:szCs w:val="21"/>
                    </w:rPr>
                    <w:instrText xml:space="preserve"> INCLUDEPICTURE  "http://www.jjj999.com/anquanbiaozhi/images/14002.gif" \* MERGEFORMATINET </w:instrText>
                  </w:r>
                  <w:r>
                    <w:rPr>
                      <w:rFonts w:hint="default" w:ascii="Times New Roman" w:hAnsi="Times New Roman" w:eastAsia="宋体" w:cs="Times New Roman"/>
                      <w:color w:val="auto"/>
                      <w:sz w:val="21"/>
                      <w:szCs w:val="21"/>
                    </w:rPr>
                    <w:fldChar w:fldCharType="separate"/>
                  </w:r>
                  <w:r>
                    <w:rPr>
                      <w:rFonts w:hint="default" w:ascii="Times New Roman" w:hAnsi="Times New Roman" w:eastAsia="宋体" w:cs="Times New Roman"/>
                      <w:color w:val="auto"/>
                      <w:sz w:val="21"/>
                      <w:szCs w:val="21"/>
                    </w:rPr>
                    <w:drawing>
                      <wp:inline distT="0" distB="0" distL="114300" distR="114300">
                        <wp:extent cx="969010" cy="859790"/>
                        <wp:effectExtent l="0" t="0" r="2540" b="16510"/>
                        <wp:docPr id="10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4"/>
                                <pic:cNvPicPr>
                                  <a:picLocks noChangeAspect="1"/>
                                </pic:cNvPicPr>
                              </pic:nvPicPr>
                              <pic:blipFill>
                                <a:blip r:embed="rId29"/>
                                <a:stretch>
                                  <a:fillRect/>
                                </a:stretch>
                              </pic:blipFill>
                              <pic:spPr>
                                <a:xfrm>
                                  <a:off x="0" y="0"/>
                                  <a:ext cx="969010" cy="859790"/>
                                </a:xfrm>
                                <a:prstGeom prst="rect">
                                  <a:avLst/>
                                </a:prstGeom>
                                <a:noFill/>
                                <a:ln>
                                  <a:noFill/>
                                </a:ln>
                              </pic:spPr>
                            </pic:pic>
                          </a:graphicData>
                        </a:graphic>
                      </wp:inline>
                    </w:drawing>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r>
                    <w:rPr>
                      <w:rFonts w:hint="default" w:ascii="Times New Roman" w:hAnsi="Times New Roman" w:eastAsia="宋体" w:cs="Times New Roman"/>
                      <w:color w:val="auto"/>
                      <w:sz w:val="21"/>
                      <w:szCs w:val="21"/>
                    </w:rPr>
                    <w:fldChar w:fldCharType="end"/>
                  </w:r>
                </w:p>
              </w:tc>
              <w:tc>
                <w:tcPr>
                  <w:tcW w:w="1098" w:type="pct"/>
                  <w:tcBorders>
                    <w:top w:val="single" w:color="auto" w:sz="4" w:space="0"/>
                    <w:left w:val="single" w:color="auto" w:sz="4" w:space="0"/>
                    <w:bottom w:val="single" w:color="auto" w:sz="4" w:space="0"/>
                    <w:right w:val="single" w:color="auto" w:sz="4" w:space="0"/>
                  </w:tcBorders>
                  <w:noWrap w:val="0"/>
                  <w:vAlign w:val="center"/>
                </w:tcPr>
                <w:p w14:paraId="3E734CBC">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一般固体废物</w:t>
                  </w:r>
                </w:p>
              </w:tc>
              <w:tc>
                <w:tcPr>
                  <w:tcW w:w="1170" w:type="pct"/>
                  <w:tcBorders>
                    <w:top w:val="single" w:color="auto" w:sz="4" w:space="0"/>
                    <w:left w:val="single" w:color="auto" w:sz="4" w:space="0"/>
                    <w:bottom w:val="single" w:color="auto" w:sz="4" w:space="0"/>
                    <w:right w:val="single" w:color="auto" w:sz="4" w:space="0"/>
                  </w:tcBorders>
                  <w:noWrap w:val="0"/>
                  <w:vAlign w:val="center"/>
                </w:tcPr>
                <w:p w14:paraId="28EB1157">
                  <w:pPr>
                    <w:pStyle w:val="114"/>
                    <w:keepNext w:val="0"/>
                    <w:keepLines w:val="0"/>
                    <w:pageBreakBefore w:val="0"/>
                    <w:widowControl/>
                    <w:kinsoku/>
                    <w:wordWrap/>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表示一般固体废物贮存、处置场</w:t>
                  </w:r>
                </w:p>
              </w:tc>
            </w:tr>
            <w:tr w14:paraId="1672C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377" w:type="pct"/>
                  <w:tcBorders>
                    <w:top w:val="single" w:color="auto" w:sz="4" w:space="0"/>
                    <w:left w:val="single" w:color="auto" w:sz="4" w:space="0"/>
                    <w:bottom w:val="single" w:color="auto" w:sz="4" w:space="0"/>
                    <w:right w:val="single" w:color="auto" w:sz="4" w:space="0"/>
                  </w:tcBorders>
                  <w:noWrap w:val="0"/>
                  <w:vAlign w:val="center"/>
                </w:tcPr>
                <w:p w14:paraId="3D1C2974">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3</w:t>
                  </w:r>
                </w:p>
              </w:tc>
              <w:tc>
                <w:tcPr>
                  <w:tcW w:w="1119" w:type="pct"/>
                  <w:tcBorders>
                    <w:top w:val="single" w:color="auto" w:sz="4" w:space="0"/>
                    <w:left w:val="single" w:color="auto" w:sz="4" w:space="0"/>
                    <w:bottom w:val="single" w:color="auto" w:sz="4" w:space="0"/>
                    <w:right w:val="single" w:color="auto" w:sz="4" w:space="0"/>
                  </w:tcBorders>
                  <w:noWrap w:val="0"/>
                  <w:vAlign w:val="center"/>
                </w:tcPr>
                <w:p w14:paraId="393BBAF2">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857250" cy="857250"/>
                        <wp:effectExtent l="0" t="0" r="0" b="0"/>
                        <wp:docPr id="101" name="图片 15" descr="mark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5" descr="mark_3"/>
                                <pic:cNvPicPr>
                                  <a:picLocks noChangeAspect="1"/>
                                </pic:cNvPicPr>
                              </pic:nvPicPr>
                              <pic:blipFill>
                                <a:blip r:embed="rId30"/>
                                <a:stretch>
                                  <a:fillRect/>
                                </a:stretch>
                              </pic:blipFill>
                              <pic:spPr>
                                <a:xfrm>
                                  <a:off x="0" y="0"/>
                                  <a:ext cx="857250" cy="857250"/>
                                </a:xfrm>
                                <a:prstGeom prst="rect">
                                  <a:avLst/>
                                </a:prstGeom>
                                <a:noFill/>
                                <a:ln>
                                  <a:noFill/>
                                </a:ln>
                              </pic:spPr>
                            </pic:pic>
                          </a:graphicData>
                        </a:graphic>
                      </wp:inline>
                    </w:drawing>
                  </w:r>
                </w:p>
              </w:tc>
              <w:tc>
                <w:tcPr>
                  <w:tcW w:w="1232" w:type="pct"/>
                  <w:tcBorders>
                    <w:top w:val="single" w:color="auto" w:sz="4" w:space="0"/>
                    <w:left w:val="single" w:color="auto" w:sz="4" w:space="0"/>
                    <w:bottom w:val="single" w:color="auto" w:sz="4" w:space="0"/>
                    <w:right w:val="single" w:color="auto" w:sz="4" w:space="0"/>
                  </w:tcBorders>
                  <w:noWrap w:val="0"/>
                  <w:vAlign w:val="center"/>
                </w:tcPr>
                <w:p w14:paraId="123BD54F">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drawing>
                      <wp:inline distT="0" distB="0" distL="114300" distR="114300">
                        <wp:extent cx="962025" cy="847725"/>
                        <wp:effectExtent l="0" t="0" r="9525" b="9525"/>
                        <wp:docPr id="102" name="图片 16" descr="mark_j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6" descr="mark_j3"/>
                                <pic:cNvPicPr>
                                  <a:picLocks noChangeAspect="1"/>
                                </pic:cNvPicPr>
                              </pic:nvPicPr>
                              <pic:blipFill>
                                <a:blip r:embed="rId31"/>
                                <a:stretch>
                                  <a:fillRect/>
                                </a:stretch>
                              </pic:blipFill>
                              <pic:spPr>
                                <a:xfrm>
                                  <a:off x="0" y="0"/>
                                  <a:ext cx="962025" cy="847725"/>
                                </a:xfrm>
                                <a:prstGeom prst="rect">
                                  <a:avLst/>
                                </a:prstGeom>
                                <a:noFill/>
                                <a:ln>
                                  <a:noFill/>
                                </a:ln>
                              </pic:spPr>
                            </pic:pic>
                          </a:graphicData>
                        </a:graphic>
                      </wp:inline>
                    </w:drawing>
                  </w:r>
                </w:p>
              </w:tc>
              <w:tc>
                <w:tcPr>
                  <w:tcW w:w="1098" w:type="pct"/>
                  <w:tcBorders>
                    <w:top w:val="single" w:color="auto" w:sz="4" w:space="0"/>
                    <w:left w:val="single" w:color="auto" w:sz="4" w:space="0"/>
                    <w:bottom w:val="single" w:color="auto" w:sz="4" w:space="0"/>
                    <w:right w:val="single" w:color="auto" w:sz="4" w:space="0"/>
                  </w:tcBorders>
                  <w:noWrap w:val="0"/>
                  <w:vAlign w:val="center"/>
                </w:tcPr>
                <w:p w14:paraId="6E5D297F">
                  <w:pPr>
                    <w:pStyle w:val="114"/>
                    <w:keepNext w:val="0"/>
                    <w:keepLines w:val="0"/>
                    <w:pageBreakBefore w:val="0"/>
                    <w:widowControl/>
                    <w:kinsoku/>
                    <w:wordWrap/>
                    <w:overflowPunct/>
                    <w:topLinePunct w:val="0"/>
                    <w:autoSpaceDE/>
                    <w:autoSpaceDN/>
                    <w:bidi w:val="0"/>
                    <w:adjustRightInd/>
                    <w:snapToGrid/>
                    <w:spacing w:before="0" w:after="0" w:line="240" w:lineRule="auto"/>
                    <w:ind w:right="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噪声排放源</w:t>
                  </w:r>
                </w:p>
              </w:tc>
              <w:tc>
                <w:tcPr>
                  <w:tcW w:w="1170" w:type="pct"/>
                  <w:tcBorders>
                    <w:top w:val="single" w:color="auto" w:sz="4" w:space="0"/>
                    <w:left w:val="single" w:color="auto" w:sz="4" w:space="0"/>
                    <w:bottom w:val="single" w:color="auto" w:sz="4" w:space="0"/>
                    <w:right w:val="single" w:color="auto" w:sz="4" w:space="0"/>
                  </w:tcBorders>
                  <w:noWrap w:val="0"/>
                  <w:vAlign w:val="center"/>
                </w:tcPr>
                <w:p w14:paraId="3662EB48">
                  <w:pPr>
                    <w:pStyle w:val="114"/>
                    <w:keepNext w:val="0"/>
                    <w:keepLines w:val="0"/>
                    <w:pageBreakBefore w:val="0"/>
                    <w:widowControl/>
                    <w:kinsoku/>
                    <w:wordWrap/>
                    <w:overflowPunct/>
                    <w:topLinePunct w:val="0"/>
                    <w:autoSpaceDE/>
                    <w:autoSpaceDN/>
                    <w:bidi w:val="0"/>
                    <w:adjustRightInd/>
                    <w:snapToGrid/>
                    <w:spacing w:before="0" w:after="0" w:line="240" w:lineRule="auto"/>
                    <w:ind w:right="0"/>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表示噪声向外环境排放</w:t>
                  </w:r>
                </w:p>
              </w:tc>
            </w:tr>
          </w:tbl>
          <w:p w14:paraId="310400A1">
            <w:pPr>
              <w:keepNext w:val="0"/>
              <w:keepLines w:val="0"/>
              <w:pageBreakBefore w:val="0"/>
              <w:widowControl/>
              <w:suppressLineNumbers w:val="0"/>
              <w:kinsoku/>
              <w:wordWrap/>
              <w:overflowPunct/>
              <w:topLinePunct w:val="0"/>
              <w:autoSpaceDE/>
              <w:autoSpaceDN/>
              <w:bidi w:val="0"/>
              <w:adjustRightInd/>
              <w:snapToGrid/>
              <w:spacing w:line="360" w:lineRule="auto"/>
              <w:ind w:firstLine="422" w:firstLineChars="200"/>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b/>
                <w:bCs/>
                <w:color w:val="auto"/>
                <w:kern w:val="0"/>
                <w:sz w:val="21"/>
                <w:szCs w:val="21"/>
                <w:lang w:val="en-US" w:eastAsia="zh-CN" w:bidi="ar"/>
              </w:rPr>
              <w:t xml:space="preserve">2、竣工环境保护验收 </w:t>
            </w:r>
          </w:p>
          <w:p w14:paraId="2CE75520">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根据《建设项目竣工环境保护验收暂行办法》有关要求，建设项目竣工后，建设单位应当如实查验、记载建设项目环境保护设施的建设和调试情况，编制验收监测（调查）报告。向主管部门申请竣工环境保护验收，验收程序如下：</w:t>
            </w:r>
          </w:p>
          <w:p w14:paraId="56EA8E45">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（1）开展验收监测，编制验收监测报告。建设项目竣工后，建设单位应当如实查验、监测、记载项目</w:t>
            </w:r>
            <w:r>
              <w:rPr>
                <w:rFonts w:hint="eastAsia" w:ascii="Times New Roman" w:hAnsi="Times New Roman" w:eastAsia="宋体" w:cs="Times New Roman"/>
                <w:color w:val="auto"/>
                <w:kern w:val="0"/>
                <w:sz w:val="21"/>
                <w:szCs w:val="21"/>
                <w:lang w:val="en-US" w:eastAsia="zh-CN" w:bidi="ar"/>
              </w:rPr>
              <w:t>环保</w:t>
            </w:r>
            <w:r>
              <w:rPr>
                <w:rFonts w:hint="default" w:ascii="Times New Roman" w:hAnsi="Times New Roman" w:eastAsia="宋体" w:cs="Times New Roman"/>
                <w:color w:val="auto"/>
                <w:kern w:val="0"/>
                <w:sz w:val="21"/>
                <w:szCs w:val="21"/>
                <w:lang w:val="en-US" w:eastAsia="zh-CN" w:bidi="ar"/>
              </w:rPr>
              <w:t>设施的建设和调试情况，开展验收监测。</w:t>
            </w:r>
          </w:p>
          <w:p w14:paraId="315D4119">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（2）组织验收，提出验收意见。验收监测报告编制完成后，建设单位应当根据验收监测报告结论，逐一检查是否</w:t>
            </w:r>
            <w:r>
              <w:rPr>
                <w:rFonts w:hint="eastAsia" w:ascii="Times New Roman" w:hAnsi="Times New Roman" w:eastAsia="宋体" w:cs="Times New Roman"/>
                <w:color w:val="auto"/>
                <w:kern w:val="0"/>
                <w:sz w:val="21"/>
                <w:szCs w:val="21"/>
                <w:lang w:val="en-US" w:eastAsia="zh-CN" w:bidi="ar"/>
              </w:rPr>
              <w:t>存在</w:t>
            </w:r>
            <w:r>
              <w:rPr>
                <w:rFonts w:hint="default" w:ascii="Times New Roman" w:hAnsi="Times New Roman" w:eastAsia="宋体" w:cs="Times New Roman"/>
                <w:color w:val="auto"/>
                <w:kern w:val="0"/>
                <w:sz w:val="21"/>
                <w:szCs w:val="21"/>
                <w:lang w:val="en-US" w:eastAsia="zh-CN" w:bidi="ar"/>
              </w:rPr>
              <w:t>验收不合格的情形。存在问题的，建设单位应当进行整改，整改完成后方可组织验收，提出验收意见，并形成验收报告。编制环境影响报告书的建设项目，由建设单位组织设计单位、施工单位、环境影响报告编制机构、验收监测报告编制机构等单位代表及专业技术专家组成验收工作组，采取现场检查、资料审阅、召开验收会议等方式开展验收；编制环境影响报告表的建设项目，由建设单位组织本单位负责环境保护设施建设、运行的有关人员组成验收工作组，开展验收工作。</w:t>
            </w:r>
          </w:p>
          <w:p w14:paraId="0D4536ED">
            <w:pPr>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kern w:val="0"/>
                <w:sz w:val="21"/>
                <w:szCs w:val="21"/>
                <w:lang w:val="en-US" w:eastAsia="zh-CN" w:bidi="ar"/>
              </w:rPr>
              <w:t>（3）公开验收报告。建设单位应当在验收报告编制完成后5个工作日内，通过其网站或当地新闻媒体，公开验收报告，公示的期限不得少于20个工作日。同时，向项目所在地和项目环境影响报告审批的环保部门报送相关信息，并接受监督检查。</w:t>
            </w:r>
          </w:p>
          <w:p w14:paraId="78649549">
            <w:pPr>
              <w:ind w:firstLine="420" w:firstLineChars="200"/>
              <w:jc w:val="left"/>
              <w:rPr>
                <w:color w:val="auto"/>
                <w:sz w:val="20"/>
              </w:rPr>
            </w:pPr>
            <w:r>
              <w:rPr>
                <w:rFonts w:hint="default" w:ascii="Times New Roman" w:hAnsi="Times New Roman" w:eastAsia="宋体" w:cs="Times New Roman"/>
                <w:color w:val="auto"/>
                <w:kern w:val="0"/>
                <w:sz w:val="21"/>
                <w:szCs w:val="21"/>
                <w:lang w:val="en-US" w:eastAsia="zh-CN" w:bidi="ar"/>
              </w:rPr>
              <w:t>（4）登录全国建设项目竣工环境保护验收信息平台。建设单位应当在验收报告公示期满后5个工作日内，登录全国建设项目竣工环境保护验收信息平台，填报建设项目基本信息、环境保护设施验收情况等相关信息，环境保护主管部门对上述信息予以公开</w:t>
            </w:r>
            <w:r>
              <w:rPr>
                <w:rFonts w:hint="eastAsia" w:ascii="Times New Roman" w:hAnsi="Times New Roman" w:eastAsia="宋体" w:cs="Times New Roman"/>
                <w:color w:val="auto"/>
                <w:kern w:val="0"/>
                <w:sz w:val="21"/>
                <w:szCs w:val="21"/>
                <w:lang w:val="en-US" w:eastAsia="zh-CN" w:bidi="ar"/>
              </w:rPr>
              <w:t>。</w:t>
            </w:r>
          </w:p>
          <w:p w14:paraId="35661DFD">
            <w:pPr>
              <w:ind w:firstLine="400" w:firstLineChars="200"/>
              <w:jc w:val="left"/>
              <w:rPr>
                <w:color w:val="auto"/>
                <w:sz w:val="20"/>
              </w:rPr>
            </w:pPr>
          </w:p>
          <w:p w14:paraId="372C87E2">
            <w:pPr>
              <w:spacing w:line="360" w:lineRule="auto"/>
              <w:ind w:firstLine="400" w:firstLineChars="200"/>
              <w:jc w:val="left"/>
              <w:rPr>
                <w:color w:val="auto"/>
                <w:sz w:val="20"/>
              </w:rPr>
            </w:pPr>
          </w:p>
          <w:p w14:paraId="0D76D581">
            <w:pPr>
              <w:spacing w:line="360" w:lineRule="auto"/>
              <w:ind w:firstLine="400" w:firstLineChars="200"/>
              <w:jc w:val="left"/>
              <w:rPr>
                <w:color w:val="auto"/>
                <w:sz w:val="20"/>
              </w:rPr>
            </w:pPr>
          </w:p>
        </w:tc>
      </w:tr>
    </w:tbl>
    <w:p w14:paraId="51C64668">
      <w:pPr>
        <w:rPr>
          <w:rFonts w:hint="eastAsia" w:eastAsia="黑体"/>
          <w:b/>
          <w:bCs/>
          <w:color w:val="auto"/>
          <w:sz w:val="30"/>
          <w:szCs w:val="24"/>
        </w:rPr>
      </w:pPr>
      <w:r>
        <w:rPr>
          <w:rFonts w:hint="eastAsia" w:eastAsia="黑体"/>
          <w:b/>
          <w:bCs/>
          <w:color w:val="auto"/>
          <w:sz w:val="30"/>
          <w:szCs w:val="24"/>
        </w:rPr>
        <w:br w:type="page"/>
      </w:r>
    </w:p>
    <w:p w14:paraId="261655B8">
      <w:pPr>
        <w:spacing w:line="360" w:lineRule="auto"/>
        <w:jc w:val="center"/>
        <w:outlineLvl w:val="0"/>
        <w:rPr>
          <w:rFonts w:eastAsia="黑体"/>
          <w:b/>
          <w:bCs/>
          <w:color w:val="auto"/>
          <w:sz w:val="30"/>
          <w:szCs w:val="24"/>
        </w:rPr>
      </w:pPr>
      <w:bookmarkStart w:id="24" w:name="_Toc29595"/>
      <w:r>
        <w:rPr>
          <w:rFonts w:hint="eastAsia" w:eastAsia="黑体"/>
          <w:b/>
          <w:bCs/>
          <w:color w:val="auto"/>
          <w:sz w:val="30"/>
          <w:szCs w:val="24"/>
        </w:rPr>
        <w:t>六、结论</w:t>
      </w:r>
      <w:bookmarkEnd w:id="24"/>
    </w:p>
    <w:tbl>
      <w:tblPr>
        <w:tblStyle w:val="4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347C2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14:paraId="7886D69F">
            <w:pPr>
              <w:spacing w:line="360" w:lineRule="auto"/>
              <w:ind w:firstLine="480" w:firstLineChars="200"/>
              <w:rPr>
                <w:bCs/>
                <w:color w:val="auto"/>
                <w:sz w:val="24"/>
              </w:rPr>
            </w:pPr>
          </w:p>
          <w:p w14:paraId="577E8E80">
            <w:pPr>
              <w:spacing w:line="360" w:lineRule="auto"/>
              <w:ind w:firstLine="480" w:firstLineChars="200"/>
              <w:rPr>
                <w:bCs/>
                <w:color w:val="auto"/>
                <w:sz w:val="24"/>
              </w:rPr>
            </w:pPr>
          </w:p>
          <w:p w14:paraId="516920BC">
            <w:pPr>
              <w:spacing w:line="360" w:lineRule="auto"/>
              <w:ind w:firstLine="480" w:firstLineChars="200"/>
              <w:rPr>
                <w:bCs/>
                <w:color w:val="auto"/>
                <w:sz w:val="24"/>
                <w:szCs w:val="24"/>
              </w:rPr>
            </w:pPr>
            <w:r>
              <w:rPr>
                <w:bCs/>
                <w:color w:val="auto"/>
                <w:sz w:val="24"/>
              </w:rPr>
              <w:t>项目的建设单位在切实落实各项污染防治措施，严格执行国家和地方各项环保法律、法规和标准的前提下，从环境影响角度分析，</w:t>
            </w:r>
            <w:r>
              <w:rPr>
                <w:rFonts w:hint="eastAsia"/>
                <w:color w:val="auto"/>
                <w:spacing w:val="-1"/>
                <w:kern w:val="0"/>
                <w:sz w:val="24"/>
                <w:lang w:eastAsia="zh-CN"/>
              </w:rPr>
              <w:t>淮南市三好米业有限公司年产</w:t>
            </w:r>
            <w:r>
              <w:rPr>
                <w:rFonts w:hint="eastAsia"/>
                <w:color w:val="auto"/>
                <w:spacing w:val="-1"/>
                <w:kern w:val="0"/>
                <w:sz w:val="24"/>
                <w:lang w:val="en-US" w:eastAsia="zh-CN"/>
              </w:rPr>
              <w:t>6万吨优质大米</w:t>
            </w:r>
            <w:r>
              <w:rPr>
                <w:rFonts w:hint="eastAsia"/>
                <w:color w:val="auto"/>
                <w:spacing w:val="-1"/>
                <w:kern w:val="0"/>
                <w:sz w:val="24"/>
                <w:lang w:eastAsia="zh-CN"/>
              </w:rPr>
              <w:t>项目</w:t>
            </w:r>
            <w:r>
              <w:rPr>
                <w:bCs/>
                <w:color w:val="auto"/>
                <w:sz w:val="24"/>
              </w:rPr>
              <w:t>的建设可行。</w:t>
            </w:r>
          </w:p>
          <w:p w14:paraId="2A34E4D9">
            <w:pPr>
              <w:spacing w:line="360" w:lineRule="auto"/>
              <w:ind w:firstLine="482" w:firstLineChars="200"/>
              <w:rPr>
                <w:rFonts w:eastAsia="黑体"/>
                <w:b/>
                <w:bCs/>
                <w:color w:val="auto"/>
                <w:sz w:val="24"/>
                <w:szCs w:val="24"/>
              </w:rPr>
            </w:pPr>
          </w:p>
          <w:p w14:paraId="26185501">
            <w:pPr>
              <w:spacing w:line="360" w:lineRule="auto"/>
              <w:ind w:firstLine="482" w:firstLineChars="200"/>
              <w:rPr>
                <w:rFonts w:eastAsia="黑体"/>
                <w:b/>
                <w:bCs/>
                <w:color w:val="auto"/>
                <w:sz w:val="24"/>
                <w:szCs w:val="24"/>
              </w:rPr>
            </w:pPr>
          </w:p>
          <w:p w14:paraId="3FEA4B0E">
            <w:pPr>
              <w:spacing w:line="360" w:lineRule="auto"/>
              <w:ind w:firstLine="482" w:firstLineChars="200"/>
              <w:rPr>
                <w:rFonts w:eastAsia="黑体"/>
                <w:b/>
                <w:bCs/>
                <w:color w:val="auto"/>
                <w:sz w:val="24"/>
                <w:szCs w:val="24"/>
              </w:rPr>
            </w:pPr>
          </w:p>
          <w:p w14:paraId="31405DD7">
            <w:pPr>
              <w:spacing w:line="360" w:lineRule="auto"/>
              <w:ind w:firstLine="482" w:firstLineChars="200"/>
              <w:rPr>
                <w:rFonts w:eastAsia="黑体"/>
                <w:b/>
                <w:bCs/>
                <w:color w:val="auto"/>
                <w:sz w:val="24"/>
                <w:szCs w:val="24"/>
              </w:rPr>
            </w:pPr>
          </w:p>
          <w:p w14:paraId="1A898C7A">
            <w:pPr>
              <w:spacing w:line="360" w:lineRule="auto"/>
              <w:ind w:firstLine="482" w:firstLineChars="200"/>
              <w:rPr>
                <w:rFonts w:eastAsia="黑体"/>
                <w:b/>
                <w:bCs/>
                <w:color w:val="auto"/>
                <w:sz w:val="24"/>
                <w:szCs w:val="24"/>
              </w:rPr>
            </w:pPr>
          </w:p>
          <w:p w14:paraId="10A04B12">
            <w:pPr>
              <w:spacing w:line="360" w:lineRule="auto"/>
              <w:ind w:firstLine="482" w:firstLineChars="200"/>
              <w:rPr>
                <w:rFonts w:eastAsia="黑体"/>
                <w:b/>
                <w:bCs/>
                <w:color w:val="auto"/>
                <w:sz w:val="24"/>
                <w:szCs w:val="24"/>
              </w:rPr>
            </w:pPr>
          </w:p>
          <w:p w14:paraId="02DACC25">
            <w:pPr>
              <w:spacing w:line="360" w:lineRule="auto"/>
              <w:ind w:firstLine="482" w:firstLineChars="200"/>
              <w:rPr>
                <w:rFonts w:eastAsia="黑体"/>
                <w:b/>
                <w:bCs/>
                <w:color w:val="auto"/>
                <w:sz w:val="24"/>
                <w:szCs w:val="24"/>
              </w:rPr>
            </w:pPr>
          </w:p>
          <w:p w14:paraId="076B85ED">
            <w:pPr>
              <w:spacing w:line="360" w:lineRule="auto"/>
              <w:ind w:firstLine="482" w:firstLineChars="200"/>
              <w:rPr>
                <w:rFonts w:eastAsia="黑体"/>
                <w:b/>
                <w:bCs/>
                <w:color w:val="auto"/>
                <w:sz w:val="24"/>
                <w:szCs w:val="24"/>
              </w:rPr>
            </w:pPr>
          </w:p>
          <w:p w14:paraId="100ED5BD">
            <w:pPr>
              <w:spacing w:line="360" w:lineRule="auto"/>
              <w:ind w:firstLine="482" w:firstLineChars="200"/>
              <w:rPr>
                <w:rFonts w:eastAsia="黑体"/>
                <w:b/>
                <w:bCs/>
                <w:color w:val="auto"/>
                <w:sz w:val="24"/>
                <w:szCs w:val="24"/>
              </w:rPr>
            </w:pPr>
          </w:p>
          <w:p w14:paraId="66C6DA83">
            <w:pPr>
              <w:spacing w:line="360" w:lineRule="auto"/>
              <w:ind w:firstLine="482" w:firstLineChars="200"/>
              <w:rPr>
                <w:rFonts w:eastAsia="黑体"/>
                <w:b/>
                <w:bCs/>
                <w:color w:val="auto"/>
                <w:sz w:val="24"/>
                <w:szCs w:val="24"/>
              </w:rPr>
            </w:pPr>
          </w:p>
          <w:p w14:paraId="4954E78F">
            <w:pPr>
              <w:spacing w:line="360" w:lineRule="auto"/>
              <w:ind w:firstLine="482" w:firstLineChars="200"/>
              <w:rPr>
                <w:rFonts w:eastAsia="黑体"/>
                <w:b/>
                <w:bCs/>
                <w:color w:val="auto"/>
                <w:sz w:val="24"/>
                <w:szCs w:val="24"/>
              </w:rPr>
            </w:pPr>
          </w:p>
          <w:p w14:paraId="61CAF7BB">
            <w:pPr>
              <w:spacing w:line="360" w:lineRule="auto"/>
              <w:ind w:firstLine="482" w:firstLineChars="200"/>
              <w:rPr>
                <w:rFonts w:eastAsia="黑体"/>
                <w:b/>
                <w:bCs/>
                <w:color w:val="auto"/>
                <w:sz w:val="24"/>
                <w:szCs w:val="24"/>
              </w:rPr>
            </w:pPr>
          </w:p>
          <w:p w14:paraId="36BC4D5D">
            <w:pPr>
              <w:spacing w:line="360" w:lineRule="auto"/>
              <w:ind w:firstLine="482" w:firstLineChars="200"/>
              <w:rPr>
                <w:rFonts w:eastAsia="黑体"/>
                <w:b/>
                <w:bCs/>
                <w:color w:val="auto"/>
                <w:sz w:val="24"/>
                <w:szCs w:val="24"/>
              </w:rPr>
            </w:pPr>
          </w:p>
          <w:p w14:paraId="51FC0BA0">
            <w:pPr>
              <w:spacing w:line="360" w:lineRule="auto"/>
              <w:ind w:firstLine="482" w:firstLineChars="200"/>
              <w:rPr>
                <w:rFonts w:eastAsia="黑体"/>
                <w:b/>
                <w:bCs/>
                <w:color w:val="auto"/>
                <w:sz w:val="24"/>
                <w:szCs w:val="24"/>
              </w:rPr>
            </w:pPr>
          </w:p>
          <w:p w14:paraId="1AB4E67B">
            <w:pPr>
              <w:spacing w:line="360" w:lineRule="auto"/>
              <w:ind w:firstLine="482" w:firstLineChars="200"/>
              <w:rPr>
                <w:rFonts w:eastAsia="黑体"/>
                <w:b/>
                <w:bCs/>
                <w:color w:val="auto"/>
                <w:sz w:val="24"/>
                <w:szCs w:val="24"/>
              </w:rPr>
            </w:pPr>
          </w:p>
          <w:p w14:paraId="3871A531">
            <w:pPr>
              <w:spacing w:line="360" w:lineRule="auto"/>
              <w:ind w:firstLine="482" w:firstLineChars="200"/>
              <w:rPr>
                <w:rFonts w:eastAsia="黑体"/>
                <w:b/>
                <w:bCs/>
                <w:color w:val="auto"/>
                <w:sz w:val="24"/>
                <w:szCs w:val="24"/>
              </w:rPr>
            </w:pPr>
          </w:p>
          <w:p w14:paraId="26F9BB0D">
            <w:pPr>
              <w:spacing w:line="360" w:lineRule="auto"/>
              <w:ind w:firstLine="482" w:firstLineChars="200"/>
              <w:rPr>
                <w:rFonts w:eastAsia="黑体"/>
                <w:b/>
                <w:bCs/>
                <w:color w:val="auto"/>
                <w:sz w:val="24"/>
                <w:szCs w:val="24"/>
              </w:rPr>
            </w:pPr>
          </w:p>
          <w:p w14:paraId="036A77E0">
            <w:pPr>
              <w:spacing w:line="360" w:lineRule="auto"/>
              <w:ind w:firstLine="482" w:firstLineChars="200"/>
              <w:rPr>
                <w:rFonts w:eastAsia="黑体"/>
                <w:b/>
                <w:bCs/>
                <w:color w:val="auto"/>
                <w:sz w:val="24"/>
                <w:szCs w:val="24"/>
              </w:rPr>
            </w:pPr>
          </w:p>
          <w:p w14:paraId="27D5C670">
            <w:pPr>
              <w:spacing w:line="360" w:lineRule="auto"/>
              <w:ind w:firstLine="482" w:firstLineChars="200"/>
              <w:rPr>
                <w:rFonts w:eastAsia="黑体"/>
                <w:b/>
                <w:bCs/>
                <w:color w:val="auto"/>
                <w:sz w:val="24"/>
                <w:szCs w:val="24"/>
              </w:rPr>
            </w:pPr>
          </w:p>
          <w:p w14:paraId="6D72FB34">
            <w:pPr>
              <w:spacing w:line="360" w:lineRule="auto"/>
              <w:ind w:firstLine="482" w:firstLineChars="200"/>
              <w:rPr>
                <w:rFonts w:eastAsia="黑体"/>
                <w:b/>
                <w:bCs/>
                <w:color w:val="auto"/>
                <w:sz w:val="24"/>
                <w:szCs w:val="24"/>
              </w:rPr>
            </w:pPr>
          </w:p>
          <w:p w14:paraId="5B0087E2">
            <w:pPr>
              <w:spacing w:line="360" w:lineRule="auto"/>
              <w:ind w:firstLine="482" w:firstLineChars="200"/>
              <w:rPr>
                <w:rFonts w:eastAsia="黑体"/>
                <w:b/>
                <w:bCs/>
                <w:color w:val="auto"/>
                <w:sz w:val="24"/>
                <w:szCs w:val="24"/>
              </w:rPr>
            </w:pPr>
          </w:p>
          <w:p w14:paraId="34888E56">
            <w:pPr>
              <w:spacing w:line="360" w:lineRule="auto"/>
              <w:ind w:firstLine="482" w:firstLineChars="200"/>
              <w:rPr>
                <w:rFonts w:eastAsia="黑体"/>
                <w:b/>
                <w:bCs/>
                <w:color w:val="auto"/>
                <w:sz w:val="24"/>
                <w:szCs w:val="24"/>
              </w:rPr>
            </w:pPr>
          </w:p>
          <w:p w14:paraId="35CB5976">
            <w:pPr>
              <w:spacing w:line="360" w:lineRule="auto"/>
              <w:ind w:firstLine="482" w:firstLineChars="200"/>
              <w:rPr>
                <w:rFonts w:eastAsia="黑体"/>
                <w:b/>
                <w:bCs/>
                <w:color w:val="auto"/>
                <w:sz w:val="24"/>
                <w:szCs w:val="24"/>
              </w:rPr>
            </w:pPr>
          </w:p>
          <w:p w14:paraId="13D39D8A">
            <w:pPr>
              <w:spacing w:line="360" w:lineRule="auto"/>
              <w:ind w:firstLine="482" w:firstLineChars="200"/>
              <w:rPr>
                <w:rFonts w:eastAsia="黑体"/>
                <w:b/>
                <w:bCs/>
                <w:color w:val="auto"/>
                <w:sz w:val="24"/>
                <w:szCs w:val="24"/>
              </w:rPr>
            </w:pPr>
          </w:p>
          <w:p w14:paraId="3B184793">
            <w:pPr>
              <w:outlineLvl w:val="0"/>
              <w:rPr>
                <w:rFonts w:eastAsia="黑体"/>
                <w:b/>
                <w:bCs/>
                <w:color w:val="auto"/>
                <w:sz w:val="30"/>
                <w:szCs w:val="24"/>
              </w:rPr>
            </w:pPr>
          </w:p>
        </w:tc>
      </w:tr>
    </w:tbl>
    <w:p w14:paraId="17D238AC">
      <w:pPr>
        <w:outlineLvl w:val="0"/>
        <w:rPr>
          <w:rFonts w:eastAsia="黑体"/>
          <w:b/>
          <w:bCs/>
          <w:color w:val="auto"/>
          <w:sz w:val="30"/>
          <w:szCs w:val="24"/>
        </w:rPr>
        <w:sectPr>
          <w:pgSz w:w="11906" w:h="16838"/>
          <w:pgMar w:top="1418" w:right="1701" w:bottom="1418" w:left="1701" w:header="851" w:footer="992" w:gutter="0"/>
          <w:pgBorders>
            <w:top w:val="none" w:sz="0" w:space="0"/>
            <w:left w:val="none" w:sz="0" w:space="0"/>
            <w:bottom w:val="none" w:sz="0" w:space="0"/>
            <w:right w:val="none" w:sz="0" w:space="0"/>
          </w:pgBorders>
          <w:pgNumType w:fmt="decimal"/>
          <w:cols w:space="720" w:num="1"/>
          <w:docGrid w:linePitch="312" w:charSpace="0"/>
        </w:sectPr>
      </w:pPr>
    </w:p>
    <w:p w14:paraId="7E63D445">
      <w:pPr>
        <w:outlineLvl w:val="0"/>
        <w:rPr>
          <w:rFonts w:ascii="黑体" w:hAnsi="黑体" w:eastAsia="黑体"/>
          <w:b/>
          <w:color w:val="auto"/>
          <w:sz w:val="32"/>
          <w:szCs w:val="32"/>
        </w:rPr>
      </w:pPr>
      <w:bookmarkStart w:id="25" w:name="_Toc31040"/>
      <w:bookmarkStart w:id="26" w:name="_Toc71811566"/>
      <w:bookmarkStart w:id="27" w:name="_Toc67493955"/>
      <w:r>
        <w:rPr>
          <w:rFonts w:hint="eastAsia" w:ascii="黑体" w:hAnsi="黑体" w:eastAsia="黑体"/>
          <w:b/>
          <w:color w:val="auto"/>
          <w:sz w:val="32"/>
          <w:szCs w:val="32"/>
        </w:rPr>
        <w:t>附表</w:t>
      </w:r>
      <w:bookmarkEnd w:id="25"/>
      <w:bookmarkEnd w:id="26"/>
      <w:bookmarkEnd w:id="27"/>
    </w:p>
    <w:p w14:paraId="7AD4B9EE">
      <w:pPr>
        <w:widowControl/>
        <w:adjustRightInd w:val="0"/>
        <w:snapToGrid w:val="0"/>
        <w:spacing w:line="276" w:lineRule="auto"/>
        <w:jc w:val="center"/>
        <w:rPr>
          <w:rFonts w:ascii="方正小标宋_GBK" w:hAnsi="黑体" w:eastAsia="方正小标宋_GBK"/>
          <w:b/>
          <w:snapToGrid w:val="0"/>
          <w:color w:val="auto"/>
          <w:kern w:val="0"/>
          <w:sz w:val="38"/>
          <w:szCs w:val="38"/>
          <w:lang w:val="zh-CN"/>
        </w:rPr>
      </w:pPr>
      <w:r>
        <w:rPr>
          <w:rFonts w:hint="eastAsia" w:ascii="方正小标宋_GBK" w:hAnsi="黑体" w:eastAsia="方正小标宋_GBK"/>
          <w:b/>
          <w:snapToGrid w:val="0"/>
          <w:color w:val="auto"/>
          <w:kern w:val="0"/>
          <w:sz w:val="38"/>
          <w:szCs w:val="38"/>
          <w:lang w:val="zh-CN"/>
        </w:rPr>
        <w:t>建设项目污染物排放量汇总表</w:t>
      </w:r>
    </w:p>
    <w:tbl>
      <w:tblPr>
        <w:tblStyle w:val="45"/>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15"/>
        <w:gridCol w:w="1758"/>
        <w:gridCol w:w="1632"/>
        <w:gridCol w:w="1221"/>
        <w:gridCol w:w="1632"/>
        <w:gridCol w:w="1491"/>
        <w:gridCol w:w="1688"/>
        <w:gridCol w:w="1634"/>
        <w:gridCol w:w="1321"/>
      </w:tblGrid>
      <w:tr w14:paraId="1A64B1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13" w:type="pct"/>
            <w:tcBorders>
              <w:tl2br w:val="single" w:color="auto" w:sz="4" w:space="0"/>
            </w:tcBorders>
            <w:tcMar>
              <w:left w:w="28" w:type="dxa"/>
              <w:right w:w="28" w:type="dxa"/>
            </w:tcMar>
            <w:vAlign w:val="center"/>
          </w:tcPr>
          <w:p w14:paraId="0910EFFF">
            <w:pPr>
              <w:adjustRightInd w:val="0"/>
              <w:snapToGrid w:val="0"/>
              <w:jc w:val="right"/>
              <w:rPr>
                <w:b/>
                <w:snapToGrid w:val="0"/>
                <w:color w:val="auto"/>
                <w:spacing w:val="-6"/>
                <w:kern w:val="21"/>
                <w:szCs w:val="21"/>
              </w:rPr>
            </w:pPr>
            <w:r>
              <w:rPr>
                <w:rFonts w:hAnsi="宋体"/>
                <w:b/>
                <w:snapToGrid w:val="0"/>
                <w:color w:val="auto"/>
                <w:spacing w:val="-6"/>
                <w:kern w:val="21"/>
                <w:szCs w:val="21"/>
              </w:rPr>
              <w:t>项目</w:t>
            </w:r>
          </w:p>
          <w:p w14:paraId="69D3B9D0">
            <w:pPr>
              <w:adjustRightInd w:val="0"/>
              <w:snapToGrid w:val="0"/>
              <w:jc w:val="left"/>
              <w:rPr>
                <w:b/>
                <w:snapToGrid w:val="0"/>
                <w:color w:val="auto"/>
                <w:spacing w:val="-6"/>
                <w:kern w:val="21"/>
                <w:szCs w:val="21"/>
              </w:rPr>
            </w:pPr>
            <w:r>
              <w:rPr>
                <w:rFonts w:hAnsi="宋体"/>
                <w:b/>
                <w:snapToGrid w:val="0"/>
                <w:color w:val="auto"/>
                <w:spacing w:val="-6"/>
                <w:kern w:val="21"/>
                <w:szCs w:val="21"/>
              </w:rPr>
              <w:t>分类</w:t>
            </w:r>
          </w:p>
        </w:tc>
        <w:tc>
          <w:tcPr>
            <w:tcW w:w="651" w:type="pct"/>
            <w:tcMar>
              <w:left w:w="28" w:type="dxa"/>
              <w:right w:w="28" w:type="dxa"/>
            </w:tcMar>
            <w:vAlign w:val="center"/>
          </w:tcPr>
          <w:p w14:paraId="7A8C58E5">
            <w:pPr>
              <w:adjustRightInd w:val="0"/>
              <w:snapToGrid w:val="0"/>
              <w:jc w:val="center"/>
              <w:rPr>
                <w:b/>
                <w:snapToGrid w:val="0"/>
                <w:color w:val="auto"/>
                <w:kern w:val="21"/>
                <w:szCs w:val="21"/>
              </w:rPr>
            </w:pPr>
            <w:r>
              <w:rPr>
                <w:rFonts w:hAnsi="宋体"/>
                <w:b/>
                <w:snapToGrid w:val="0"/>
                <w:color w:val="auto"/>
                <w:kern w:val="21"/>
                <w:szCs w:val="21"/>
              </w:rPr>
              <w:t>污染物名称</w:t>
            </w:r>
          </w:p>
        </w:tc>
        <w:tc>
          <w:tcPr>
            <w:tcW w:w="604" w:type="pct"/>
            <w:tcMar>
              <w:left w:w="28" w:type="dxa"/>
              <w:right w:w="28" w:type="dxa"/>
            </w:tcMar>
            <w:vAlign w:val="center"/>
          </w:tcPr>
          <w:p w14:paraId="753B3E74">
            <w:pPr>
              <w:adjustRightInd w:val="0"/>
              <w:snapToGrid w:val="0"/>
              <w:jc w:val="center"/>
              <w:rPr>
                <w:b/>
                <w:snapToGrid w:val="0"/>
                <w:color w:val="auto"/>
                <w:kern w:val="21"/>
                <w:szCs w:val="21"/>
              </w:rPr>
            </w:pPr>
            <w:r>
              <w:rPr>
                <w:rFonts w:hAnsi="宋体"/>
                <w:b/>
                <w:snapToGrid w:val="0"/>
                <w:color w:val="auto"/>
                <w:kern w:val="21"/>
                <w:szCs w:val="21"/>
              </w:rPr>
              <w:t>现有工程</w:t>
            </w:r>
          </w:p>
          <w:p w14:paraId="7CD7CC51">
            <w:pPr>
              <w:adjustRightInd w:val="0"/>
              <w:snapToGrid w:val="0"/>
              <w:jc w:val="center"/>
              <w:rPr>
                <w:b/>
                <w:snapToGrid w:val="0"/>
                <w:color w:val="auto"/>
                <w:kern w:val="21"/>
                <w:szCs w:val="21"/>
              </w:rPr>
            </w:pPr>
            <w:r>
              <w:rPr>
                <w:rFonts w:hAnsi="宋体"/>
                <w:b/>
                <w:snapToGrid w:val="0"/>
                <w:color w:val="auto"/>
                <w:kern w:val="21"/>
                <w:szCs w:val="21"/>
              </w:rPr>
              <w:t>排放量（固体废物产生量）</w:t>
            </w:r>
            <w:r>
              <w:rPr>
                <w:b/>
                <w:snapToGrid w:val="0"/>
                <w:color w:val="auto"/>
                <w:kern w:val="21"/>
                <w:szCs w:val="21"/>
              </w:rPr>
              <w:fldChar w:fldCharType="begin"/>
            </w:r>
            <w:r>
              <w:rPr>
                <w:b/>
                <w:snapToGrid w:val="0"/>
                <w:color w:val="auto"/>
                <w:kern w:val="21"/>
                <w:szCs w:val="21"/>
              </w:rPr>
              <w:instrText xml:space="preserve"> = 1 \* GB3 \* MERGEFORMAT </w:instrText>
            </w:r>
            <w:r>
              <w:rPr>
                <w:b/>
                <w:snapToGrid w:val="0"/>
                <w:color w:val="auto"/>
                <w:kern w:val="21"/>
                <w:szCs w:val="21"/>
              </w:rPr>
              <w:fldChar w:fldCharType="separate"/>
            </w:r>
            <w:r>
              <w:rPr>
                <w:rFonts w:hAnsi="宋体"/>
                <w:b/>
                <w:color w:val="auto"/>
                <w:szCs w:val="21"/>
              </w:rPr>
              <w:t>①</w:t>
            </w:r>
            <w:r>
              <w:rPr>
                <w:b/>
                <w:snapToGrid w:val="0"/>
                <w:color w:val="auto"/>
                <w:kern w:val="21"/>
                <w:szCs w:val="21"/>
              </w:rPr>
              <w:fldChar w:fldCharType="end"/>
            </w:r>
          </w:p>
        </w:tc>
        <w:tc>
          <w:tcPr>
            <w:tcW w:w="452" w:type="pct"/>
            <w:tcMar>
              <w:left w:w="28" w:type="dxa"/>
              <w:right w:w="28" w:type="dxa"/>
            </w:tcMar>
            <w:vAlign w:val="center"/>
          </w:tcPr>
          <w:p w14:paraId="7DC63A14">
            <w:pPr>
              <w:adjustRightInd w:val="0"/>
              <w:snapToGrid w:val="0"/>
              <w:jc w:val="center"/>
              <w:rPr>
                <w:b/>
                <w:snapToGrid w:val="0"/>
                <w:color w:val="auto"/>
                <w:kern w:val="21"/>
                <w:szCs w:val="21"/>
              </w:rPr>
            </w:pPr>
            <w:r>
              <w:rPr>
                <w:rFonts w:hAnsi="宋体"/>
                <w:b/>
                <w:snapToGrid w:val="0"/>
                <w:color w:val="auto"/>
                <w:kern w:val="21"/>
                <w:szCs w:val="21"/>
              </w:rPr>
              <w:t>现有工程</w:t>
            </w:r>
          </w:p>
          <w:p w14:paraId="38AF1ECE">
            <w:pPr>
              <w:adjustRightInd w:val="0"/>
              <w:snapToGrid w:val="0"/>
              <w:jc w:val="center"/>
              <w:rPr>
                <w:b/>
                <w:snapToGrid w:val="0"/>
                <w:color w:val="auto"/>
                <w:kern w:val="21"/>
                <w:szCs w:val="21"/>
              </w:rPr>
            </w:pPr>
            <w:r>
              <w:rPr>
                <w:rFonts w:hAnsi="宋体"/>
                <w:b/>
                <w:snapToGrid w:val="0"/>
                <w:color w:val="auto"/>
                <w:kern w:val="21"/>
                <w:szCs w:val="21"/>
              </w:rPr>
              <w:t>许可排放量</w:t>
            </w:r>
          </w:p>
          <w:p w14:paraId="313DA352">
            <w:pPr>
              <w:adjustRightInd w:val="0"/>
              <w:snapToGrid w:val="0"/>
              <w:jc w:val="center"/>
              <w:rPr>
                <w:b/>
                <w:snapToGrid w:val="0"/>
                <w:color w:val="auto"/>
                <w:kern w:val="21"/>
                <w:szCs w:val="21"/>
              </w:rPr>
            </w:pPr>
            <w:r>
              <w:rPr>
                <w:b/>
                <w:snapToGrid w:val="0"/>
                <w:color w:val="auto"/>
                <w:kern w:val="21"/>
                <w:szCs w:val="21"/>
              </w:rPr>
              <w:fldChar w:fldCharType="begin"/>
            </w:r>
            <w:r>
              <w:rPr>
                <w:b/>
                <w:snapToGrid w:val="0"/>
                <w:color w:val="auto"/>
                <w:kern w:val="21"/>
                <w:szCs w:val="21"/>
              </w:rPr>
              <w:instrText xml:space="preserve"> = 2 \* GB3 \* MERGEFORMAT </w:instrText>
            </w:r>
            <w:r>
              <w:rPr>
                <w:b/>
                <w:snapToGrid w:val="0"/>
                <w:color w:val="auto"/>
                <w:kern w:val="21"/>
                <w:szCs w:val="21"/>
              </w:rPr>
              <w:fldChar w:fldCharType="separate"/>
            </w:r>
            <w:r>
              <w:rPr>
                <w:rFonts w:hAnsi="宋体"/>
                <w:b/>
                <w:snapToGrid w:val="0"/>
                <w:color w:val="auto"/>
                <w:kern w:val="21"/>
                <w:szCs w:val="21"/>
              </w:rPr>
              <w:t>②</w:t>
            </w:r>
            <w:r>
              <w:rPr>
                <w:b/>
                <w:snapToGrid w:val="0"/>
                <w:color w:val="auto"/>
                <w:kern w:val="21"/>
                <w:szCs w:val="21"/>
              </w:rPr>
              <w:fldChar w:fldCharType="end"/>
            </w:r>
          </w:p>
        </w:tc>
        <w:tc>
          <w:tcPr>
            <w:tcW w:w="604" w:type="pct"/>
            <w:tcMar>
              <w:left w:w="28" w:type="dxa"/>
              <w:right w:w="28" w:type="dxa"/>
            </w:tcMar>
            <w:vAlign w:val="center"/>
          </w:tcPr>
          <w:p w14:paraId="24AF5C81">
            <w:pPr>
              <w:adjustRightInd w:val="0"/>
              <w:snapToGrid w:val="0"/>
              <w:jc w:val="center"/>
              <w:rPr>
                <w:rFonts w:hAnsi="宋体"/>
                <w:b/>
                <w:snapToGrid w:val="0"/>
                <w:color w:val="auto"/>
                <w:kern w:val="21"/>
                <w:szCs w:val="21"/>
              </w:rPr>
            </w:pPr>
            <w:r>
              <w:rPr>
                <w:rFonts w:hAnsi="宋体"/>
                <w:b/>
                <w:snapToGrid w:val="0"/>
                <w:color w:val="auto"/>
                <w:kern w:val="21"/>
                <w:szCs w:val="21"/>
              </w:rPr>
              <w:t>在建工程</w:t>
            </w:r>
          </w:p>
          <w:p w14:paraId="767C80ED">
            <w:pPr>
              <w:adjustRightInd w:val="0"/>
              <w:snapToGrid w:val="0"/>
              <w:jc w:val="center"/>
              <w:rPr>
                <w:b/>
                <w:snapToGrid w:val="0"/>
                <w:color w:val="auto"/>
                <w:kern w:val="21"/>
                <w:szCs w:val="21"/>
              </w:rPr>
            </w:pPr>
            <w:r>
              <w:rPr>
                <w:rFonts w:hAnsi="宋体"/>
                <w:b/>
                <w:snapToGrid w:val="0"/>
                <w:color w:val="auto"/>
                <w:kern w:val="21"/>
                <w:szCs w:val="21"/>
              </w:rPr>
              <w:t>排放量（固体废物产生量）</w:t>
            </w:r>
            <w:r>
              <w:rPr>
                <w:b/>
                <w:snapToGrid w:val="0"/>
                <w:color w:val="auto"/>
                <w:kern w:val="21"/>
                <w:szCs w:val="21"/>
              </w:rPr>
              <w:fldChar w:fldCharType="begin"/>
            </w:r>
            <w:r>
              <w:rPr>
                <w:b/>
                <w:snapToGrid w:val="0"/>
                <w:color w:val="auto"/>
                <w:kern w:val="21"/>
                <w:szCs w:val="21"/>
              </w:rPr>
              <w:instrText xml:space="preserve"> = 3 \* GB3 \* MERGEFORMAT </w:instrText>
            </w:r>
            <w:r>
              <w:rPr>
                <w:b/>
                <w:snapToGrid w:val="0"/>
                <w:color w:val="auto"/>
                <w:kern w:val="21"/>
                <w:szCs w:val="21"/>
              </w:rPr>
              <w:fldChar w:fldCharType="separate"/>
            </w:r>
            <w:r>
              <w:rPr>
                <w:rFonts w:hAnsi="宋体"/>
                <w:b/>
                <w:color w:val="auto"/>
                <w:szCs w:val="21"/>
              </w:rPr>
              <w:t>③</w:t>
            </w:r>
            <w:r>
              <w:rPr>
                <w:b/>
                <w:snapToGrid w:val="0"/>
                <w:color w:val="auto"/>
                <w:kern w:val="21"/>
                <w:szCs w:val="21"/>
              </w:rPr>
              <w:fldChar w:fldCharType="end"/>
            </w:r>
          </w:p>
        </w:tc>
        <w:tc>
          <w:tcPr>
            <w:tcW w:w="552" w:type="pct"/>
            <w:tcMar>
              <w:left w:w="28" w:type="dxa"/>
              <w:right w:w="28" w:type="dxa"/>
            </w:tcMar>
            <w:vAlign w:val="center"/>
          </w:tcPr>
          <w:p w14:paraId="216AE98E">
            <w:pPr>
              <w:adjustRightInd w:val="0"/>
              <w:snapToGrid w:val="0"/>
              <w:jc w:val="center"/>
              <w:rPr>
                <w:rFonts w:hAnsi="宋体"/>
                <w:b/>
                <w:snapToGrid w:val="0"/>
                <w:color w:val="auto"/>
                <w:kern w:val="21"/>
                <w:szCs w:val="21"/>
              </w:rPr>
            </w:pPr>
            <w:r>
              <w:rPr>
                <w:rFonts w:hAnsi="宋体"/>
                <w:b/>
                <w:snapToGrid w:val="0"/>
                <w:color w:val="auto"/>
                <w:kern w:val="21"/>
                <w:szCs w:val="21"/>
              </w:rPr>
              <w:t>本项目</w:t>
            </w:r>
          </w:p>
          <w:p w14:paraId="1D8E9DF7">
            <w:pPr>
              <w:adjustRightInd w:val="0"/>
              <w:snapToGrid w:val="0"/>
              <w:jc w:val="center"/>
              <w:rPr>
                <w:b/>
                <w:snapToGrid w:val="0"/>
                <w:color w:val="auto"/>
                <w:kern w:val="21"/>
                <w:szCs w:val="21"/>
              </w:rPr>
            </w:pPr>
            <w:r>
              <w:rPr>
                <w:rFonts w:hAnsi="宋体"/>
                <w:b/>
                <w:snapToGrid w:val="0"/>
                <w:color w:val="auto"/>
                <w:kern w:val="21"/>
                <w:szCs w:val="21"/>
              </w:rPr>
              <w:t>排放量（固体废物产生量）</w:t>
            </w:r>
            <w:r>
              <w:rPr>
                <w:b/>
                <w:snapToGrid w:val="0"/>
                <w:color w:val="auto"/>
                <w:kern w:val="21"/>
                <w:szCs w:val="21"/>
              </w:rPr>
              <w:fldChar w:fldCharType="begin"/>
            </w:r>
            <w:r>
              <w:rPr>
                <w:b/>
                <w:snapToGrid w:val="0"/>
                <w:color w:val="auto"/>
                <w:kern w:val="21"/>
                <w:szCs w:val="21"/>
              </w:rPr>
              <w:instrText xml:space="preserve"> = 4 \* GB3 \* MERGEFORMAT </w:instrText>
            </w:r>
            <w:r>
              <w:rPr>
                <w:b/>
                <w:snapToGrid w:val="0"/>
                <w:color w:val="auto"/>
                <w:kern w:val="21"/>
                <w:szCs w:val="21"/>
              </w:rPr>
              <w:fldChar w:fldCharType="separate"/>
            </w:r>
            <w:r>
              <w:rPr>
                <w:rFonts w:hAnsi="宋体"/>
                <w:b/>
                <w:color w:val="auto"/>
                <w:szCs w:val="21"/>
              </w:rPr>
              <w:t>④</w:t>
            </w:r>
            <w:r>
              <w:rPr>
                <w:b/>
                <w:snapToGrid w:val="0"/>
                <w:color w:val="auto"/>
                <w:kern w:val="21"/>
                <w:szCs w:val="21"/>
              </w:rPr>
              <w:fldChar w:fldCharType="end"/>
            </w:r>
          </w:p>
        </w:tc>
        <w:tc>
          <w:tcPr>
            <w:tcW w:w="625" w:type="pct"/>
            <w:tcMar>
              <w:left w:w="28" w:type="dxa"/>
              <w:right w:w="28" w:type="dxa"/>
            </w:tcMar>
            <w:vAlign w:val="center"/>
          </w:tcPr>
          <w:p w14:paraId="034EDB1C">
            <w:pPr>
              <w:adjustRightInd w:val="0"/>
              <w:snapToGrid w:val="0"/>
              <w:jc w:val="center"/>
              <w:rPr>
                <w:b/>
                <w:snapToGrid w:val="0"/>
                <w:color w:val="auto"/>
                <w:kern w:val="21"/>
                <w:szCs w:val="21"/>
              </w:rPr>
            </w:pPr>
            <w:r>
              <w:rPr>
                <w:rFonts w:hAnsi="宋体"/>
                <w:b/>
                <w:snapToGrid w:val="0"/>
                <w:color w:val="auto"/>
                <w:kern w:val="21"/>
                <w:szCs w:val="21"/>
              </w:rPr>
              <w:t>以新带老削减量</w:t>
            </w:r>
          </w:p>
          <w:p w14:paraId="03387480">
            <w:pPr>
              <w:adjustRightInd w:val="0"/>
              <w:snapToGrid w:val="0"/>
              <w:jc w:val="center"/>
              <w:rPr>
                <w:b/>
                <w:snapToGrid w:val="0"/>
                <w:color w:val="auto"/>
                <w:kern w:val="21"/>
                <w:szCs w:val="21"/>
              </w:rPr>
            </w:pPr>
            <w:r>
              <w:rPr>
                <w:rFonts w:hAnsi="宋体"/>
                <w:b/>
                <w:snapToGrid w:val="0"/>
                <w:color w:val="auto"/>
                <w:kern w:val="21"/>
                <w:szCs w:val="21"/>
              </w:rPr>
              <w:t>（新建项目不填）</w:t>
            </w:r>
            <w:r>
              <w:rPr>
                <w:b/>
                <w:snapToGrid w:val="0"/>
                <w:color w:val="auto"/>
                <w:kern w:val="21"/>
                <w:szCs w:val="21"/>
              </w:rPr>
              <w:fldChar w:fldCharType="begin"/>
            </w:r>
            <w:r>
              <w:rPr>
                <w:b/>
                <w:snapToGrid w:val="0"/>
                <w:color w:val="auto"/>
                <w:kern w:val="21"/>
                <w:szCs w:val="21"/>
              </w:rPr>
              <w:instrText xml:space="preserve"> = 5 \* GB3 \* MERGEFORMAT </w:instrText>
            </w:r>
            <w:r>
              <w:rPr>
                <w:b/>
                <w:snapToGrid w:val="0"/>
                <w:color w:val="auto"/>
                <w:kern w:val="21"/>
                <w:szCs w:val="21"/>
              </w:rPr>
              <w:fldChar w:fldCharType="separate"/>
            </w:r>
            <w:r>
              <w:rPr>
                <w:rFonts w:hAnsi="宋体"/>
                <w:b/>
                <w:color w:val="auto"/>
                <w:szCs w:val="21"/>
              </w:rPr>
              <w:t>⑤</w:t>
            </w:r>
            <w:r>
              <w:rPr>
                <w:b/>
                <w:snapToGrid w:val="0"/>
                <w:color w:val="auto"/>
                <w:kern w:val="21"/>
                <w:szCs w:val="21"/>
              </w:rPr>
              <w:fldChar w:fldCharType="end"/>
            </w:r>
          </w:p>
        </w:tc>
        <w:tc>
          <w:tcPr>
            <w:tcW w:w="605" w:type="pct"/>
            <w:tcMar>
              <w:left w:w="28" w:type="dxa"/>
              <w:right w:w="28" w:type="dxa"/>
            </w:tcMar>
            <w:vAlign w:val="center"/>
          </w:tcPr>
          <w:p w14:paraId="27DA163D">
            <w:pPr>
              <w:adjustRightInd w:val="0"/>
              <w:snapToGrid w:val="0"/>
              <w:jc w:val="center"/>
              <w:rPr>
                <w:b/>
                <w:snapToGrid w:val="0"/>
                <w:color w:val="auto"/>
                <w:kern w:val="21"/>
                <w:szCs w:val="21"/>
              </w:rPr>
            </w:pPr>
            <w:r>
              <w:rPr>
                <w:rFonts w:hAnsi="宋体"/>
                <w:b/>
                <w:snapToGrid w:val="0"/>
                <w:color w:val="auto"/>
                <w:kern w:val="21"/>
                <w:szCs w:val="21"/>
              </w:rPr>
              <w:t>本项目建成后全厂排放量（固体废物产生量）</w:t>
            </w:r>
            <w:r>
              <w:rPr>
                <w:b/>
                <w:snapToGrid w:val="0"/>
                <w:color w:val="auto"/>
                <w:kern w:val="21"/>
                <w:szCs w:val="21"/>
              </w:rPr>
              <w:fldChar w:fldCharType="begin"/>
            </w:r>
            <w:r>
              <w:rPr>
                <w:b/>
                <w:snapToGrid w:val="0"/>
                <w:color w:val="auto"/>
                <w:kern w:val="21"/>
                <w:szCs w:val="21"/>
              </w:rPr>
              <w:instrText xml:space="preserve"> = 6 \* GB3 \* MERGEFORMAT </w:instrText>
            </w:r>
            <w:r>
              <w:rPr>
                <w:b/>
                <w:snapToGrid w:val="0"/>
                <w:color w:val="auto"/>
                <w:kern w:val="21"/>
                <w:szCs w:val="21"/>
              </w:rPr>
              <w:fldChar w:fldCharType="separate"/>
            </w:r>
            <w:r>
              <w:rPr>
                <w:rFonts w:hAnsi="宋体"/>
                <w:b/>
                <w:color w:val="auto"/>
                <w:szCs w:val="21"/>
              </w:rPr>
              <w:t>⑥</w:t>
            </w:r>
            <w:r>
              <w:rPr>
                <w:b/>
                <w:snapToGrid w:val="0"/>
                <w:color w:val="auto"/>
                <w:kern w:val="21"/>
                <w:szCs w:val="21"/>
              </w:rPr>
              <w:fldChar w:fldCharType="end"/>
            </w:r>
          </w:p>
        </w:tc>
        <w:tc>
          <w:tcPr>
            <w:tcW w:w="489" w:type="pct"/>
            <w:tcMar>
              <w:left w:w="28" w:type="dxa"/>
              <w:right w:w="28" w:type="dxa"/>
            </w:tcMar>
            <w:vAlign w:val="center"/>
          </w:tcPr>
          <w:p w14:paraId="7493F46D">
            <w:pPr>
              <w:adjustRightInd w:val="0"/>
              <w:snapToGrid w:val="0"/>
              <w:jc w:val="center"/>
              <w:rPr>
                <w:b/>
                <w:snapToGrid w:val="0"/>
                <w:color w:val="auto"/>
                <w:kern w:val="21"/>
                <w:szCs w:val="21"/>
              </w:rPr>
            </w:pPr>
            <w:r>
              <w:rPr>
                <w:rFonts w:hAnsi="宋体"/>
                <w:b/>
                <w:snapToGrid w:val="0"/>
                <w:color w:val="auto"/>
                <w:kern w:val="21"/>
                <w:szCs w:val="21"/>
              </w:rPr>
              <w:t>变化量</w:t>
            </w:r>
          </w:p>
          <w:p w14:paraId="6B14DCBA">
            <w:pPr>
              <w:adjustRightInd w:val="0"/>
              <w:snapToGrid w:val="0"/>
              <w:jc w:val="center"/>
              <w:rPr>
                <w:b/>
                <w:snapToGrid w:val="0"/>
                <w:color w:val="auto"/>
                <w:kern w:val="21"/>
                <w:szCs w:val="21"/>
              </w:rPr>
            </w:pPr>
            <w:r>
              <w:rPr>
                <w:b/>
                <w:snapToGrid w:val="0"/>
                <w:color w:val="auto"/>
                <w:kern w:val="21"/>
                <w:szCs w:val="21"/>
              </w:rPr>
              <w:fldChar w:fldCharType="begin"/>
            </w:r>
            <w:r>
              <w:rPr>
                <w:b/>
                <w:snapToGrid w:val="0"/>
                <w:color w:val="auto"/>
                <w:kern w:val="21"/>
                <w:szCs w:val="21"/>
              </w:rPr>
              <w:instrText xml:space="preserve"> = 7 \* GB3 \* MERGEFORMAT </w:instrText>
            </w:r>
            <w:r>
              <w:rPr>
                <w:b/>
                <w:snapToGrid w:val="0"/>
                <w:color w:val="auto"/>
                <w:kern w:val="21"/>
                <w:szCs w:val="21"/>
              </w:rPr>
              <w:fldChar w:fldCharType="separate"/>
            </w:r>
            <w:r>
              <w:rPr>
                <w:rFonts w:hAnsi="宋体"/>
                <w:b/>
                <w:color w:val="auto"/>
                <w:szCs w:val="21"/>
              </w:rPr>
              <w:t>⑦</w:t>
            </w:r>
            <w:r>
              <w:rPr>
                <w:b/>
                <w:snapToGrid w:val="0"/>
                <w:color w:val="auto"/>
                <w:kern w:val="21"/>
                <w:szCs w:val="21"/>
              </w:rPr>
              <w:fldChar w:fldCharType="end"/>
            </w:r>
          </w:p>
        </w:tc>
      </w:tr>
      <w:tr w14:paraId="22393B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13" w:type="pct"/>
            <w:vAlign w:val="center"/>
          </w:tcPr>
          <w:p w14:paraId="23F66A34">
            <w:pPr>
              <w:adjustRightInd w:val="0"/>
              <w:snapToGrid w:val="0"/>
              <w:jc w:val="center"/>
              <w:rPr>
                <w:snapToGrid w:val="0"/>
                <w:color w:val="auto"/>
                <w:kern w:val="21"/>
                <w:szCs w:val="21"/>
              </w:rPr>
            </w:pPr>
            <w:r>
              <w:rPr>
                <w:rFonts w:hAnsi="宋体"/>
                <w:snapToGrid w:val="0"/>
                <w:color w:val="auto"/>
                <w:kern w:val="21"/>
                <w:szCs w:val="21"/>
              </w:rPr>
              <w:t>废气</w:t>
            </w:r>
          </w:p>
        </w:tc>
        <w:tc>
          <w:tcPr>
            <w:tcW w:w="651" w:type="pct"/>
            <w:vAlign w:val="center"/>
          </w:tcPr>
          <w:p w14:paraId="3F54FFB1">
            <w:pPr>
              <w:adjustRightInd w:val="0"/>
              <w:jc w:val="center"/>
              <w:rPr>
                <w:snapToGrid w:val="0"/>
                <w:color w:val="auto"/>
                <w:kern w:val="21"/>
                <w:szCs w:val="21"/>
              </w:rPr>
            </w:pPr>
            <w:r>
              <w:rPr>
                <w:rFonts w:hint="eastAsia"/>
                <w:snapToGrid w:val="0"/>
                <w:color w:val="auto"/>
                <w:kern w:val="21"/>
                <w:szCs w:val="21"/>
              </w:rPr>
              <w:t>颗粒物</w:t>
            </w:r>
          </w:p>
        </w:tc>
        <w:tc>
          <w:tcPr>
            <w:tcW w:w="604" w:type="pct"/>
            <w:vAlign w:val="center"/>
          </w:tcPr>
          <w:p w14:paraId="3AE208FC">
            <w:pPr>
              <w:snapToGrid w:val="0"/>
              <w:jc w:val="center"/>
              <w:rPr>
                <w:snapToGrid w:val="0"/>
                <w:color w:val="auto"/>
                <w:kern w:val="21"/>
                <w:szCs w:val="21"/>
              </w:rPr>
            </w:pPr>
            <w:r>
              <w:rPr>
                <w:rFonts w:hint="eastAsia"/>
                <w:snapToGrid w:val="0"/>
                <w:color w:val="auto"/>
                <w:kern w:val="21"/>
                <w:szCs w:val="21"/>
              </w:rPr>
              <w:t>--</w:t>
            </w:r>
          </w:p>
        </w:tc>
        <w:tc>
          <w:tcPr>
            <w:tcW w:w="452" w:type="pct"/>
            <w:vAlign w:val="center"/>
          </w:tcPr>
          <w:p w14:paraId="0C7F83AB">
            <w:pPr>
              <w:snapToGrid w:val="0"/>
              <w:jc w:val="center"/>
              <w:rPr>
                <w:snapToGrid w:val="0"/>
                <w:color w:val="auto"/>
                <w:kern w:val="21"/>
                <w:szCs w:val="21"/>
              </w:rPr>
            </w:pPr>
            <w:r>
              <w:rPr>
                <w:rFonts w:hint="eastAsia"/>
                <w:snapToGrid w:val="0"/>
                <w:color w:val="auto"/>
                <w:kern w:val="21"/>
                <w:szCs w:val="21"/>
              </w:rPr>
              <w:t>--</w:t>
            </w:r>
          </w:p>
        </w:tc>
        <w:tc>
          <w:tcPr>
            <w:tcW w:w="604" w:type="pct"/>
            <w:vAlign w:val="center"/>
          </w:tcPr>
          <w:p w14:paraId="12EADB9D">
            <w:pPr>
              <w:adjustRightInd w:val="0"/>
              <w:snapToGrid w:val="0"/>
              <w:jc w:val="center"/>
              <w:rPr>
                <w:snapToGrid w:val="0"/>
                <w:color w:val="auto"/>
                <w:kern w:val="21"/>
                <w:szCs w:val="21"/>
              </w:rPr>
            </w:pPr>
            <w:r>
              <w:rPr>
                <w:rFonts w:hint="eastAsia"/>
                <w:snapToGrid w:val="0"/>
                <w:color w:val="auto"/>
                <w:kern w:val="21"/>
                <w:szCs w:val="21"/>
              </w:rPr>
              <w:t>--</w:t>
            </w:r>
          </w:p>
        </w:tc>
        <w:tc>
          <w:tcPr>
            <w:tcW w:w="552" w:type="pct"/>
            <w:vAlign w:val="center"/>
          </w:tcPr>
          <w:p w14:paraId="56F7DB1E">
            <w:pPr>
              <w:adjustRightInd w:val="0"/>
              <w:snapToGrid w:val="0"/>
              <w:jc w:val="center"/>
              <w:rPr>
                <w:snapToGrid w:val="0"/>
                <w:color w:val="auto"/>
                <w:kern w:val="21"/>
                <w:szCs w:val="21"/>
              </w:rPr>
            </w:pPr>
            <w:r>
              <w:rPr>
                <w:rFonts w:hint="eastAsia"/>
                <w:snapToGrid w:val="0"/>
                <w:color w:val="auto"/>
                <w:kern w:val="21"/>
                <w:szCs w:val="21"/>
              </w:rPr>
              <w:t>0.</w:t>
            </w:r>
            <w:r>
              <w:rPr>
                <w:rFonts w:hint="eastAsia"/>
                <w:snapToGrid w:val="0"/>
                <w:color w:val="auto"/>
                <w:kern w:val="21"/>
                <w:szCs w:val="21"/>
                <w:lang w:val="en-US" w:eastAsia="zh-CN"/>
              </w:rPr>
              <w:t>299</w:t>
            </w:r>
            <w:r>
              <w:rPr>
                <w:rFonts w:hint="eastAsia"/>
                <w:snapToGrid w:val="0"/>
                <w:color w:val="auto"/>
                <w:kern w:val="21"/>
                <w:szCs w:val="21"/>
              </w:rPr>
              <w:t>t/a</w:t>
            </w:r>
          </w:p>
        </w:tc>
        <w:tc>
          <w:tcPr>
            <w:tcW w:w="625" w:type="pct"/>
            <w:vAlign w:val="center"/>
          </w:tcPr>
          <w:p w14:paraId="7D9DF9DE">
            <w:pPr>
              <w:adjustRightInd w:val="0"/>
              <w:snapToGrid w:val="0"/>
              <w:jc w:val="center"/>
              <w:rPr>
                <w:snapToGrid w:val="0"/>
                <w:color w:val="auto"/>
                <w:kern w:val="21"/>
                <w:szCs w:val="21"/>
              </w:rPr>
            </w:pPr>
            <w:r>
              <w:rPr>
                <w:rFonts w:hint="eastAsia"/>
                <w:snapToGrid w:val="0"/>
                <w:color w:val="auto"/>
                <w:kern w:val="21"/>
                <w:szCs w:val="21"/>
              </w:rPr>
              <w:t>--</w:t>
            </w:r>
          </w:p>
        </w:tc>
        <w:tc>
          <w:tcPr>
            <w:tcW w:w="605" w:type="pct"/>
            <w:vAlign w:val="center"/>
          </w:tcPr>
          <w:p w14:paraId="3087B009">
            <w:pPr>
              <w:adjustRightInd w:val="0"/>
              <w:snapToGrid w:val="0"/>
              <w:jc w:val="center"/>
              <w:rPr>
                <w:snapToGrid w:val="0"/>
                <w:color w:val="auto"/>
                <w:kern w:val="21"/>
                <w:szCs w:val="21"/>
              </w:rPr>
            </w:pPr>
            <w:r>
              <w:rPr>
                <w:rFonts w:hint="eastAsia"/>
                <w:snapToGrid w:val="0"/>
                <w:color w:val="auto"/>
                <w:kern w:val="21"/>
                <w:szCs w:val="21"/>
              </w:rPr>
              <w:t>0.</w:t>
            </w:r>
            <w:r>
              <w:rPr>
                <w:rFonts w:hint="eastAsia"/>
                <w:snapToGrid w:val="0"/>
                <w:color w:val="auto"/>
                <w:kern w:val="21"/>
                <w:szCs w:val="21"/>
                <w:lang w:val="en-US" w:eastAsia="zh-CN"/>
              </w:rPr>
              <w:t>299</w:t>
            </w:r>
            <w:r>
              <w:rPr>
                <w:rFonts w:hint="eastAsia"/>
                <w:snapToGrid w:val="0"/>
                <w:color w:val="auto"/>
                <w:kern w:val="21"/>
                <w:szCs w:val="21"/>
              </w:rPr>
              <w:t>t/a</w:t>
            </w:r>
          </w:p>
        </w:tc>
        <w:tc>
          <w:tcPr>
            <w:tcW w:w="489" w:type="pct"/>
            <w:vAlign w:val="center"/>
          </w:tcPr>
          <w:p w14:paraId="607922CF">
            <w:pPr>
              <w:adjustRightInd w:val="0"/>
              <w:snapToGrid w:val="0"/>
              <w:jc w:val="center"/>
              <w:rPr>
                <w:snapToGrid w:val="0"/>
                <w:color w:val="auto"/>
                <w:kern w:val="21"/>
                <w:szCs w:val="21"/>
              </w:rPr>
            </w:pPr>
            <w:r>
              <w:rPr>
                <w:rFonts w:hint="eastAsia"/>
                <w:snapToGrid w:val="0"/>
                <w:color w:val="auto"/>
                <w:kern w:val="21"/>
                <w:szCs w:val="21"/>
              </w:rPr>
              <w:t>+0.</w:t>
            </w:r>
            <w:r>
              <w:rPr>
                <w:rFonts w:hint="eastAsia"/>
                <w:snapToGrid w:val="0"/>
                <w:color w:val="auto"/>
                <w:kern w:val="21"/>
                <w:szCs w:val="21"/>
                <w:lang w:val="en-US" w:eastAsia="zh-CN"/>
              </w:rPr>
              <w:t>299</w:t>
            </w:r>
            <w:r>
              <w:rPr>
                <w:rFonts w:hint="eastAsia"/>
                <w:snapToGrid w:val="0"/>
                <w:color w:val="auto"/>
                <w:kern w:val="21"/>
                <w:szCs w:val="21"/>
              </w:rPr>
              <w:t>t/a</w:t>
            </w:r>
          </w:p>
        </w:tc>
      </w:tr>
      <w:tr w14:paraId="499A0B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13" w:type="pct"/>
            <w:vMerge w:val="restart"/>
            <w:vAlign w:val="center"/>
          </w:tcPr>
          <w:p w14:paraId="08A7224D">
            <w:pPr>
              <w:adjustRightInd w:val="0"/>
              <w:snapToGrid w:val="0"/>
              <w:jc w:val="center"/>
              <w:rPr>
                <w:snapToGrid w:val="0"/>
                <w:color w:val="auto"/>
                <w:kern w:val="21"/>
                <w:szCs w:val="21"/>
              </w:rPr>
            </w:pPr>
            <w:r>
              <w:rPr>
                <w:rFonts w:hAnsi="宋体"/>
                <w:snapToGrid w:val="0"/>
                <w:color w:val="auto"/>
                <w:kern w:val="21"/>
                <w:szCs w:val="21"/>
              </w:rPr>
              <w:t>一般工业</w:t>
            </w:r>
          </w:p>
          <w:p w14:paraId="0EDB8A57">
            <w:pPr>
              <w:adjustRightInd w:val="0"/>
              <w:snapToGrid w:val="0"/>
              <w:jc w:val="center"/>
              <w:rPr>
                <w:snapToGrid w:val="0"/>
                <w:color w:val="auto"/>
                <w:kern w:val="21"/>
                <w:szCs w:val="21"/>
              </w:rPr>
            </w:pPr>
            <w:r>
              <w:rPr>
                <w:rFonts w:hAnsi="宋体"/>
                <w:snapToGrid w:val="0"/>
                <w:color w:val="auto"/>
                <w:kern w:val="21"/>
                <w:szCs w:val="21"/>
              </w:rPr>
              <w:t>固体废物</w:t>
            </w:r>
          </w:p>
        </w:tc>
        <w:tc>
          <w:tcPr>
            <w:tcW w:w="651" w:type="pct"/>
            <w:vAlign w:val="center"/>
          </w:tcPr>
          <w:p w14:paraId="1756DF16">
            <w:pPr>
              <w:jc w:val="center"/>
              <w:rPr>
                <w:snapToGrid w:val="0"/>
                <w:color w:val="auto"/>
                <w:kern w:val="21"/>
                <w:szCs w:val="21"/>
              </w:rPr>
            </w:pPr>
            <w:r>
              <w:rPr>
                <w:rFonts w:hint="eastAsia"/>
                <w:snapToGrid w:val="0"/>
                <w:color w:val="auto"/>
                <w:kern w:val="21"/>
                <w:szCs w:val="21"/>
              </w:rPr>
              <w:t>废包装</w:t>
            </w:r>
          </w:p>
        </w:tc>
        <w:tc>
          <w:tcPr>
            <w:tcW w:w="604" w:type="pct"/>
            <w:vAlign w:val="center"/>
          </w:tcPr>
          <w:p w14:paraId="7AB8FA4C">
            <w:pPr>
              <w:jc w:val="center"/>
              <w:rPr>
                <w:snapToGrid w:val="0"/>
                <w:color w:val="auto"/>
                <w:kern w:val="21"/>
                <w:szCs w:val="21"/>
              </w:rPr>
            </w:pPr>
            <w:r>
              <w:rPr>
                <w:rFonts w:hint="eastAsia"/>
                <w:color w:val="auto"/>
                <w:szCs w:val="21"/>
              </w:rPr>
              <w:t>--</w:t>
            </w:r>
          </w:p>
        </w:tc>
        <w:tc>
          <w:tcPr>
            <w:tcW w:w="452" w:type="pct"/>
            <w:vAlign w:val="center"/>
          </w:tcPr>
          <w:p w14:paraId="2567355D">
            <w:pPr>
              <w:jc w:val="center"/>
              <w:rPr>
                <w:color w:val="auto"/>
                <w:szCs w:val="21"/>
              </w:rPr>
            </w:pPr>
            <w:r>
              <w:rPr>
                <w:rFonts w:hint="eastAsia"/>
                <w:color w:val="auto"/>
                <w:szCs w:val="21"/>
              </w:rPr>
              <w:t>--</w:t>
            </w:r>
          </w:p>
        </w:tc>
        <w:tc>
          <w:tcPr>
            <w:tcW w:w="604" w:type="pct"/>
            <w:vAlign w:val="center"/>
          </w:tcPr>
          <w:p w14:paraId="0376FF17">
            <w:pPr>
              <w:jc w:val="center"/>
              <w:rPr>
                <w:color w:val="auto"/>
                <w:szCs w:val="21"/>
              </w:rPr>
            </w:pPr>
            <w:r>
              <w:rPr>
                <w:rFonts w:hint="eastAsia"/>
                <w:color w:val="auto"/>
                <w:szCs w:val="21"/>
              </w:rPr>
              <w:t>--</w:t>
            </w:r>
          </w:p>
        </w:tc>
        <w:tc>
          <w:tcPr>
            <w:tcW w:w="552" w:type="pct"/>
            <w:vAlign w:val="center"/>
          </w:tcPr>
          <w:p w14:paraId="0724C1B8">
            <w:pPr>
              <w:adjustRightInd w:val="0"/>
              <w:jc w:val="center"/>
              <w:rPr>
                <w:snapToGrid w:val="0"/>
                <w:color w:val="auto"/>
                <w:kern w:val="21"/>
                <w:szCs w:val="21"/>
              </w:rPr>
            </w:pPr>
            <w:r>
              <w:rPr>
                <w:rFonts w:hint="eastAsia"/>
                <w:snapToGrid w:val="0"/>
                <w:color w:val="auto"/>
                <w:kern w:val="21"/>
                <w:szCs w:val="21"/>
                <w:lang w:val="en-US" w:eastAsia="zh-CN"/>
              </w:rPr>
              <w:t>10</w:t>
            </w:r>
            <w:r>
              <w:rPr>
                <w:rFonts w:hint="eastAsia"/>
                <w:snapToGrid w:val="0"/>
                <w:color w:val="auto"/>
                <w:kern w:val="21"/>
                <w:szCs w:val="21"/>
              </w:rPr>
              <w:t>t/a</w:t>
            </w:r>
          </w:p>
        </w:tc>
        <w:tc>
          <w:tcPr>
            <w:tcW w:w="625" w:type="pct"/>
            <w:vAlign w:val="center"/>
          </w:tcPr>
          <w:p w14:paraId="28285157">
            <w:pPr>
              <w:adjustRightInd w:val="0"/>
              <w:snapToGrid w:val="0"/>
              <w:jc w:val="center"/>
              <w:rPr>
                <w:snapToGrid w:val="0"/>
                <w:color w:val="auto"/>
                <w:kern w:val="21"/>
                <w:szCs w:val="21"/>
              </w:rPr>
            </w:pPr>
            <w:r>
              <w:rPr>
                <w:rFonts w:hint="eastAsia"/>
                <w:snapToGrid w:val="0"/>
                <w:color w:val="auto"/>
                <w:kern w:val="21"/>
                <w:szCs w:val="21"/>
              </w:rPr>
              <w:t>--</w:t>
            </w:r>
          </w:p>
        </w:tc>
        <w:tc>
          <w:tcPr>
            <w:tcW w:w="1634" w:type="dxa"/>
            <w:vAlign w:val="center"/>
          </w:tcPr>
          <w:p w14:paraId="2DC53180">
            <w:pPr>
              <w:adjustRightInd w:val="0"/>
              <w:jc w:val="center"/>
              <w:rPr>
                <w:snapToGrid w:val="0"/>
                <w:color w:val="auto"/>
                <w:kern w:val="21"/>
                <w:szCs w:val="21"/>
              </w:rPr>
            </w:pPr>
            <w:r>
              <w:rPr>
                <w:rFonts w:hint="eastAsia"/>
                <w:snapToGrid w:val="0"/>
                <w:color w:val="auto"/>
                <w:kern w:val="21"/>
                <w:szCs w:val="21"/>
                <w:lang w:val="en-US" w:eastAsia="zh-CN"/>
              </w:rPr>
              <w:t>10</w:t>
            </w:r>
            <w:r>
              <w:rPr>
                <w:rFonts w:hint="eastAsia"/>
                <w:snapToGrid w:val="0"/>
                <w:color w:val="auto"/>
                <w:kern w:val="21"/>
                <w:szCs w:val="21"/>
              </w:rPr>
              <w:t>t/a</w:t>
            </w:r>
          </w:p>
        </w:tc>
        <w:tc>
          <w:tcPr>
            <w:tcW w:w="1321" w:type="dxa"/>
            <w:vAlign w:val="center"/>
          </w:tcPr>
          <w:p w14:paraId="0108CC80">
            <w:pPr>
              <w:adjustRightInd w:val="0"/>
              <w:jc w:val="center"/>
              <w:rPr>
                <w:snapToGrid w:val="0"/>
                <w:color w:val="auto"/>
                <w:kern w:val="21"/>
                <w:szCs w:val="21"/>
              </w:rPr>
            </w:pPr>
            <w:r>
              <w:rPr>
                <w:rFonts w:hint="eastAsia"/>
                <w:snapToGrid w:val="0"/>
                <w:color w:val="auto"/>
                <w:kern w:val="21"/>
                <w:szCs w:val="21"/>
                <w:lang w:val="en-US" w:eastAsia="zh-CN"/>
              </w:rPr>
              <w:t>+10</w:t>
            </w:r>
            <w:r>
              <w:rPr>
                <w:rFonts w:hint="eastAsia"/>
                <w:snapToGrid w:val="0"/>
                <w:color w:val="auto"/>
                <w:kern w:val="21"/>
                <w:szCs w:val="21"/>
              </w:rPr>
              <w:t>t/a</w:t>
            </w:r>
          </w:p>
        </w:tc>
      </w:tr>
      <w:tr w14:paraId="512B23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13" w:type="pct"/>
            <w:vMerge w:val="continue"/>
            <w:vAlign w:val="center"/>
          </w:tcPr>
          <w:p w14:paraId="35B97A16">
            <w:pPr>
              <w:adjustRightInd w:val="0"/>
              <w:snapToGrid w:val="0"/>
              <w:jc w:val="center"/>
              <w:rPr>
                <w:snapToGrid w:val="0"/>
                <w:color w:val="auto"/>
                <w:kern w:val="21"/>
                <w:szCs w:val="21"/>
              </w:rPr>
            </w:pPr>
          </w:p>
        </w:tc>
        <w:tc>
          <w:tcPr>
            <w:tcW w:w="651" w:type="pct"/>
            <w:vAlign w:val="center"/>
          </w:tcPr>
          <w:p w14:paraId="278D71D7">
            <w:pPr>
              <w:jc w:val="center"/>
              <w:rPr>
                <w:rFonts w:hint="eastAsia" w:eastAsia="宋体"/>
                <w:snapToGrid w:val="0"/>
                <w:color w:val="auto"/>
                <w:kern w:val="21"/>
                <w:szCs w:val="21"/>
                <w:lang w:eastAsia="zh-CN"/>
              </w:rPr>
            </w:pPr>
            <w:r>
              <w:rPr>
                <w:rFonts w:hint="eastAsia"/>
                <w:snapToGrid w:val="0"/>
                <w:color w:val="auto"/>
                <w:kern w:val="21"/>
                <w:szCs w:val="21"/>
                <w:lang w:eastAsia="zh-CN"/>
              </w:rPr>
              <w:t>碎石杂质</w:t>
            </w:r>
          </w:p>
        </w:tc>
        <w:tc>
          <w:tcPr>
            <w:tcW w:w="604" w:type="pct"/>
            <w:vAlign w:val="center"/>
          </w:tcPr>
          <w:p w14:paraId="78550265">
            <w:pPr>
              <w:jc w:val="center"/>
              <w:rPr>
                <w:snapToGrid w:val="0"/>
                <w:color w:val="auto"/>
                <w:kern w:val="21"/>
                <w:szCs w:val="21"/>
              </w:rPr>
            </w:pPr>
            <w:r>
              <w:rPr>
                <w:rFonts w:hint="eastAsia"/>
                <w:color w:val="auto"/>
                <w:szCs w:val="21"/>
              </w:rPr>
              <w:t>--</w:t>
            </w:r>
          </w:p>
        </w:tc>
        <w:tc>
          <w:tcPr>
            <w:tcW w:w="452" w:type="pct"/>
            <w:vAlign w:val="center"/>
          </w:tcPr>
          <w:p w14:paraId="7049CCDB">
            <w:pPr>
              <w:jc w:val="center"/>
              <w:rPr>
                <w:color w:val="auto"/>
                <w:szCs w:val="21"/>
              </w:rPr>
            </w:pPr>
            <w:r>
              <w:rPr>
                <w:rFonts w:hint="eastAsia"/>
                <w:color w:val="auto"/>
                <w:szCs w:val="21"/>
              </w:rPr>
              <w:t>--</w:t>
            </w:r>
          </w:p>
        </w:tc>
        <w:tc>
          <w:tcPr>
            <w:tcW w:w="604" w:type="pct"/>
            <w:vAlign w:val="center"/>
          </w:tcPr>
          <w:p w14:paraId="5A44EA9D">
            <w:pPr>
              <w:jc w:val="center"/>
              <w:rPr>
                <w:color w:val="auto"/>
                <w:szCs w:val="21"/>
              </w:rPr>
            </w:pPr>
            <w:r>
              <w:rPr>
                <w:rFonts w:hint="eastAsia"/>
                <w:color w:val="auto"/>
                <w:szCs w:val="21"/>
              </w:rPr>
              <w:t>--</w:t>
            </w:r>
          </w:p>
        </w:tc>
        <w:tc>
          <w:tcPr>
            <w:tcW w:w="552" w:type="pct"/>
            <w:vAlign w:val="center"/>
          </w:tcPr>
          <w:p w14:paraId="20E96905">
            <w:pPr>
              <w:adjustRightInd w:val="0"/>
              <w:jc w:val="center"/>
              <w:rPr>
                <w:snapToGrid w:val="0"/>
                <w:color w:val="auto"/>
                <w:kern w:val="21"/>
                <w:szCs w:val="21"/>
              </w:rPr>
            </w:pPr>
            <w:r>
              <w:rPr>
                <w:rFonts w:hint="eastAsia"/>
                <w:snapToGrid w:val="0"/>
                <w:color w:val="auto"/>
                <w:kern w:val="21"/>
                <w:szCs w:val="21"/>
                <w:lang w:val="en-US" w:eastAsia="zh-CN"/>
              </w:rPr>
              <w:t>10</w:t>
            </w:r>
            <w:r>
              <w:rPr>
                <w:rFonts w:hint="eastAsia"/>
                <w:snapToGrid w:val="0"/>
                <w:color w:val="auto"/>
                <w:kern w:val="21"/>
                <w:szCs w:val="21"/>
              </w:rPr>
              <w:t>t/a</w:t>
            </w:r>
          </w:p>
        </w:tc>
        <w:tc>
          <w:tcPr>
            <w:tcW w:w="625" w:type="pct"/>
            <w:vAlign w:val="center"/>
          </w:tcPr>
          <w:p w14:paraId="356EB271">
            <w:pPr>
              <w:jc w:val="center"/>
              <w:rPr>
                <w:color w:val="auto"/>
                <w:szCs w:val="21"/>
              </w:rPr>
            </w:pPr>
            <w:r>
              <w:rPr>
                <w:rFonts w:hint="eastAsia"/>
                <w:color w:val="auto"/>
                <w:szCs w:val="21"/>
              </w:rPr>
              <w:t>--</w:t>
            </w:r>
          </w:p>
        </w:tc>
        <w:tc>
          <w:tcPr>
            <w:tcW w:w="1634" w:type="dxa"/>
            <w:vAlign w:val="center"/>
          </w:tcPr>
          <w:p w14:paraId="72C079C8">
            <w:pPr>
              <w:adjustRightInd w:val="0"/>
              <w:jc w:val="center"/>
              <w:rPr>
                <w:snapToGrid w:val="0"/>
                <w:color w:val="auto"/>
                <w:kern w:val="21"/>
                <w:szCs w:val="21"/>
              </w:rPr>
            </w:pPr>
            <w:r>
              <w:rPr>
                <w:rFonts w:hint="eastAsia"/>
                <w:snapToGrid w:val="0"/>
                <w:color w:val="auto"/>
                <w:kern w:val="21"/>
                <w:szCs w:val="21"/>
                <w:lang w:val="en-US" w:eastAsia="zh-CN"/>
              </w:rPr>
              <w:t>10</w:t>
            </w:r>
            <w:r>
              <w:rPr>
                <w:rFonts w:hint="eastAsia"/>
                <w:snapToGrid w:val="0"/>
                <w:color w:val="auto"/>
                <w:kern w:val="21"/>
                <w:szCs w:val="21"/>
              </w:rPr>
              <w:t>t/a</w:t>
            </w:r>
          </w:p>
        </w:tc>
        <w:tc>
          <w:tcPr>
            <w:tcW w:w="1321" w:type="dxa"/>
            <w:vAlign w:val="center"/>
          </w:tcPr>
          <w:p w14:paraId="5D0CDA9A">
            <w:pPr>
              <w:adjustRightInd w:val="0"/>
              <w:jc w:val="center"/>
              <w:rPr>
                <w:snapToGrid w:val="0"/>
                <w:color w:val="auto"/>
                <w:kern w:val="21"/>
                <w:szCs w:val="21"/>
              </w:rPr>
            </w:pPr>
            <w:r>
              <w:rPr>
                <w:rFonts w:hint="eastAsia"/>
                <w:snapToGrid w:val="0"/>
                <w:color w:val="auto"/>
                <w:kern w:val="21"/>
                <w:szCs w:val="21"/>
                <w:lang w:val="en-US" w:eastAsia="zh-CN"/>
              </w:rPr>
              <w:t>+10</w:t>
            </w:r>
            <w:r>
              <w:rPr>
                <w:rFonts w:hint="eastAsia"/>
                <w:snapToGrid w:val="0"/>
                <w:color w:val="auto"/>
                <w:kern w:val="21"/>
                <w:szCs w:val="21"/>
              </w:rPr>
              <w:t>t/a</w:t>
            </w:r>
          </w:p>
        </w:tc>
      </w:tr>
      <w:tr w14:paraId="0322448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13" w:type="pct"/>
            <w:vMerge w:val="continue"/>
            <w:vAlign w:val="center"/>
          </w:tcPr>
          <w:p w14:paraId="7F102C72">
            <w:pPr>
              <w:adjustRightInd w:val="0"/>
              <w:snapToGrid w:val="0"/>
              <w:jc w:val="center"/>
              <w:rPr>
                <w:snapToGrid w:val="0"/>
                <w:color w:val="auto"/>
                <w:kern w:val="21"/>
                <w:szCs w:val="21"/>
              </w:rPr>
            </w:pPr>
          </w:p>
        </w:tc>
        <w:tc>
          <w:tcPr>
            <w:tcW w:w="651" w:type="pct"/>
            <w:vAlign w:val="center"/>
          </w:tcPr>
          <w:p w14:paraId="2A861092">
            <w:pPr>
              <w:jc w:val="center"/>
              <w:rPr>
                <w:snapToGrid w:val="0"/>
                <w:color w:val="auto"/>
                <w:kern w:val="21"/>
                <w:szCs w:val="21"/>
              </w:rPr>
            </w:pPr>
            <w:r>
              <w:rPr>
                <w:rFonts w:hint="eastAsia"/>
                <w:snapToGrid w:val="0"/>
                <w:color w:val="auto"/>
                <w:kern w:val="21"/>
                <w:szCs w:val="21"/>
              </w:rPr>
              <w:t>除尘灰</w:t>
            </w:r>
          </w:p>
        </w:tc>
        <w:tc>
          <w:tcPr>
            <w:tcW w:w="604" w:type="pct"/>
            <w:vAlign w:val="center"/>
          </w:tcPr>
          <w:p w14:paraId="74366DF4">
            <w:pPr>
              <w:jc w:val="center"/>
              <w:rPr>
                <w:snapToGrid w:val="0"/>
                <w:color w:val="auto"/>
                <w:kern w:val="21"/>
                <w:szCs w:val="21"/>
              </w:rPr>
            </w:pPr>
            <w:r>
              <w:rPr>
                <w:rFonts w:hint="eastAsia"/>
                <w:color w:val="auto"/>
                <w:szCs w:val="21"/>
              </w:rPr>
              <w:t>--</w:t>
            </w:r>
          </w:p>
        </w:tc>
        <w:tc>
          <w:tcPr>
            <w:tcW w:w="452" w:type="pct"/>
            <w:vAlign w:val="center"/>
          </w:tcPr>
          <w:p w14:paraId="67251D54">
            <w:pPr>
              <w:jc w:val="center"/>
              <w:rPr>
                <w:color w:val="auto"/>
                <w:szCs w:val="21"/>
              </w:rPr>
            </w:pPr>
            <w:r>
              <w:rPr>
                <w:rFonts w:hint="eastAsia"/>
                <w:color w:val="auto"/>
                <w:szCs w:val="21"/>
              </w:rPr>
              <w:t>--</w:t>
            </w:r>
          </w:p>
        </w:tc>
        <w:tc>
          <w:tcPr>
            <w:tcW w:w="604" w:type="pct"/>
            <w:vAlign w:val="center"/>
          </w:tcPr>
          <w:p w14:paraId="15E30ABE">
            <w:pPr>
              <w:jc w:val="center"/>
              <w:rPr>
                <w:color w:val="auto"/>
                <w:szCs w:val="21"/>
              </w:rPr>
            </w:pPr>
            <w:r>
              <w:rPr>
                <w:rFonts w:hint="eastAsia"/>
                <w:color w:val="auto"/>
                <w:szCs w:val="21"/>
              </w:rPr>
              <w:t>--</w:t>
            </w:r>
          </w:p>
        </w:tc>
        <w:tc>
          <w:tcPr>
            <w:tcW w:w="552" w:type="pct"/>
            <w:vAlign w:val="center"/>
          </w:tcPr>
          <w:p w14:paraId="421FCBBA">
            <w:pPr>
              <w:adjustRightInd w:val="0"/>
              <w:jc w:val="center"/>
              <w:rPr>
                <w:snapToGrid w:val="0"/>
                <w:color w:val="auto"/>
                <w:kern w:val="21"/>
                <w:szCs w:val="21"/>
              </w:rPr>
            </w:pPr>
            <w:r>
              <w:rPr>
                <w:rFonts w:hint="eastAsia"/>
                <w:snapToGrid w:val="0"/>
                <w:color w:val="auto"/>
                <w:kern w:val="21"/>
                <w:szCs w:val="21"/>
                <w:lang w:val="en-US" w:eastAsia="zh-CN"/>
              </w:rPr>
              <w:t>28.067</w:t>
            </w:r>
            <w:r>
              <w:rPr>
                <w:rFonts w:hint="eastAsia"/>
                <w:snapToGrid w:val="0"/>
                <w:color w:val="auto"/>
                <w:kern w:val="21"/>
                <w:szCs w:val="21"/>
              </w:rPr>
              <w:t>t/a</w:t>
            </w:r>
          </w:p>
        </w:tc>
        <w:tc>
          <w:tcPr>
            <w:tcW w:w="625" w:type="pct"/>
            <w:vAlign w:val="center"/>
          </w:tcPr>
          <w:p w14:paraId="58D77AF5">
            <w:pPr>
              <w:jc w:val="center"/>
              <w:rPr>
                <w:color w:val="auto"/>
                <w:szCs w:val="21"/>
              </w:rPr>
            </w:pPr>
            <w:r>
              <w:rPr>
                <w:rFonts w:hint="eastAsia"/>
                <w:color w:val="auto"/>
                <w:szCs w:val="21"/>
              </w:rPr>
              <w:t>--</w:t>
            </w:r>
          </w:p>
        </w:tc>
        <w:tc>
          <w:tcPr>
            <w:tcW w:w="1634" w:type="dxa"/>
            <w:vAlign w:val="center"/>
          </w:tcPr>
          <w:p w14:paraId="5D94E16B">
            <w:pPr>
              <w:adjustRightInd w:val="0"/>
              <w:jc w:val="center"/>
              <w:rPr>
                <w:snapToGrid w:val="0"/>
                <w:color w:val="auto"/>
                <w:kern w:val="21"/>
                <w:szCs w:val="21"/>
              </w:rPr>
            </w:pPr>
            <w:r>
              <w:rPr>
                <w:rFonts w:hint="eastAsia"/>
                <w:snapToGrid w:val="0"/>
                <w:color w:val="auto"/>
                <w:kern w:val="21"/>
                <w:szCs w:val="21"/>
                <w:lang w:val="en-US" w:eastAsia="zh-CN"/>
              </w:rPr>
              <w:t>28.067</w:t>
            </w:r>
            <w:r>
              <w:rPr>
                <w:rFonts w:hint="eastAsia"/>
                <w:snapToGrid w:val="0"/>
                <w:color w:val="auto"/>
                <w:kern w:val="21"/>
                <w:szCs w:val="21"/>
              </w:rPr>
              <w:t>t/a</w:t>
            </w:r>
          </w:p>
        </w:tc>
        <w:tc>
          <w:tcPr>
            <w:tcW w:w="1321" w:type="dxa"/>
            <w:vAlign w:val="center"/>
          </w:tcPr>
          <w:p w14:paraId="3398AC99">
            <w:pPr>
              <w:adjustRightInd w:val="0"/>
              <w:jc w:val="center"/>
              <w:rPr>
                <w:snapToGrid w:val="0"/>
                <w:color w:val="auto"/>
                <w:kern w:val="21"/>
                <w:szCs w:val="21"/>
              </w:rPr>
            </w:pPr>
            <w:r>
              <w:rPr>
                <w:rFonts w:hint="eastAsia"/>
                <w:snapToGrid w:val="0"/>
                <w:color w:val="auto"/>
                <w:kern w:val="21"/>
                <w:szCs w:val="21"/>
                <w:lang w:val="en-US" w:eastAsia="zh-CN"/>
              </w:rPr>
              <w:t>+28.067</w:t>
            </w:r>
            <w:r>
              <w:rPr>
                <w:rFonts w:hint="eastAsia"/>
                <w:snapToGrid w:val="0"/>
                <w:color w:val="auto"/>
                <w:kern w:val="21"/>
                <w:szCs w:val="21"/>
              </w:rPr>
              <w:t>t/a</w:t>
            </w:r>
          </w:p>
        </w:tc>
      </w:tr>
      <w:tr w14:paraId="24B16F6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13" w:type="pct"/>
            <w:vMerge w:val="restart"/>
            <w:vAlign w:val="center"/>
          </w:tcPr>
          <w:p w14:paraId="662B35DB">
            <w:pPr>
              <w:adjustRightInd w:val="0"/>
              <w:snapToGrid w:val="0"/>
              <w:jc w:val="center"/>
              <w:rPr>
                <w:snapToGrid w:val="0"/>
                <w:color w:val="auto"/>
                <w:kern w:val="21"/>
                <w:szCs w:val="21"/>
              </w:rPr>
            </w:pPr>
            <w:r>
              <w:rPr>
                <w:rFonts w:hint="eastAsia"/>
                <w:snapToGrid w:val="0"/>
                <w:color w:val="auto"/>
                <w:kern w:val="21"/>
                <w:szCs w:val="21"/>
              </w:rPr>
              <w:t>危险废物</w:t>
            </w:r>
          </w:p>
        </w:tc>
        <w:tc>
          <w:tcPr>
            <w:tcW w:w="651" w:type="pct"/>
            <w:vAlign w:val="center"/>
          </w:tcPr>
          <w:p w14:paraId="284D303F">
            <w:pPr>
              <w:jc w:val="center"/>
              <w:rPr>
                <w:snapToGrid w:val="0"/>
                <w:color w:val="auto"/>
                <w:kern w:val="21"/>
                <w:szCs w:val="21"/>
              </w:rPr>
            </w:pPr>
            <w:r>
              <w:rPr>
                <w:rFonts w:hint="eastAsia"/>
                <w:snapToGrid w:val="0"/>
                <w:color w:val="auto"/>
                <w:kern w:val="21"/>
                <w:szCs w:val="21"/>
              </w:rPr>
              <w:t>废润滑油</w:t>
            </w:r>
          </w:p>
        </w:tc>
        <w:tc>
          <w:tcPr>
            <w:tcW w:w="1632" w:type="dxa"/>
            <w:vAlign w:val="center"/>
          </w:tcPr>
          <w:p w14:paraId="6EA59007">
            <w:pPr>
              <w:snapToGrid w:val="0"/>
              <w:jc w:val="center"/>
              <w:rPr>
                <w:color w:val="auto"/>
                <w:szCs w:val="21"/>
              </w:rPr>
            </w:pPr>
            <w:r>
              <w:rPr>
                <w:rFonts w:hint="eastAsia"/>
                <w:snapToGrid w:val="0"/>
                <w:color w:val="auto"/>
                <w:kern w:val="21"/>
                <w:szCs w:val="21"/>
              </w:rPr>
              <w:t>--</w:t>
            </w:r>
          </w:p>
        </w:tc>
        <w:tc>
          <w:tcPr>
            <w:tcW w:w="1221" w:type="dxa"/>
            <w:vAlign w:val="center"/>
          </w:tcPr>
          <w:p w14:paraId="31E74CF8">
            <w:pPr>
              <w:snapToGrid w:val="0"/>
              <w:jc w:val="center"/>
              <w:rPr>
                <w:color w:val="auto"/>
                <w:szCs w:val="21"/>
              </w:rPr>
            </w:pPr>
            <w:r>
              <w:rPr>
                <w:rFonts w:hint="eastAsia"/>
                <w:snapToGrid w:val="0"/>
                <w:color w:val="auto"/>
                <w:kern w:val="21"/>
                <w:szCs w:val="21"/>
              </w:rPr>
              <w:t>--</w:t>
            </w:r>
          </w:p>
        </w:tc>
        <w:tc>
          <w:tcPr>
            <w:tcW w:w="1632" w:type="dxa"/>
            <w:vAlign w:val="center"/>
          </w:tcPr>
          <w:p w14:paraId="3F75A24D">
            <w:pPr>
              <w:adjustRightInd w:val="0"/>
              <w:snapToGrid w:val="0"/>
              <w:jc w:val="center"/>
              <w:rPr>
                <w:color w:val="auto"/>
                <w:szCs w:val="21"/>
              </w:rPr>
            </w:pPr>
            <w:r>
              <w:rPr>
                <w:rFonts w:hint="eastAsia"/>
                <w:snapToGrid w:val="0"/>
                <w:color w:val="auto"/>
                <w:kern w:val="21"/>
                <w:szCs w:val="21"/>
              </w:rPr>
              <w:t>--</w:t>
            </w:r>
          </w:p>
        </w:tc>
        <w:tc>
          <w:tcPr>
            <w:tcW w:w="552" w:type="pct"/>
            <w:vAlign w:val="center"/>
          </w:tcPr>
          <w:p w14:paraId="4EDF1578">
            <w:pPr>
              <w:adjustRightInd w:val="0"/>
              <w:jc w:val="center"/>
              <w:rPr>
                <w:snapToGrid w:val="0"/>
                <w:color w:val="auto"/>
                <w:kern w:val="21"/>
                <w:szCs w:val="21"/>
              </w:rPr>
            </w:pPr>
            <w:r>
              <w:rPr>
                <w:rFonts w:hint="eastAsia"/>
                <w:snapToGrid w:val="0"/>
                <w:color w:val="auto"/>
                <w:kern w:val="21"/>
                <w:szCs w:val="21"/>
              </w:rPr>
              <w:t>0.1t/a</w:t>
            </w:r>
          </w:p>
        </w:tc>
        <w:tc>
          <w:tcPr>
            <w:tcW w:w="1688" w:type="dxa"/>
            <w:vAlign w:val="center"/>
          </w:tcPr>
          <w:p w14:paraId="0B8E1DD3">
            <w:pPr>
              <w:adjustRightInd w:val="0"/>
              <w:snapToGrid w:val="0"/>
              <w:jc w:val="center"/>
              <w:rPr>
                <w:color w:val="auto"/>
                <w:szCs w:val="21"/>
              </w:rPr>
            </w:pPr>
            <w:r>
              <w:rPr>
                <w:rFonts w:hint="eastAsia"/>
                <w:snapToGrid w:val="0"/>
                <w:color w:val="auto"/>
                <w:kern w:val="21"/>
                <w:szCs w:val="21"/>
              </w:rPr>
              <w:t>--</w:t>
            </w:r>
          </w:p>
        </w:tc>
        <w:tc>
          <w:tcPr>
            <w:tcW w:w="1634" w:type="dxa"/>
            <w:vAlign w:val="center"/>
          </w:tcPr>
          <w:p w14:paraId="4BA693B0">
            <w:pPr>
              <w:adjustRightInd w:val="0"/>
              <w:jc w:val="center"/>
              <w:rPr>
                <w:snapToGrid w:val="0"/>
                <w:color w:val="auto"/>
                <w:kern w:val="21"/>
                <w:szCs w:val="21"/>
              </w:rPr>
            </w:pPr>
            <w:r>
              <w:rPr>
                <w:rFonts w:hint="eastAsia"/>
                <w:snapToGrid w:val="0"/>
                <w:color w:val="auto"/>
                <w:kern w:val="21"/>
                <w:szCs w:val="21"/>
              </w:rPr>
              <w:t>0.1t/a</w:t>
            </w:r>
          </w:p>
        </w:tc>
        <w:tc>
          <w:tcPr>
            <w:tcW w:w="1321" w:type="dxa"/>
            <w:vAlign w:val="center"/>
          </w:tcPr>
          <w:p w14:paraId="4E9A8948">
            <w:pPr>
              <w:adjustRightInd w:val="0"/>
              <w:jc w:val="center"/>
              <w:rPr>
                <w:snapToGrid w:val="0"/>
                <w:color w:val="auto"/>
                <w:kern w:val="21"/>
                <w:szCs w:val="21"/>
              </w:rPr>
            </w:pPr>
            <w:r>
              <w:rPr>
                <w:rFonts w:hint="eastAsia"/>
                <w:snapToGrid w:val="0"/>
                <w:color w:val="auto"/>
                <w:kern w:val="21"/>
                <w:szCs w:val="21"/>
                <w:lang w:val="en-US" w:eastAsia="zh-CN"/>
              </w:rPr>
              <w:t>+</w:t>
            </w:r>
            <w:r>
              <w:rPr>
                <w:rFonts w:hint="eastAsia"/>
                <w:snapToGrid w:val="0"/>
                <w:color w:val="auto"/>
                <w:kern w:val="21"/>
                <w:szCs w:val="21"/>
              </w:rPr>
              <w:t>0.1t/a</w:t>
            </w:r>
          </w:p>
        </w:tc>
      </w:tr>
      <w:tr w14:paraId="614FC9F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13" w:type="pct"/>
            <w:vMerge w:val="continue"/>
            <w:vAlign w:val="center"/>
          </w:tcPr>
          <w:p w14:paraId="0D7590AD">
            <w:pPr>
              <w:adjustRightInd w:val="0"/>
              <w:snapToGrid w:val="0"/>
              <w:jc w:val="center"/>
              <w:rPr>
                <w:snapToGrid w:val="0"/>
                <w:color w:val="auto"/>
                <w:kern w:val="21"/>
                <w:szCs w:val="21"/>
              </w:rPr>
            </w:pPr>
          </w:p>
        </w:tc>
        <w:tc>
          <w:tcPr>
            <w:tcW w:w="651" w:type="pct"/>
            <w:vAlign w:val="center"/>
          </w:tcPr>
          <w:p w14:paraId="2AB6F974">
            <w:pPr>
              <w:jc w:val="center"/>
              <w:rPr>
                <w:snapToGrid w:val="0"/>
                <w:color w:val="auto"/>
                <w:kern w:val="21"/>
                <w:szCs w:val="21"/>
              </w:rPr>
            </w:pPr>
            <w:r>
              <w:rPr>
                <w:rFonts w:hint="eastAsia"/>
                <w:snapToGrid w:val="0"/>
                <w:color w:val="auto"/>
                <w:kern w:val="21"/>
                <w:szCs w:val="21"/>
              </w:rPr>
              <w:t>废油桶</w:t>
            </w:r>
          </w:p>
        </w:tc>
        <w:tc>
          <w:tcPr>
            <w:tcW w:w="1632" w:type="dxa"/>
            <w:vAlign w:val="center"/>
          </w:tcPr>
          <w:p w14:paraId="1D762067">
            <w:pPr>
              <w:jc w:val="center"/>
              <w:rPr>
                <w:color w:val="auto"/>
                <w:szCs w:val="21"/>
              </w:rPr>
            </w:pPr>
            <w:r>
              <w:rPr>
                <w:rFonts w:hint="eastAsia"/>
                <w:color w:val="auto"/>
                <w:szCs w:val="21"/>
              </w:rPr>
              <w:t>--</w:t>
            </w:r>
          </w:p>
        </w:tc>
        <w:tc>
          <w:tcPr>
            <w:tcW w:w="1221" w:type="dxa"/>
            <w:vAlign w:val="center"/>
          </w:tcPr>
          <w:p w14:paraId="061FCF66">
            <w:pPr>
              <w:jc w:val="center"/>
              <w:rPr>
                <w:color w:val="auto"/>
                <w:szCs w:val="21"/>
              </w:rPr>
            </w:pPr>
            <w:r>
              <w:rPr>
                <w:rFonts w:hint="eastAsia"/>
                <w:color w:val="auto"/>
                <w:szCs w:val="21"/>
              </w:rPr>
              <w:t>--</w:t>
            </w:r>
          </w:p>
        </w:tc>
        <w:tc>
          <w:tcPr>
            <w:tcW w:w="1632" w:type="dxa"/>
            <w:vAlign w:val="center"/>
          </w:tcPr>
          <w:p w14:paraId="6722A832">
            <w:pPr>
              <w:jc w:val="center"/>
              <w:rPr>
                <w:color w:val="auto"/>
                <w:szCs w:val="21"/>
              </w:rPr>
            </w:pPr>
            <w:r>
              <w:rPr>
                <w:rFonts w:hint="eastAsia"/>
                <w:color w:val="auto"/>
                <w:szCs w:val="21"/>
              </w:rPr>
              <w:t>--</w:t>
            </w:r>
          </w:p>
        </w:tc>
        <w:tc>
          <w:tcPr>
            <w:tcW w:w="552" w:type="pct"/>
            <w:vAlign w:val="center"/>
          </w:tcPr>
          <w:p w14:paraId="0B2C64D1">
            <w:pPr>
              <w:adjustRightInd w:val="0"/>
              <w:jc w:val="center"/>
              <w:rPr>
                <w:snapToGrid w:val="0"/>
                <w:color w:val="auto"/>
                <w:kern w:val="21"/>
                <w:szCs w:val="21"/>
              </w:rPr>
            </w:pPr>
            <w:r>
              <w:rPr>
                <w:rFonts w:hint="eastAsia"/>
                <w:snapToGrid w:val="0"/>
                <w:color w:val="auto"/>
                <w:kern w:val="21"/>
                <w:szCs w:val="21"/>
              </w:rPr>
              <w:t>0.01t/a</w:t>
            </w:r>
          </w:p>
        </w:tc>
        <w:tc>
          <w:tcPr>
            <w:tcW w:w="1688" w:type="dxa"/>
            <w:vAlign w:val="center"/>
          </w:tcPr>
          <w:p w14:paraId="6F5523D7">
            <w:pPr>
              <w:jc w:val="center"/>
              <w:rPr>
                <w:color w:val="auto"/>
                <w:szCs w:val="21"/>
              </w:rPr>
            </w:pPr>
            <w:r>
              <w:rPr>
                <w:rFonts w:hint="eastAsia"/>
                <w:color w:val="auto"/>
                <w:szCs w:val="21"/>
              </w:rPr>
              <w:t>--</w:t>
            </w:r>
          </w:p>
        </w:tc>
        <w:tc>
          <w:tcPr>
            <w:tcW w:w="1634" w:type="dxa"/>
            <w:vAlign w:val="center"/>
          </w:tcPr>
          <w:p w14:paraId="5402E038">
            <w:pPr>
              <w:adjustRightInd w:val="0"/>
              <w:jc w:val="center"/>
              <w:rPr>
                <w:snapToGrid w:val="0"/>
                <w:color w:val="auto"/>
                <w:kern w:val="21"/>
                <w:szCs w:val="21"/>
              </w:rPr>
            </w:pPr>
            <w:r>
              <w:rPr>
                <w:rFonts w:hint="eastAsia"/>
                <w:snapToGrid w:val="0"/>
                <w:color w:val="auto"/>
                <w:kern w:val="21"/>
                <w:szCs w:val="21"/>
              </w:rPr>
              <w:t>0.01t/a</w:t>
            </w:r>
          </w:p>
        </w:tc>
        <w:tc>
          <w:tcPr>
            <w:tcW w:w="1321" w:type="dxa"/>
            <w:vAlign w:val="center"/>
          </w:tcPr>
          <w:p w14:paraId="3730D07F">
            <w:pPr>
              <w:adjustRightInd w:val="0"/>
              <w:jc w:val="center"/>
              <w:rPr>
                <w:snapToGrid w:val="0"/>
                <w:color w:val="auto"/>
                <w:kern w:val="21"/>
                <w:szCs w:val="21"/>
              </w:rPr>
            </w:pPr>
            <w:r>
              <w:rPr>
                <w:rFonts w:hint="eastAsia"/>
                <w:snapToGrid w:val="0"/>
                <w:color w:val="auto"/>
                <w:kern w:val="21"/>
                <w:szCs w:val="21"/>
                <w:lang w:val="en-US" w:eastAsia="zh-CN"/>
              </w:rPr>
              <w:t>+</w:t>
            </w:r>
            <w:r>
              <w:rPr>
                <w:rFonts w:hint="eastAsia"/>
                <w:snapToGrid w:val="0"/>
                <w:color w:val="auto"/>
                <w:kern w:val="21"/>
                <w:szCs w:val="21"/>
              </w:rPr>
              <w:t>0.01t/a</w:t>
            </w:r>
          </w:p>
        </w:tc>
      </w:tr>
      <w:tr w14:paraId="72A0DF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13" w:type="pct"/>
            <w:vMerge w:val="continue"/>
            <w:vAlign w:val="center"/>
          </w:tcPr>
          <w:p w14:paraId="1E8D57D0">
            <w:pPr>
              <w:adjustRightInd w:val="0"/>
              <w:snapToGrid w:val="0"/>
              <w:jc w:val="center"/>
              <w:rPr>
                <w:snapToGrid w:val="0"/>
                <w:color w:val="auto"/>
                <w:kern w:val="21"/>
                <w:szCs w:val="21"/>
              </w:rPr>
            </w:pPr>
          </w:p>
        </w:tc>
        <w:tc>
          <w:tcPr>
            <w:tcW w:w="651" w:type="pct"/>
            <w:vAlign w:val="center"/>
          </w:tcPr>
          <w:p w14:paraId="04BAB145">
            <w:pPr>
              <w:jc w:val="center"/>
              <w:rPr>
                <w:snapToGrid w:val="0"/>
                <w:color w:val="auto"/>
                <w:kern w:val="21"/>
                <w:szCs w:val="21"/>
              </w:rPr>
            </w:pPr>
            <w:r>
              <w:rPr>
                <w:rFonts w:hint="eastAsia"/>
                <w:snapToGrid w:val="0"/>
                <w:color w:val="auto"/>
                <w:kern w:val="21"/>
                <w:szCs w:val="21"/>
              </w:rPr>
              <w:t>含油抹布、</w:t>
            </w:r>
            <w:r>
              <w:rPr>
                <w:rFonts w:hint="eastAsia"/>
                <w:snapToGrid w:val="0"/>
                <w:color w:val="auto"/>
                <w:kern w:val="21"/>
                <w:szCs w:val="21"/>
                <w:lang w:eastAsia="zh-CN"/>
              </w:rPr>
              <w:t>废</w:t>
            </w:r>
            <w:r>
              <w:rPr>
                <w:rFonts w:hint="eastAsia"/>
                <w:snapToGrid w:val="0"/>
                <w:color w:val="auto"/>
                <w:kern w:val="21"/>
                <w:szCs w:val="21"/>
              </w:rPr>
              <w:t>手套</w:t>
            </w:r>
          </w:p>
        </w:tc>
        <w:tc>
          <w:tcPr>
            <w:tcW w:w="1632" w:type="dxa"/>
            <w:vAlign w:val="center"/>
          </w:tcPr>
          <w:p w14:paraId="047FC22E">
            <w:pPr>
              <w:jc w:val="center"/>
              <w:rPr>
                <w:color w:val="auto"/>
                <w:szCs w:val="21"/>
              </w:rPr>
            </w:pPr>
            <w:r>
              <w:rPr>
                <w:rFonts w:hint="eastAsia"/>
                <w:color w:val="auto"/>
                <w:szCs w:val="21"/>
              </w:rPr>
              <w:t>--</w:t>
            </w:r>
          </w:p>
        </w:tc>
        <w:tc>
          <w:tcPr>
            <w:tcW w:w="1221" w:type="dxa"/>
            <w:vAlign w:val="center"/>
          </w:tcPr>
          <w:p w14:paraId="0230F338">
            <w:pPr>
              <w:jc w:val="center"/>
              <w:rPr>
                <w:color w:val="auto"/>
                <w:szCs w:val="21"/>
              </w:rPr>
            </w:pPr>
            <w:r>
              <w:rPr>
                <w:rFonts w:hint="eastAsia"/>
                <w:color w:val="auto"/>
                <w:szCs w:val="21"/>
              </w:rPr>
              <w:t>--</w:t>
            </w:r>
          </w:p>
        </w:tc>
        <w:tc>
          <w:tcPr>
            <w:tcW w:w="1632" w:type="dxa"/>
            <w:vAlign w:val="center"/>
          </w:tcPr>
          <w:p w14:paraId="0A99CA97">
            <w:pPr>
              <w:jc w:val="center"/>
              <w:rPr>
                <w:color w:val="auto"/>
                <w:szCs w:val="21"/>
              </w:rPr>
            </w:pPr>
            <w:r>
              <w:rPr>
                <w:rFonts w:hint="eastAsia"/>
                <w:color w:val="auto"/>
                <w:szCs w:val="21"/>
              </w:rPr>
              <w:t>--</w:t>
            </w:r>
          </w:p>
        </w:tc>
        <w:tc>
          <w:tcPr>
            <w:tcW w:w="552" w:type="pct"/>
            <w:vAlign w:val="center"/>
          </w:tcPr>
          <w:p w14:paraId="665E8FCC">
            <w:pPr>
              <w:adjustRightInd w:val="0"/>
              <w:jc w:val="center"/>
              <w:rPr>
                <w:snapToGrid w:val="0"/>
                <w:color w:val="auto"/>
                <w:kern w:val="21"/>
                <w:szCs w:val="21"/>
              </w:rPr>
            </w:pPr>
            <w:r>
              <w:rPr>
                <w:rFonts w:hint="eastAsia"/>
                <w:snapToGrid w:val="0"/>
                <w:color w:val="auto"/>
                <w:kern w:val="21"/>
                <w:szCs w:val="21"/>
              </w:rPr>
              <w:t>0.001t/a</w:t>
            </w:r>
          </w:p>
        </w:tc>
        <w:tc>
          <w:tcPr>
            <w:tcW w:w="1688" w:type="dxa"/>
            <w:vAlign w:val="center"/>
          </w:tcPr>
          <w:p w14:paraId="69415941">
            <w:pPr>
              <w:jc w:val="center"/>
              <w:rPr>
                <w:color w:val="auto"/>
                <w:szCs w:val="21"/>
              </w:rPr>
            </w:pPr>
            <w:r>
              <w:rPr>
                <w:rFonts w:hint="eastAsia"/>
                <w:color w:val="auto"/>
                <w:szCs w:val="21"/>
              </w:rPr>
              <w:t>--</w:t>
            </w:r>
          </w:p>
        </w:tc>
        <w:tc>
          <w:tcPr>
            <w:tcW w:w="1634" w:type="dxa"/>
            <w:vAlign w:val="center"/>
          </w:tcPr>
          <w:p w14:paraId="110EC3D5">
            <w:pPr>
              <w:adjustRightInd w:val="0"/>
              <w:jc w:val="center"/>
              <w:rPr>
                <w:snapToGrid w:val="0"/>
                <w:color w:val="auto"/>
                <w:kern w:val="21"/>
                <w:szCs w:val="21"/>
              </w:rPr>
            </w:pPr>
            <w:r>
              <w:rPr>
                <w:rFonts w:hint="eastAsia"/>
                <w:snapToGrid w:val="0"/>
                <w:color w:val="auto"/>
                <w:kern w:val="21"/>
                <w:szCs w:val="21"/>
              </w:rPr>
              <w:t>0.001t/a</w:t>
            </w:r>
          </w:p>
        </w:tc>
        <w:tc>
          <w:tcPr>
            <w:tcW w:w="1321" w:type="dxa"/>
            <w:vAlign w:val="center"/>
          </w:tcPr>
          <w:p w14:paraId="7E6F7FAA">
            <w:pPr>
              <w:adjustRightInd w:val="0"/>
              <w:jc w:val="center"/>
              <w:rPr>
                <w:snapToGrid w:val="0"/>
                <w:color w:val="auto"/>
                <w:kern w:val="21"/>
                <w:szCs w:val="21"/>
              </w:rPr>
            </w:pPr>
            <w:r>
              <w:rPr>
                <w:rFonts w:hint="eastAsia"/>
                <w:snapToGrid w:val="0"/>
                <w:color w:val="auto"/>
                <w:kern w:val="21"/>
                <w:szCs w:val="21"/>
                <w:lang w:val="en-US" w:eastAsia="zh-CN"/>
              </w:rPr>
              <w:t>+</w:t>
            </w:r>
            <w:r>
              <w:rPr>
                <w:rFonts w:hint="eastAsia"/>
                <w:snapToGrid w:val="0"/>
                <w:color w:val="auto"/>
                <w:kern w:val="21"/>
                <w:szCs w:val="21"/>
              </w:rPr>
              <w:t>0.001t/a</w:t>
            </w:r>
          </w:p>
        </w:tc>
      </w:tr>
    </w:tbl>
    <w:p w14:paraId="2D0677B3">
      <w:pPr>
        <w:ind w:firstLine="422" w:firstLineChars="200"/>
        <w:jc w:val="left"/>
        <w:rPr>
          <w:rFonts w:ascii="黑体" w:hAnsi="黑体" w:eastAsia="黑体"/>
          <w:b/>
          <w:color w:val="auto"/>
          <w:sz w:val="32"/>
          <w:szCs w:val="32"/>
        </w:rPr>
      </w:pPr>
      <w:r>
        <w:rPr>
          <w:rFonts w:hAnsi="宋体"/>
          <w:b/>
          <w:snapToGrid w:val="0"/>
          <w:color w:val="auto"/>
          <w:kern w:val="21"/>
          <w:szCs w:val="21"/>
        </w:rPr>
        <w:t>注：</w:t>
      </w:r>
      <w:r>
        <w:rPr>
          <w:rFonts w:hAnsi="宋体"/>
          <w:b/>
          <w:snapToGrid w:val="0"/>
          <w:color w:val="auto"/>
          <w:spacing w:val="-16"/>
          <w:kern w:val="21"/>
          <w:szCs w:val="21"/>
        </w:rPr>
        <w:fldChar w:fldCharType="begin"/>
      </w:r>
      <w:r>
        <w:rPr>
          <w:rFonts w:hAnsi="宋体"/>
          <w:b/>
          <w:snapToGrid w:val="0"/>
          <w:color w:val="auto"/>
          <w:spacing w:val="-16"/>
          <w:kern w:val="21"/>
          <w:szCs w:val="21"/>
        </w:rPr>
        <w:instrText xml:space="preserve"> = 6 \* GB3 \* MERGEFORMAT </w:instrText>
      </w:r>
      <w:r>
        <w:rPr>
          <w:rFonts w:hAnsi="宋体"/>
          <w:b/>
          <w:snapToGrid w:val="0"/>
          <w:color w:val="auto"/>
          <w:spacing w:val="-16"/>
          <w:kern w:val="21"/>
          <w:szCs w:val="21"/>
        </w:rPr>
        <w:fldChar w:fldCharType="separate"/>
      </w:r>
      <w:r>
        <w:rPr>
          <w:rFonts w:hint="eastAsia" w:hAnsi="宋体"/>
          <w:b/>
          <w:color w:val="auto"/>
          <w:szCs w:val="21"/>
        </w:rPr>
        <w:t>⑥</w:t>
      </w:r>
      <w:r>
        <w:rPr>
          <w:rFonts w:hAnsi="宋体"/>
          <w:b/>
          <w:snapToGrid w:val="0"/>
          <w:color w:val="auto"/>
          <w:spacing w:val="-16"/>
          <w:kern w:val="21"/>
          <w:szCs w:val="21"/>
        </w:rPr>
        <w:fldChar w:fldCharType="end"/>
      </w:r>
      <w:r>
        <w:rPr>
          <w:rFonts w:hAnsi="宋体"/>
          <w:b/>
          <w:snapToGrid w:val="0"/>
          <w:color w:val="auto"/>
          <w:spacing w:val="-1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1 \* GB3 \* MERGEFORMAT </w:instrText>
      </w:r>
      <w:r>
        <w:rPr>
          <w:rFonts w:hAnsi="宋体"/>
          <w:b/>
          <w:snapToGrid w:val="0"/>
          <w:color w:val="auto"/>
          <w:spacing w:val="-6"/>
          <w:kern w:val="21"/>
          <w:szCs w:val="21"/>
        </w:rPr>
        <w:fldChar w:fldCharType="separate"/>
      </w:r>
      <w:r>
        <w:rPr>
          <w:rFonts w:hint="eastAsia" w:hAnsi="宋体"/>
          <w:b/>
          <w:color w:val="auto"/>
          <w:szCs w:val="21"/>
        </w:rPr>
        <w:t>①</w:t>
      </w:r>
      <w:r>
        <w:rPr>
          <w:rFonts w:hAnsi="宋体"/>
          <w:b/>
          <w:snapToGrid w:val="0"/>
          <w:color w:val="auto"/>
          <w:spacing w:val="-6"/>
          <w:kern w:val="21"/>
          <w:szCs w:val="21"/>
        </w:rPr>
        <w:fldChar w:fldCharType="end"/>
      </w:r>
      <w:r>
        <w:rPr>
          <w:rFonts w:hAnsi="宋体"/>
          <w:b/>
          <w:snapToGrid w:val="0"/>
          <w:color w:val="auto"/>
          <w:spacing w:val="-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3 \* GB3 \* MERGEFORMAT </w:instrText>
      </w:r>
      <w:r>
        <w:rPr>
          <w:rFonts w:hAnsi="宋体"/>
          <w:b/>
          <w:snapToGrid w:val="0"/>
          <w:color w:val="auto"/>
          <w:spacing w:val="-6"/>
          <w:kern w:val="21"/>
          <w:szCs w:val="21"/>
        </w:rPr>
        <w:fldChar w:fldCharType="separate"/>
      </w:r>
      <w:r>
        <w:rPr>
          <w:rFonts w:hint="eastAsia" w:hAnsi="宋体"/>
          <w:b/>
          <w:color w:val="auto"/>
          <w:szCs w:val="21"/>
        </w:rPr>
        <w:t>③</w:t>
      </w:r>
      <w:r>
        <w:rPr>
          <w:rFonts w:hAnsi="宋体"/>
          <w:b/>
          <w:snapToGrid w:val="0"/>
          <w:color w:val="auto"/>
          <w:spacing w:val="-6"/>
          <w:kern w:val="21"/>
          <w:szCs w:val="21"/>
        </w:rPr>
        <w:fldChar w:fldCharType="end"/>
      </w:r>
      <w:r>
        <w:rPr>
          <w:rFonts w:hAnsi="宋体"/>
          <w:b/>
          <w:snapToGrid w:val="0"/>
          <w:color w:val="auto"/>
          <w:spacing w:val="-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4 \* GB3 \* MERGEFORMAT </w:instrText>
      </w:r>
      <w:r>
        <w:rPr>
          <w:rFonts w:hAnsi="宋体"/>
          <w:b/>
          <w:snapToGrid w:val="0"/>
          <w:color w:val="auto"/>
          <w:spacing w:val="-6"/>
          <w:kern w:val="21"/>
          <w:szCs w:val="21"/>
        </w:rPr>
        <w:fldChar w:fldCharType="separate"/>
      </w:r>
      <w:r>
        <w:rPr>
          <w:rFonts w:hint="eastAsia" w:hAnsi="宋体"/>
          <w:b/>
          <w:color w:val="auto"/>
          <w:szCs w:val="21"/>
        </w:rPr>
        <w:t>④</w:t>
      </w:r>
      <w:r>
        <w:rPr>
          <w:rFonts w:hAnsi="宋体"/>
          <w:b/>
          <w:snapToGrid w:val="0"/>
          <w:color w:val="auto"/>
          <w:spacing w:val="-6"/>
          <w:kern w:val="21"/>
          <w:szCs w:val="21"/>
        </w:rPr>
        <w:fldChar w:fldCharType="end"/>
      </w:r>
      <w:r>
        <w:rPr>
          <w:rFonts w:hAnsi="宋体"/>
          <w:b/>
          <w:snapToGrid w:val="0"/>
          <w:color w:val="auto"/>
          <w:spacing w:val="-6"/>
          <w:kern w:val="21"/>
          <w:szCs w:val="21"/>
        </w:rPr>
        <w:t>-</w:t>
      </w:r>
      <w:r>
        <w:rPr>
          <w:rFonts w:hAnsi="宋体"/>
          <w:b/>
          <w:snapToGrid w:val="0"/>
          <w:color w:val="auto"/>
          <w:spacing w:val="-16"/>
          <w:kern w:val="21"/>
          <w:szCs w:val="21"/>
        </w:rPr>
        <w:fldChar w:fldCharType="begin"/>
      </w:r>
      <w:r>
        <w:rPr>
          <w:rFonts w:hAnsi="宋体"/>
          <w:b/>
          <w:snapToGrid w:val="0"/>
          <w:color w:val="auto"/>
          <w:spacing w:val="-16"/>
          <w:kern w:val="21"/>
          <w:szCs w:val="21"/>
        </w:rPr>
        <w:instrText xml:space="preserve"> = 5 \* GB3 \* MERGEFORMAT </w:instrText>
      </w:r>
      <w:r>
        <w:rPr>
          <w:rFonts w:hAnsi="宋体"/>
          <w:b/>
          <w:snapToGrid w:val="0"/>
          <w:color w:val="auto"/>
          <w:spacing w:val="-16"/>
          <w:kern w:val="21"/>
          <w:szCs w:val="21"/>
        </w:rPr>
        <w:fldChar w:fldCharType="separate"/>
      </w:r>
      <w:r>
        <w:rPr>
          <w:rFonts w:hint="eastAsia" w:hAnsi="宋体"/>
          <w:b/>
          <w:color w:val="auto"/>
          <w:szCs w:val="21"/>
        </w:rPr>
        <w:t>⑤</w:t>
      </w:r>
      <w:r>
        <w:rPr>
          <w:rFonts w:hAnsi="宋体"/>
          <w:b/>
          <w:snapToGrid w:val="0"/>
          <w:color w:val="auto"/>
          <w:spacing w:val="-16"/>
          <w:kern w:val="21"/>
          <w:szCs w:val="21"/>
        </w:rPr>
        <w:fldChar w:fldCharType="end"/>
      </w:r>
      <w:r>
        <w:rPr>
          <w:rFonts w:hAnsi="宋体"/>
          <w:b/>
          <w:snapToGrid w:val="0"/>
          <w:color w:val="auto"/>
          <w:spacing w:val="-1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7 \* GB3 \* MERGEFORMAT </w:instrText>
      </w:r>
      <w:r>
        <w:rPr>
          <w:rFonts w:hAnsi="宋体"/>
          <w:b/>
          <w:snapToGrid w:val="0"/>
          <w:color w:val="auto"/>
          <w:spacing w:val="-6"/>
          <w:kern w:val="21"/>
          <w:szCs w:val="21"/>
        </w:rPr>
        <w:fldChar w:fldCharType="separate"/>
      </w:r>
      <w:r>
        <w:rPr>
          <w:rFonts w:hint="eastAsia" w:hAnsi="宋体"/>
          <w:b/>
          <w:color w:val="auto"/>
          <w:szCs w:val="21"/>
        </w:rPr>
        <w:t>⑦</w:t>
      </w:r>
      <w:r>
        <w:rPr>
          <w:rFonts w:hAnsi="宋体"/>
          <w:b/>
          <w:snapToGrid w:val="0"/>
          <w:color w:val="auto"/>
          <w:spacing w:val="-6"/>
          <w:kern w:val="21"/>
          <w:szCs w:val="21"/>
        </w:rPr>
        <w:fldChar w:fldCharType="end"/>
      </w:r>
      <w:r>
        <w:rPr>
          <w:rFonts w:hAnsi="宋体"/>
          <w:b/>
          <w:snapToGrid w:val="0"/>
          <w:color w:val="auto"/>
          <w:spacing w:val="-6"/>
          <w:kern w:val="21"/>
          <w:szCs w:val="21"/>
        </w:rPr>
        <w:t>=</w:t>
      </w:r>
      <w:r>
        <w:rPr>
          <w:rFonts w:hAnsi="宋体"/>
          <w:b/>
          <w:snapToGrid w:val="0"/>
          <w:color w:val="auto"/>
          <w:spacing w:val="-16"/>
          <w:kern w:val="21"/>
          <w:szCs w:val="21"/>
        </w:rPr>
        <w:fldChar w:fldCharType="begin"/>
      </w:r>
      <w:r>
        <w:rPr>
          <w:rFonts w:hAnsi="宋体"/>
          <w:b/>
          <w:snapToGrid w:val="0"/>
          <w:color w:val="auto"/>
          <w:spacing w:val="-16"/>
          <w:kern w:val="21"/>
          <w:szCs w:val="21"/>
        </w:rPr>
        <w:instrText xml:space="preserve"> = 6 \* GB3 \* MERGEFORMAT </w:instrText>
      </w:r>
      <w:r>
        <w:rPr>
          <w:rFonts w:hAnsi="宋体"/>
          <w:b/>
          <w:snapToGrid w:val="0"/>
          <w:color w:val="auto"/>
          <w:spacing w:val="-16"/>
          <w:kern w:val="21"/>
          <w:szCs w:val="21"/>
        </w:rPr>
        <w:fldChar w:fldCharType="separate"/>
      </w:r>
      <w:r>
        <w:rPr>
          <w:rFonts w:hint="eastAsia" w:hAnsi="宋体"/>
          <w:b/>
          <w:color w:val="auto"/>
          <w:szCs w:val="21"/>
        </w:rPr>
        <w:t>⑥</w:t>
      </w:r>
      <w:r>
        <w:rPr>
          <w:rFonts w:hAnsi="宋体"/>
          <w:b/>
          <w:snapToGrid w:val="0"/>
          <w:color w:val="auto"/>
          <w:spacing w:val="-16"/>
          <w:kern w:val="21"/>
          <w:szCs w:val="21"/>
        </w:rPr>
        <w:fldChar w:fldCharType="end"/>
      </w:r>
      <w:r>
        <w:rPr>
          <w:rFonts w:hAnsi="宋体"/>
          <w:b/>
          <w:snapToGrid w:val="0"/>
          <w:color w:val="auto"/>
          <w:spacing w:val="-16"/>
          <w:kern w:val="21"/>
          <w:szCs w:val="21"/>
        </w:rPr>
        <w:t>-</w:t>
      </w:r>
      <w:r>
        <w:rPr>
          <w:rFonts w:hAnsi="宋体"/>
          <w:b/>
          <w:snapToGrid w:val="0"/>
          <w:color w:val="auto"/>
          <w:spacing w:val="-6"/>
          <w:kern w:val="21"/>
          <w:szCs w:val="21"/>
        </w:rPr>
        <w:fldChar w:fldCharType="begin"/>
      </w:r>
      <w:r>
        <w:rPr>
          <w:rFonts w:hAnsi="宋体"/>
          <w:b/>
          <w:snapToGrid w:val="0"/>
          <w:color w:val="auto"/>
          <w:spacing w:val="-6"/>
          <w:kern w:val="21"/>
          <w:szCs w:val="21"/>
        </w:rPr>
        <w:instrText xml:space="preserve"> = 1 \* GB3 \* MERGEFORMAT </w:instrText>
      </w:r>
      <w:r>
        <w:rPr>
          <w:rFonts w:hAnsi="宋体"/>
          <w:b/>
          <w:snapToGrid w:val="0"/>
          <w:color w:val="auto"/>
          <w:spacing w:val="-6"/>
          <w:kern w:val="21"/>
          <w:szCs w:val="21"/>
        </w:rPr>
        <w:fldChar w:fldCharType="separate"/>
      </w:r>
      <w:r>
        <w:rPr>
          <w:rFonts w:hint="eastAsia" w:hAnsi="宋体"/>
          <w:b/>
          <w:color w:val="auto"/>
          <w:szCs w:val="21"/>
        </w:rPr>
        <w:t>①</w:t>
      </w:r>
      <w:r>
        <w:rPr>
          <w:rFonts w:hAnsi="宋体"/>
          <w:b/>
          <w:snapToGrid w:val="0"/>
          <w:color w:val="auto"/>
          <w:spacing w:val="-6"/>
          <w:kern w:val="21"/>
          <w:szCs w:val="21"/>
        </w:rPr>
        <w:fldChar w:fldCharType="end"/>
      </w:r>
    </w:p>
    <w:sectPr>
      <w:pgSz w:w="16838" w:h="11906" w:orient="landscape"/>
      <w:pgMar w:top="1418" w:right="1701" w:bottom="1418" w:left="1701" w:header="851" w:footer="992" w:gutter="0"/>
      <w:pgBorders>
        <w:top w:val="none" w:sz="0" w:space="0"/>
        <w:left w:val="none" w:sz="0" w:space="0"/>
        <w:bottom w:val="none" w:sz="0" w:space="0"/>
        <w:right w:val="none" w:sz="0" w:space="0"/>
      </w:pgBorders>
      <w:pgNumType w:fmt="decimal"/>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楷体_GB2312">
    <w:panose1 w:val="02010609030101010101"/>
    <w:charset w:val="86"/>
    <w:family w:val="modern"/>
    <w:pitch w:val="default"/>
    <w:sig w:usb0="00000001" w:usb1="080E0000" w:usb2="00000000" w:usb3="00000000" w:csb0="00040000" w:csb1="00000000"/>
  </w:font>
  <w:font w:name="汉鼎简书宋">
    <w:altName w:val="宋体"/>
    <w:panose1 w:val="00000000000000000000"/>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TimesNewRoman">
    <w:altName w:val="Times New Roman"/>
    <w:panose1 w:val="00000000000000000000"/>
    <w:charset w:val="00"/>
    <w:family w:val="roman"/>
    <w:pitch w:val="default"/>
    <w:sig w:usb0="00000000" w:usb1="00000000" w:usb2="00000000" w:usb3="00000000" w:csb0="00000001" w:csb1="00000000"/>
  </w:font>
  <w:font w:name="TimesNewRomanPSMT">
    <w:altName w:val="Times New Roman"/>
    <w:panose1 w:val="00000000000000000000"/>
    <w:charset w:val="86"/>
    <w:family w:val="auto"/>
    <w:pitch w:val="default"/>
    <w:sig w:usb0="00000000" w:usb1="00000000" w:usb2="00000000" w:usb3="00000000" w:csb0="00040000" w:csb1="00000000"/>
  </w:font>
  <w:font w:name="幼圆">
    <w:panose1 w:val="0201050906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auto"/>
    <w:pitch w:val="default"/>
    <w:sig w:usb0="E00002FF" w:usb1="420024FF" w:usb2="00000000" w:usb3="00000000" w:csb0="2000019F" w:csb1="00000000"/>
  </w:font>
  <w:font w:name="等线">
    <w:altName w:val="Arial Unicode MS"/>
    <w:panose1 w:val="02010600030101010101"/>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 w:name="方正小标宋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BE98E5">
    <w:pPr>
      <w:pStyle w:val="26"/>
      <w:ind w:firstLine="180" w:firstLineChars="100"/>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362DAE">
                          <w:pPr>
                            <w:pStyle w:val="2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R3mOY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GJYRoVv3z/dvnx&#10;6/LzK8EZBKpdmCNu5xAZm7e2QdsM5wGHiXdTep2+YETgB9b5Kq9oIuHp0mw6m43h4vANG+Bnj9ed&#10;D/GdsJokI6ce9WtlZadtiF3oEJKyGbuRSrU1VIbUOb15/WbcXrh6AK4MciQS3WOTFZt90zPb2+IM&#10;Yt52vREc30gk37IQH5hHM+DBGJd4j6VUFklsb1FSWf/lX+cpHjWCl5IazZVTg1miRL03qB0A42D4&#10;wdgPhjnqO4tunWAMHW9NXPBRDWbprf6MGVqlHHAxw5Epp3Ew72LX4JhBLlarNujovDxU3QV0nmNx&#10;a3aOpzRJyOBWxwgxW42TQJ0qvW7ovbZK/Zyk5v5z30Y9/hu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HeY5jICAABjBAAADgAAAAAAAAABACAAAAAfAQAAZHJzL2Uyb0RvYy54bWxQSwUG&#10;AAAAAAYABgBZAQAAwwUAAAAA&#10;">
              <v:fill on="f" focussize="0,0"/>
              <v:stroke on="f" weight="0.5pt"/>
              <v:imagedata o:title=""/>
              <o:lock v:ext="edit" aspectratio="f"/>
              <v:textbox inset="0mm,0mm,0mm,0mm" style="mso-fit-shape-to-text:t;">
                <w:txbxContent>
                  <w:p w14:paraId="1B362DAE">
                    <w:pPr>
                      <w:pStyle w:val="2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A0C0A">
    <w:pPr>
      <w:pStyle w:val="26"/>
      <w:rPr>
        <w:rFonts w:ascii="楷体_GB2312" w:eastAsia="楷体_GB2312"/>
        <w:b/>
        <w:sz w:val="24"/>
        <w:szCs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E2711D">
                          <w:pPr>
                            <w:pStyle w:val="26"/>
                          </w:pPr>
                          <w:r>
                            <w:rPr>
                              <w:rStyle w:val="56"/>
                            </w:rPr>
                            <w:fldChar w:fldCharType="begin"/>
                          </w:r>
                          <w:r>
                            <w:rPr>
                              <w:rStyle w:val="56"/>
                            </w:rPr>
                            <w:instrText xml:space="preserve"> PAGE </w:instrText>
                          </w:r>
                          <w:r>
                            <w:rPr>
                              <w:rStyle w:val="56"/>
                            </w:rPr>
                            <w:fldChar w:fldCharType="separate"/>
                          </w:r>
                          <w:r>
                            <w:rPr>
                              <w:rStyle w:val="56"/>
                            </w:rPr>
                            <w:t>71</w:t>
                          </w:r>
                          <w:r>
                            <w:rPr>
                              <w:rStyle w:val="56"/>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OJUQ0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OJUQ0zAgAAYwQAAA4AAAAAAAAAAQAgAAAAHwEAAGRycy9lMm9Eb2MueG1sUEsF&#10;BgAAAAAGAAYAWQEAAMQFAAAAAA==&#10;">
              <v:fill on="f" focussize="0,0"/>
              <v:stroke on="f" weight="0.5pt"/>
              <v:imagedata o:title=""/>
              <o:lock v:ext="edit" aspectratio="f"/>
              <v:textbox inset="0mm,0mm,0mm,0mm" style="mso-fit-shape-to-text:t;">
                <w:txbxContent>
                  <w:p w14:paraId="30E2711D">
                    <w:pPr>
                      <w:pStyle w:val="26"/>
                    </w:pPr>
                    <w:r>
                      <w:rPr>
                        <w:rStyle w:val="56"/>
                      </w:rPr>
                      <w:fldChar w:fldCharType="begin"/>
                    </w:r>
                    <w:r>
                      <w:rPr>
                        <w:rStyle w:val="56"/>
                      </w:rPr>
                      <w:instrText xml:space="preserve"> PAGE </w:instrText>
                    </w:r>
                    <w:r>
                      <w:rPr>
                        <w:rStyle w:val="56"/>
                      </w:rPr>
                      <w:fldChar w:fldCharType="separate"/>
                    </w:r>
                    <w:r>
                      <w:rPr>
                        <w:rStyle w:val="56"/>
                      </w:rPr>
                      <w:t>71</w:t>
                    </w:r>
                    <w:r>
                      <w:rPr>
                        <w:rStyle w:val="56"/>
                      </w:rPr>
                      <w:fldChar w:fldCharType="end"/>
                    </w:r>
                  </w:p>
                </w:txbxContent>
              </v:textbox>
            </v:shape>
          </w:pict>
        </mc:Fallback>
      </mc:AlternateContent>
    </w:r>
    <w:r>
      <w:rPr>
        <w:rFonts w:hint="eastAsia"/>
        <w:b/>
        <w:szCs w:val="18"/>
        <w:lang w:val="en-US"/>
      </w:rPr>
      <mc:AlternateContent>
        <mc:Choice Requires="wps">
          <w:drawing>
            <wp:anchor distT="0" distB="0" distL="114300" distR="114300" simplePos="0" relativeHeight="251661312" behindDoc="0" locked="0" layoutInCell="1" allowOverlap="1">
              <wp:simplePos x="0" y="0"/>
              <wp:positionH relativeFrom="column">
                <wp:posOffset>509270</wp:posOffset>
              </wp:positionH>
              <wp:positionV relativeFrom="paragraph">
                <wp:posOffset>-1905</wp:posOffset>
              </wp:positionV>
              <wp:extent cx="5257800" cy="0"/>
              <wp:effectExtent l="13970" t="8255" r="5080" b="10795"/>
              <wp:wrapNone/>
              <wp:docPr id="2" name="Line 12"/>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wps:spPr>
                    <wps:bodyPr/>
                  </wps:wsp>
                </a:graphicData>
              </a:graphic>
            </wp:anchor>
          </w:drawing>
        </mc:Choice>
        <mc:Fallback>
          <w:pict>
            <v:line id="Line 12" o:spid="_x0000_s1026" o:spt="20" style="position:absolute;left:0pt;margin-left:40.1pt;margin-top:-0.15pt;height:0pt;width:414pt;z-index:251661312;mso-width-relative:page;mso-height-relative:page;" filled="f" stroked="t" coordsize="21600,21600" o:gfxdata="UEsDBAoAAAAAAIdO4kAAAAAAAAAAAAAAAAAEAAAAZHJzL1BLAwQUAAAACACHTuJAXUPxxNIAAAAG&#10;AQAADwAAAGRycy9kb3ducmV2LnhtbE2OTU/DMBBE70j8B2uRuFSt3VRCIcTpAciNC6WI6zZekoh4&#10;ncbuB/x6Fi5wfJrRzCvXZz+oI02xD2xhuTCgiJvgem4tbF/qeQ4qJmSHQ2Cy8EkR1tXlRYmFCyd+&#10;puMmtUpGOBZooUtpLLSOTUce4yKMxJK9h8ljEpxa7SY8ybgfdGbMjfbYszx0ONJ9R83H5uAtxPqV&#10;9vXXrJmZt1UbKNs/PD2itddXS3MHKtE5/ZXhR1/UoRKnXTiwi2qwkJtMmhbmK1AS35pcePfLuir1&#10;f/3qG1BLAwQUAAAACACHTuJAdd3Wz8kBAACgAwAADgAAAGRycy9lMm9Eb2MueG1srVPBjtsgEL1X&#10;6j8g7o0dS9turTh7SLS9pG2k3X4AwdhGBQYxJHb+vgNOstvtZQ/1AQEz8+a9N3j1MFnDTiqgBtfw&#10;5aLkTDkJrXZ9w389P3665wyjcK0w4FTDzwr5w/rjh9Xoa1XBAKZVgRGIw3r0DR9i9HVRoByUFbgA&#10;rxwFOwhWRDqGvmiDGAndmqIqy8/FCKH1AaRCpNvtHOQXxPAeQOg6LdUW5NEqF2fUoIyIJAkH7ZGv&#10;M9uuUzL+7DpUkZmGk9KYV2pC+0Nai/VK1H0QftDyQkG8h8IbTVZoR01vUFsRBTsG/Q+U1TIAQhcX&#10;EmwxC8mOkIpl+cabp0F4lbWQ1ehvpuP/g5U/TvvAdNvwijMnLA18p51iyypZM3qsKWPj9iGJk5N7&#10;8juQv5E52AzC9SpTfD57qlumiuKvknRATw0O43doKUccI2Sfpi7YBEkOsCmP43wbh5oik3R5V919&#10;uS9pUvIaK0R9LfQB4zcFlqVNww2RzsDitMOYiIj6mpL6OHjUxuRpG8fGhn8l9FyAYHSbgikNQ3/Y&#10;mMBOIr2X/GVVFHmdFuDo2rmJcRfRSefs2AHa8z5czaDBZTaXR5Zexutzrn75sdZ/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F1D8cTSAAAABgEAAA8AAAAAAAAAAQAgAAAAIgAAAGRycy9kb3ducmV2&#10;LnhtbFBLAQIUABQAAAAIAIdO4kB13dbPyQEAAKADAAAOAAAAAAAAAAEAIAAAACEBAABkcnMvZTJv&#10;RG9jLnhtbFBLBQYAAAAABgAGAFkBAABcBQAAAAA=&#10;">
              <v:fill on="f" focussize="0,0"/>
              <v:stroke color="#000000" joinstyle="round"/>
              <v:imagedata o:title=""/>
              <o:lock v:ext="edit" aspectratio="f"/>
            </v:line>
          </w:pict>
        </mc:Fallback>
      </mc:AlternateContent>
    </w:r>
    <w:r>
      <w:rPr>
        <w:b/>
        <w:szCs w:val="18"/>
        <w:lang w:val="en-US"/>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-1905</wp:posOffset>
              </wp:positionV>
              <wp:extent cx="5257800" cy="0"/>
              <wp:effectExtent l="9525" t="8255" r="9525" b="10795"/>
              <wp:wrapNone/>
              <wp:docPr id="1" name="Line 11"/>
              <wp:cNvGraphicFramePr/>
              <a:graphic xmlns:a="http://schemas.openxmlformats.org/drawingml/2006/main">
                <a:graphicData uri="http://schemas.microsoft.com/office/word/2010/wordprocessingShape">
                  <wps:wsp>
                    <wps:cNvCnPr>
                      <a:cxnSpLocks noChangeShapeType="1"/>
                    </wps:cNvCnPr>
                    <wps:spPr bwMode="auto">
                      <a:xfrm>
                        <a:off x="0" y="0"/>
                        <a:ext cx="525780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0pt;margin-top:-0.15pt;height:0pt;width:414pt;z-index:251660288;mso-width-relative:page;mso-height-relative:page;" filled="f" stroked="t" coordsize="21600,21600" o:gfxdata="UEsDBAoAAAAAAIdO4kAAAAAAAAAAAAAAAAAEAAAAZHJzL1BLAwQUAAAACACHTuJA82O25tIAAAAE&#10;AQAADwAAAGRycy9kb3ducmV2LnhtbE2Py07DMBBF90j8gzVIbKrWbiqhKMTpAsiODQXEdhpPk6jx&#10;OI3dB3w9AxtYHt3RvWfK9cUP6kRT7ANbWC4MKOImuJ5bC2+v9TwHFROywyEwWfikCOvq+qrEwoUz&#10;v9Bpk1olJRwLtNClNBZax6Yjj3ERRmLJdmHymASnVrsJz1LuB50Zc6c99iwLHY700FGz3xy9hVi/&#10;06H+mjUz87FqA2WHx+cntPb2ZmnuQSW6pL9j+NEXdajEaRuO7KIaLMgjycJ8BUrCPMuFt7+sq1L/&#10;l6++AVBLAwQUAAAACACHTuJAvkYR/MgBAACgAwAADgAAAGRycy9lMm9Eb2MueG1srVNNb9swDL0P&#10;2H8QdF+cBOjWGXF6SNBdsi1Aux+gSLItTBIFUYmdfz9KTtK1u/QwHwSJH498j/TqYXSWnXREA77h&#10;i9mcM+0lKOO7hv96fvx0zxkm4ZWw4HXDzxr5w/rjh9UQar2EHqzSkRGIx3oIDe9TCnVVoey1EziD&#10;oD05W4hOJHrGrlJRDITubLWczz9XA0QVIkiNSNbt5OQXxPgeQGhbI/UW5NFpnybUqK1IRAl7E5Cv&#10;S7dtq2X62baoE7MNJ6apnFSE7od8VuuVqLsoQm/kpQXxnhbecHLCeCp6g9qKJNgxmn+gnJERENo0&#10;k+CqiUhRhFgs5m+0eepF0IULSY3hJjr+P1j547SPzCjaBM68cDTwnfGaLRZZmiFgTREbv4+ZnBz9&#10;U9iB/I3Mw6YXvtOlxedzoLySUb1KyQ8MVOAwfAdFMeKYoOg0ttFlSFKAjWUc59s49JiYJOPd8u7L&#10;/ZwmJa++StTXxBAxfdPgWL403FLTBVicdpiodQq9huQ6Hh6NtWXa1rOh4V8JvSQgWKOyM4dh7A4b&#10;G9lJ5H0pX9aBwF6FRTh6NdmtJ/eV56TYAdR5H7M722lwBeCyZHkz/n6XqJcfa/0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82O25tIAAAAEAQAADwAAAAAAAAABACAAAAAiAAAAZHJzL2Rvd25yZXYu&#10;eG1sUEsBAhQAFAAAAAgAh07iQL5GEfzIAQAAoAMAAA4AAAAAAAAAAQAgAAAAIQEAAGRycy9lMm9E&#10;b2MueG1sUEsFBgAAAAAGAAYAWQEAAFsFAAAAAA==&#10;">
              <v:fill on="f" focussize="0,0"/>
              <v:stroke color="#000000" joinstyle="round"/>
              <v:imagedata o:title=""/>
              <o:lock v:ext="edit" aspectratio="f"/>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EA37F">
    <w:pPr>
      <w:pStyle w:val="26"/>
      <w:framePr w:wrap="around" w:vAnchor="text" w:hAnchor="margin" w:xAlign="center" w:y="1"/>
      <w:rPr>
        <w:rStyle w:val="56"/>
      </w:rPr>
    </w:pPr>
    <w:r>
      <w:fldChar w:fldCharType="begin"/>
    </w:r>
    <w:r>
      <w:rPr>
        <w:rStyle w:val="56"/>
      </w:rPr>
      <w:instrText xml:space="preserve">PAGE  </w:instrText>
    </w:r>
    <w:r>
      <w:fldChar w:fldCharType="separate"/>
    </w:r>
    <w:r>
      <w:rPr>
        <w:rStyle w:val="56"/>
        <w:lang w:val="en-US"/>
      </w:rPr>
      <w:t>1</w:t>
    </w:r>
    <w:r>
      <w:fldChar w:fldCharType="end"/>
    </w:r>
  </w:p>
  <w:p w14:paraId="479DFC0B">
    <w:pPr>
      <w:pStyle w:val="26"/>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6B7460">
    <w:pPr>
      <w:pStyle w:val="27"/>
      <w:rPr>
        <w:rFonts w:hint="eastAsia" w:eastAsia="宋体"/>
        <w:lang w:val="en-US" w:eastAsia="zh-CN"/>
      </w:rPr>
    </w:pPr>
    <w:r>
      <w:rPr>
        <w:rFonts w:hint="eastAsia"/>
        <w:lang w:eastAsia="zh-CN"/>
      </w:rPr>
      <w:t>淮南市三好米业有限公司年产</w:t>
    </w:r>
    <w:r>
      <w:rPr>
        <w:rFonts w:hint="eastAsia"/>
        <w:lang w:val="en-US" w:eastAsia="zh-CN"/>
      </w:rPr>
      <w:t>6万吨优质大米项目环境影响报告表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4A8DA81"/>
    <w:multiLevelType w:val="singleLevel"/>
    <w:tmpl w:val="34A8DA81"/>
    <w:lvl w:ilvl="0" w:tentative="0">
      <w:start w:val="1"/>
      <w:numFmt w:val="bullet"/>
      <w:pStyle w:val="15"/>
      <w:lvlText w:val=""/>
      <w:lvlJc w:val="left"/>
      <w:pPr>
        <w:tabs>
          <w:tab w:val="left" w:pos="2040"/>
        </w:tabs>
        <w:ind w:left="2040" w:hanging="360"/>
      </w:pPr>
      <w:rPr>
        <w:rFonts w:hint="default" w:ascii="Wingdings" w:hAnsi="Wingdings"/>
      </w:rPr>
    </w:lvl>
  </w:abstractNum>
  <w:abstractNum w:abstractNumId="1">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231"/>
      <w:suff w:val="space"/>
      <w:lvlText w:val="%1.%2"/>
      <w:lvlJc w:val="left"/>
      <w:pPr>
        <w:ind w:left="568"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501AE974"/>
    <w:multiLevelType w:val="singleLevel"/>
    <w:tmpl w:val="501AE974"/>
    <w:lvl w:ilvl="0" w:tentative="0">
      <w:start w:val="4"/>
      <w:numFmt w:val="chineseCounting"/>
      <w:suff w:val="nothing"/>
      <w:lvlText w:val="%1、"/>
      <w:lvlJc w:val="left"/>
      <w:rPr>
        <w:rFonts w:hint="eastAsia"/>
      </w:rPr>
    </w:lvl>
  </w:abstractNum>
  <w:abstractNum w:abstractNumId="3">
    <w:nsid w:val="50CA0FFA"/>
    <w:multiLevelType w:val="multilevel"/>
    <w:tmpl w:val="50CA0FFA"/>
    <w:lvl w:ilvl="0" w:tentative="0">
      <w:start w:val="1"/>
      <w:numFmt w:val="decimal"/>
      <w:lvlText w:val="（%1）"/>
      <w:lvlJc w:val="left"/>
      <w:pPr>
        <w:tabs>
          <w:tab w:val="left" w:pos="720"/>
        </w:tabs>
        <w:ind w:left="720" w:hanging="720"/>
      </w:pPr>
      <w:rPr>
        <w:rFonts w:hint="default"/>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pStyle w:val="203"/>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6B518C6C"/>
    <w:multiLevelType w:val="singleLevel"/>
    <w:tmpl w:val="6B518C6C"/>
    <w:lvl w:ilvl="0" w:tentative="0">
      <w:start w:val="4"/>
      <w:numFmt w:val="decimal"/>
      <w:suff w:val="nothing"/>
      <w:lvlText w:val="（%1）"/>
      <w:lvlJc w:val="left"/>
    </w:lvl>
  </w:abstractNum>
  <w:num w:numId="1">
    <w:abstractNumId w:val="0"/>
  </w:num>
  <w:num w:numId="2">
    <w:abstractNumId w:val="3"/>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hkZTQzNGJiZTFkNTRkZmNmN2FiYmNmYjgxODUxOGEifQ=="/>
  </w:docVars>
  <w:rsids>
    <w:rsidRoot w:val="00172A27"/>
    <w:rsid w:val="0000092D"/>
    <w:rsid w:val="00000F15"/>
    <w:rsid w:val="00001E0B"/>
    <w:rsid w:val="00001F74"/>
    <w:rsid w:val="00001FEB"/>
    <w:rsid w:val="00002268"/>
    <w:rsid w:val="00002997"/>
    <w:rsid w:val="00002AB7"/>
    <w:rsid w:val="00003360"/>
    <w:rsid w:val="000036A6"/>
    <w:rsid w:val="00003794"/>
    <w:rsid w:val="00003BBD"/>
    <w:rsid w:val="00003BDE"/>
    <w:rsid w:val="00003CDA"/>
    <w:rsid w:val="00003E12"/>
    <w:rsid w:val="0000406B"/>
    <w:rsid w:val="0000494C"/>
    <w:rsid w:val="00004F3C"/>
    <w:rsid w:val="00005484"/>
    <w:rsid w:val="000055AF"/>
    <w:rsid w:val="000067F2"/>
    <w:rsid w:val="00006D6C"/>
    <w:rsid w:val="00006EE0"/>
    <w:rsid w:val="00006EE6"/>
    <w:rsid w:val="00006F96"/>
    <w:rsid w:val="00007570"/>
    <w:rsid w:val="00007A53"/>
    <w:rsid w:val="00007F8D"/>
    <w:rsid w:val="0001069E"/>
    <w:rsid w:val="00010B54"/>
    <w:rsid w:val="00010DDA"/>
    <w:rsid w:val="00010EB0"/>
    <w:rsid w:val="0001166E"/>
    <w:rsid w:val="00011C38"/>
    <w:rsid w:val="00011E56"/>
    <w:rsid w:val="00012198"/>
    <w:rsid w:val="0001271F"/>
    <w:rsid w:val="0001289E"/>
    <w:rsid w:val="00012987"/>
    <w:rsid w:val="00013B6E"/>
    <w:rsid w:val="00013BFE"/>
    <w:rsid w:val="000140F5"/>
    <w:rsid w:val="000145DE"/>
    <w:rsid w:val="000146ED"/>
    <w:rsid w:val="00014A64"/>
    <w:rsid w:val="00014AFC"/>
    <w:rsid w:val="00014F6F"/>
    <w:rsid w:val="000150FC"/>
    <w:rsid w:val="000155B5"/>
    <w:rsid w:val="000156FC"/>
    <w:rsid w:val="00015A54"/>
    <w:rsid w:val="00016D46"/>
    <w:rsid w:val="00016E10"/>
    <w:rsid w:val="00017DD7"/>
    <w:rsid w:val="00017ED5"/>
    <w:rsid w:val="0002006C"/>
    <w:rsid w:val="000202BF"/>
    <w:rsid w:val="00020E4A"/>
    <w:rsid w:val="00021091"/>
    <w:rsid w:val="000210F1"/>
    <w:rsid w:val="00022377"/>
    <w:rsid w:val="00022C9A"/>
    <w:rsid w:val="00022EEB"/>
    <w:rsid w:val="000238C7"/>
    <w:rsid w:val="00023DB1"/>
    <w:rsid w:val="00023F48"/>
    <w:rsid w:val="00023F9F"/>
    <w:rsid w:val="00023FE5"/>
    <w:rsid w:val="00024174"/>
    <w:rsid w:val="00024693"/>
    <w:rsid w:val="00024BE5"/>
    <w:rsid w:val="00026923"/>
    <w:rsid w:val="0002692B"/>
    <w:rsid w:val="000272AE"/>
    <w:rsid w:val="00027B19"/>
    <w:rsid w:val="00027CDB"/>
    <w:rsid w:val="00027FA4"/>
    <w:rsid w:val="00030032"/>
    <w:rsid w:val="000302F2"/>
    <w:rsid w:val="000306CE"/>
    <w:rsid w:val="00030AB0"/>
    <w:rsid w:val="00030ADC"/>
    <w:rsid w:val="00030CCB"/>
    <w:rsid w:val="00030E2A"/>
    <w:rsid w:val="000311DC"/>
    <w:rsid w:val="00031775"/>
    <w:rsid w:val="00031A83"/>
    <w:rsid w:val="000321AE"/>
    <w:rsid w:val="000326D1"/>
    <w:rsid w:val="00032709"/>
    <w:rsid w:val="00032842"/>
    <w:rsid w:val="00032DE7"/>
    <w:rsid w:val="00032F27"/>
    <w:rsid w:val="0003316E"/>
    <w:rsid w:val="000332B1"/>
    <w:rsid w:val="00033CFE"/>
    <w:rsid w:val="00034129"/>
    <w:rsid w:val="00034599"/>
    <w:rsid w:val="00034AD9"/>
    <w:rsid w:val="00034C27"/>
    <w:rsid w:val="00034E2C"/>
    <w:rsid w:val="00035565"/>
    <w:rsid w:val="00035681"/>
    <w:rsid w:val="000357B0"/>
    <w:rsid w:val="00035809"/>
    <w:rsid w:val="000358F6"/>
    <w:rsid w:val="00035E21"/>
    <w:rsid w:val="000360F6"/>
    <w:rsid w:val="00036470"/>
    <w:rsid w:val="00037155"/>
    <w:rsid w:val="000376E6"/>
    <w:rsid w:val="00037777"/>
    <w:rsid w:val="000408A1"/>
    <w:rsid w:val="000408AC"/>
    <w:rsid w:val="00040CB3"/>
    <w:rsid w:val="00041108"/>
    <w:rsid w:val="00041434"/>
    <w:rsid w:val="00041AB4"/>
    <w:rsid w:val="00041DAF"/>
    <w:rsid w:val="00042242"/>
    <w:rsid w:val="000423A4"/>
    <w:rsid w:val="00042511"/>
    <w:rsid w:val="00042627"/>
    <w:rsid w:val="00042A74"/>
    <w:rsid w:val="000434A1"/>
    <w:rsid w:val="0004354C"/>
    <w:rsid w:val="000435CA"/>
    <w:rsid w:val="000436FD"/>
    <w:rsid w:val="00043CD5"/>
    <w:rsid w:val="0004429B"/>
    <w:rsid w:val="00044A78"/>
    <w:rsid w:val="00044F24"/>
    <w:rsid w:val="00045077"/>
    <w:rsid w:val="0004529A"/>
    <w:rsid w:val="000455B2"/>
    <w:rsid w:val="00046CA0"/>
    <w:rsid w:val="000472DE"/>
    <w:rsid w:val="00047471"/>
    <w:rsid w:val="000476E9"/>
    <w:rsid w:val="00047D4E"/>
    <w:rsid w:val="00047F88"/>
    <w:rsid w:val="00050098"/>
    <w:rsid w:val="00051F15"/>
    <w:rsid w:val="00051F7C"/>
    <w:rsid w:val="00052846"/>
    <w:rsid w:val="00053705"/>
    <w:rsid w:val="000539D7"/>
    <w:rsid w:val="00053E8F"/>
    <w:rsid w:val="00054214"/>
    <w:rsid w:val="00054221"/>
    <w:rsid w:val="00054452"/>
    <w:rsid w:val="00054587"/>
    <w:rsid w:val="0005480B"/>
    <w:rsid w:val="00055203"/>
    <w:rsid w:val="000556CD"/>
    <w:rsid w:val="00055EE2"/>
    <w:rsid w:val="0005634D"/>
    <w:rsid w:val="00056AAD"/>
    <w:rsid w:val="00056AB9"/>
    <w:rsid w:val="00056B46"/>
    <w:rsid w:val="00057399"/>
    <w:rsid w:val="0005787A"/>
    <w:rsid w:val="00057C77"/>
    <w:rsid w:val="00060E02"/>
    <w:rsid w:val="000610A5"/>
    <w:rsid w:val="000610B4"/>
    <w:rsid w:val="00061BA5"/>
    <w:rsid w:val="00061FFA"/>
    <w:rsid w:val="00062DC0"/>
    <w:rsid w:val="00062EC9"/>
    <w:rsid w:val="000632CD"/>
    <w:rsid w:val="00063F36"/>
    <w:rsid w:val="000641C9"/>
    <w:rsid w:val="000642DB"/>
    <w:rsid w:val="00064802"/>
    <w:rsid w:val="0006484F"/>
    <w:rsid w:val="00064A76"/>
    <w:rsid w:val="000655A6"/>
    <w:rsid w:val="000658BD"/>
    <w:rsid w:val="00065B4A"/>
    <w:rsid w:val="00066444"/>
    <w:rsid w:val="00066567"/>
    <w:rsid w:val="0006668D"/>
    <w:rsid w:val="00066CAD"/>
    <w:rsid w:val="00067162"/>
    <w:rsid w:val="00067199"/>
    <w:rsid w:val="000678BF"/>
    <w:rsid w:val="00067989"/>
    <w:rsid w:val="0007020B"/>
    <w:rsid w:val="00070CA3"/>
    <w:rsid w:val="00070E33"/>
    <w:rsid w:val="000711DC"/>
    <w:rsid w:val="000715F6"/>
    <w:rsid w:val="0007187A"/>
    <w:rsid w:val="00071AB8"/>
    <w:rsid w:val="00071AF3"/>
    <w:rsid w:val="00071BAE"/>
    <w:rsid w:val="00071EC5"/>
    <w:rsid w:val="000728F9"/>
    <w:rsid w:val="00072BA4"/>
    <w:rsid w:val="00072C14"/>
    <w:rsid w:val="00072C23"/>
    <w:rsid w:val="00072C25"/>
    <w:rsid w:val="00072EF5"/>
    <w:rsid w:val="000730A3"/>
    <w:rsid w:val="0007317A"/>
    <w:rsid w:val="00073732"/>
    <w:rsid w:val="0007444C"/>
    <w:rsid w:val="000748B2"/>
    <w:rsid w:val="00074F3D"/>
    <w:rsid w:val="00075815"/>
    <w:rsid w:val="000767B8"/>
    <w:rsid w:val="00076813"/>
    <w:rsid w:val="000772DA"/>
    <w:rsid w:val="000777A9"/>
    <w:rsid w:val="000777CA"/>
    <w:rsid w:val="00077961"/>
    <w:rsid w:val="00077BFA"/>
    <w:rsid w:val="00077C13"/>
    <w:rsid w:val="00077D45"/>
    <w:rsid w:val="00077D92"/>
    <w:rsid w:val="00077E12"/>
    <w:rsid w:val="00077EC9"/>
    <w:rsid w:val="000808B8"/>
    <w:rsid w:val="0008134D"/>
    <w:rsid w:val="00081ABE"/>
    <w:rsid w:val="000821CC"/>
    <w:rsid w:val="000823AB"/>
    <w:rsid w:val="000825B5"/>
    <w:rsid w:val="00082BEF"/>
    <w:rsid w:val="00082CC3"/>
    <w:rsid w:val="00082F21"/>
    <w:rsid w:val="00083E9C"/>
    <w:rsid w:val="00083F0F"/>
    <w:rsid w:val="000849F4"/>
    <w:rsid w:val="000858C2"/>
    <w:rsid w:val="00085F05"/>
    <w:rsid w:val="000860AF"/>
    <w:rsid w:val="000862D5"/>
    <w:rsid w:val="0008644E"/>
    <w:rsid w:val="00086A8A"/>
    <w:rsid w:val="00086DB7"/>
    <w:rsid w:val="00087830"/>
    <w:rsid w:val="0008783D"/>
    <w:rsid w:val="000878A6"/>
    <w:rsid w:val="000879A0"/>
    <w:rsid w:val="00087A1A"/>
    <w:rsid w:val="00087F48"/>
    <w:rsid w:val="000903EF"/>
    <w:rsid w:val="00090E87"/>
    <w:rsid w:val="00090F38"/>
    <w:rsid w:val="000913A6"/>
    <w:rsid w:val="00091E10"/>
    <w:rsid w:val="00091E5F"/>
    <w:rsid w:val="00092F02"/>
    <w:rsid w:val="0009300C"/>
    <w:rsid w:val="0009355E"/>
    <w:rsid w:val="0009395B"/>
    <w:rsid w:val="00093CE1"/>
    <w:rsid w:val="000946E7"/>
    <w:rsid w:val="000948D8"/>
    <w:rsid w:val="00095053"/>
    <w:rsid w:val="000953B1"/>
    <w:rsid w:val="00095A2D"/>
    <w:rsid w:val="000967C5"/>
    <w:rsid w:val="00096900"/>
    <w:rsid w:val="000969F4"/>
    <w:rsid w:val="00097946"/>
    <w:rsid w:val="000979FD"/>
    <w:rsid w:val="00097A98"/>
    <w:rsid w:val="00097C1F"/>
    <w:rsid w:val="000A02E1"/>
    <w:rsid w:val="000A0515"/>
    <w:rsid w:val="000A1165"/>
    <w:rsid w:val="000A13A4"/>
    <w:rsid w:val="000A1899"/>
    <w:rsid w:val="000A21B8"/>
    <w:rsid w:val="000A224A"/>
    <w:rsid w:val="000A2456"/>
    <w:rsid w:val="000A2617"/>
    <w:rsid w:val="000A3020"/>
    <w:rsid w:val="000A3032"/>
    <w:rsid w:val="000A319E"/>
    <w:rsid w:val="000A376A"/>
    <w:rsid w:val="000A42AD"/>
    <w:rsid w:val="000A43AD"/>
    <w:rsid w:val="000A4BE4"/>
    <w:rsid w:val="000A4BFA"/>
    <w:rsid w:val="000A4CF2"/>
    <w:rsid w:val="000A4E80"/>
    <w:rsid w:val="000A509F"/>
    <w:rsid w:val="000A513E"/>
    <w:rsid w:val="000A5466"/>
    <w:rsid w:val="000A586E"/>
    <w:rsid w:val="000A5918"/>
    <w:rsid w:val="000A5B8F"/>
    <w:rsid w:val="000A633D"/>
    <w:rsid w:val="000A668D"/>
    <w:rsid w:val="000A6D2C"/>
    <w:rsid w:val="000A6F1D"/>
    <w:rsid w:val="000A7335"/>
    <w:rsid w:val="000A7B99"/>
    <w:rsid w:val="000B0F84"/>
    <w:rsid w:val="000B130A"/>
    <w:rsid w:val="000B157F"/>
    <w:rsid w:val="000B16FD"/>
    <w:rsid w:val="000B19A5"/>
    <w:rsid w:val="000B1A5D"/>
    <w:rsid w:val="000B237F"/>
    <w:rsid w:val="000B25AF"/>
    <w:rsid w:val="000B2AA0"/>
    <w:rsid w:val="000B2CC8"/>
    <w:rsid w:val="000B2DCA"/>
    <w:rsid w:val="000B3169"/>
    <w:rsid w:val="000B35D1"/>
    <w:rsid w:val="000B36BF"/>
    <w:rsid w:val="000B41FB"/>
    <w:rsid w:val="000B44DB"/>
    <w:rsid w:val="000B4529"/>
    <w:rsid w:val="000B45A2"/>
    <w:rsid w:val="000B47E1"/>
    <w:rsid w:val="000B49B0"/>
    <w:rsid w:val="000B51DD"/>
    <w:rsid w:val="000B5A24"/>
    <w:rsid w:val="000B5BF4"/>
    <w:rsid w:val="000B5E7D"/>
    <w:rsid w:val="000B5F9E"/>
    <w:rsid w:val="000B68EC"/>
    <w:rsid w:val="000B69E3"/>
    <w:rsid w:val="000B6ADA"/>
    <w:rsid w:val="000B705A"/>
    <w:rsid w:val="000B71D5"/>
    <w:rsid w:val="000B78F2"/>
    <w:rsid w:val="000C01E1"/>
    <w:rsid w:val="000C1318"/>
    <w:rsid w:val="000C16DA"/>
    <w:rsid w:val="000C19DE"/>
    <w:rsid w:val="000C1AB1"/>
    <w:rsid w:val="000C1DFF"/>
    <w:rsid w:val="000C205F"/>
    <w:rsid w:val="000C2364"/>
    <w:rsid w:val="000C2541"/>
    <w:rsid w:val="000C2DA5"/>
    <w:rsid w:val="000C4270"/>
    <w:rsid w:val="000C4B35"/>
    <w:rsid w:val="000C4F2F"/>
    <w:rsid w:val="000C5268"/>
    <w:rsid w:val="000C56FB"/>
    <w:rsid w:val="000C5F23"/>
    <w:rsid w:val="000C6229"/>
    <w:rsid w:val="000C6310"/>
    <w:rsid w:val="000C6991"/>
    <w:rsid w:val="000C6EC0"/>
    <w:rsid w:val="000C7634"/>
    <w:rsid w:val="000C792E"/>
    <w:rsid w:val="000C7A18"/>
    <w:rsid w:val="000C7B1A"/>
    <w:rsid w:val="000C7E0A"/>
    <w:rsid w:val="000C7F68"/>
    <w:rsid w:val="000D0A2D"/>
    <w:rsid w:val="000D0ABE"/>
    <w:rsid w:val="000D0D9C"/>
    <w:rsid w:val="000D1166"/>
    <w:rsid w:val="000D17DF"/>
    <w:rsid w:val="000D1C76"/>
    <w:rsid w:val="000D2066"/>
    <w:rsid w:val="000D20DE"/>
    <w:rsid w:val="000D2102"/>
    <w:rsid w:val="000D212F"/>
    <w:rsid w:val="000D244E"/>
    <w:rsid w:val="000D26BE"/>
    <w:rsid w:val="000D2E02"/>
    <w:rsid w:val="000D2E0B"/>
    <w:rsid w:val="000D3432"/>
    <w:rsid w:val="000D3A7C"/>
    <w:rsid w:val="000D3CB1"/>
    <w:rsid w:val="000D3FF9"/>
    <w:rsid w:val="000D4796"/>
    <w:rsid w:val="000D48B0"/>
    <w:rsid w:val="000D4AC6"/>
    <w:rsid w:val="000D4E28"/>
    <w:rsid w:val="000D50B8"/>
    <w:rsid w:val="000D5437"/>
    <w:rsid w:val="000D5E45"/>
    <w:rsid w:val="000D6020"/>
    <w:rsid w:val="000D642F"/>
    <w:rsid w:val="000D6D6A"/>
    <w:rsid w:val="000D6E66"/>
    <w:rsid w:val="000D6F0D"/>
    <w:rsid w:val="000D7839"/>
    <w:rsid w:val="000D785D"/>
    <w:rsid w:val="000E0F8F"/>
    <w:rsid w:val="000E0FF0"/>
    <w:rsid w:val="000E1461"/>
    <w:rsid w:val="000E155A"/>
    <w:rsid w:val="000E20D3"/>
    <w:rsid w:val="000E2829"/>
    <w:rsid w:val="000E2ABA"/>
    <w:rsid w:val="000E2D94"/>
    <w:rsid w:val="000E2FB1"/>
    <w:rsid w:val="000E32AB"/>
    <w:rsid w:val="000E342A"/>
    <w:rsid w:val="000E36B5"/>
    <w:rsid w:val="000E3711"/>
    <w:rsid w:val="000E3CAB"/>
    <w:rsid w:val="000E3E2A"/>
    <w:rsid w:val="000E448C"/>
    <w:rsid w:val="000E4A44"/>
    <w:rsid w:val="000E4AC6"/>
    <w:rsid w:val="000E4D78"/>
    <w:rsid w:val="000E5105"/>
    <w:rsid w:val="000E57B8"/>
    <w:rsid w:val="000E59EC"/>
    <w:rsid w:val="000E5E28"/>
    <w:rsid w:val="000E6983"/>
    <w:rsid w:val="000E6DE4"/>
    <w:rsid w:val="000E7195"/>
    <w:rsid w:val="000E77DB"/>
    <w:rsid w:val="000E77E2"/>
    <w:rsid w:val="000E7AF2"/>
    <w:rsid w:val="000E7FC2"/>
    <w:rsid w:val="000F13C1"/>
    <w:rsid w:val="000F13DB"/>
    <w:rsid w:val="000F13F8"/>
    <w:rsid w:val="000F1695"/>
    <w:rsid w:val="000F1B30"/>
    <w:rsid w:val="000F26CF"/>
    <w:rsid w:val="000F27A2"/>
    <w:rsid w:val="000F284E"/>
    <w:rsid w:val="000F2A13"/>
    <w:rsid w:val="000F2AFD"/>
    <w:rsid w:val="000F2DF6"/>
    <w:rsid w:val="000F2E7D"/>
    <w:rsid w:val="000F34A7"/>
    <w:rsid w:val="000F393F"/>
    <w:rsid w:val="000F3A39"/>
    <w:rsid w:val="000F3EB3"/>
    <w:rsid w:val="000F400A"/>
    <w:rsid w:val="000F4370"/>
    <w:rsid w:val="000F4605"/>
    <w:rsid w:val="000F4BEE"/>
    <w:rsid w:val="000F4F30"/>
    <w:rsid w:val="000F4F6A"/>
    <w:rsid w:val="000F5046"/>
    <w:rsid w:val="000F50A6"/>
    <w:rsid w:val="000F51A5"/>
    <w:rsid w:val="000F5A58"/>
    <w:rsid w:val="000F61D2"/>
    <w:rsid w:val="000F6597"/>
    <w:rsid w:val="000F6AAB"/>
    <w:rsid w:val="000F6B7E"/>
    <w:rsid w:val="000F6CC9"/>
    <w:rsid w:val="000F6E95"/>
    <w:rsid w:val="000F7100"/>
    <w:rsid w:val="000F72E8"/>
    <w:rsid w:val="000F7906"/>
    <w:rsid w:val="000F7CA8"/>
    <w:rsid w:val="00100240"/>
    <w:rsid w:val="00100578"/>
    <w:rsid w:val="001005C9"/>
    <w:rsid w:val="0010112A"/>
    <w:rsid w:val="0010120C"/>
    <w:rsid w:val="00101464"/>
    <w:rsid w:val="0010160B"/>
    <w:rsid w:val="00101DE3"/>
    <w:rsid w:val="00102390"/>
    <w:rsid w:val="0010244A"/>
    <w:rsid w:val="00102563"/>
    <w:rsid w:val="00102657"/>
    <w:rsid w:val="00102785"/>
    <w:rsid w:val="00102B75"/>
    <w:rsid w:val="00102F5F"/>
    <w:rsid w:val="001030E0"/>
    <w:rsid w:val="00103189"/>
    <w:rsid w:val="00103379"/>
    <w:rsid w:val="001035D1"/>
    <w:rsid w:val="00103C10"/>
    <w:rsid w:val="00103DA7"/>
    <w:rsid w:val="00104111"/>
    <w:rsid w:val="00104FB0"/>
    <w:rsid w:val="001050F1"/>
    <w:rsid w:val="001054D6"/>
    <w:rsid w:val="0010554F"/>
    <w:rsid w:val="00105559"/>
    <w:rsid w:val="0010559A"/>
    <w:rsid w:val="001055AA"/>
    <w:rsid w:val="00105BD7"/>
    <w:rsid w:val="00105ECA"/>
    <w:rsid w:val="00105F8E"/>
    <w:rsid w:val="00105FBC"/>
    <w:rsid w:val="001060BD"/>
    <w:rsid w:val="00106779"/>
    <w:rsid w:val="00107055"/>
    <w:rsid w:val="0010707E"/>
    <w:rsid w:val="001106B8"/>
    <w:rsid w:val="00110EDB"/>
    <w:rsid w:val="001117F2"/>
    <w:rsid w:val="00111AB5"/>
    <w:rsid w:val="00111B96"/>
    <w:rsid w:val="00112178"/>
    <w:rsid w:val="001123C4"/>
    <w:rsid w:val="001128C7"/>
    <w:rsid w:val="001128E7"/>
    <w:rsid w:val="001129D9"/>
    <w:rsid w:val="00112A14"/>
    <w:rsid w:val="00112BB5"/>
    <w:rsid w:val="0011326F"/>
    <w:rsid w:val="001136A2"/>
    <w:rsid w:val="001136C2"/>
    <w:rsid w:val="00113AF6"/>
    <w:rsid w:val="00113BD2"/>
    <w:rsid w:val="001144E7"/>
    <w:rsid w:val="00115A61"/>
    <w:rsid w:val="00115B5F"/>
    <w:rsid w:val="00116916"/>
    <w:rsid w:val="0011699F"/>
    <w:rsid w:val="00116BEA"/>
    <w:rsid w:val="00116EE1"/>
    <w:rsid w:val="0011724B"/>
    <w:rsid w:val="001173CC"/>
    <w:rsid w:val="001176F4"/>
    <w:rsid w:val="00117972"/>
    <w:rsid w:val="00117FC1"/>
    <w:rsid w:val="0012092E"/>
    <w:rsid w:val="001216E5"/>
    <w:rsid w:val="00121735"/>
    <w:rsid w:val="001217AD"/>
    <w:rsid w:val="00121A49"/>
    <w:rsid w:val="00121C61"/>
    <w:rsid w:val="00121D39"/>
    <w:rsid w:val="00121EF0"/>
    <w:rsid w:val="00122120"/>
    <w:rsid w:val="001222DE"/>
    <w:rsid w:val="00122845"/>
    <w:rsid w:val="001238F0"/>
    <w:rsid w:val="00123978"/>
    <w:rsid w:val="00123D3D"/>
    <w:rsid w:val="0012441A"/>
    <w:rsid w:val="0012443B"/>
    <w:rsid w:val="00124E1A"/>
    <w:rsid w:val="00125346"/>
    <w:rsid w:val="0012539C"/>
    <w:rsid w:val="00125422"/>
    <w:rsid w:val="00125708"/>
    <w:rsid w:val="0012587C"/>
    <w:rsid w:val="00125C03"/>
    <w:rsid w:val="00125D5C"/>
    <w:rsid w:val="001262CB"/>
    <w:rsid w:val="001266BA"/>
    <w:rsid w:val="0012679E"/>
    <w:rsid w:val="0012693B"/>
    <w:rsid w:val="00126980"/>
    <w:rsid w:val="001269CB"/>
    <w:rsid w:val="00126BA9"/>
    <w:rsid w:val="00127A0E"/>
    <w:rsid w:val="00127F54"/>
    <w:rsid w:val="001303C0"/>
    <w:rsid w:val="0013065C"/>
    <w:rsid w:val="00131652"/>
    <w:rsid w:val="0013185C"/>
    <w:rsid w:val="00131EAF"/>
    <w:rsid w:val="00132999"/>
    <w:rsid w:val="00132E8D"/>
    <w:rsid w:val="00133299"/>
    <w:rsid w:val="001339ED"/>
    <w:rsid w:val="00133D64"/>
    <w:rsid w:val="00133EF2"/>
    <w:rsid w:val="00133F07"/>
    <w:rsid w:val="00134382"/>
    <w:rsid w:val="00134560"/>
    <w:rsid w:val="00134F76"/>
    <w:rsid w:val="001355B0"/>
    <w:rsid w:val="001359B6"/>
    <w:rsid w:val="00135D1D"/>
    <w:rsid w:val="00135D2B"/>
    <w:rsid w:val="00136117"/>
    <w:rsid w:val="001366BB"/>
    <w:rsid w:val="00136C6E"/>
    <w:rsid w:val="00136CDA"/>
    <w:rsid w:val="00136D0D"/>
    <w:rsid w:val="00136E38"/>
    <w:rsid w:val="001371C2"/>
    <w:rsid w:val="00137262"/>
    <w:rsid w:val="00137631"/>
    <w:rsid w:val="001377EC"/>
    <w:rsid w:val="001404A7"/>
    <w:rsid w:val="001408DE"/>
    <w:rsid w:val="00140961"/>
    <w:rsid w:val="00140C79"/>
    <w:rsid w:val="00140E1E"/>
    <w:rsid w:val="00140EED"/>
    <w:rsid w:val="00140FB3"/>
    <w:rsid w:val="001411E3"/>
    <w:rsid w:val="001412C4"/>
    <w:rsid w:val="00141C0D"/>
    <w:rsid w:val="0014206D"/>
    <w:rsid w:val="0014229E"/>
    <w:rsid w:val="001422C1"/>
    <w:rsid w:val="00142311"/>
    <w:rsid w:val="00142A79"/>
    <w:rsid w:val="00142B87"/>
    <w:rsid w:val="00142D2C"/>
    <w:rsid w:val="00143C38"/>
    <w:rsid w:val="001440C0"/>
    <w:rsid w:val="00144BB5"/>
    <w:rsid w:val="00144F2E"/>
    <w:rsid w:val="0014501F"/>
    <w:rsid w:val="00145646"/>
    <w:rsid w:val="001457F7"/>
    <w:rsid w:val="00145FD7"/>
    <w:rsid w:val="00146062"/>
    <w:rsid w:val="001464AB"/>
    <w:rsid w:val="001467B5"/>
    <w:rsid w:val="00146856"/>
    <w:rsid w:val="00146B7C"/>
    <w:rsid w:val="00146E06"/>
    <w:rsid w:val="0014793A"/>
    <w:rsid w:val="00150003"/>
    <w:rsid w:val="00150519"/>
    <w:rsid w:val="00150639"/>
    <w:rsid w:val="0015080A"/>
    <w:rsid w:val="00150B12"/>
    <w:rsid w:val="00150F9D"/>
    <w:rsid w:val="00151089"/>
    <w:rsid w:val="00151C42"/>
    <w:rsid w:val="0015205E"/>
    <w:rsid w:val="001520C4"/>
    <w:rsid w:val="001528C6"/>
    <w:rsid w:val="00153871"/>
    <w:rsid w:val="00154011"/>
    <w:rsid w:val="001544C0"/>
    <w:rsid w:val="00154944"/>
    <w:rsid w:val="00155091"/>
    <w:rsid w:val="00155545"/>
    <w:rsid w:val="00155AA2"/>
    <w:rsid w:val="001562D3"/>
    <w:rsid w:val="00156BAE"/>
    <w:rsid w:val="001575F4"/>
    <w:rsid w:val="00157A43"/>
    <w:rsid w:val="00157B74"/>
    <w:rsid w:val="00157C89"/>
    <w:rsid w:val="00157C91"/>
    <w:rsid w:val="00160430"/>
    <w:rsid w:val="001604E5"/>
    <w:rsid w:val="00160E1F"/>
    <w:rsid w:val="00160E59"/>
    <w:rsid w:val="0016104F"/>
    <w:rsid w:val="001617BE"/>
    <w:rsid w:val="001618F2"/>
    <w:rsid w:val="00161DDD"/>
    <w:rsid w:val="001620E2"/>
    <w:rsid w:val="00162401"/>
    <w:rsid w:val="00162AF5"/>
    <w:rsid w:val="00162C09"/>
    <w:rsid w:val="00162F5A"/>
    <w:rsid w:val="00163A70"/>
    <w:rsid w:val="00163B01"/>
    <w:rsid w:val="00163D6B"/>
    <w:rsid w:val="00163DA7"/>
    <w:rsid w:val="00163FF3"/>
    <w:rsid w:val="00164114"/>
    <w:rsid w:val="001641AA"/>
    <w:rsid w:val="001644D0"/>
    <w:rsid w:val="001647E5"/>
    <w:rsid w:val="00164EF7"/>
    <w:rsid w:val="001651C2"/>
    <w:rsid w:val="00165495"/>
    <w:rsid w:val="00165533"/>
    <w:rsid w:val="00165716"/>
    <w:rsid w:val="001660C2"/>
    <w:rsid w:val="0016629B"/>
    <w:rsid w:val="001665B2"/>
    <w:rsid w:val="00166772"/>
    <w:rsid w:val="0016679F"/>
    <w:rsid w:val="00166DED"/>
    <w:rsid w:val="001675C4"/>
    <w:rsid w:val="00167D0F"/>
    <w:rsid w:val="00167F36"/>
    <w:rsid w:val="001704AC"/>
    <w:rsid w:val="0017158D"/>
    <w:rsid w:val="001719F6"/>
    <w:rsid w:val="00171B4C"/>
    <w:rsid w:val="00171B6B"/>
    <w:rsid w:val="001722F7"/>
    <w:rsid w:val="00172A27"/>
    <w:rsid w:val="00172F25"/>
    <w:rsid w:val="00172FD5"/>
    <w:rsid w:val="00173148"/>
    <w:rsid w:val="00173E55"/>
    <w:rsid w:val="001743E4"/>
    <w:rsid w:val="001743F1"/>
    <w:rsid w:val="001748B2"/>
    <w:rsid w:val="00175002"/>
    <w:rsid w:val="00175179"/>
    <w:rsid w:val="001757C1"/>
    <w:rsid w:val="00175AD9"/>
    <w:rsid w:val="00175CFB"/>
    <w:rsid w:val="00175D08"/>
    <w:rsid w:val="00175FD9"/>
    <w:rsid w:val="00176653"/>
    <w:rsid w:val="00176796"/>
    <w:rsid w:val="001768B8"/>
    <w:rsid w:val="0017699F"/>
    <w:rsid w:val="00177187"/>
    <w:rsid w:val="00177305"/>
    <w:rsid w:val="00177725"/>
    <w:rsid w:val="00177EEE"/>
    <w:rsid w:val="001803BB"/>
    <w:rsid w:val="00180569"/>
    <w:rsid w:val="00180F10"/>
    <w:rsid w:val="001815E8"/>
    <w:rsid w:val="0018184D"/>
    <w:rsid w:val="00181910"/>
    <w:rsid w:val="00181DAD"/>
    <w:rsid w:val="00182002"/>
    <w:rsid w:val="0018271E"/>
    <w:rsid w:val="00182B07"/>
    <w:rsid w:val="00183501"/>
    <w:rsid w:val="001836AA"/>
    <w:rsid w:val="001836E1"/>
    <w:rsid w:val="00183B57"/>
    <w:rsid w:val="00183C46"/>
    <w:rsid w:val="00183F62"/>
    <w:rsid w:val="00183F9A"/>
    <w:rsid w:val="00184855"/>
    <w:rsid w:val="0018485D"/>
    <w:rsid w:val="0018488F"/>
    <w:rsid w:val="0018508D"/>
    <w:rsid w:val="0018566A"/>
    <w:rsid w:val="001857EF"/>
    <w:rsid w:val="0018582D"/>
    <w:rsid w:val="001858E4"/>
    <w:rsid w:val="00185952"/>
    <w:rsid w:val="00185A8C"/>
    <w:rsid w:val="00185F5E"/>
    <w:rsid w:val="001860F6"/>
    <w:rsid w:val="0018679E"/>
    <w:rsid w:val="00186CCD"/>
    <w:rsid w:val="00186E8F"/>
    <w:rsid w:val="001875A5"/>
    <w:rsid w:val="00190142"/>
    <w:rsid w:val="001907EF"/>
    <w:rsid w:val="00190E4F"/>
    <w:rsid w:val="00190FB6"/>
    <w:rsid w:val="001911AE"/>
    <w:rsid w:val="00191734"/>
    <w:rsid w:val="0019366F"/>
    <w:rsid w:val="00194121"/>
    <w:rsid w:val="00194213"/>
    <w:rsid w:val="001943B8"/>
    <w:rsid w:val="00194463"/>
    <w:rsid w:val="00194B95"/>
    <w:rsid w:val="00195A6E"/>
    <w:rsid w:val="00195B6D"/>
    <w:rsid w:val="00195CEA"/>
    <w:rsid w:val="00196612"/>
    <w:rsid w:val="00196C26"/>
    <w:rsid w:val="00196EDA"/>
    <w:rsid w:val="00197ACF"/>
    <w:rsid w:val="00197E2B"/>
    <w:rsid w:val="001A014B"/>
    <w:rsid w:val="001A0154"/>
    <w:rsid w:val="001A04E2"/>
    <w:rsid w:val="001A0D78"/>
    <w:rsid w:val="001A0D8B"/>
    <w:rsid w:val="001A0F21"/>
    <w:rsid w:val="001A0F26"/>
    <w:rsid w:val="001A1B00"/>
    <w:rsid w:val="001A1BF8"/>
    <w:rsid w:val="001A1E0D"/>
    <w:rsid w:val="001A2152"/>
    <w:rsid w:val="001A229C"/>
    <w:rsid w:val="001A256B"/>
    <w:rsid w:val="001A2E2A"/>
    <w:rsid w:val="001A32D6"/>
    <w:rsid w:val="001A34C3"/>
    <w:rsid w:val="001A3581"/>
    <w:rsid w:val="001A3623"/>
    <w:rsid w:val="001A38AA"/>
    <w:rsid w:val="001A398C"/>
    <w:rsid w:val="001A39C2"/>
    <w:rsid w:val="001A3BF5"/>
    <w:rsid w:val="001A4370"/>
    <w:rsid w:val="001A443D"/>
    <w:rsid w:val="001A4574"/>
    <w:rsid w:val="001A463F"/>
    <w:rsid w:val="001A4761"/>
    <w:rsid w:val="001A4B5A"/>
    <w:rsid w:val="001A5714"/>
    <w:rsid w:val="001A5867"/>
    <w:rsid w:val="001A5A85"/>
    <w:rsid w:val="001A5DB0"/>
    <w:rsid w:val="001A5F75"/>
    <w:rsid w:val="001A6C37"/>
    <w:rsid w:val="001A6F08"/>
    <w:rsid w:val="001A7024"/>
    <w:rsid w:val="001A752A"/>
    <w:rsid w:val="001B0597"/>
    <w:rsid w:val="001B1120"/>
    <w:rsid w:val="001B1189"/>
    <w:rsid w:val="001B11A6"/>
    <w:rsid w:val="001B154A"/>
    <w:rsid w:val="001B174B"/>
    <w:rsid w:val="001B1D8F"/>
    <w:rsid w:val="001B1E8F"/>
    <w:rsid w:val="001B2440"/>
    <w:rsid w:val="001B2637"/>
    <w:rsid w:val="001B2854"/>
    <w:rsid w:val="001B298D"/>
    <w:rsid w:val="001B2998"/>
    <w:rsid w:val="001B2D33"/>
    <w:rsid w:val="001B3304"/>
    <w:rsid w:val="001B3650"/>
    <w:rsid w:val="001B38B3"/>
    <w:rsid w:val="001B415F"/>
    <w:rsid w:val="001B4560"/>
    <w:rsid w:val="001B4B41"/>
    <w:rsid w:val="001B4BBF"/>
    <w:rsid w:val="001B51DE"/>
    <w:rsid w:val="001B5322"/>
    <w:rsid w:val="001B5431"/>
    <w:rsid w:val="001B550B"/>
    <w:rsid w:val="001B5916"/>
    <w:rsid w:val="001B5AD1"/>
    <w:rsid w:val="001B5C7B"/>
    <w:rsid w:val="001B5F7D"/>
    <w:rsid w:val="001B7DB3"/>
    <w:rsid w:val="001C0419"/>
    <w:rsid w:val="001C0B81"/>
    <w:rsid w:val="001C0B93"/>
    <w:rsid w:val="001C0E64"/>
    <w:rsid w:val="001C18FC"/>
    <w:rsid w:val="001C1AAF"/>
    <w:rsid w:val="001C21C8"/>
    <w:rsid w:val="001C2ABF"/>
    <w:rsid w:val="001C2F40"/>
    <w:rsid w:val="001C32AA"/>
    <w:rsid w:val="001C44DF"/>
    <w:rsid w:val="001C46D8"/>
    <w:rsid w:val="001C4798"/>
    <w:rsid w:val="001C495B"/>
    <w:rsid w:val="001C49E9"/>
    <w:rsid w:val="001C4AFC"/>
    <w:rsid w:val="001C4D1E"/>
    <w:rsid w:val="001C4D84"/>
    <w:rsid w:val="001C4D9B"/>
    <w:rsid w:val="001C5126"/>
    <w:rsid w:val="001C52C7"/>
    <w:rsid w:val="001C5AED"/>
    <w:rsid w:val="001C65BD"/>
    <w:rsid w:val="001C6743"/>
    <w:rsid w:val="001C6940"/>
    <w:rsid w:val="001C6956"/>
    <w:rsid w:val="001C69AE"/>
    <w:rsid w:val="001C6B3F"/>
    <w:rsid w:val="001C6C41"/>
    <w:rsid w:val="001C6F3C"/>
    <w:rsid w:val="001C6FEF"/>
    <w:rsid w:val="001C7DB9"/>
    <w:rsid w:val="001D0175"/>
    <w:rsid w:val="001D06FB"/>
    <w:rsid w:val="001D0783"/>
    <w:rsid w:val="001D0AA9"/>
    <w:rsid w:val="001D0D54"/>
    <w:rsid w:val="001D12B8"/>
    <w:rsid w:val="001D1730"/>
    <w:rsid w:val="001D17B3"/>
    <w:rsid w:val="001D1F18"/>
    <w:rsid w:val="001D2213"/>
    <w:rsid w:val="001D229B"/>
    <w:rsid w:val="001D23CC"/>
    <w:rsid w:val="001D26EF"/>
    <w:rsid w:val="001D2EE5"/>
    <w:rsid w:val="001D2F2B"/>
    <w:rsid w:val="001D300C"/>
    <w:rsid w:val="001D308D"/>
    <w:rsid w:val="001D3311"/>
    <w:rsid w:val="001D3DEA"/>
    <w:rsid w:val="001D3FE5"/>
    <w:rsid w:val="001D4B5C"/>
    <w:rsid w:val="001D4EB7"/>
    <w:rsid w:val="001D4F9E"/>
    <w:rsid w:val="001D524A"/>
    <w:rsid w:val="001D57ED"/>
    <w:rsid w:val="001D58C5"/>
    <w:rsid w:val="001D5B19"/>
    <w:rsid w:val="001D5CE6"/>
    <w:rsid w:val="001D603B"/>
    <w:rsid w:val="001D6065"/>
    <w:rsid w:val="001D686E"/>
    <w:rsid w:val="001D6898"/>
    <w:rsid w:val="001D6DE4"/>
    <w:rsid w:val="001D730B"/>
    <w:rsid w:val="001E01DB"/>
    <w:rsid w:val="001E04FF"/>
    <w:rsid w:val="001E069A"/>
    <w:rsid w:val="001E0BB0"/>
    <w:rsid w:val="001E139A"/>
    <w:rsid w:val="001E164F"/>
    <w:rsid w:val="001E1F56"/>
    <w:rsid w:val="001E1F7C"/>
    <w:rsid w:val="001E2204"/>
    <w:rsid w:val="001E26BF"/>
    <w:rsid w:val="001E29E0"/>
    <w:rsid w:val="001E2A19"/>
    <w:rsid w:val="001E2D81"/>
    <w:rsid w:val="001E3138"/>
    <w:rsid w:val="001E3C8D"/>
    <w:rsid w:val="001E3F8B"/>
    <w:rsid w:val="001E4238"/>
    <w:rsid w:val="001E46AC"/>
    <w:rsid w:val="001E4ADF"/>
    <w:rsid w:val="001E4B02"/>
    <w:rsid w:val="001E5140"/>
    <w:rsid w:val="001E51BC"/>
    <w:rsid w:val="001E5758"/>
    <w:rsid w:val="001E5786"/>
    <w:rsid w:val="001E5C84"/>
    <w:rsid w:val="001E5CD2"/>
    <w:rsid w:val="001E5EFB"/>
    <w:rsid w:val="001E660F"/>
    <w:rsid w:val="001E665E"/>
    <w:rsid w:val="001E6773"/>
    <w:rsid w:val="001E6A4E"/>
    <w:rsid w:val="001E6BCE"/>
    <w:rsid w:val="001E6DB6"/>
    <w:rsid w:val="001E6DCD"/>
    <w:rsid w:val="001E72F1"/>
    <w:rsid w:val="001E742B"/>
    <w:rsid w:val="001E7AB4"/>
    <w:rsid w:val="001E7AF9"/>
    <w:rsid w:val="001E7C28"/>
    <w:rsid w:val="001F0091"/>
    <w:rsid w:val="001F08DA"/>
    <w:rsid w:val="001F0955"/>
    <w:rsid w:val="001F0C6F"/>
    <w:rsid w:val="001F0ECB"/>
    <w:rsid w:val="001F1059"/>
    <w:rsid w:val="001F1215"/>
    <w:rsid w:val="001F1A36"/>
    <w:rsid w:val="001F1D3A"/>
    <w:rsid w:val="001F1EB1"/>
    <w:rsid w:val="001F236B"/>
    <w:rsid w:val="001F238C"/>
    <w:rsid w:val="001F2A82"/>
    <w:rsid w:val="001F2DBE"/>
    <w:rsid w:val="001F4014"/>
    <w:rsid w:val="001F46AC"/>
    <w:rsid w:val="001F48E4"/>
    <w:rsid w:val="001F5435"/>
    <w:rsid w:val="001F58EA"/>
    <w:rsid w:val="001F5D47"/>
    <w:rsid w:val="001F6146"/>
    <w:rsid w:val="001F6241"/>
    <w:rsid w:val="001F69D2"/>
    <w:rsid w:val="001F6A2F"/>
    <w:rsid w:val="001F7568"/>
    <w:rsid w:val="001F75E3"/>
    <w:rsid w:val="001F7AD3"/>
    <w:rsid w:val="001F7E45"/>
    <w:rsid w:val="001F7FD8"/>
    <w:rsid w:val="0020001B"/>
    <w:rsid w:val="002003E6"/>
    <w:rsid w:val="002007F0"/>
    <w:rsid w:val="0020089D"/>
    <w:rsid w:val="00200CC6"/>
    <w:rsid w:val="00200F75"/>
    <w:rsid w:val="0020138C"/>
    <w:rsid w:val="002016B4"/>
    <w:rsid w:val="002019B5"/>
    <w:rsid w:val="00201D98"/>
    <w:rsid w:val="00201FD4"/>
    <w:rsid w:val="00202457"/>
    <w:rsid w:val="0020260A"/>
    <w:rsid w:val="00202694"/>
    <w:rsid w:val="002028D7"/>
    <w:rsid w:val="002028FC"/>
    <w:rsid w:val="00202DBE"/>
    <w:rsid w:val="002033B9"/>
    <w:rsid w:val="0020372B"/>
    <w:rsid w:val="002038E5"/>
    <w:rsid w:val="00203900"/>
    <w:rsid w:val="00203CEA"/>
    <w:rsid w:val="00203DB7"/>
    <w:rsid w:val="00203F71"/>
    <w:rsid w:val="002040B4"/>
    <w:rsid w:val="0020419E"/>
    <w:rsid w:val="0020424B"/>
    <w:rsid w:val="00204313"/>
    <w:rsid w:val="00204829"/>
    <w:rsid w:val="002048EA"/>
    <w:rsid w:val="00204DA9"/>
    <w:rsid w:val="00204F67"/>
    <w:rsid w:val="002053CA"/>
    <w:rsid w:val="00205625"/>
    <w:rsid w:val="002056CC"/>
    <w:rsid w:val="0020590F"/>
    <w:rsid w:val="00205EBF"/>
    <w:rsid w:val="00206387"/>
    <w:rsid w:val="00206AAF"/>
    <w:rsid w:val="00207A59"/>
    <w:rsid w:val="00207D7C"/>
    <w:rsid w:val="00207DB8"/>
    <w:rsid w:val="00210A4F"/>
    <w:rsid w:val="00210CF0"/>
    <w:rsid w:val="00210D12"/>
    <w:rsid w:val="00210D18"/>
    <w:rsid w:val="00210F26"/>
    <w:rsid w:val="00211025"/>
    <w:rsid w:val="00211CA3"/>
    <w:rsid w:val="00211FC0"/>
    <w:rsid w:val="002127BB"/>
    <w:rsid w:val="00212CBB"/>
    <w:rsid w:val="00212D34"/>
    <w:rsid w:val="00212F3A"/>
    <w:rsid w:val="00213B7A"/>
    <w:rsid w:val="00213C15"/>
    <w:rsid w:val="00214BFF"/>
    <w:rsid w:val="0021567A"/>
    <w:rsid w:val="00215833"/>
    <w:rsid w:val="00215E81"/>
    <w:rsid w:val="00215F39"/>
    <w:rsid w:val="0021609D"/>
    <w:rsid w:val="002160FC"/>
    <w:rsid w:val="00216B6C"/>
    <w:rsid w:val="00216C21"/>
    <w:rsid w:val="00216D96"/>
    <w:rsid w:val="00216F5F"/>
    <w:rsid w:val="002172D8"/>
    <w:rsid w:val="00217306"/>
    <w:rsid w:val="00217603"/>
    <w:rsid w:val="00217726"/>
    <w:rsid w:val="0021788F"/>
    <w:rsid w:val="00220233"/>
    <w:rsid w:val="00220339"/>
    <w:rsid w:val="00220485"/>
    <w:rsid w:val="0022109F"/>
    <w:rsid w:val="002210E0"/>
    <w:rsid w:val="002219D2"/>
    <w:rsid w:val="00221C35"/>
    <w:rsid w:val="00221C68"/>
    <w:rsid w:val="00222676"/>
    <w:rsid w:val="00222A90"/>
    <w:rsid w:val="00222C5B"/>
    <w:rsid w:val="0022310C"/>
    <w:rsid w:val="00223658"/>
    <w:rsid w:val="00223849"/>
    <w:rsid w:val="00223EEC"/>
    <w:rsid w:val="00223F76"/>
    <w:rsid w:val="00224421"/>
    <w:rsid w:val="0022452E"/>
    <w:rsid w:val="0022466F"/>
    <w:rsid w:val="00224DAF"/>
    <w:rsid w:val="00224EC2"/>
    <w:rsid w:val="00225376"/>
    <w:rsid w:val="002257D8"/>
    <w:rsid w:val="00225DD5"/>
    <w:rsid w:val="002262F9"/>
    <w:rsid w:val="00226A56"/>
    <w:rsid w:val="00227951"/>
    <w:rsid w:val="00227E36"/>
    <w:rsid w:val="00227EA0"/>
    <w:rsid w:val="00227EC2"/>
    <w:rsid w:val="002305AC"/>
    <w:rsid w:val="002308CF"/>
    <w:rsid w:val="00230D20"/>
    <w:rsid w:val="002315CA"/>
    <w:rsid w:val="00231A8F"/>
    <w:rsid w:val="002328E0"/>
    <w:rsid w:val="00232B62"/>
    <w:rsid w:val="00232F95"/>
    <w:rsid w:val="00233B01"/>
    <w:rsid w:val="00233CA8"/>
    <w:rsid w:val="00234121"/>
    <w:rsid w:val="002341B9"/>
    <w:rsid w:val="00234359"/>
    <w:rsid w:val="00234C13"/>
    <w:rsid w:val="00234C45"/>
    <w:rsid w:val="00234E8C"/>
    <w:rsid w:val="00235440"/>
    <w:rsid w:val="0023586E"/>
    <w:rsid w:val="00235C8C"/>
    <w:rsid w:val="002360DA"/>
    <w:rsid w:val="00236B83"/>
    <w:rsid w:val="00237351"/>
    <w:rsid w:val="002373C3"/>
    <w:rsid w:val="00237937"/>
    <w:rsid w:val="00237D1E"/>
    <w:rsid w:val="00237DF3"/>
    <w:rsid w:val="0024019D"/>
    <w:rsid w:val="00240886"/>
    <w:rsid w:val="00240A04"/>
    <w:rsid w:val="00240B59"/>
    <w:rsid w:val="00240E30"/>
    <w:rsid w:val="00240F6E"/>
    <w:rsid w:val="002412DF"/>
    <w:rsid w:val="002413B5"/>
    <w:rsid w:val="00241A11"/>
    <w:rsid w:val="00242495"/>
    <w:rsid w:val="002424B1"/>
    <w:rsid w:val="00242768"/>
    <w:rsid w:val="00242D46"/>
    <w:rsid w:val="00243076"/>
    <w:rsid w:val="00243135"/>
    <w:rsid w:val="002434F0"/>
    <w:rsid w:val="0024371A"/>
    <w:rsid w:val="00243CF9"/>
    <w:rsid w:val="002441BC"/>
    <w:rsid w:val="0024501D"/>
    <w:rsid w:val="00245103"/>
    <w:rsid w:val="0024525B"/>
    <w:rsid w:val="00245505"/>
    <w:rsid w:val="002457B2"/>
    <w:rsid w:val="00245A88"/>
    <w:rsid w:val="00245B7E"/>
    <w:rsid w:val="0024616E"/>
    <w:rsid w:val="0024674B"/>
    <w:rsid w:val="002468AC"/>
    <w:rsid w:val="00247CF5"/>
    <w:rsid w:val="00247E38"/>
    <w:rsid w:val="00247EF8"/>
    <w:rsid w:val="00250193"/>
    <w:rsid w:val="002502BF"/>
    <w:rsid w:val="00250389"/>
    <w:rsid w:val="002509FF"/>
    <w:rsid w:val="002511C0"/>
    <w:rsid w:val="002514A0"/>
    <w:rsid w:val="00251927"/>
    <w:rsid w:val="00251E0D"/>
    <w:rsid w:val="00251E20"/>
    <w:rsid w:val="00251F24"/>
    <w:rsid w:val="002522DD"/>
    <w:rsid w:val="00252566"/>
    <w:rsid w:val="00252694"/>
    <w:rsid w:val="00252C60"/>
    <w:rsid w:val="00252EF3"/>
    <w:rsid w:val="00253129"/>
    <w:rsid w:val="00253D06"/>
    <w:rsid w:val="00253EB2"/>
    <w:rsid w:val="0025417E"/>
    <w:rsid w:val="00254432"/>
    <w:rsid w:val="002545E6"/>
    <w:rsid w:val="002548B3"/>
    <w:rsid w:val="002548FA"/>
    <w:rsid w:val="00254B05"/>
    <w:rsid w:val="002551FF"/>
    <w:rsid w:val="00255290"/>
    <w:rsid w:val="00255392"/>
    <w:rsid w:val="002562F8"/>
    <w:rsid w:val="00257076"/>
    <w:rsid w:val="002578BE"/>
    <w:rsid w:val="00257C6E"/>
    <w:rsid w:val="00260D5C"/>
    <w:rsid w:val="00260F16"/>
    <w:rsid w:val="002611FA"/>
    <w:rsid w:val="00261A58"/>
    <w:rsid w:val="00261D7E"/>
    <w:rsid w:val="00261DC5"/>
    <w:rsid w:val="00262191"/>
    <w:rsid w:val="002621D2"/>
    <w:rsid w:val="002623C6"/>
    <w:rsid w:val="00262A85"/>
    <w:rsid w:val="00262C08"/>
    <w:rsid w:val="00262EA3"/>
    <w:rsid w:val="00263062"/>
    <w:rsid w:val="002630FA"/>
    <w:rsid w:val="00263150"/>
    <w:rsid w:val="0026343C"/>
    <w:rsid w:val="0026362A"/>
    <w:rsid w:val="00263716"/>
    <w:rsid w:val="00263DBF"/>
    <w:rsid w:val="002646F7"/>
    <w:rsid w:val="00264F07"/>
    <w:rsid w:val="00265138"/>
    <w:rsid w:val="00265590"/>
    <w:rsid w:val="0026578B"/>
    <w:rsid w:val="00265C5B"/>
    <w:rsid w:val="00265C86"/>
    <w:rsid w:val="00265DE9"/>
    <w:rsid w:val="002665D0"/>
    <w:rsid w:val="002666C8"/>
    <w:rsid w:val="00267436"/>
    <w:rsid w:val="002675B8"/>
    <w:rsid w:val="002675C9"/>
    <w:rsid w:val="0026793B"/>
    <w:rsid w:val="00270334"/>
    <w:rsid w:val="0027043C"/>
    <w:rsid w:val="002709C3"/>
    <w:rsid w:val="00270A1D"/>
    <w:rsid w:val="00271443"/>
    <w:rsid w:val="00271BF5"/>
    <w:rsid w:val="00271D3D"/>
    <w:rsid w:val="00272279"/>
    <w:rsid w:val="002722EF"/>
    <w:rsid w:val="00273038"/>
    <w:rsid w:val="002743A4"/>
    <w:rsid w:val="00274920"/>
    <w:rsid w:val="0027497F"/>
    <w:rsid w:val="0027499C"/>
    <w:rsid w:val="00274B9E"/>
    <w:rsid w:val="00275B10"/>
    <w:rsid w:val="00275FA3"/>
    <w:rsid w:val="00276069"/>
    <w:rsid w:val="00276121"/>
    <w:rsid w:val="00276181"/>
    <w:rsid w:val="00276264"/>
    <w:rsid w:val="00276874"/>
    <w:rsid w:val="0027689F"/>
    <w:rsid w:val="00276D1D"/>
    <w:rsid w:val="00276DBC"/>
    <w:rsid w:val="00276F96"/>
    <w:rsid w:val="002779E3"/>
    <w:rsid w:val="00280B64"/>
    <w:rsid w:val="00280C74"/>
    <w:rsid w:val="00281747"/>
    <w:rsid w:val="00281B0D"/>
    <w:rsid w:val="00281EAB"/>
    <w:rsid w:val="0028205A"/>
    <w:rsid w:val="0028243C"/>
    <w:rsid w:val="00282A3D"/>
    <w:rsid w:val="00282DDD"/>
    <w:rsid w:val="002830D2"/>
    <w:rsid w:val="0028316E"/>
    <w:rsid w:val="002834D9"/>
    <w:rsid w:val="0028391F"/>
    <w:rsid w:val="00283C62"/>
    <w:rsid w:val="00283D3D"/>
    <w:rsid w:val="00283D82"/>
    <w:rsid w:val="00284506"/>
    <w:rsid w:val="002846AE"/>
    <w:rsid w:val="00284CE4"/>
    <w:rsid w:val="00285321"/>
    <w:rsid w:val="00285340"/>
    <w:rsid w:val="002857E6"/>
    <w:rsid w:val="00285995"/>
    <w:rsid w:val="00285BE6"/>
    <w:rsid w:val="00285DC5"/>
    <w:rsid w:val="00286786"/>
    <w:rsid w:val="002869E9"/>
    <w:rsid w:val="00286AB9"/>
    <w:rsid w:val="00286E3C"/>
    <w:rsid w:val="0028766E"/>
    <w:rsid w:val="002876D4"/>
    <w:rsid w:val="00287763"/>
    <w:rsid w:val="0028788C"/>
    <w:rsid w:val="0028797F"/>
    <w:rsid w:val="002879A1"/>
    <w:rsid w:val="00287A8B"/>
    <w:rsid w:val="002901CE"/>
    <w:rsid w:val="00290245"/>
    <w:rsid w:val="0029046A"/>
    <w:rsid w:val="002904D4"/>
    <w:rsid w:val="00290C8E"/>
    <w:rsid w:val="00290EC4"/>
    <w:rsid w:val="002915A2"/>
    <w:rsid w:val="00291A12"/>
    <w:rsid w:val="00291A9C"/>
    <w:rsid w:val="002921C2"/>
    <w:rsid w:val="00292363"/>
    <w:rsid w:val="00292EA0"/>
    <w:rsid w:val="00292F5F"/>
    <w:rsid w:val="00293106"/>
    <w:rsid w:val="00293122"/>
    <w:rsid w:val="00293D46"/>
    <w:rsid w:val="00294743"/>
    <w:rsid w:val="002950FF"/>
    <w:rsid w:val="00295BD5"/>
    <w:rsid w:val="00295E36"/>
    <w:rsid w:val="002961ED"/>
    <w:rsid w:val="0029636C"/>
    <w:rsid w:val="0029674A"/>
    <w:rsid w:val="002A0A1C"/>
    <w:rsid w:val="002A0D42"/>
    <w:rsid w:val="002A1A34"/>
    <w:rsid w:val="002A1B6D"/>
    <w:rsid w:val="002A1E8C"/>
    <w:rsid w:val="002A2F35"/>
    <w:rsid w:val="002A328F"/>
    <w:rsid w:val="002A4365"/>
    <w:rsid w:val="002A4699"/>
    <w:rsid w:val="002A52BB"/>
    <w:rsid w:val="002A5676"/>
    <w:rsid w:val="002A58A7"/>
    <w:rsid w:val="002A6211"/>
    <w:rsid w:val="002A6604"/>
    <w:rsid w:val="002A6779"/>
    <w:rsid w:val="002A6890"/>
    <w:rsid w:val="002A6CE4"/>
    <w:rsid w:val="002A701D"/>
    <w:rsid w:val="002A728D"/>
    <w:rsid w:val="002A75AC"/>
    <w:rsid w:val="002A75E6"/>
    <w:rsid w:val="002A7771"/>
    <w:rsid w:val="002A798C"/>
    <w:rsid w:val="002A7F3C"/>
    <w:rsid w:val="002A7F7A"/>
    <w:rsid w:val="002B07C2"/>
    <w:rsid w:val="002B0A10"/>
    <w:rsid w:val="002B17D1"/>
    <w:rsid w:val="002B1D72"/>
    <w:rsid w:val="002B2940"/>
    <w:rsid w:val="002B2A97"/>
    <w:rsid w:val="002B3000"/>
    <w:rsid w:val="002B307A"/>
    <w:rsid w:val="002B3360"/>
    <w:rsid w:val="002B3690"/>
    <w:rsid w:val="002B39B3"/>
    <w:rsid w:val="002B39E2"/>
    <w:rsid w:val="002B39F6"/>
    <w:rsid w:val="002B3A3C"/>
    <w:rsid w:val="002B3DB3"/>
    <w:rsid w:val="002B3F01"/>
    <w:rsid w:val="002B4014"/>
    <w:rsid w:val="002B4601"/>
    <w:rsid w:val="002B4776"/>
    <w:rsid w:val="002B47A9"/>
    <w:rsid w:val="002B481B"/>
    <w:rsid w:val="002B5943"/>
    <w:rsid w:val="002B5EC9"/>
    <w:rsid w:val="002B6269"/>
    <w:rsid w:val="002B6E12"/>
    <w:rsid w:val="002B79BF"/>
    <w:rsid w:val="002B7D81"/>
    <w:rsid w:val="002C0366"/>
    <w:rsid w:val="002C105F"/>
    <w:rsid w:val="002C10EE"/>
    <w:rsid w:val="002C241B"/>
    <w:rsid w:val="002C24FA"/>
    <w:rsid w:val="002C25FF"/>
    <w:rsid w:val="002C2840"/>
    <w:rsid w:val="002C2A48"/>
    <w:rsid w:val="002C3158"/>
    <w:rsid w:val="002C328B"/>
    <w:rsid w:val="002C3957"/>
    <w:rsid w:val="002C396F"/>
    <w:rsid w:val="002C405D"/>
    <w:rsid w:val="002C4303"/>
    <w:rsid w:val="002C4661"/>
    <w:rsid w:val="002C4970"/>
    <w:rsid w:val="002C4A6C"/>
    <w:rsid w:val="002C4ADD"/>
    <w:rsid w:val="002C4CB2"/>
    <w:rsid w:val="002C4CE8"/>
    <w:rsid w:val="002C4E67"/>
    <w:rsid w:val="002C5349"/>
    <w:rsid w:val="002C55B3"/>
    <w:rsid w:val="002C568B"/>
    <w:rsid w:val="002C59AC"/>
    <w:rsid w:val="002C5A43"/>
    <w:rsid w:val="002C5ABB"/>
    <w:rsid w:val="002C5B6A"/>
    <w:rsid w:val="002C62C8"/>
    <w:rsid w:val="002C69D8"/>
    <w:rsid w:val="002C6E19"/>
    <w:rsid w:val="002C75CA"/>
    <w:rsid w:val="002C799C"/>
    <w:rsid w:val="002C7A1D"/>
    <w:rsid w:val="002C7F7B"/>
    <w:rsid w:val="002C7F92"/>
    <w:rsid w:val="002D0132"/>
    <w:rsid w:val="002D0A06"/>
    <w:rsid w:val="002D0AF9"/>
    <w:rsid w:val="002D14F1"/>
    <w:rsid w:val="002D182A"/>
    <w:rsid w:val="002D1904"/>
    <w:rsid w:val="002D2D5C"/>
    <w:rsid w:val="002D2D89"/>
    <w:rsid w:val="002D3443"/>
    <w:rsid w:val="002D39CB"/>
    <w:rsid w:val="002D4294"/>
    <w:rsid w:val="002D4AEF"/>
    <w:rsid w:val="002D4D68"/>
    <w:rsid w:val="002D5513"/>
    <w:rsid w:val="002D55E4"/>
    <w:rsid w:val="002D58B2"/>
    <w:rsid w:val="002D648C"/>
    <w:rsid w:val="002D65EE"/>
    <w:rsid w:val="002D68FC"/>
    <w:rsid w:val="002D6BBA"/>
    <w:rsid w:val="002D6D98"/>
    <w:rsid w:val="002D721C"/>
    <w:rsid w:val="002E00B6"/>
    <w:rsid w:val="002E06DD"/>
    <w:rsid w:val="002E0F60"/>
    <w:rsid w:val="002E10F6"/>
    <w:rsid w:val="002E1151"/>
    <w:rsid w:val="002E1406"/>
    <w:rsid w:val="002E14FC"/>
    <w:rsid w:val="002E1935"/>
    <w:rsid w:val="002E1D72"/>
    <w:rsid w:val="002E1E91"/>
    <w:rsid w:val="002E230E"/>
    <w:rsid w:val="002E2614"/>
    <w:rsid w:val="002E267C"/>
    <w:rsid w:val="002E267D"/>
    <w:rsid w:val="002E2CF4"/>
    <w:rsid w:val="002E31C1"/>
    <w:rsid w:val="002E37BF"/>
    <w:rsid w:val="002E3AC0"/>
    <w:rsid w:val="002E3C50"/>
    <w:rsid w:val="002E3D51"/>
    <w:rsid w:val="002E3EAC"/>
    <w:rsid w:val="002E3EFC"/>
    <w:rsid w:val="002E4261"/>
    <w:rsid w:val="002E44F4"/>
    <w:rsid w:val="002E48F5"/>
    <w:rsid w:val="002E4E02"/>
    <w:rsid w:val="002E53D9"/>
    <w:rsid w:val="002E573E"/>
    <w:rsid w:val="002E58DE"/>
    <w:rsid w:val="002E5BAF"/>
    <w:rsid w:val="002E5C0C"/>
    <w:rsid w:val="002E5D29"/>
    <w:rsid w:val="002E6210"/>
    <w:rsid w:val="002E6870"/>
    <w:rsid w:val="002E73D7"/>
    <w:rsid w:val="002E74DA"/>
    <w:rsid w:val="002E75B0"/>
    <w:rsid w:val="002E7958"/>
    <w:rsid w:val="002E7BEA"/>
    <w:rsid w:val="002F1398"/>
    <w:rsid w:val="002F144E"/>
    <w:rsid w:val="002F14C0"/>
    <w:rsid w:val="002F1556"/>
    <w:rsid w:val="002F1790"/>
    <w:rsid w:val="002F18A7"/>
    <w:rsid w:val="002F1AA6"/>
    <w:rsid w:val="002F1C0C"/>
    <w:rsid w:val="002F1D8B"/>
    <w:rsid w:val="002F1FEA"/>
    <w:rsid w:val="002F21B4"/>
    <w:rsid w:val="002F245E"/>
    <w:rsid w:val="002F2784"/>
    <w:rsid w:val="002F2B4C"/>
    <w:rsid w:val="002F2B82"/>
    <w:rsid w:val="002F3543"/>
    <w:rsid w:val="002F3677"/>
    <w:rsid w:val="002F3FAB"/>
    <w:rsid w:val="002F42D7"/>
    <w:rsid w:val="002F4F3F"/>
    <w:rsid w:val="002F525B"/>
    <w:rsid w:val="002F5CC6"/>
    <w:rsid w:val="002F62FC"/>
    <w:rsid w:val="002F7199"/>
    <w:rsid w:val="002F7437"/>
    <w:rsid w:val="002F7588"/>
    <w:rsid w:val="002F7973"/>
    <w:rsid w:val="002F7CB6"/>
    <w:rsid w:val="003006FC"/>
    <w:rsid w:val="00300860"/>
    <w:rsid w:val="00300921"/>
    <w:rsid w:val="00300C62"/>
    <w:rsid w:val="00300EEB"/>
    <w:rsid w:val="00301099"/>
    <w:rsid w:val="00301196"/>
    <w:rsid w:val="00301425"/>
    <w:rsid w:val="00301F92"/>
    <w:rsid w:val="0030244B"/>
    <w:rsid w:val="0030285D"/>
    <w:rsid w:val="00302A15"/>
    <w:rsid w:val="00303273"/>
    <w:rsid w:val="0030347F"/>
    <w:rsid w:val="00303713"/>
    <w:rsid w:val="00303759"/>
    <w:rsid w:val="003046EE"/>
    <w:rsid w:val="00304720"/>
    <w:rsid w:val="00304F1C"/>
    <w:rsid w:val="003051F4"/>
    <w:rsid w:val="003055D2"/>
    <w:rsid w:val="003058E6"/>
    <w:rsid w:val="0030596E"/>
    <w:rsid w:val="00305EFC"/>
    <w:rsid w:val="00306003"/>
    <w:rsid w:val="003064C1"/>
    <w:rsid w:val="0030674F"/>
    <w:rsid w:val="00306770"/>
    <w:rsid w:val="003069E8"/>
    <w:rsid w:val="00306BF5"/>
    <w:rsid w:val="00306ED0"/>
    <w:rsid w:val="0030703F"/>
    <w:rsid w:val="003071C9"/>
    <w:rsid w:val="00307524"/>
    <w:rsid w:val="0030761C"/>
    <w:rsid w:val="00307AE4"/>
    <w:rsid w:val="00310013"/>
    <w:rsid w:val="003106A9"/>
    <w:rsid w:val="00310839"/>
    <w:rsid w:val="003109D2"/>
    <w:rsid w:val="00310BCC"/>
    <w:rsid w:val="00310D18"/>
    <w:rsid w:val="0031109A"/>
    <w:rsid w:val="003112D2"/>
    <w:rsid w:val="0031147D"/>
    <w:rsid w:val="0031189F"/>
    <w:rsid w:val="00311A20"/>
    <w:rsid w:val="00311A66"/>
    <w:rsid w:val="00311F56"/>
    <w:rsid w:val="00312229"/>
    <w:rsid w:val="003134B1"/>
    <w:rsid w:val="00313559"/>
    <w:rsid w:val="003137C3"/>
    <w:rsid w:val="00313B50"/>
    <w:rsid w:val="00313BEF"/>
    <w:rsid w:val="00313C69"/>
    <w:rsid w:val="00313D24"/>
    <w:rsid w:val="00313FD0"/>
    <w:rsid w:val="00314AB9"/>
    <w:rsid w:val="00314DF5"/>
    <w:rsid w:val="00314ED9"/>
    <w:rsid w:val="003156E5"/>
    <w:rsid w:val="00316119"/>
    <w:rsid w:val="003164B0"/>
    <w:rsid w:val="00316534"/>
    <w:rsid w:val="0031659E"/>
    <w:rsid w:val="003170D1"/>
    <w:rsid w:val="00317A18"/>
    <w:rsid w:val="0032011C"/>
    <w:rsid w:val="00320286"/>
    <w:rsid w:val="00320364"/>
    <w:rsid w:val="00320435"/>
    <w:rsid w:val="003207E2"/>
    <w:rsid w:val="0032082D"/>
    <w:rsid w:val="00320C68"/>
    <w:rsid w:val="00320E72"/>
    <w:rsid w:val="00320F8E"/>
    <w:rsid w:val="00321397"/>
    <w:rsid w:val="003219A9"/>
    <w:rsid w:val="00322160"/>
    <w:rsid w:val="00322494"/>
    <w:rsid w:val="00322538"/>
    <w:rsid w:val="003228F2"/>
    <w:rsid w:val="00322B9F"/>
    <w:rsid w:val="003235EA"/>
    <w:rsid w:val="003235F3"/>
    <w:rsid w:val="0032373C"/>
    <w:rsid w:val="00323A05"/>
    <w:rsid w:val="00323A8F"/>
    <w:rsid w:val="00324740"/>
    <w:rsid w:val="0032483C"/>
    <w:rsid w:val="00324C66"/>
    <w:rsid w:val="00325589"/>
    <w:rsid w:val="00325843"/>
    <w:rsid w:val="0032594D"/>
    <w:rsid w:val="00325E21"/>
    <w:rsid w:val="00326091"/>
    <w:rsid w:val="00326497"/>
    <w:rsid w:val="00326584"/>
    <w:rsid w:val="00327424"/>
    <w:rsid w:val="00327496"/>
    <w:rsid w:val="003274CE"/>
    <w:rsid w:val="00327E62"/>
    <w:rsid w:val="00330351"/>
    <w:rsid w:val="003303C2"/>
    <w:rsid w:val="00330756"/>
    <w:rsid w:val="00330D81"/>
    <w:rsid w:val="003310B4"/>
    <w:rsid w:val="00331936"/>
    <w:rsid w:val="00331A8B"/>
    <w:rsid w:val="00331B33"/>
    <w:rsid w:val="00331FF0"/>
    <w:rsid w:val="003321FC"/>
    <w:rsid w:val="003327E2"/>
    <w:rsid w:val="00332D08"/>
    <w:rsid w:val="00332FF8"/>
    <w:rsid w:val="003334EC"/>
    <w:rsid w:val="00333A06"/>
    <w:rsid w:val="00333C55"/>
    <w:rsid w:val="00333CCB"/>
    <w:rsid w:val="00334275"/>
    <w:rsid w:val="00334978"/>
    <w:rsid w:val="0033505E"/>
    <w:rsid w:val="003354EB"/>
    <w:rsid w:val="00335716"/>
    <w:rsid w:val="003357A9"/>
    <w:rsid w:val="00336280"/>
    <w:rsid w:val="0033688B"/>
    <w:rsid w:val="00336A8E"/>
    <w:rsid w:val="00336AF1"/>
    <w:rsid w:val="00336B89"/>
    <w:rsid w:val="00336B9C"/>
    <w:rsid w:val="00336F49"/>
    <w:rsid w:val="0033720B"/>
    <w:rsid w:val="0033746F"/>
    <w:rsid w:val="003376BD"/>
    <w:rsid w:val="00337936"/>
    <w:rsid w:val="00337BBA"/>
    <w:rsid w:val="00340029"/>
    <w:rsid w:val="0034009D"/>
    <w:rsid w:val="00340420"/>
    <w:rsid w:val="003408D4"/>
    <w:rsid w:val="00340FBF"/>
    <w:rsid w:val="00341724"/>
    <w:rsid w:val="00341BDF"/>
    <w:rsid w:val="00342047"/>
    <w:rsid w:val="0034249C"/>
    <w:rsid w:val="00342679"/>
    <w:rsid w:val="003426BC"/>
    <w:rsid w:val="00342D41"/>
    <w:rsid w:val="00343326"/>
    <w:rsid w:val="00343D6D"/>
    <w:rsid w:val="00343E07"/>
    <w:rsid w:val="00344368"/>
    <w:rsid w:val="003444E8"/>
    <w:rsid w:val="00344B13"/>
    <w:rsid w:val="00345014"/>
    <w:rsid w:val="003451AF"/>
    <w:rsid w:val="003453F2"/>
    <w:rsid w:val="003456EF"/>
    <w:rsid w:val="00345729"/>
    <w:rsid w:val="0034627E"/>
    <w:rsid w:val="003464D2"/>
    <w:rsid w:val="00346C06"/>
    <w:rsid w:val="00346C82"/>
    <w:rsid w:val="00347208"/>
    <w:rsid w:val="003472BB"/>
    <w:rsid w:val="003474C4"/>
    <w:rsid w:val="00347776"/>
    <w:rsid w:val="00347D6D"/>
    <w:rsid w:val="003503BB"/>
    <w:rsid w:val="003505B0"/>
    <w:rsid w:val="00350B69"/>
    <w:rsid w:val="00350D55"/>
    <w:rsid w:val="003517D1"/>
    <w:rsid w:val="00352061"/>
    <w:rsid w:val="003522FF"/>
    <w:rsid w:val="00352309"/>
    <w:rsid w:val="00352A9A"/>
    <w:rsid w:val="00352D29"/>
    <w:rsid w:val="003531D3"/>
    <w:rsid w:val="0035320E"/>
    <w:rsid w:val="00353370"/>
    <w:rsid w:val="00353450"/>
    <w:rsid w:val="00353FCC"/>
    <w:rsid w:val="00354020"/>
    <w:rsid w:val="0035441E"/>
    <w:rsid w:val="003546C4"/>
    <w:rsid w:val="0035486F"/>
    <w:rsid w:val="00354901"/>
    <w:rsid w:val="00354E29"/>
    <w:rsid w:val="00355867"/>
    <w:rsid w:val="003559F9"/>
    <w:rsid w:val="00355FE1"/>
    <w:rsid w:val="00356354"/>
    <w:rsid w:val="00356E95"/>
    <w:rsid w:val="0035736E"/>
    <w:rsid w:val="0035781A"/>
    <w:rsid w:val="00357A12"/>
    <w:rsid w:val="00357DAF"/>
    <w:rsid w:val="00357EF2"/>
    <w:rsid w:val="00360577"/>
    <w:rsid w:val="00360A78"/>
    <w:rsid w:val="00360B2E"/>
    <w:rsid w:val="00360F40"/>
    <w:rsid w:val="003611C9"/>
    <w:rsid w:val="00361565"/>
    <w:rsid w:val="00361D79"/>
    <w:rsid w:val="00362272"/>
    <w:rsid w:val="00362595"/>
    <w:rsid w:val="00362BC8"/>
    <w:rsid w:val="00362E41"/>
    <w:rsid w:val="0036380B"/>
    <w:rsid w:val="0036382D"/>
    <w:rsid w:val="00363E44"/>
    <w:rsid w:val="00363EC0"/>
    <w:rsid w:val="00364113"/>
    <w:rsid w:val="003643E4"/>
    <w:rsid w:val="003645D6"/>
    <w:rsid w:val="003647FA"/>
    <w:rsid w:val="00365172"/>
    <w:rsid w:val="00365709"/>
    <w:rsid w:val="003659FF"/>
    <w:rsid w:val="00365E14"/>
    <w:rsid w:val="00365EF2"/>
    <w:rsid w:val="00366F52"/>
    <w:rsid w:val="0036706F"/>
    <w:rsid w:val="003674DA"/>
    <w:rsid w:val="00367892"/>
    <w:rsid w:val="00367C47"/>
    <w:rsid w:val="00367F5F"/>
    <w:rsid w:val="003704CF"/>
    <w:rsid w:val="00370665"/>
    <w:rsid w:val="00371696"/>
    <w:rsid w:val="00371E2C"/>
    <w:rsid w:val="00372D72"/>
    <w:rsid w:val="00373690"/>
    <w:rsid w:val="003736BB"/>
    <w:rsid w:val="00373BE0"/>
    <w:rsid w:val="00373F2F"/>
    <w:rsid w:val="003744D5"/>
    <w:rsid w:val="0037452C"/>
    <w:rsid w:val="00374F55"/>
    <w:rsid w:val="003752DB"/>
    <w:rsid w:val="00375389"/>
    <w:rsid w:val="00375435"/>
    <w:rsid w:val="00375738"/>
    <w:rsid w:val="003759B6"/>
    <w:rsid w:val="00375A47"/>
    <w:rsid w:val="00375D4F"/>
    <w:rsid w:val="00375F08"/>
    <w:rsid w:val="003760C5"/>
    <w:rsid w:val="003764B4"/>
    <w:rsid w:val="00376568"/>
    <w:rsid w:val="00376ACD"/>
    <w:rsid w:val="003772A1"/>
    <w:rsid w:val="003776A1"/>
    <w:rsid w:val="00377F73"/>
    <w:rsid w:val="0038029B"/>
    <w:rsid w:val="003803B6"/>
    <w:rsid w:val="00380794"/>
    <w:rsid w:val="003807F7"/>
    <w:rsid w:val="00380949"/>
    <w:rsid w:val="0038129F"/>
    <w:rsid w:val="0038197B"/>
    <w:rsid w:val="00381ACA"/>
    <w:rsid w:val="00381D04"/>
    <w:rsid w:val="00382117"/>
    <w:rsid w:val="00382168"/>
    <w:rsid w:val="00382459"/>
    <w:rsid w:val="0038396E"/>
    <w:rsid w:val="00383BA4"/>
    <w:rsid w:val="00383C41"/>
    <w:rsid w:val="00383C4E"/>
    <w:rsid w:val="00384104"/>
    <w:rsid w:val="0038476E"/>
    <w:rsid w:val="0038488B"/>
    <w:rsid w:val="00384920"/>
    <w:rsid w:val="00384954"/>
    <w:rsid w:val="003849B5"/>
    <w:rsid w:val="00384B64"/>
    <w:rsid w:val="00384C95"/>
    <w:rsid w:val="00384FD0"/>
    <w:rsid w:val="00385CC0"/>
    <w:rsid w:val="003862C2"/>
    <w:rsid w:val="003864DF"/>
    <w:rsid w:val="00386D64"/>
    <w:rsid w:val="00386FBF"/>
    <w:rsid w:val="00386FDB"/>
    <w:rsid w:val="00387521"/>
    <w:rsid w:val="003901A2"/>
    <w:rsid w:val="003901F8"/>
    <w:rsid w:val="00391483"/>
    <w:rsid w:val="00391872"/>
    <w:rsid w:val="00391897"/>
    <w:rsid w:val="003918FC"/>
    <w:rsid w:val="00391B5A"/>
    <w:rsid w:val="00391BDA"/>
    <w:rsid w:val="00393060"/>
    <w:rsid w:val="003935E9"/>
    <w:rsid w:val="003939A7"/>
    <w:rsid w:val="003939FD"/>
    <w:rsid w:val="00393B44"/>
    <w:rsid w:val="00394110"/>
    <w:rsid w:val="003941F5"/>
    <w:rsid w:val="00394F07"/>
    <w:rsid w:val="00395300"/>
    <w:rsid w:val="0039542E"/>
    <w:rsid w:val="003955FF"/>
    <w:rsid w:val="003956A2"/>
    <w:rsid w:val="00395AEB"/>
    <w:rsid w:val="00395D82"/>
    <w:rsid w:val="0039634F"/>
    <w:rsid w:val="00396460"/>
    <w:rsid w:val="00396476"/>
    <w:rsid w:val="003967BC"/>
    <w:rsid w:val="00396857"/>
    <w:rsid w:val="00396D82"/>
    <w:rsid w:val="00396DE9"/>
    <w:rsid w:val="00396ED9"/>
    <w:rsid w:val="00396FF1"/>
    <w:rsid w:val="003972EC"/>
    <w:rsid w:val="003A0219"/>
    <w:rsid w:val="003A04EE"/>
    <w:rsid w:val="003A0531"/>
    <w:rsid w:val="003A0664"/>
    <w:rsid w:val="003A08C7"/>
    <w:rsid w:val="003A09D9"/>
    <w:rsid w:val="003A0ECF"/>
    <w:rsid w:val="003A1152"/>
    <w:rsid w:val="003A169B"/>
    <w:rsid w:val="003A1764"/>
    <w:rsid w:val="003A183E"/>
    <w:rsid w:val="003A1A3C"/>
    <w:rsid w:val="003A1C6B"/>
    <w:rsid w:val="003A277F"/>
    <w:rsid w:val="003A2D5B"/>
    <w:rsid w:val="003A3193"/>
    <w:rsid w:val="003A32C9"/>
    <w:rsid w:val="003A39D8"/>
    <w:rsid w:val="003A3BC5"/>
    <w:rsid w:val="003A405F"/>
    <w:rsid w:val="003A4245"/>
    <w:rsid w:val="003A5627"/>
    <w:rsid w:val="003A58CF"/>
    <w:rsid w:val="003A595F"/>
    <w:rsid w:val="003A5B3F"/>
    <w:rsid w:val="003A61FC"/>
    <w:rsid w:val="003A6DB8"/>
    <w:rsid w:val="003A76A9"/>
    <w:rsid w:val="003A7A72"/>
    <w:rsid w:val="003A7E21"/>
    <w:rsid w:val="003B06DC"/>
    <w:rsid w:val="003B0B48"/>
    <w:rsid w:val="003B0C6A"/>
    <w:rsid w:val="003B0EF5"/>
    <w:rsid w:val="003B0F9A"/>
    <w:rsid w:val="003B169C"/>
    <w:rsid w:val="003B199A"/>
    <w:rsid w:val="003B1C42"/>
    <w:rsid w:val="003B1CB4"/>
    <w:rsid w:val="003B24AE"/>
    <w:rsid w:val="003B261A"/>
    <w:rsid w:val="003B267D"/>
    <w:rsid w:val="003B2949"/>
    <w:rsid w:val="003B2FB2"/>
    <w:rsid w:val="003B30EB"/>
    <w:rsid w:val="003B3103"/>
    <w:rsid w:val="003B4516"/>
    <w:rsid w:val="003B4569"/>
    <w:rsid w:val="003B49BC"/>
    <w:rsid w:val="003B4D80"/>
    <w:rsid w:val="003B5C32"/>
    <w:rsid w:val="003B604D"/>
    <w:rsid w:val="003B70F7"/>
    <w:rsid w:val="003B76D5"/>
    <w:rsid w:val="003B7F2C"/>
    <w:rsid w:val="003B7FD1"/>
    <w:rsid w:val="003C0AB0"/>
    <w:rsid w:val="003C0ABB"/>
    <w:rsid w:val="003C0B9E"/>
    <w:rsid w:val="003C0E45"/>
    <w:rsid w:val="003C1112"/>
    <w:rsid w:val="003C1CEE"/>
    <w:rsid w:val="003C21B4"/>
    <w:rsid w:val="003C2349"/>
    <w:rsid w:val="003C269E"/>
    <w:rsid w:val="003C2740"/>
    <w:rsid w:val="003C2901"/>
    <w:rsid w:val="003C2A96"/>
    <w:rsid w:val="003C2FF0"/>
    <w:rsid w:val="003C3085"/>
    <w:rsid w:val="003C3326"/>
    <w:rsid w:val="003C3857"/>
    <w:rsid w:val="003C3CA5"/>
    <w:rsid w:val="003C3EE7"/>
    <w:rsid w:val="003C417B"/>
    <w:rsid w:val="003C46E3"/>
    <w:rsid w:val="003C4BDB"/>
    <w:rsid w:val="003C4F8C"/>
    <w:rsid w:val="003C573F"/>
    <w:rsid w:val="003C5762"/>
    <w:rsid w:val="003C5973"/>
    <w:rsid w:val="003C5B49"/>
    <w:rsid w:val="003C5BFA"/>
    <w:rsid w:val="003C5F5A"/>
    <w:rsid w:val="003C6065"/>
    <w:rsid w:val="003C61A4"/>
    <w:rsid w:val="003C6332"/>
    <w:rsid w:val="003C65B2"/>
    <w:rsid w:val="003C6DA0"/>
    <w:rsid w:val="003C6E1B"/>
    <w:rsid w:val="003C7292"/>
    <w:rsid w:val="003C72F0"/>
    <w:rsid w:val="003C76A3"/>
    <w:rsid w:val="003C7716"/>
    <w:rsid w:val="003D001F"/>
    <w:rsid w:val="003D1185"/>
    <w:rsid w:val="003D126D"/>
    <w:rsid w:val="003D135F"/>
    <w:rsid w:val="003D1484"/>
    <w:rsid w:val="003D1D8A"/>
    <w:rsid w:val="003D2476"/>
    <w:rsid w:val="003D2730"/>
    <w:rsid w:val="003D297D"/>
    <w:rsid w:val="003D2A1E"/>
    <w:rsid w:val="003D2C95"/>
    <w:rsid w:val="003D2F6F"/>
    <w:rsid w:val="003D304B"/>
    <w:rsid w:val="003D3DDF"/>
    <w:rsid w:val="003D3FF6"/>
    <w:rsid w:val="003D430A"/>
    <w:rsid w:val="003D43DC"/>
    <w:rsid w:val="003D4727"/>
    <w:rsid w:val="003D49AA"/>
    <w:rsid w:val="003D4F95"/>
    <w:rsid w:val="003D5036"/>
    <w:rsid w:val="003D5223"/>
    <w:rsid w:val="003D5436"/>
    <w:rsid w:val="003D56E7"/>
    <w:rsid w:val="003D580E"/>
    <w:rsid w:val="003D5B7B"/>
    <w:rsid w:val="003D668B"/>
    <w:rsid w:val="003D6EF9"/>
    <w:rsid w:val="003D7079"/>
    <w:rsid w:val="003D7A1A"/>
    <w:rsid w:val="003E000A"/>
    <w:rsid w:val="003E00C7"/>
    <w:rsid w:val="003E0A1D"/>
    <w:rsid w:val="003E1025"/>
    <w:rsid w:val="003E10BD"/>
    <w:rsid w:val="003E136E"/>
    <w:rsid w:val="003E164D"/>
    <w:rsid w:val="003E1762"/>
    <w:rsid w:val="003E1A30"/>
    <w:rsid w:val="003E1B28"/>
    <w:rsid w:val="003E20DA"/>
    <w:rsid w:val="003E26A1"/>
    <w:rsid w:val="003E29D0"/>
    <w:rsid w:val="003E2BC9"/>
    <w:rsid w:val="003E2CFA"/>
    <w:rsid w:val="003E2FC0"/>
    <w:rsid w:val="003E30EB"/>
    <w:rsid w:val="003E342E"/>
    <w:rsid w:val="003E3CD2"/>
    <w:rsid w:val="003E424F"/>
    <w:rsid w:val="003E4C71"/>
    <w:rsid w:val="003E4C95"/>
    <w:rsid w:val="003E529E"/>
    <w:rsid w:val="003E59D7"/>
    <w:rsid w:val="003E5B3A"/>
    <w:rsid w:val="003E5D6E"/>
    <w:rsid w:val="003E5F98"/>
    <w:rsid w:val="003E6800"/>
    <w:rsid w:val="003E6990"/>
    <w:rsid w:val="003E7615"/>
    <w:rsid w:val="003F004B"/>
    <w:rsid w:val="003F0686"/>
    <w:rsid w:val="003F0AD3"/>
    <w:rsid w:val="003F0B4D"/>
    <w:rsid w:val="003F0E08"/>
    <w:rsid w:val="003F1361"/>
    <w:rsid w:val="003F143E"/>
    <w:rsid w:val="003F15BB"/>
    <w:rsid w:val="003F167D"/>
    <w:rsid w:val="003F1A51"/>
    <w:rsid w:val="003F1B39"/>
    <w:rsid w:val="003F221C"/>
    <w:rsid w:val="003F2324"/>
    <w:rsid w:val="003F2D92"/>
    <w:rsid w:val="003F3134"/>
    <w:rsid w:val="003F3403"/>
    <w:rsid w:val="003F3413"/>
    <w:rsid w:val="003F3590"/>
    <w:rsid w:val="003F3973"/>
    <w:rsid w:val="003F3BFC"/>
    <w:rsid w:val="003F3FED"/>
    <w:rsid w:val="003F4136"/>
    <w:rsid w:val="003F4865"/>
    <w:rsid w:val="003F49B5"/>
    <w:rsid w:val="003F49BA"/>
    <w:rsid w:val="003F4A03"/>
    <w:rsid w:val="003F51B8"/>
    <w:rsid w:val="003F5A38"/>
    <w:rsid w:val="003F68E2"/>
    <w:rsid w:val="003F6938"/>
    <w:rsid w:val="003F719D"/>
    <w:rsid w:val="003F7305"/>
    <w:rsid w:val="003F73E7"/>
    <w:rsid w:val="003F755E"/>
    <w:rsid w:val="003F75E6"/>
    <w:rsid w:val="003F7908"/>
    <w:rsid w:val="003F7AA0"/>
    <w:rsid w:val="003F7AB7"/>
    <w:rsid w:val="003F7C1C"/>
    <w:rsid w:val="003F7E0A"/>
    <w:rsid w:val="00400280"/>
    <w:rsid w:val="004008E7"/>
    <w:rsid w:val="00400963"/>
    <w:rsid w:val="00400B8D"/>
    <w:rsid w:val="004010B9"/>
    <w:rsid w:val="0040115C"/>
    <w:rsid w:val="00401473"/>
    <w:rsid w:val="00401D4A"/>
    <w:rsid w:val="00402072"/>
    <w:rsid w:val="004025D5"/>
    <w:rsid w:val="00402614"/>
    <w:rsid w:val="00402CFD"/>
    <w:rsid w:val="00402F71"/>
    <w:rsid w:val="004034AB"/>
    <w:rsid w:val="0040371B"/>
    <w:rsid w:val="00403A68"/>
    <w:rsid w:val="00403E7C"/>
    <w:rsid w:val="004041DB"/>
    <w:rsid w:val="004044BF"/>
    <w:rsid w:val="00404772"/>
    <w:rsid w:val="00404A3C"/>
    <w:rsid w:val="00404B1D"/>
    <w:rsid w:val="004054AC"/>
    <w:rsid w:val="00405AFE"/>
    <w:rsid w:val="00406331"/>
    <w:rsid w:val="0040658C"/>
    <w:rsid w:val="00406602"/>
    <w:rsid w:val="00406735"/>
    <w:rsid w:val="00406765"/>
    <w:rsid w:val="00406791"/>
    <w:rsid w:val="004067EF"/>
    <w:rsid w:val="0040692C"/>
    <w:rsid w:val="00406B4E"/>
    <w:rsid w:val="00406DFF"/>
    <w:rsid w:val="00406E23"/>
    <w:rsid w:val="00407028"/>
    <w:rsid w:val="004072E9"/>
    <w:rsid w:val="00407766"/>
    <w:rsid w:val="004077D3"/>
    <w:rsid w:val="00407850"/>
    <w:rsid w:val="0040796E"/>
    <w:rsid w:val="00407FF4"/>
    <w:rsid w:val="004101F7"/>
    <w:rsid w:val="004102D1"/>
    <w:rsid w:val="004103FD"/>
    <w:rsid w:val="00410531"/>
    <w:rsid w:val="00410A89"/>
    <w:rsid w:val="00410C6F"/>
    <w:rsid w:val="00410C7D"/>
    <w:rsid w:val="00410E96"/>
    <w:rsid w:val="0041249D"/>
    <w:rsid w:val="0041260E"/>
    <w:rsid w:val="0041278F"/>
    <w:rsid w:val="004127C7"/>
    <w:rsid w:val="004128C8"/>
    <w:rsid w:val="00412D29"/>
    <w:rsid w:val="004132FF"/>
    <w:rsid w:val="00413A33"/>
    <w:rsid w:val="00413C98"/>
    <w:rsid w:val="004152B1"/>
    <w:rsid w:val="0041535F"/>
    <w:rsid w:val="00415423"/>
    <w:rsid w:val="00415996"/>
    <w:rsid w:val="00415A33"/>
    <w:rsid w:val="00415BEA"/>
    <w:rsid w:val="00415C56"/>
    <w:rsid w:val="0041606C"/>
    <w:rsid w:val="004166ED"/>
    <w:rsid w:val="004167B7"/>
    <w:rsid w:val="004167ED"/>
    <w:rsid w:val="004168C8"/>
    <w:rsid w:val="00416E0C"/>
    <w:rsid w:val="004170E5"/>
    <w:rsid w:val="004174CE"/>
    <w:rsid w:val="00417A4C"/>
    <w:rsid w:val="00417A69"/>
    <w:rsid w:val="00420031"/>
    <w:rsid w:val="0042040F"/>
    <w:rsid w:val="00420C65"/>
    <w:rsid w:val="0042160A"/>
    <w:rsid w:val="0042185E"/>
    <w:rsid w:val="004218F7"/>
    <w:rsid w:val="00421CDF"/>
    <w:rsid w:val="00421D98"/>
    <w:rsid w:val="0042215C"/>
    <w:rsid w:val="0042217F"/>
    <w:rsid w:val="004224E6"/>
    <w:rsid w:val="00422981"/>
    <w:rsid w:val="00422BD8"/>
    <w:rsid w:val="004236AA"/>
    <w:rsid w:val="00423779"/>
    <w:rsid w:val="00423CF2"/>
    <w:rsid w:val="00423E9B"/>
    <w:rsid w:val="004241B7"/>
    <w:rsid w:val="00424308"/>
    <w:rsid w:val="00424B1E"/>
    <w:rsid w:val="00424B42"/>
    <w:rsid w:val="00424F98"/>
    <w:rsid w:val="004267FA"/>
    <w:rsid w:val="004269F0"/>
    <w:rsid w:val="004273EB"/>
    <w:rsid w:val="0042744E"/>
    <w:rsid w:val="004274DC"/>
    <w:rsid w:val="004278F8"/>
    <w:rsid w:val="00427E4B"/>
    <w:rsid w:val="00427F36"/>
    <w:rsid w:val="004300C8"/>
    <w:rsid w:val="004305FE"/>
    <w:rsid w:val="00430940"/>
    <w:rsid w:val="00430969"/>
    <w:rsid w:val="00431161"/>
    <w:rsid w:val="00431C9D"/>
    <w:rsid w:val="00431CC3"/>
    <w:rsid w:val="004321C6"/>
    <w:rsid w:val="00432293"/>
    <w:rsid w:val="00432442"/>
    <w:rsid w:val="004325BE"/>
    <w:rsid w:val="004326AD"/>
    <w:rsid w:val="00432CDD"/>
    <w:rsid w:val="00432E77"/>
    <w:rsid w:val="00433222"/>
    <w:rsid w:val="00433DE6"/>
    <w:rsid w:val="00434054"/>
    <w:rsid w:val="00434123"/>
    <w:rsid w:val="00434D3D"/>
    <w:rsid w:val="00434EF8"/>
    <w:rsid w:val="00434F0F"/>
    <w:rsid w:val="0043563E"/>
    <w:rsid w:val="004357AF"/>
    <w:rsid w:val="004359DB"/>
    <w:rsid w:val="00435A64"/>
    <w:rsid w:val="00436114"/>
    <w:rsid w:val="0043635F"/>
    <w:rsid w:val="00436CEB"/>
    <w:rsid w:val="00436CF5"/>
    <w:rsid w:val="00437115"/>
    <w:rsid w:val="00437C4F"/>
    <w:rsid w:val="00437EE9"/>
    <w:rsid w:val="00440135"/>
    <w:rsid w:val="00440234"/>
    <w:rsid w:val="00440B6E"/>
    <w:rsid w:val="00440D9F"/>
    <w:rsid w:val="00441116"/>
    <w:rsid w:val="0044142A"/>
    <w:rsid w:val="00441636"/>
    <w:rsid w:val="00441743"/>
    <w:rsid w:val="004418AC"/>
    <w:rsid w:val="00441C10"/>
    <w:rsid w:val="00442E8E"/>
    <w:rsid w:val="004430BF"/>
    <w:rsid w:val="00443895"/>
    <w:rsid w:val="00443981"/>
    <w:rsid w:val="0044443B"/>
    <w:rsid w:val="00444457"/>
    <w:rsid w:val="00445B86"/>
    <w:rsid w:val="00445DFD"/>
    <w:rsid w:val="0044612B"/>
    <w:rsid w:val="0044669C"/>
    <w:rsid w:val="00446776"/>
    <w:rsid w:val="004468C0"/>
    <w:rsid w:val="00446D88"/>
    <w:rsid w:val="00447A2C"/>
    <w:rsid w:val="00447B0E"/>
    <w:rsid w:val="00447DDC"/>
    <w:rsid w:val="00447EDA"/>
    <w:rsid w:val="004500F1"/>
    <w:rsid w:val="00450721"/>
    <w:rsid w:val="00450911"/>
    <w:rsid w:val="00450C0C"/>
    <w:rsid w:val="00450C50"/>
    <w:rsid w:val="00451808"/>
    <w:rsid w:val="00451E30"/>
    <w:rsid w:val="00452137"/>
    <w:rsid w:val="00452C15"/>
    <w:rsid w:val="00453275"/>
    <w:rsid w:val="00453544"/>
    <w:rsid w:val="00453F37"/>
    <w:rsid w:val="00454415"/>
    <w:rsid w:val="004545A6"/>
    <w:rsid w:val="00455037"/>
    <w:rsid w:val="00455412"/>
    <w:rsid w:val="004554A1"/>
    <w:rsid w:val="004555CA"/>
    <w:rsid w:val="00456017"/>
    <w:rsid w:val="0045633F"/>
    <w:rsid w:val="00456D96"/>
    <w:rsid w:val="00457160"/>
    <w:rsid w:val="0045746C"/>
    <w:rsid w:val="00457AC3"/>
    <w:rsid w:val="00457BF0"/>
    <w:rsid w:val="00457FC8"/>
    <w:rsid w:val="004602A4"/>
    <w:rsid w:val="00460A89"/>
    <w:rsid w:val="00460AE1"/>
    <w:rsid w:val="004613E1"/>
    <w:rsid w:val="004618A5"/>
    <w:rsid w:val="00461C41"/>
    <w:rsid w:val="00462171"/>
    <w:rsid w:val="004631AB"/>
    <w:rsid w:val="00463C1E"/>
    <w:rsid w:val="00463CBE"/>
    <w:rsid w:val="00463D23"/>
    <w:rsid w:val="004649E2"/>
    <w:rsid w:val="00464A25"/>
    <w:rsid w:val="00464D4C"/>
    <w:rsid w:val="004657E2"/>
    <w:rsid w:val="00465BA0"/>
    <w:rsid w:val="00465F2A"/>
    <w:rsid w:val="00466060"/>
    <w:rsid w:val="004661BD"/>
    <w:rsid w:val="0046623B"/>
    <w:rsid w:val="004662F5"/>
    <w:rsid w:val="00466324"/>
    <w:rsid w:val="00466CAC"/>
    <w:rsid w:val="00466DA5"/>
    <w:rsid w:val="004671D8"/>
    <w:rsid w:val="004671DE"/>
    <w:rsid w:val="00467536"/>
    <w:rsid w:val="00467622"/>
    <w:rsid w:val="00467854"/>
    <w:rsid w:val="0047008B"/>
    <w:rsid w:val="004704BE"/>
    <w:rsid w:val="00471C57"/>
    <w:rsid w:val="00472010"/>
    <w:rsid w:val="0047267E"/>
    <w:rsid w:val="00472DE7"/>
    <w:rsid w:val="0047317B"/>
    <w:rsid w:val="004735CE"/>
    <w:rsid w:val="00473CDC"/>
    <w:rsid w:val="00474105"/>
    <w:rsid w:val="0047436E"/>
    <w:rsid w:val="004747F7"/>
    <w:rsid w:val="00474C93"/>
    <w:rsid w:val="00475074"/>
    <w:rsid w:val="00475183"/>
    <w:rsid w:val="0047566B"/>
    <w:rsid w:val="00475E46"/>
    <w:rsid w:val="004767C2"/>
    <w:rsid w:val="004775AF"/>
    <w:rsid w:val="004800BA"/>
    <w:rsid w:val="004801C3"/>
    <w:rsid w:val="004804B8"/>
    <w:rsid w:val="00480A87"/>
    <w:rsid w:val="004813F8"/>
    <w:rsid w:val="0048158C"/>
    <w:rsid w:val="00481A5D"/>
    <w:rsid w:val="00481BE3"/>
    <w:rsid w:val="00481C04"/>
    <w:rsid w:val="0048213D"/>
    <w:rsid w:val="004822D7"/>
    <w:rsid w:val="00482307"/>
    <w:rsid w:val="00483C0B"/>
    <w:rsid w:val="004845D6"/>
    <w:rsid w:val="004846F5"/>
    <w:rsid w:val="00484C55"/>
    <w:rsid w:val="00484CC4"/>
    <w:rsid w:val="00484F55"/>
    <w:rsid w:val="004852DB"/>
    <w:rsid w:val="00486233"/>
    <w:rsid w:val="004865BC"/>
    <w:rsid w:val="0048691E"/>
    <w:rsid w:val="004871FA"/>
    <w:rsid w:val="00487489"/>
    <w:rsid w:val="004875AF"/>
    <w:rsid w:val="0048775F"/>
    <w:rsid w:val="00487C06"/>
    <w:rsid w:val="00490450"/>
    <w:rsid w:val="00490F94"/>
    <w:rsid w:val="00491275"/>
    <w:rsid w:val="004919B6"/>
    <w:rsid w:val="00491C18"/>
    <w:rsid w:val="00491EE5"/>
    <w:rsid w:val="00492538"/>
    <w:rsid w:val="00492FAC"/>
    <w:rsid w:val="00493191"/>
    <w:rsid w:val="004932E4"/>
    <w:rsid w:val="004938F9"/>
    <w:rsid w:val="00493B03"/>
    <w:rsid w:val="004940FF"/>
    <w:rsid w:val="00494A51"/>
    <w:rsid w:val="00494BF6"/>
    <w:rsid w:val="00494D0D"/>
    <w:rsid w:val="00494FFB"/>
    <w:rsid w:val="004972CB"/>
    <w:rsid w:val="004973B6"/>
    <w:rsid w:val="00497B46"/>
    <w:rsid w:val="00497C85"/>
    <w:rsid w:val="00497C92"/>
    <w:rsid w:val="00497E06"/>
    <w:rsid w:val="00497E39"/>
    <w:rsid w:val="004A00AA"/>
    <w:rsid w:val="004A039C"/>
    <w:rsid w:val="004A060C"/>
    <w:rsid w:val="004A0675"/>
    <w:rsid w:val="004A0DEF"/>
    <w:rsid w:val="004A11D1"/>
    <w:rsid w:val="004A11ED"/>
    <w:rsid w:val="004A2112"/>
    <w:rsid w:val="004A2450"/>
    <w:rsid w:val="004A272C"/>
    <w:rsid w:val="004A2757"/>
    <w:rsid w:val="004A27E9"/>
    <w:rsid w:val="004A3578"/>
    <w:rsid w:val="004A3CF8"/>
    <w:rsid w:val="004A438C"/>
    <w:rsid w:val="004A446C"/>
    <w:rsid w:val="004A4537"/>
    <w:rsid w:val="004A50F9"/>
    <w:rsid w:val="004A5400"/>
    <w:rsid w:val="004A57A2"/>
    <w:rsid w:val="004A5DDE"/>
    <w:rsid w:val="004A601E"/>
    <w:rsid w:val="004A60A2"/>
    <w:rsid w:val="004A6404"/>
    <w:rsid w:val="004A67A9"/>
    <w:rsid w:val="004A6EF5"/>
    <w:rsid w:val="004A6FD9"/>
    <w:rsid w:val="004A738D"/>
    <w:rsid w:val="004A73C2"/>
    <w:rsid w:val="004A7D45"/>
    <w:rsid w:val="004B0074"/>
    <w:rsid w:val="004B01AB"/>
    <w:rsid w:val="004B053A"/>
    <w:rsid w:val="004B066E"/>
    <w:rsid w:val="004B067C"/>
    <w:rsid w:val="004B0E20"/>
    <w:rsid w:val="004B0F01"/>
    <w:rsid w:val="004B0F07"/>
    <w:rsid w:val="004B12A4"/>
    <w:rsid w:val="004B15CC"/>
    <w:rsid w:val="004B1970"/>
    <w:rsid w:val="004B1E8E"/>
    <w:rsid w:val="004B1EC4"/>
    <w:rsid w:val="004B1F77"/>
    <w:rsid w:val="004B2143"/>
    <w:rsid w:val="004B34E2"/>
    <w:rsid w:val="004B3633"/>
    <w:rsid w:val="004B3676"/>
    <w:rsid w:val="004B37EC"/>
    <w:rsid w:val="004B3AD7"/>
    <w:rsid w:val="004B3F9E"/>
    <w:rsid w:val="004B4DCB"/>
    <w:rsid w:val="004B537C"/>
    <w:rsid w:val="004B56E0"/>
    <w:rsid w:val="004B5BFD"/>
    <w:rsid w:val="004B6734"/>
    <w:rsid w:val="004B70C7"/>
    <w:rsid w:val="004B75DB"/>
    <w:rsid w:val="004B7942"/>
    <w:rsid w:val="004B7F39"/>
    <w:rsid w:val="004C007D"/>
    <w:rsid w:val="004C07AE"/>
    <w:rsid w:val="004C0A35"/>
    <w:rsid w:val="004C0BE8"/>
    <w:rsid w:val="004C0D27"/>
    <w:rsid w:val="004C1BAD"/>
    <w:rsid w:val="004C1C74"/>
    <w:rsid w:val="004C1D43"/>
    <w:rsid w:val="004C26C6"/>
    <w:rsid w:val="004C2874"/>
    <w:rsid w:val="004C3114"/>
    <w:rsid w:val="004C32E6"/>
    <w:rsid w:val="004C3833"/>
    <w:rsid w:val="004C3C6D"/>
    <w:rsid w:val="004C3ED2"/>
    <w:rsid w:val="004C4376"/>
    <w:rsid w:val="004C468C"/>
    <w:rsid w:val="004C4765"/>
    <w:rsid w:val="004C5B66"/>
    <w:rsid w:val="004C5B97"/>
    <w:rsid w:val="004C5D4E"/>
    <w:rsid w:val="004C6882"/>
    <w:rsid w:val="004C6AC6"/>
    <w:rsid w:val="004C6B49"/>
    <w:rsid w:val="004C6C57"/>
    <w:rsid w:val="004C7345"/>
    <w:rsid w:val="004C74B9"/>
    <w:rsid w:val="004D04DF"/>
    <w:rsid w:val="004D08CA"/>
    <w:rsid w:val="004D1A69"/>
    <w:rsid w:val="004D1F53"/>
    <w:rsid w:val="004D204E"/>
    <w:rsid w:val="004D23F1"/>
    <w:rsid w:val="004D2EC2"/>
    <w:rsid w:val="004D2F68"/>
    <w:rsid w:val="004D3348"/>
    <w:rsid w:val="004D38B4"/>
    <w:rsid w:val="004D3C2E"/>
    <w:rsid w:val="004D433D"/>
    <w:rsid w:val="004D4D24"/>
    <w:rsid w:val="004D4EAF"/>
    <w:rsid w:val="004D55A7"/>
    <w:rsid w:val="004D5743"/>
    <w:rsid w:val="004D5A66"/>
    <w:rsid w:val="004D5F9C"/>
    <w:rsid w:val="004D7015"/>
    <w:rsid w:val="004D7924"/>
    <w:rsid w:val="004D7FF8"/>
    <w:rsid w:val="004E0405"/>
    <w:rsid w:val="004E05CC"/>
    <w:rsid w:val="004E077A"/>
    <w:rsid w:val="004E1137"/>
    <w:rsid w:val="004E1450"/>
    <w:rsid w:val="004E1A25"/>
    <w:rsid w:val="004E1B30"/>
    <w:rsid w:val="004E1DD4"/>
    <w:rsid w:val="004E2174"/>
    <w:rsid w:val="004E26F0"/>
    <w:rsid w:val="004E2A49"/>
    <w:rsid w:val="004E2F1C"/>
    <w:rsid w:val="004E31EE"/>
    <w:rsid w:val="004E4403"/>
    <w:rsid w:val="004E4620"/>
    <w:rsid w:val="004E530F"/>
    <w:rsid w:val="004E5B7D"/>
    <w:rsid w:val="004E5CBF"/>
    <w:rsid w:val="004E5FA1"/>
    <w:rsid w:val="004E60AF"/>
    <w:rsid w:val="004E6382"/>
    <w:rsid w:val="004E6840"/>
    <w:rsid w:val="004E6A5C"/>
    <w:rsid w:val="004E71F9"/>
    <w:rsid w:val="004E7D0C"/>
    <w:rsid w:val="004F0096"/>
    <w:rsid w:val="004F0962"/>
    <w:rsid w:val="004F0AF9"/>
    <w:rsid w:val="004F19D3"/>
    <w:rsid w:val="004F1BA5"/>
    <w:rsid w:val="004F1ED7"/>
    <w:rsid w:val="004F2474"/>
    <w:rsid w:val="004F26BF"/>
    <w:rsid w:val="004F2C40"/>
    <w:rsid w:val="004F421E"/>
    <w:rsid w:val="004F4D07"/>
    <w:rsid w:val="004F55DF"/>
    <w:rsid w:val="004F55E7"/>
    <w:rsid w:val="004F57FA"/>
    <w:rsid w:val="004F5AE8"/>
    <w:rsid w:val="004F64C2"/>
    <w:rsid w:val="004F6549"/>
    <w:rsid w:val="004F6728"/>
    <w:rsid w:val="004F6E6E"/>
    <w:rsid w:val="004F7FE9"/>
    <w:rsid w:val="00500268"/>
    <w:rsid w:val="00500541"/>
    <w:rsid w:val="00500870"/>
    <w:rsid w:val="005009CB"/>
    <w:rsid w:val="005009EB"/>
    <w:rsid w:val="00500A74"/>
    <w:rsid w:val="00500F56"/>
    <w:rsid w:val="005011C8"/>
    <w:rsid w:val="00501327"/>
    <w:rsid w:val="0050143E"/>
    <w:rsid w:val="00501777"/>
    <w:rsid w:val="0050182C"/>
    <w:rsid w:val="005029A9"/>
    <w:rsid w:val="00502A02"/>
    <w:rsid w:val="00502A6B"/>
    <w:rsid w:val="00502B68"/>
    <w:rsid w:val="00502EEB"/>
    <w:rsid w:val="00502F27"/>
    <w:rsid w:val="00503147"/>
    <w:rsid w:val="0050351B"/>
    <w:rsid w:val="005035F7"/>
    <w:rsid w:val="005036EE"/>
    <w:rsid w:val="0050397B"/>
    <w:rsid w:val="0050415C"/>
    <w:rsid w:val="00504256"/>
    <w:rsid w:val="00504E60"/>
    <w:rsid w:val="005050B2"/>
    <w:rsid w:val="0050571D"/>
    <w:rsid w:val="005059DD"/>
    <w:rsid w:val="00505B10"/>
    <w:rsid w:val="00505B29"/>
    <w:rsid w:val="00505E41"/>
    <w:rsid w:val="00505F47"/>
    <w:rsid w:val="005060C6"/>
    <w:rsid w:val="00506CEF"/>
    <w:rsid w:val="00506E8F"/>
    <w:rsid w:val="0050732C"/>
    <w:rsid w:val="005104EB"/>
    <w:rsid w:val="005108EC"/>
    <w:rsid w:val="00510921"/>
    <w:rsid w:val="005109CD"/>
    <w:rsid w:val="0051113B"/>
    <w:rsid w:val="005114A7"/>
    <w:rsid w:val="005114BE"/>
    <w:rsid w:val="00511DD9"/>
    <w:rsid w:val="00512507"/>
    <w:rsid w:val="00512C70"/>
    <w:rsid w:val="00512C7B"/>
    <w:rsid w:val="00512C7C"/>
    <w:rsid w:val="0051421A"/>
    <w:rsid w:val="005144AF"/>
    <w:rsid w:val="005144E5"/>
    <w:rsid w:val="00514771"/>
    <w:rsid w:val="00514842"/>
    <w:rsid w:val="00515087"/>
    <w:rsid w:val="00515278"/>
    <w:rsid w:val="005156A4"/>
    <w:rsid w:val="00515A4F"/>
    <w:rsid w:val="00515AB7"/>
    <w:rsid w:val="00515B0F"/>
    <w:rsid w:val="00515C46"/>
    <w:rsid w:val="00515C82"/>
    <w:rsid w:val="00516A67"/>
    <w:rsid w:val="00516B24"/>
    <w:rsid w:val="00517261"/>
    <w:rsid w:val="005173BF"/>
    <w:rsid w:val="0051748A"/>
    <w:rsid w:val="00517590"/>
    <w:rsid w:val="00517B9E"/>
    <w:rsid w:val="005200C6"/>
    <w:rsid w:val="0052021E"/>
    <w:rsid w:val="0052067F"/>
    <w:rsid w:val="00520756"/>
    <w:rsid w:val="005207AE"/>
    <w:rsid w:val="00520C36"/>
    <w:rsid w:val="0052174A"/>
    <w:rsid w:val="00521D65"/>
    <w:rsid w:val="00521FCF"/>
    <w:rsid w:val="00522079"/>
    <w:rsid w:val="00522452"/>
    <w:rsid w:val="00522A93"/>
    <w:rsid w:val="005237EA"/>
    <w:rsid w:val="00523822"/>
    <w:rsid w:val="00523B1D"/>
    <w:rsid w:val="00523CE0"/>
    <w:rsid w:val="00523FD5"/>
    <w:rsid w:val="0052419A"/>
    <w:rsid w:val="00524D59"/>
    <w:rsid w:val="005255C7"/>
    <w:rsid w:val="0052583E"/>
    <w:rsid w:val="005258C6"/>
    <w:rsid w:val="0052654B"/>
    <w:rsid w:val="00526675"/>
    <w:rsid w:val="00526AB2"/>
    <w:rsid w:val="005270DE"/>
    <w:rsid w:val="00527B11"/>
    <w:rsid w:val="00527C6E"/>
    <w:rsid w:val="0053011C"/>
    <w:rsid w:val="00530417"/>
    <w:rsid w:val="00530CCB"/>
    <w:rsid w:val="00530E15"/>
    <w:rsid w:val="00530EE3"/>
    <w:rsid w:val="0053130C"/>
    <w:rsid w:val="005313E9"/>
    <w:rsid w:val="005314E6"/>
    <w:rsid w:val="00531866"/>
    <w:rsid w:val="00531A20"/>
    <w:rsid w:val="00531C4A"/>
    <w:rsid w:val="00531DB1"/>
    <w:rsid w:val="00532286"/>
    <w:rsid w:val="005323DC"/>
    <w:rsid w:val="0053250A"/>
    <w:rsid w:val="00532A5E"/>
    <w:rsid w:val="00532E4B"/>
    <w:rsid w:val="0053328F"/>
    <w:rsid w:val="00533900"/>
    <w:rsid w:val="00533D19"/>
    <w:rsid w:val="00533E07"/>
    <w:rsid w:val="00533FD8"/>
    <w:rsid w:val="005341CE"/>
    <w:rsid w:val="00534792"/>
    <w:rsid w:val="005348F1"/>
    <w:rsid w:val="00534ABB"/>
    <w:rsid w:val="00535142"/>
    <w:rsid w:val="00535B9B"/>
    <w:rsid w:val="005360E0"/>
    <w:rsid w:val="00536C7E"/>
    <w:rsid w:val="0053708E"/>
    <w:rsid w:val="00537929"/>
    <w:rsid w:val="00537962"/>
    <w:rsid w:val="005379FA"/>
    <w:rsid w:val="005408B8"/>
    <w:rsid w:val="00540C47"/>
    <w:rsid w:val="00540EE9"/>
    <w:rsid w:val="00540FE5"/>
    <w:rsid w:val="005412BA"/>
    <w:rsid w:val="00541698"/>
    <w:rsid w:val="005416C2"/>
    <w:rsid w:val="00541E05"/>
    <w:rsid w:val="00541E83"/>
    <w:rsid w:val="00541FD1"/>
    <w:rsid w:val="005424B1"/>
    <w:rsid w:val="00542735"/>
    <w:rsid w:val="0054283C"/>
    <w:rsid w:val="00542D25"/>
    <w:rsid w:val="00542E19"/>
    <w:rsid w:val="00542F92"/>
    <w:rsid w:val="00543532"/>
    <w:rsid w:val="00543C70"/>
    <w:rsid w:val="00543D4D"/>
    <w:rsid w:val="00543E0C"/>
    <w:rsid w:val="005441B1"/>
    <w:rsid w:val="005449E6"/>
    <w:rsid w:val="00545725"/>
    <w:rsid w:val="005461FE"/>
    <w:rsid w:val="00546508"/>
    <w:rsid w:val="0054685A"/>
    <w:rsid w:val="005471FC"/>
    <w:rsid w:val="00547602"/>
    <w:rsid w:val="00547A51"/>
    <w:rsid w:val="00547EDF"/>
    <w:rsid w:val="00550173"/>
    <w:rsid w:val="005501C2"/>
    <w:rsid w:val="00550736"/>
    <w:rsid w:val="0055085A"/>
    <w:rsid w:val="00550A90"/>
    <w:rsid w:val="00550CE8"/>
    <w:rsid w:val="00550E66"/>
    <w:rsid w:val="00550E8D"/>
    <w:rsid w:val="00550FB7"/>
    <w:rsid w:val="0055139F"/>
    <w:rsid w:val="00551FB3"/>
    <w:rsid w:val="00552CDB"/>
    <w:rsid w:val="00553F78"/>
    <w:rsid w:val="00554495"/>
    <w:rsid w:val="005556AC"/>
    <w:rsid w:val="005556ED"/>
    <w:rsid w:val="005558CF"/>
    <w:rsid w:val="00555AF8"/>
    <w:rsid w:val="00555DDB"/>
    <w:rsid w:val="00556625"/>
    <w:rsid w:val="00556758"/>
    <w:rsid w:val="00556809"/>
    <w:rsid w:val="00556ACA"/>
    <w:rsid w:val="00556B9F"/>
    <w:rsid w:val="005571FB"/>
    <w:rsid w:val="0055751B"/>
    <w:rsid w:val="00557A34"/>
    <w:rsid w:val="00557C69"/>
    <w:rsid w:val="0056040E"/>
    <w:rsid w:val="005627EE"/>
    <w:rsid w:val="00562DD7"/>
    <w:rsid w:val="00562E40"/>
    <w:rsid w:val="00563108"/>
    <w:rsid w:val="00563204"/>
    <w:rsid w:val="00563645"/>
    <w:rsid w:val="005637B7"/>
    <w:rsid w:val="00563A8C"/>
    <w:rsid w:val="00563AFD"/>
    <w:rsid w:val="00563EA9"/>
    <w:rsid w:val="0056419A"/>
    <w:rsid w:val="00564985"/>
    <w:rsid w:val="00564B07"/>
    <w:rsid w:val="00564D2E"/>
    <w:rsid w:val="005653AA"/>
    <w:rsid w:val="005655C6"/>
    <w:rsid w:val="00565629"/>
    <w:rsid w:val="005657C0"/>
    <w:rsid w:val="005659AC"/>
    <w:rsid w:val="00565B2C"/>
    <w:rsid w:val="00565C73"/>
    <w:rsid w:val="00565FBF"/>
    <w:rsid w:val="005666C8"/>
    <w:rsid w:val="00566F23"/>
    <w:rsid w:val="005671F7"/>
    <w:rsid w:val="00567EAC"/>
    <w:rsid w:val="0057062A"/>
    <w:rsid w:val="00570CA4"/>
    <w:rsid w:val="0057120A"/>
    <w:rsid w:val="0057132F"/>
    <w:rsid w:val="005713CD"/>
    <w:rsid w:val="005714D1"/>
    <w:rsid w:val="005719AD"/>
    <w:rsid w:val="00571E23"/>
    <w:rsid w:val="00571EF5"/>
    <w:rsid w:val="00572001"/>
    <w:rsid w:val="00572079"/>
    <w:rsid w:val="00572400"/>
    <w:rsid w:val="00572780"/>
    <w:rsid w:val="005728B5"/>
    <w:rsid w:val="005728D3"/>
    <w:rsid w:val="005732A2"/>
    <w:rsid w:val="005732B1"/>
    <w:rsid w:val="00573AD3"/>
    <w:rsid w:val="00573C72"/>
    <w:rsid w:val="00574B3D"/>
    <w:rsid w:val="00574FB6"/>
    <w:rsid w:val="00574FDC"/>
    <w:rsid w:val="005751F3"/>
    <w:rsid w:val="00575B5B"/>
    <w:rsid w:val="005760E2"/>
    <w:rsid w:val="00576251"/>
    <w:rsid w:val="00576344"/>
    <w:rsid w:val="00576E55"/>
    <w:rsid w:val="005771D3"/>
    <w:rsid w:val="00577959"/>
    <w:rsid w:val="00577D47"/>
    <w:rsid w:val="00577E53"/>
    <w:rsid w:val="0058010C"/>
    <w:rsid w:val="00580197"/>
    <w:rsid w:val="005801C3"/>
    <w:rsid w:val="0058089C"/>
    <w:rsid w:val="00580AA3"/>
    <w:rsid w:val="00580F4A"/>
    <w:rsid w:val="00581B36"/>
    <w:rsid w:val="00582309"/>
    <w:rsid w:val="005828CF"/>
    <w:rsid w:val="005828FE"/>
    <w:rsid w:val="00582A03"/>
    <w:rsid w:val="00582A79"/>
    <w:rsid w:val="00582D68"/>
    <w:rsid w:val="00582F57"/>
    <w:rsid w:val="005830F7"/>
    <w:rsid w:val="00583A91"/>
    <w:rsid w:val="00583E61"/>
    <w:rsid w:val="0058404C"/>
    <w:rsid w:val="005841A9"/>
    <w:rsid w:val="0058432A"/>
    <w:rsid w:val="00585014"/>
    <w:rsid w:val="00585179"/>
    <w:rsid w:val="00585866"/>
    <w:rsid w:val="0058595D"/>
    <w:rsid w:val="00585A84"/>
    <w:rsid w:val="00585B96"/>
    <w:rsid w:val="00585C4B"/>
    <w:rsid w:val="0058617D"/>
    <w:rsid w:val="005866FF"/>
    <w:rsid w:val="0058678A"/>
    <w:rsid w:val="00586A48"/>
    <w:rsid w:val="00586ACA"/>
    <w:rsid w:val="005879EE"/>
    <w:rsid w:val="00587B33"/>
    <w:rsid w:val="00587EA9"/>
    <w:rsid w:val="0059030E"/>
    <w:rsid w:val="00590712"/>
    <w:rsid w:val="00590DA2"/>
    <w:rsid w:val="00590E10"/>
    <w:rsid w:val="005918D9"/>
    <w:rsid w:val="00591903"/>
    <w:rsid w:val="00591F6B"/>
    <w:rsid w:val="005921A8"/>
    <w:rsid w:val="0059235E"/>
    <w:rsid w:val="00592391"/>
    <w:rsid w:val="0059243F"/>
    <w:rsid w:val="0059247D"/>
    <w:rsid w:val="00592584"/>
    <w:rsid w:val="0059275B"/>
    <w:rsid w:val="00593084"/>
    <w:rsid w:val="005935CA"/>
    <w:rsid w:val="005936E7"/>
    <w:rsid w:val="00593BC0"/>
    <w:rsid w:val="00594388"/>
    <w:rsid w:val="005943FE"/>
    <w:rsid w:val="005950B7"/>
    <w:rsid w:val="00595877"/>
    <w:rsid w:val="00595E26"/>
    <w:rsid w:val="00595FCF"/>
    <w:rsid w:val="00595FE3"/>
    <w:rsid w:val="005962C7"/>
    <w:rsid w:val="00596429"/>
    <w:rsid w:val="00596446"/>
    <w:rsid w:val="00596771"/>
    <w:rsid w:val="00596FBE"/>
    <w:rsid w:val="00597441"/>
    <w:rsid w:val="005975DA"/>
    <w:rsid w:val="00597603"/>
    <w:rsid w:val="00597CAE"/>
    <w:rsid w:val="005A0222"/>
    <w:rsid w:val="005A08DB"/>
    <w:rsid w:val="005A0A2E"/>
    <w:rsid w:val="005A0B15"/>
    <w:rsid w:val="005A0F07"/>
    <w:rsid w:val="005A1261"/>
    <w:rsid w:val="005A1A8B"/>
    <w:rsid w:val="005A2785"/>
    <w:rsid w:val="005A2C3D"/>
    <w:rsid w:val="005A2C62"/>
    <w:rsid w:val="005A2C9D"/>
    <w:rsid w:val="005A3623"/>
    <w:rsid w:val="005A36E1"/>
    <w:rsid w:val="005A3D52"/>
    <w:rsid w:val="005A41CA"/>
    <w:rsid w:val="005A42A0"/>
    <w:rsid w:val="005A42E1"/>
    <w:rsid w:val="005A4461"/>
    <w:rsid w:val="005A480B"/>
    <w:rsid w:val="005A4984"/>
    <w:rsid w:val="005A4DEE"/>
    <w:rsid w:val="005A5005"/>
    <w:rsid w:val="005A5116"/>
    <w:rsid w:val="005A5ADC"/>
    <w:rsid w:val="005A5D11"/>
    <w:rsid w:val="005A6089"/>
    <w:rsid w:val="005A6209"/>
    <w:rsid w:val="005A6486"/>
    <w:rsid w:val="005A6526"/>
    <w:rsid w:val="005A6700"/>
    <w:rsid w:val="005A6A67"/>
    <w:rsid w:val="005A7DEA"/>
    <w:rsid w:val="005B0255"/>
    <w:rsid w:val="005B02AC"/>
    <w:rsid w:val="005B158C"/>
    <w:rsid w:val="005B17FC"/>
    <w:rsid w:val="005B180D"/>
    <w:rsid w:val="005B1A24"/>
    <w:rsid w:val="005B20FD"/>
    <w:rsid w:val="005B2439"/>
    <w:rsid w:val="005B2563"/>
    <w:rsid w:val="005B26DF"/>
    <w:rsid w:val="005B4647"/>
    <w:rsid w:val="005B4AB2"/>
    <w:rsid w:val="005B549D"/>
    <w:rsid w:val="005B5755"/>
    <w:rsid w:val="005B60A5"/>
    <w:rsid w:val="005B6401"/>
    <w:rsid w:val="005B687B"/>
    <w:rsid w:val="005B6FF6"/>
    <w:rsid w:val="005C13C0"/>
    <w:rsid w:val="005C1440"/>
    <w:rsid w:val="005C14E5"/>
    <w:rsid w:val="005C1AE4"/>
    <w:rsid w:val="005C1B3F"/>
    <w:rsid w:val="005C1BB5"/>
    <w:rsid w:val="005C1D78"/>
    <w:rsid w:val="005C25F9"/>
    <w:rsid w:val="005C2B2D"/>
    <w:rsid w:val="005C2F8C"/>
    <w:rsid w:val="005C34EC"/>
    <w:rsid w:val="005C3B2E"/>
    <w:rsid w:val="005C3E8E"/>
    <w:rsid w:val="005C4512"/>
    <w:rsid w:val="005C477E"/>
    <w:rsid w:val="005C4953"/>
    <w:rsid w:val="005C4AC5"/>
    <w:rsid w:val="005C4EA3"/>
    <w:rsid w:val="005C5053"/>
    <w:rsid w:val="005C5414"/>
    <w:rsid w:val="005C5A9A"/>
    <w:rsid w:val="005C5BB9"/>
    <w:rsid w:val="005C5E5A"/>
    <w:rsid w:val="005C63F4"/>
    <w:rsid w:val="005C6736"/>
    <w:rsid w:val="005C78FC"/>
    <w:rsid w:val="005C7AD0"/>
    <w:rsid w:val="005C7C1C"/>
    <w:rsid w:val="005C7D74"/>
    <w:rsid w:val="005D0A44"/>
    <w:rsid w:val="005D1A19"/>
    <w:rsid w:val="005D1A87"/>
    <w:rsid w:val="005D1F6E"/>
    <w:rsid w:val="005D2189"/>
    <w:rsid w:val="005D2273"/>
    <w:rsid w:val="005D24F1"/>
    <w:rsid w:val="005D366E"/>
    <w:rsid w:val="005D3D88"/>
    <w:rsid w:val="005D3FFB"/>
    <w:rsid w:val="005D4010"/>
    <w:rsid w:val="005D52F8"/>
    <w:rsid w:val="005D5472"/>
    <w:rsid w:val="005D5834"/>
    <w:rsid w:val="005D5FE0"/>
    <w:rsid w:val="005D6060"/>
    <w:rsid w:val="005D68DB"/>
    <w:rsid w:val="005D6C0D"/>
    <w:rsid w:val="005D6C8A"/>
    <w:rsid w:val="005D6D3E"/>
    <w:rsid w:val="005D717C"/>
    <w:rsid w:val="005D7A39"/>
    <w:rsid w:val="005D7AFF"/>
    <w:rsid w:val="005D7C6F"/>
    <w:rsid w:val="005D7CAD"/>
    <w:rsid w:val="005E052E"/>
    <w:rsid w:val="005E0928"/>
    <w:rsid w:val="005E0DBA"/>
    <w:rsid w:val="005E1152"/>
    <w:rsid w:val="005E146D"/>
    <w:rsid w:val="005E170C"/>
    <w:rsid w:val="005E1BA7"/>
    <w:rsid w:val="005E2168"/>
    <w:rsid w:val="005E216F"/>
    <w:rsid w:val="005E257F"/>
    <w:rsid w:val="005E2882"/>
    <w:rsid w:val="005E2AD3"/>
    <w:rsid w:val="005E3534"/>
    <w:rsid w:val="005E39D8"/>
    <w:rsid w:val="005E3AE1"/>
    <w:rsid w:val="005E3DF6"/>
    <w:rsid w:val="005E45B0"/>
    <w:rsid w:val="005E510B"/>
    <w:rsid w:val="005E57A8"/>
    <w:rsid w:val="005E5D06"/>
    <w:rsid w:val="005E6435"/>
    <w:rsid w:val="005E6802"/>
    <w:rsid w:val="005E6B76"/>
    <w:rsid w:val="005E77D4"/>
    <w:rsid w:val="005E7ED4"/>
    <w:rsid w:val="005F03CE"/>
    <w:rsid w:val="005F070D"/>
    <w:rsid w:val="005F11E7"/>
    <w:rsid w:val="005F1726"/>
    <w:rsid w:val="005F1998"/>
    <w:rsid w:val="005F1B29"/>
    <w:rsid w:val="005F1EAF"/>
    <w:rsid w:val="005F20D7"/>
    <w:rsid w:val="005F2109"/>
    <w:rsid w:val="005F250C"/>
    <w:rsid w:val="005F25CC"/>
    <w:rsid w:val="005F26C7"/>
    <w:rsid w:val="005F281A"/>
    <w:rsid w:val="005F28D9"/>
    <w:rsid w:val="005F30C4"/>
    <w:rsid w:val="005F36F6"/>
    <w:rsid w:val="005F37A4"/>
    <w:rsid w:val="005F37E6"/>
    <w:rsid w:val="005F3B66"/>
    <w:rsid w:val="005F3B88"/>
    <w:rsid w:val="005F3C06"/>
    <w:rsid w:val="005F3DCA"/>
    <w:rsid w:val="005F3F25"/>
    <w:rsid w:val="005F4453"/>
    <w:rsid w:val="005F4629"/>
    <w:rsid w:val="005F4DB3"/>
    <w:rsid w:val="005F4E46"/>
    <w:rsid w:val="005F4F25"/>
    <w:rsid w:val="005F5357"/>
    <w:rsid w:val="005F55AE"/>
    <w:rsid w:val="005F5614"/>
    <w:rsid w:val="005F58CC"/>
    <w:rsid w:val="005F5BB4"/>
    <w:rsid w:val="005F61CB"/>
    <w:rsid w:val="005F69F0"/>
    <w:rsid w:val="005F6BC3"/>
    <w:rsid w:val="005F724B"/>
    <w:rsid w:val="005F72EF"/>
    <w:rsid w:val="005F739B"/>
    <w:rsid w:val="005F7476"/>
    <w:rsid w:val="005F7502"/>
    <w:rsid w:val="005F7646"/>
    <w:rsid w:val="005F7FA4"/>
    <w:rsid w:val="00600440"/>
    <w:rsid w:val="00600F4A"/>
    <w:rsid w:val="006016BD"/>
    <w:rsid w:val="00601965"/>
    <w:rsid w:val="00601A82"/>
    <w:rsid w:val="00601CF4"/>
    <w:rsid w:val="00602561"/>
    <w:rsid w:val="00602830"/>
    <w:rsid w:val="00602AC8"/>
    <w:rsid w:val="0060336D"/>
    <w:rsid w:val="0060354E"/>
    <w:rsid w:val="00603AB2"/>
    <w:rsid w:val="00603B00"/>
    <w:rsid w:val="00603E12"/>
    <w:rsid w:val="0060456D"/>
    <w:rsid w:val="00604D06"/>
    <w:rsid w:val="00604EBA"/>
    <w:rsid w:val="00605BF4"/>
    <w:rsid w:val="00605F78"/>
    <w:rsid w:val="006062D6"/>
    <w:rsid w:val="006064EA"/>
    <w:rsid w:val="00606E66"/>
    <w:rsid w:val="006073F0"/>
    <w:rsid w:val="0060796E"/>
    <w:rsid w:val="006101C2"/>
    <w:rsid w:val="00610382"/>
    <w:rsid w:val="006104CC"/>
    <w:rsid w:val="00610C6F"/>
    <w:rsid w:val="00610D85"/>
    <w:rsid w:val="00610E8E"/>
    <w:rsid w:val="0061156C"/>
    <w:rsid w:val="0061173A"/>
    <w:rsid w:val="00611896"/>
    <w:rsid w:val="006118BD"/>
    <w:rsid w:val="006118E8"/>
    <w:rsid w:val="00611C41"/>
    <w:rsid w:val="00612545"/>
    <w:rsid w:val="006125DF"/>
    <w:rsid w:val="00612701"/>
    <w:rsid w:val="006130FF"/>
    <w:rsid w:val="00613491"/>
    <w:rsid w:val="00613F82"/>
    <w:rsid w:val="00614043"/>
    <w:rsid w:val="00614303"/>
    <w:rsid w:val="006149FD"/>
    <w:rsid w:val="00614AA3"/>
    <w:rsid w:val="00614E0F"/>
    <w:rsid w:val="006153E3"/>
    <w:rsid w:val="006153F7"/>
    <w:rsid w:val="00615676"/>
    <w:rsid w:val="006161E2"/>
    <w:rsid w:val="006167D4"/>
    <w:rsid w:val="00617450"/>
    <w:rsid w:val="00617712"/>
    <w:rsid w:val="00617964"/>
    <w:rsid w:val="00617C15"/>
    <w:rsid w:val="00617C17"/>
    <w:rsid w:val="00620B1E"/>
    <w:rsid w:val="0062108E"/>
    <w:rsid w:val="00621422"/>
    <w:rsid w:val="00621CF8"/>
    <w:rsid w:val="00621F9F"/>
    <w:rsid w:val="00622BC7"/>
    <w:rsid w:val="006237A3"/>
    <w:rsid w:val="00623A06"/>
    <w:rsid w:val="00623CDE"/>
    <w:rsid w:val="00624450"/>
    <w:rsid w:val="00624777"/>
    <w:rsid w:val="00624A5A"/>
    <w:rsid w:val="00624A8D"/>
    <w:rsid w:val="00624B28"/>
    <w:rsid w:val="00624F41"/>
    <w:rsid w:val="006254CF"/>
    <w:rsid w:val="006256C1"/>
    <w:rsid w:val="006265B1"/>
    <w:rsid w:val="006265BE"/>
    <w:rsid w:val="00626BBD"/>
    <w:rsid w:val="006273D6"/>
    <w:rsid w:val="006277FF"/>
    <w:rsid w:val="00627B7B"/>
    <w:rsid w:val="00627D67"/>
    <w:rsid w:val="00627DDF"/>
    <w:rsid w:val="006300FA"/>
    <w:rsid w:val="00630CEC"/>
    <w:rsid w:val="0063115C"/>
    <w:rsid w:val="006316DB"/>
    <w:rsid w:val="0063186F"/>
    <w:rsid w:val="00631B58"/>
    <w:rsid w:val="00631E78"/>
    <w:rsid w:val="00631F67"/>
    <w:rsid w:val="0063267C"/>
    <w:rsid w:val="006329AB"/>
    <w:rsid w:val="00633A7C"/>
    <w:rsid w:val="00633C29"/>
    <w:rsid w:val="00633F27"/>
    <w:rsid w:val="00634ACD"/>
    <w:rsid w:val="00634C64"/>
    <w:rsid w:val="00634CBA"/>
    <w:rsid w:val="0063503F"/>
    <w:rsid w:val="00635C24"/>
    <w:rsid w:val="00635DCF"/>
    <w:rsid w:val="006360F6"/>
    <w:rsid w:val="00636365"/>
    <w:rsid w:val="006364BA"/>
    <w:rsid w:val="006364C9"/>
    <w:rsid w:val="006369EB"/>
    <w:rsid w:val="00636A73"/>
    <w:rsid w:val="00636EA8"/>
    <w:rsid w:val="00637668"/>
    <w:rsid w:val="00637944"/>
    <w:rsid w:val="00637A28"/>
    <w:rsid w:val="00640265"/>
    <w:rsid w:val="00640314"/>
    <w:rsid w:val="00640B6B"/>
    <w:rsid w:val="00640B8B"/>
    <w:rsid w:val="00640D89"/>
    <w:rsid w:val="00641133"/>
    <w:rsid w:val="006412C5"/>
    <w:rsid w:val="0064173E"/>
    <w:rsid w:val="006424B3"/>
    <w:rsid w:val="006425AF"/>
    <w:rsid w:val="00642EFF"/>
    <w:rsid w:val="00643140"/>
    <w:rsid w:val="006431A0"/>
    <w:rsid w:val="0064345A"/>
    <w:rsid w:val="006437BF"/>
    <w:rsid w:val="006438A9"/>
    <w:rsid w:val="00643DF5"/>
    <w:rsid w:val="0064412F"/>
    <w:rsid w:val="006441C5"/>
    <w:rsid w:val="00644AE2"/>
    <w:rsid w:val="006453E5"/>
    <w:rsid w:val="006455EA"/>
    <w:rsid w:val="00645932"/>
    <w:rsid w:val="006463E9"/>
    <w:rsid w:val="006466E9"/>
    <w:rsid w:val="006467E9"/>
    <w:rsid w:val="00647664"/>
    <w:rsid w:val="00647808"/>
    <w:rsid w:val="00647900"/>
    <w:rsid w:val="00647A75"/>
    <w:rsid w:val="00647AC6"/>
    <w:rsid w:val="00647C5D"/>
    <w:rsid w:val="00647D0B"/>
    <w:rsid w:val="00647EDA"/>
    <w:rsid w:val="006507AD"/>
    <w:rsid w:val="006507F1"/>
    <w:rsid w:val="006510EE"/>
    <w:rsid w:val="0065126F"/>
    <w:rsid w:val="0065160B"/>
    <w:rsid w:val="00651D9F"/>
    <w:rsid w:val="006521B3"/>
    <w:rsid w:val="006522A9"/>
    <w:rsid w:val="006527F3"/>
    <w:rsid w:val="0065295C"/>
    <w:rsid w:val="00653815"/>
    <w:rsid w:val="00654070"/>
    <w:rsid w:val="006545C9"/>
    <w:rsid w:val="0065524D"/>
    <w:rsid w:val="00655962"/>
    <w:rsid w:val="00655D72"/>
    <w:rsid w:val="00655EFD"/>
    <w:rsid w:val="006562E1"/>
    <w:rsid w:val="00657150"/>
    <w:rsid w:val="0065749D"/>
    <w:rsid w:val="00657630"/>
    <w:rsid w:val="00657DE6"/>
    <w:rsid w:val="0066057E"/>
    <w:rsid w:val="00661715"/>
    <w:rsid w:val="00661721"/>
    <w:rsid w:val="006618CF"/>
    <w:rsid w:val="00662E25"/>
    <w:rsid w:val="006635F0"/>
    <w:rsid w:val="006638D1"/>
    <w:rsid w:val="00663AF8"/>
    <w:rsid w:val="00663C06"/>
    <w:rsid w:val="00663F41"/>
    <w:rsid w:val="00664231"/>
    <w:rsid w:val="006647FC"/>
    <w:rsid w:val="00664D09"/>
    <w:rsid w:val="00665A8C"/>
    <w:rsid w:val="00665E6A"/>
    <w:rsid w:val="006661AC"/>
    <w:rsid w:val="006663FE"/>
    <w:rsid w:val="00666709"/>
    <w:rsid w:val="0066686C"/>
    <w:rsid w:val="00666EBA"/>
    <w:rsid w:val="00667398"/>
    <w:rsid w:val="0066776C"/>
    <w:rsid w:val="00667E2B"/>
    <w:rsid w:val="00667FE8"/>
    <w:rsid w:val="006705EC"/>
    <w:rsid w:val="006706CE"/>
    <w:rsid w:val="00670BAF"/>
    <w:rsid w:val="00670E85"/>
    <w:rsid w:val="00670FFC"/>
    <w:rsid w:val="00671461"/>
    <w:rsid w:val="00671560"/>
    <w:rsid w:val="00671BE8"/>
    <w:rsid w:val="00671C33"/>
    <w:rsid w:val="00671F51"/>
    <w:rsid w:val="00671FB1"/>
    <w:rsid w:val="0067245E"/>
    <w:rsid w:val="0067281B"/>
    <w:rsid w:val="0067298A"/>
    <w:rsid w:val="00672D11"/>
    <w:rsid w:val="00673139"/>
    <w:rsid w:val="00673686"/>
    <w:rsid w:val="00673A0E"/>
    <w:rsid w:val="00673DBB"/>
    <w:rsid w:val="00674046"/>
    <w:rsid w:val="0067406E"/>
    <w:rsid w:val="00674178"/>
    <w:rsid w:val="0067426F"/>
    <w:rsid w:val="006748A4"/>
    <w:rsid w:val="00674F49"/>
    <w:rsid w:val="00674FF6"/>
    <w:rsid w:val="00674FF8"/>
    <w:rsid w:val="00675179"/>
    <w:rsid w:val="00675309"/>
    <w:rsid w:val="00675753"/>
    <w:rsid w:val="0067586B"/>
    <w:rsid w:val="00676FED"/>
    <w:rsid w:val="006776C8"/>
    <w:rsid w:val="00677B30"/>
    <w:rsid w:val="00681041"/>
    <w:rsid w:val="00681B45"/>
    <w:rsid w:val="00681EA3"/>
    <w:rsid w:val="00681FDB"/>
    <w:rsid w:val="00682D56"/>
    <w:rsid w:val="006834F5"/>
    <w:rsid w:val="0068385C"/>
    <w:rsid w:val="00683E56"/>
    <w:rsid w:val="00683EF5"/>
    <w:rsid w:val="00684503"/>
    <w:rsid w:val="00684708"/>
    <w:rsid w:val="00684AAA"/>
    <w:rsid w:val="00684F80"/>
    <w:rsid w:val="00685303"/>
    <w:rsid w:val="0068538B"/>
    <w:rsid w:val="006855F5"/>
    <w:rsid w:val="006856F5"/>
    <w:rsid w:val="00685AC2"/>
    <w:rsid w:val="00685B2F"/>
    <w:rsid w:val="006861C2"/>
    <w:rsid w:val="00686897"/>
    <w:rsid w:val="00686B5A"/>
    <w:rsid w:val="00687055"/>
    <w:rsid w:val="006871A0"/>
    <w:rsid w:val="006873EF"/>
    <w:rsid w:val="0068783E"/>
    <w:rsid w:val="00690074"/>
    <w:rsid w:val="00690313"/>
    <w:rsid w:val="006903C5"/>
    <w:rsid w:val="00690604"/>
    <w:rsid w:val="00690D1C"/>
    <w:rsid w:val="0069103F"/>
    <w:rsid w:val="00691108"/>
    <w:rsid w:val="006916CC"/>
    <w:rsid w:val="00691A6A"/>
    <w:rsid w:val="00691E96"/>
    <w:rsid w:val="006922A7"/>
    <w:rsid w:val="00692656"/>
    <w:rsid w:val="00692AAD"/>
    <w:rsid w:val="00692BC3"/>
    <w:rsid w:val="0069365F"/>
    <w:rsid w:val="006938AD"/>
    <w:rsid w:val="00694516"/>
    <w:rsid w:val="006945CB"/>
    <w:rsid w:val="0069466C"/>
    <w:rsid w:val="00694B57"/>
    <w:rsid w:val="00694BA6"/>
    <w:rsid w:val="00694C8D"/>
    <w:rsid w:val="00694DA5"/>
    <w:rsid w:val="00694F01"/>
    <w:rsid w:val="00695209"/>
    <w:rsid w:val="006957F4"/>
    <w:rsid w:val="00695A41"/>
    <w:rsid w:val="00695E7A"/>
    <w:rsid w:val="00696E13"/>
    <w:rsid w:val="00697D90"/>
    <w:rsid w:val="006A0530"/>
    <w:rsid w:val="006A1268"/>
    <w:rsid w:val="006A1535"/>
    <w:rsid w:val="006A173A"/>
    <w:rsid w:val="006A296A"/>
    <w:rsid w:val="006A3037"/>
    <w:rsid w:val="006A360C"/>
    <w:rsid w:val="006A3733"/>
    <w:rsid w:val="006A3AE7"/>
    <w:rsid w:val="006A4152"/>
    <w:rsid w:val="006A42A6"/>
    <w:rsid w:val="006A42EB"/>
    <w:rsid w:val="006A474F"/>
    <w:rsid w:val="006A4A03"/>
    <w:rsid w:val="006A5279"/>
    <w:rsid w:val="006A55FB"/>
    <w:rsid w:val="006A5ABC"/>
    <w:rsid w:val="006A5AE1"/>
    <w:rsid w:val="006A5F50"/>
    <w:rsid w:val="006A61D6"/>
    <w:rsid w:val="006A658C"/>
    <w:rsid w:val="006A65C5"/>
    <w:rsid w:val="006A66B2"/>
    <w:rsid w:val="006A6AC4"/>
    <w:rsid w:val="006A6DD7"/>
    <w:rsid w:val="006A741D"/>
    <w:rsid w:val="006A7425"/>
    <w:rsid w:val="006A79AD"/>
    <w:rsid w:val="006B0215"/>
    <w:rsid w:val="006B048A"/>
    <w:rsid w:val="006B085F"/>
    <w:rsid w:val="006B0B07"/>
    <w:rsid w:val="006B1217"/>
    <w:rsid w:val="006B192D"/>
    <w:rsid w:val="006B1D57"/>
    <w:rsid w:val="006B2DBD"/>
    <w:rsid w:val="006B33E0"/>
    <w:rsid w:val="006B3A43"/>
    <w:rsid w:val="006B3AED"/>
    <w:rsid w:val="006B3D0F"/>
    <w:rsid w:val="006B3D51"/>
    <w:rsid w:val="006B3EB4"/>
    <w:rsid w:val="006B4FCF"/>
    <w:rsid w:val="006B52E1"/>
    <w:rsid w:val="006B5E9D"/>
    <w:rsid w:val="006B5ECE"/>
    <w:rsid w:val="006B6716"/>
    <w:rsid w:val="006B6BB5"/>
    <w:rsid w:val="006B774C"/>
    <w:rsid w:val="006B7C03"/>
    <w:rsid w:val="006C1069"/>
    <w:rsid w:val="006C1359"/>
    <w:rsid w:val="006C1648"/>
    <w:rsid w:val="006C1734"/>
    <w:rsid w:val="006C18E0"/>
    <w:rsid w:val="006C1E1A"/>
    <w:rsid w:val="006C1F9F"/>
    <w:rsid w:val="006C2080"/>
    <w:rsid w:val="006C2402"/>
    <w:rsid w:val="006C296C"/>
    <w:rsid w:val="006C2C07"/>
    <w:rsid w:val="006C3121"/>
    <w:rsid w:val="006C3310"/>
    <w:rsid w:val="006C3FC5"/>
    <w:rsid w:val="006C426F"/>
    <w:rsid w:val="006C459F"/>
    <w:rsid w:val="006C4882"/>
    <w:rsid w:val="006C48E7"/>
    <w:rsid w:val="006C673B"/>
    <w:rsid w:val="006C7056"/>
    <w:rsid w:val="006C7236"/>
    <w:rsid w:val="006C7620"/>
    <w:rsid w:val="006C7685"/>
    <w:rsid w:val="006C7A30"/>
    <w:rsid w:val="006D00F3"/>
    <w:rsid w:val="006D016A"/>
    <w:rsid w:val="006D073B"/>
    <w:rsid w:val="006D0E58"/>
    <w:rsid w:val="006D0F0A"/>
    <w:rsid w:val="006D18EA"/>
    <w:rsid w:val="006D1E59"/>
    <w:rsid w:val="006D20D6"/>
    <w:rsid w:val="006D23B4"/>
    <w:rsid w:val="006D272E"/>
    <w:rsid w:val="006D291F"/>
    <w:rsid w:val="006D2C01"/>
    <w:rsid w:val="006D2FB4"/>
    <w:rsid w:val="006D302C"/>
    <w:rsid w:val="006D3151"/>
    <w:rsid w:val="006D3173"/>
    <w:rsid w:val="006D3366"/>
    <w:rsid w:val="006D3A84"/>
    <w:rsid w:val="006D41BB"/>
    <w:rsid w:val="006D45EF"/>
    <w:rsid w:val="006D478A"/>
    <w:rsid w:val="006D4DDC"/>
    <w:rsid w:val="006D54FF"/>
    <w:rsid w:val="006D5D08"/>
    <w:rsid w:val="006D6520"/>
    <w:rsid w:val="006D7389"/>
    <w:rsid w:val="006D7DBF"/>
    <w:rsid w:val="006D7EB8"/>
    <w:rsid w:val="006E003D"/>
    <w:rsid w:val="006E00A8"/>
    <w:rsid w:val="006E0294"/>
    <w:rsid w:val="006E0497"/>
    <w:rsid w:val="006E06D3"/>
    <w:rsid w:val="006E0756"/>
    <w:rsid w:val="006E07B1"/>
    <w:rsid w:val="006E080C"/>
    <w:rsid w:val="006E09B0"/>
    <w:rsid w:val="006E0A40"/>
    <w:rsid w:val="006E0B2F"/>
    <w:rsid w:val="006E0DBE"/>
    <w:rsid w:val="006E193A"/>
    <w:rsid w:val="006E2692"/>
    <w:rsid w:val="006E26D2"/>
    <w:rsid w:val="006E2F72"/>
    <w:rsid w:val="006E39D1"/>
    <w:rsid w:val="006E40FF"/>
    <w:rsid w:val="006E422C"/>
    <w:rsid w:val="006E44FE"/>
    <w:rsid w:val="006E4A04"/>
    <w:rsid w:val="006E4FD0"/>
    <w:rsid w:val="006E512A"/>
    <w:rsid w:val="006E59B1"/>
    <w:rsid w:val="006E627A"/>
    <w:rsid w:val="006E62EA"/>
    <w:rsid w:val="006E6417"/>
    <w:rsid w:val="006E6559"/>
    <w:rsid w:val="006E755F"/>
    <w:rsid w:val="006E782B"/>
    <w:rsid w:val="006E7BDC"/>
    <w:rsid w:val="006E7DA2"/>
    <w:rsid w:val="006F028D"/>
    <w:rsid w:val="006F02AD"/>
    <w:rsid w:val="006F05D5"/>
    <w:rsid w:val="006F07C2"/>
    <w:rsid w:val="006F0E69"/>
    <w:rsid w:val="006F1776"/>
    <w:rsid w:val="006F18B3"/>
    <w:rsid w:val="006F1E9D"/>
    <w:rsid w:val="006F1F39"/>
    <w:rsid w:val="006F2055"/>
    <w:rsid w:val="006F2150"/>
    <w:rsid w:val="006F2636"/>
    <w:rsid w:val="006F271D"/>
    <w:rsid w:val="006F2B53"/>
    <w:rsid w:val="006F3814"/>
    <w:rsid w:val="006F3871"/>
    <w:rsid w:val="006F39BB"/>
    <w:rsid w:val="006F437D"/>
    <w:rsid w:val="006F4687"/>
    <w:rsid w:val="006F474C"/>
    <w:rsid w:val="006F4939"/>
    <w:rsid w:val="006F4AB8"/>
    <w:rsid w:val="006F4E8F"/>
    <w:rsid w:val="006F502F"/>
    <w:rsid w:val="006F5C87"/>
    <w:rsid w:val="006F5E3F"/>
    <w:rsid w:val="006F6322"/>
    <w:rsid w:val="006F64AB"/>
    <w:rsid w:val="006F658B"/>
    <w:rsid w:val="006F6BBC"/>
    <w:rsid w:val="006F6D22"/>
    <w:rsid w:val="006F7376"/>
    <w:rsid w:val="006F7CEE"/>
    <w:rsid w:val="007008D1"/>
    <w:rsid w:val="0070157C"/>
    <w:rsid w:val="00701BBD"/>
    <w:rsid w:val="00701C45"/>
    <w:rsid w:val="00701EDE"/>
    <w:rsid w:val="00701F81"/>
    <w:rsid w:val="00702E7F"/>
    <w:rsid w:val="0070346D"/>
    <w:rsid w:val="00703903"/>
    <w:rsid w:val="00703CC9"/>
    <w:rsid w:val="00703F70"/>
    <w:rsid w:val="00704421"/>
    <w:rsid w:val="0070482B"/>
    <w:rsid w:val="00704910"/>
    <w:rsid w:val="007058AC"/>
    <w:rsid w:val="007060CF"/>
    <w:rsid w:val="00706172"/>
    <w:rsid w:val="007063D9"/>
    <w:rsid w:val="00706FC6"/>
    <w:rsid w:val="00707538"/>
    <w:rsid w:val="007075E3"/>
    <w:rsid w:val="0070762F"/>
    <w:rsid w:val="00707E5D"/>
    <w:rsid w:val="00707FF9"/>
    <w:rsid w:val="007105DD"/>
    <w:rsid w:val="00711323"/>
    <w:rsid w:val="007113A0"/>
    <w:rsid w:val="007114CC"/>
    <w:rsid w:val="00711E2F"/>
    <w:rsid w:val="00711E36"/>
    <w:rsid w:val="00711E58"/>
    <w:rsid w:val="007123AE"/>
    <w:rsid w:val="00712562"/>
    <w:rsid w:val="007127A4"/>
    <w:rsid w:val="007129B9"/>
    <w:rsid w:val="00712A8D"/>
    <w:rsid w:val="00712B6C"/>
    <w:rsid w:val="00712C64"/>
    <w:rsid w:val="00714376"/>
    <w:rsid w:val="007147A0"/>
    <w:rsid w:val="007149BB"/>
    <w:rsid w:val="007154E0"/>
    <w:rsid w:val="00715756"/>
    <w:rsid w:val="00715827"/>
    <w:rsid w:val="00715CD4"/>
    <w:rsid w:val="00717039"/>
    <w:rsid w:val="0072047E"/>
    <w:rsid w:val="007205F2"/>
    <w:rsid w:val="0072078F"/>
    <w:rsid w:val="00720CC1"/>
    <w:rsid w:val="00720EB6"/>
    <w:rsid w:val="00721F05"/>
    <w:rsid w:val="0072239E"/>
    <w:rsid w:val="007223F1"/>
    <w:rsid w:val="0072249A"/>
    <w:rsid w:val="007227BD"/>
    <w:rsid w:val="00723427"/>
    <w:rsid w:val="007238DE"/>
    <w:rsid w:val="00723A9A"/>
    <w:rsid w:val="00723EBA"/>
    <w:rsid w:val="00724E0B"/>
    <w:rsid w:val="00724F03"/>
    <w:rsid w:val="007255B1"/>
    <w:rsid w:val="007259F4"/>
    <w:rsid w:val="007264C5"/>
    <w:rsid w:val="0072674B"/>
    <w:rsid w:val="00726B9A"/>
    <w:rsid w:val="00726C18"/>
    <w:rsid w:val="00726D7B"/>
    <w:rsid w:val="00726DBB"/>
    <w:rsid w:val="00726EB7"/>
    <w:rsid w:val="00727005"/>
    <w:rsid w:val="007274B8"/>
    <w:rsid w:val="00727803"/>
    <w:rsid w:val="007278F9"/>
    <w:rsid w:val="007279D0"/>
    <w:rsid w:val="00727B05"/>
    <w:rsid w:val="00727BF0"/>
    <w:rsid w:val="00730022"/>
    <w:rsid w:val="0073039C"/>
    <w:rsid w:val="007306DE"/>
    <w:rsid w:val="00730826"/>
    <w:rsid w:val="0073086A"/>
    <w:rsid w:val="00730878"/>
    <w:rsid w:val="00730ADE"/>
    <w:rsid w:val="00730D27"/>
    <w:rsid w:val="007310B7"/>
    <w:rsid w:val="0073149E"/>
    <w:rsid w:val="00731557"/>
    <w:rsid w:val="0073219D"/>
    <w:rsid w:val="007323D7"/>
    <w:rsid w:val="00733125"/>
    <w:rsid w:val="007331E2"/>
    <w:rsid w:val="0073383B"/>
    <w:rsid w:val="0073389E"/>
    <w:rsid w:val="0073440D"/>
    <w:rsid w:val="007347EF"/>
    <w:rsid w:val="00734891"/>
    <w:rsid w:val="00734E2A"/>
    <w:rsid w:val="0073532A"/>
    <w:rsid w:val="0073580A"/>
    <w:rsid w:val="007359D6"/>
    <w:rsid w:val="00735C95"/>
    <w:rsid w:val="007360EB"/>
    <w:rsid w:val="0073661B"/>
    <w:rsid w:val="00736799"/>
    <w:rsid w:val="0073688B"/>
    <w:rsid w:val="00736B41"/>
    <w:rsid w:val="0073756A"/>
    <w:rsid w:val="00737AAB"/>
    <w:rsid w:val="00737BDC"/>
    <w:rsid w:val="00737CE3"/>
    <w:rsid w:val="00737D2A"/>
    <w:rsid w:val="00740248"/>
    <w:rsid w:val="007402A6"/>
    <w:rsid w:val="007405F8"/>
    <w:rsid w:val="00740757"/>
    <w:rsid w:val="00740E73"/>
    <w:rsid w:val="00740EE7"/>
    <w:rsid w:val="00740FF0"/>
    <w:rsid w:val="007410CA"/>
    <w:rsid w:val="00741A38"/>
    <w:rsid w:val="00742177"/>
    <w:rsid w:val="00742314"/>
    <w:rsid w:val="0074284B"/>
    <w:rsid w:val="00742BFE"/>
    <w:rsid w:val="007432C4"/>
    <w:rsid w:val="00743681"/>
    <w:rsid w:val="00743989"/>
    <w:rsid w:val="00743BA9"/>
    <w:rsid w:val="00743D2A"/>
    <w:rsid w:val="007452F4"/>
    <w:rsid w:val="007453F4"/>
    <w:rsid w:val="007454E3"/>
    <w:rsid w:val="00745743"/>
    <w:rsid w:val="00745C7E"/>
    <w:rsid w:val="00746DB7"/>
    <w:rsid w:val="00747159"/>
    <w:rsid w:val="0074762C"/>
    <w:rsid w:val="00747878"/>
    <w:rsid w:val="00747953"/>
    <w:rsid w:val="00747C5D"/>
    <w:rsid w:val="00747C8D"/>
    <w:rsid w:val="00747D6E"/>
    <w:rsid w:val="0075066D"/>
    <w:rsid w:val="007506E9"/>
    <w:rsid w:val="00750862"/>
    <w:rsid w:val="00750B11"/>
    <w:rsid w:val="00750DE0"/>
    <w:rsid w:val="00751251"/>
    <w:rsid w:val="007515FD"/>
    <w:rsid w:val="00751826"/>
    <w:rsid w:val="00751950"/>
    <w:rsid w:val="00751B2E"/>
    <w:rsid w:val="00751D08"/>
    <w:rsid w:val="00751DE9"/>
    <w:rsid w:val="0075201F"/>
    <w:rsid w:val="0075206B"/>
    <w:rsid w:val="007522E6"/>
    <w:rsid w:val="00752487"/>
    <w:rsid w:val="0075255F"/>
    <w:rsid w:val="0075385B"/>
    <w:rsid w:val="007538FC"/>
    <w:rsid w:val="00753E07"/>
    <w:rsid w:val="00754776"/>
    <w:rsid w:val="00754857"/>
    <w:rsid w:val="007549C9"/>
    <w:rsid w:val="00754A28"/>
    <w:rsid w:val="00754D04"/>
    <w:rsid w:val="00755288"/>
    <w:rsid w:val="007555F0"/>
    <w:rsid w:val="00755B3B"/>
    <w:rsid w:val="00755B95"/>
    <w:rsid w:val="00755F6B"/>
    <w:rsid w:val="00756EA8"/>
    <w:rsid w:val="00760218"/>
    <w:rsid w:val="00760411"/>
    <w:rsid w:val="0076057F"/>
    <w:rsid w:val="00760983"/>
    <w:rsid w:val="007611CD"/>
    <w:rsid w:val="00761803"/>
    <w:rsid w:val="00761A2B"/>
    <w:rsid w:val="00761A96"/>
    <w:rsid w:val="007620BB"/>
    <w:rsid w:val="007622F1"/>
    <w:rsid w:val="00762453"/>
    <w:rsid w:val="00763086"/>
    <w:rsid w:val="00763D67"/>
    <w:rsid w:val="00763D8B"/>
    <w:rsid w:val="0076425D"/>
    <w:rsid w:val="0076453E"/>
    <w:rsid w:val="007649AB"/>
    <w:rsid w:val="00764DE6"/>
    <w:rsid w:val="0076533E"/>
    <w:rsid w:val="00765AC2"/>
    <w:rsid w:val="00765E39"/>
    <w:rsid w:val="00765F67"/>
    <w:rsid w:val="00765F93"/>
    <w:rsid w:val="00766366"/>
    <w:rsid w:val="007663D2"/>
    <w:rsid w:val="0076650D"/>
    <w:rsid w:val="00767134"/>
    <w:rsid w:val="0076738F"/>
    <w:rsid w:val="00767495"/>
    <w:rsid w:val="00767C5B"/>
    <w:rsid w:val="00767DB5"/>
    <w:rsid w:val="00767DFD"/>
    <w:rsid w:val="007705AD"/>
    <w:rsid w:val="007707E6"/>
    <w:rsid w:val="00771533"/>
    <w:rsid w:val="0077172A"/>
    <w:rsid w:val="007718A7"/>
    <w:rsid w:val="00771B44"/>
    <w:rsid w:val="00771E5F"/>
    <w:rsid w:val="0077288F"/>
    <w:rsid w:val="007736C3"/>
    <w:rsid w:val="00773B57"/>
    <w:rsid w:val="00773DBA"/>
    <w:rsid w:val="0077444C"/>
    <w:rsid w:val="0077486C"/>
    <w:rsid w:val="00774B65"/>
    <w:rsid w:val="00775250"/>
    <w:rsid w:val="00775B00"/>
    <w:rsid w:val="00775F54"/>
    <w:rsid w:val="007763D5"/>
    <w:rsid w:val="00776DF2"/>
    <w:rsid w:val="00776F72"/>
    <w:rsid w:val="0077706F"/>
    <w:rsid w:val="007770E4"/>
    <w:rsid w:val="0077747B"/>
    <w:rsid w:val="00777BAE"/>
    <w:rsid w:val="00777DCD"/>
    <w:rsid w:val="007800D8"/>
    <w:rsid w:val="00780D25"/>
    <w:rsid w:val="007810F8"/>
    <w:rsid w:val="00781448"/>
    <w:rsid w:val="007818BC"/>
    <w:rsid w:val="00781D04"/>
    <w:rsid w:val="00781D76"/>
    <w:rsid w:val="0078208A"/>
    <w:rsid w:val="007825C7"/>
    <w:rsid w:val="0078272C"/>
    <w:rsid w:val="00782AF4"/>
    <w:rsid w:val="00782B89"/>
    <w:rsid w:val="00782CFF"/>
    <w:rsid w:val="007832C7"/>
    <w:rsid w:val="007837CF"/>
    <w:rsid w:val="00783868"/>
    <w:rsid w:val="00783CBE"/>
    <w:rsid w:val="00784313"/>
    <w:rsid w:val="00784C16"/>
    <w:rsid w:val="00784DA7"/>
    <w:rsid w:val="00784FCF"/>
    <w:rsid w:val="0078553B"/>
    <w:rsid w:val="007859F6"/>
    <w:rsid w:val="00785A95"/>
    <w:rsid w:val="00785B5E"/>
    <w:rsid w:val="0078602D"/>
    <w:rsid w:val="00786289"/>
    <w:rsid w:val="0078666D"/>
    <w:rsid w:val="00786918"/>
    <w:rsid w:val="00786952"/>
    <w:rsid w:val="007872D0"/>
    <w:rsid w:val="00787766"/>
    <w:rsid w:val="00787BA6"/>
    <w:rsid w:val="007910FB"/>
    <w:rsid w:val="007911AE"/>
    <w:rsid w:val="00791894"/>
    <w:rsid w:val="007919E4"/>
    <w:rsid w:val="00791EF9"/>
    <w:rsid w:val="0079239A"/>
    <w:rsid w:val="007924EF"/>
    <w:rsid w:val="00792910"/>
    <w:rsid w:val="00792B11"/>
    <w:rsid w:val="00792D00"/>
    <w:rsid w:val="00792EFD"/>
    <w:rsid w:val="0079311D"/>
    <w:rsid w:val="007932B1"/>
    <w:rsid w:val="007932D5"/>
    <w:rsid w:val="007933BA"/>
    <w:rsid w:val="00793C2E"/>
    <w:rsid w:val="0079401C"/>
    <w:rsid w:val="00794095"/>
    <w:rsid w:val="0079419D"/>
    <w:rsid w:val="007941F4"/>
    <w:rsid w:val="00794756"/>
    <w:rsid w:val="0079482A"/>
    <w:rsid w:val="00794D5D"/>
    <w:rsid w:val="0079509A"/>
    <w:rsid w:val="00795477"/>
    <w:rsid w:val="00795486"/>
    <w:rsid w:val="007957A9"/>
    <w:rsid w:val="0079590C"/>
    <w:rsid w:val="00795D3D"/>
    <w:rsid w:val="00796520"/>
    <w:rsid w:val="00796573"/>
    <w:rsid w:val="007969C7"/>
    <w:rsid w:val="0079719F"/>
    <w:rsid w:val="00797A9D"/>
    <w:rsid w:val="00797ACA"/>
    <w:rsid w:val="00797B13"/>
    <w:rsid w:val="007A028D"/>
    <w:rsid w:val="007A049D"/>
    <w:rsid w:val="007A090F"/>
    <w:rsid w:val="007A0943"/>
    <w:rsid w:val="007A15BC"/>
    <w:rsid w:val="007A218C"/>
    <w:rsid w:val="007A21E3"/>
    <w:rsid w:val="007A2E44"/>
    <w:rsid w:val="007A2F55"/>
    <w:rsid w:val="007A3467"/>
    <w:rsid w:val="007A3C72"/>
    <w:rsid w:val="007A4208"/>
    <w:rsid w:val="007A44CE"/>
    <w:rsid w:val="007A4822"/>
    <w:rsid w:val="007A4CC8"/>
    <w:rsid w:val="007A542C"/>
    <w:rsid w:val="007A5D49"/>
    <w:rsid w:val="007A5D76"/>
    <w:rsid w:val="007A6D32"/>
    <w:rsid w:val="007A7697"/>
    <w:rsid w:val="007A7AED"/>
    <w:rsid w:val="007B0099"/>
    <w:rsid w:val="007B037D"/>
    <w:rsid w:val="007B0FBE"/>
    <w:rsid w:val="007B16DD"/>
    <w:rsid w:val="007B1FF2"/>
    <w:rsid w:val="007B238C"/>
    <w:rsid w:val="007B26AD"/>
    <w:rsid w:val="007B27A6"/>
    <w:rsid w:val="007B27BD"/>
    <w:rsid w:val="007B2894"/>
    <w:rsid w:val="007B29BA"/>
    <w:rsid w:val="007B364B"/>
    <w:rsid w:val="007B3B25"/>
    <w:rsid w:val="007B3E5B"/>
    <w:rsid w:val="007B408E"/>
    <w:rsid w:val="007B4C25"/>
    <w:rsid w:val="007B5380"/>
    <w:rsid w:val="007B539B"/>
    <w:rsid w:val="007B5A21"/>
    <w:rsid w:val="007B5CB9"/>
    <w:rsid w:val="007B5F45"/>
    <w:rsid w:val="007B6A33"/>
    <w:rsid w:val="007B6B09"/>
    <w:rsid w:val="007B6CDF"/>
    <w:rsid w:val="007B6E34"/>
    <w:rsid w:val="007B713C"/>
    <w:rsid w:val="007B75D6"/>
    <w:rsid w:val="007B7B63"/>
    <w:rsid w:val="007B7BB0"/>
    <w:rsid w:val="007B7EDF"/>
    <w:rsid w:val="007B7FC1"/>
    <w:rsid w:val="007C0C6D"/>
    <w:rsid w:val="007C1173"/>
    <w:rsid w:val="007C1714"/>
    <w:rsid w:val="007C1B48"/>
    <w:rsid w:val="007C1BB1"/>
    <w:rsid w:val="007C2330"/>
    <w:rsid w:val="007C240F"/>
    <w:rsid w:val="007C2918"/>
    <w:rsid w:val="007C294B"/>
    <w:rsid w:val="007C2998"/>
    <w:rsid w:val="007C2A7D"/>
    <w:rsid w:val="007C364D"/>
    <w:rsid w:val="007C3D09"/>
    <w:rsid w:val="007C3DA8"/>
    <w:rsid w:val="007C4831"/>
    <w:rsid w:val="007C4A3C"/>
    <w:rsid w:val="007C50E5"/>
    <w:rsid w:val="007C5698"/>
    <w:rsid w:val="007C5C76"/>
    <w:rsid w:val="007C5D03"/>
    <w:rsid w:val="007C5EA1"/>
    <w:rsid w:val="007C6251"/>
    <w:rsid w:val="007C6376"/>
    <w:rsid w:val="007C6576"/>
    <w:rsid w:val="007C6E82"/>
    <w:rsid w:val="007C73C9"/>
    <w:rsid w:val="007C7904"/>
    <w:rsid w:val="007C7BE7"/>
    <w:rsid w:val="007C7FB0"/>
    <w:rsid w:val="007D0085"/>
    <w:rsid w:val="007D07EB"/>
    <w:rsid w:val="007D0F02"/>
    <w:rsid w:val="007D158F"/>
    <w:rsid w:val="007D1785"/>
    <w:rsid w:val="007D19D9"/>
    <w:rsid w:val="007D1D35"/>
    <w:rsid w:val="007D1FA9"/>
    <w:rsid w:val="007D1FD2"/>
    <w:rsid w:val="007D1FDE"/>
    <w:rsid w:val="007D267A"/>
    <w:rsid w:val="007D2BC0"/>
    <w:rsid w:val="007D2ECC"/>
    <w:rsid w:val="007D2F47"/>
    <w:rsid w:val="007D3463"/>
    <w:rsid w:val="007D3842"/>
    <w:rsid w:val="007D3907"/>
    <w:rsid w:val="007D3AB0"/>
    <w:rsid w:val="007D3B49"/>
    <w:rsid w:val="007D3F4A"/>
    <w:rsid w:val="007D4101"/>
    <w:rsid w:val="007D428B"/>
    <w:rsid w:val="007D44B2"/>
    <w:rsid w:val="007D478F"/>
    <w:rsid w:val="007D4D07"/>
    <w:rsid w:val="007D4E9A"/>
    <w:rsid w:val="007D5073"/>
    <w:rsid w:val="007D50A5"/>
    <w:rsid w:val="007D527A"/>
    <w:rsid w:val="007D65AA"/>
    <w:rsid w:val="007D769F"/>
    <w:rsid w:val="007D78E5"/>
    <w:rsid w:val="007D796E"/>
    <w:rsid w:val="007D7D3E"/>
    <w:rsid w:val="007D7FBB"/>
    <w:rsid w:val="007E073E"/>
    <w:rsid w:val="007E091C"/>
    <w:rsid w:val="007E1111"/>
    <w:rsid w:val="007E138A"/>
    <w:rsid w:val="007E13E1"/>
    <w:rsid w:val="007E1513"/>
    <w:rsid w:val="007E1D62"/>
    <w:rsid w:val="007E2716"/>
    <w:rsid w:val="007E2724"/>
    <w:rsid w:val="007E2FF2"/>
    <w:rsid w:val="007E3A1B"/>
    <w:rsid w:val="007E3C46"/>
    <w:rsid w:val="007E48D6"/>
    <w:rsid w:val="007E4EFC"/>
    <w:rsid w:val="007E52C1"/>
    <w:rsid w:val="007E5435"/>
    <w:rsid w:val="007E543F"/>
    <w:rsid w:val="007E5526"/>
    <w:rsid w:val="007E5931"/>
    <w:rsid w:val="007E5DE3"/>
    <w:rsid w:val="007E5F91"/>
    <w:rsid w:val="007E61EF"/>
    <w:rsid w:val="007E6B63"/>
    <w:rsid w:val="007E6D10"/>
    <w:rsid w:val="007E7431"/>
    <w:rsid w:val="007E753B"/>
    <w:rsid w:val="007E75AC"/>
    <w:rsid w:val="007E7C21"/>
    <w:rsid w:val="007E7C25"/>
    <w:rsid w:val="007F03E7"/>
    <w:rsid w:val="007F0971"/>
    <w:rsid w:val="007F0A28"/>
    <w:rsid w:val="007F0CFB"/>
    <w:rsid w:val="007F10D7"/>
    <w:rsid w:val="007F12FB"/>
    <w:rsid w:val="007F16FB"/>
    <w:rsid w:val="007F19C4"/>
    <w:rsid w:val="007F2236"/>
    <w:rsid w:val="007F2545"/>
    <w:rsid w:val="007F2B2B"/>
    <w:rsid w:val="007F3663"/>
    <w:rsid w:val="007F382B"/>
    <w:rsid w:val="007F3BF7"/>
    <w:rsid w:val="007F3E8F"/>
    <w:rsid w:val="007F4431"/>
    <w:rsid w:val="007F4720"/>
    <w:rsid w:val="007F4ADD"/>
    <w:rsid w:val="007F5662"/>
    <w:rsid w:val="007F5946"/>
    <w:rsid w:val="007F5EC9"/>
    <w:rsid w:val="007F6BBA"/>
    <w:rsid w:val="007F6C42"/>
    <w:rsid w:val="007F77E7"/>
    <w:rsid w:val="007F79DF"/>
    <w:rsid w:val="007F7A1A"/>
    <w:rsid w:val="00800222"/>
    <w:rsid w:val="00800CA1"/>
    <w:rsid w:val="00800CEA"/>
    <w:rsid w:val="008011DC"/>
    <w:rsid w:val="008012E5"/>
    <w:rsid w:val="00801485"/>
    <w:rsid w:val="00801C73"/>
    <w:rsid w:val="0080299A"/>
    <w:rsid w:val="00803001"/>
    <w:rsid w:val="008030A3"/>
    <w:rsid w:val="008039EA"/>
    <w:rsid w:val="00803B0C"/>
    <w:rsid w:val="00803ECC"/>
    <w:rsid w:val="008040F0"/>
    <w:rsid w:val="00804259"/>
    <w:rsid w:val="00804452"/>
    <w:rsid w:val="00804520"/>
    <w:rsid w:val="008047C8"/>
    <w:rsid w:val="00804AE1"/>
    <w:rsid w:val="00804B3E"/>
    <w:rsid w:val="00804D46"/>
    <w:rsid w:val="00804F44"/>
    <w:rsid w:val="00804F4F"/>
    <w:rsid w:val="008053D5"/>
    <w:rsid w:val="00805B89"/>
    <w:rsid w:val="00805D30"/>
    <w:rsid w:val="00805D47"/>
    <w:rsid w:val="00805DEB"/>
    <w:rsid w:val="00805FBC"/>
    <w:rsid w:val="008060A9"/>
    <w:rsid w:val="0080661D"/>
    <w:rsid w:val="00806AAF"/>
    <w:rsid w:val="00806B80"/>
    <w:rsid w:val="00806DC8"/>
    <w:rsid w:val="00807308"/>
    <w:rsid w:val="008074E9"/>
    <w:rsid w:val="0080766F"/>
    <w:rsid w:val="00807813"/>
    <w:rsid w:val="00807BF9"/>
    <w:rsid w:val="00807C7E"/>
    <w:rsid w:val="00807CE3"/>
    <w:rsid w:val="00807E2B"/>
    <w:rsid w:val="00810681"/>
    <w:rsid w:val="008108EE"/>
    <w:rsid w:val="00810929"/>
    <w:rsid w:val="00810F30"/>
    <w:rsid w:val="00811CDB"/>
    <w:rsid w:val="008120AF"/>
    <w:rsid w:val="008126A9"/>
    <w:rsid w:val="0081270C"/>
    <w:rsid w:val="00812A92"/>
    <w:rsid w:val="00812DCB"/>
    <w:rsid w:val="00812FA1"/>
    <w:rsid w:val="008131CD"/>
    <w:rsid w:val="008133C0"/>
    <w:rsid w:val="008135DB"/>
    <w:rsid w:val="008140EE"/>
    <w:rsid w:val="008142D2"/>
    <w:rsid w:val="008145B1"/>
    <w:rsid w:val="008145B3"/>
    <w:rsid w:val="008152F8"/>
    <w:rsid w:val="0081580C"/>
    <w:rsid w:val="00815A57"/>
    <w:rsid w:val="008166E3"/>
    <w:rsid w:val="0081701E"/>
    <w:rsid w:val="00817054"/>
    <w:rsid w:val="00817379"/>
    <w:rsid w:val="008177F4"/>
    <w:rsid w:val="00817AED"/>
    <w:rsid w:val="00820500"/>
    <w:rsid w:val="00820D8A"/>
    <w:rsid w:val="00820ED3"/>
    <w:rsid w:val="00820EF1"/>
    <w:rsid w:val="00821097"/>
    <w:rsid w:val="00821387"/>
    <w:rsid w:val="0082147D"/>
    <w:rsid w:val="008215EE"/>
    <w:rsid w:val="00821A4E"/>
    <w:rsid w:val="008223A7"/>
    <w:rsid w:val="00822635"/>
    <w:rsid w:val="0082276B"/>
    <w:rsid w:val="00822E3B"/>
    <w:rsid w:val="00823896"/>
    <w:rsid w:val="008241CE"/>
    <w:rsid w:val="0082464E"/>
    <w:rsid w:val="00824A30"/>
    <w:rsid w:val="00824F91"/>
    <w:rsid w:val="008252FC"/>
    <w:rsid w:val="0082615A"/>
    <w:rsid w:val="0082672E"/>
    <w:rsid w:val="00826B5B"/>
    <w:rsid w:val="00827291"/>
    <w:rsid w:val="00827410"/>
    <w:rsid w:val="0082749F"/>
    <w:rsid w:val="008277D8"/>
    <w:rsid w:val="008279D0"/>
    <w:rsid w:val="00827CC5"/>
    <w:rsid w:val="00827CF2"/>
    <w:rsid w:val="00830239"/>
    <w:rsid w:val="008305FE"/>
    <w:rsid w:val="00830980"/>
    <w:rsid w:val="00830D6C"/>
    <w:rsid w:val="00830DA5"/>
    <w:rsid w:val="00831086"/>
    <w:rsid w:val="008310E3"/>
    <w:rsid w:val="008313CF"/>
    <w:rsid w:val="0083150A"/>
    <w:rsid w:val="00831B4B"/>
    <w:rsid w:val="00831BCC"/>
    <w:rsid w:val="00831CB5"/>
    <w:rsid w:val="00831E6D"/>
    <w:rsid w:val="0083209D"/>
    <w:rsid w:val="008322DA"/>
    <w:rsid w:val="008324E1"/>
    <w:rsid w:val="00832781"/>
    <w:rsid w:val="00832AB0"/>
    <w:rsid w:val="008334D5"/>
    <w:rsid w:val="00833831"/>
    <w:rsid w:val="008349D6"/>
    <w:rsid w:val="00834C20"/>
    <w:rsid w:val="00834ECC"/>
    <w:rsid w:val="00834F67"/>
    <w:rsid w:val="00835016"/>
    <w:rsid w:val="00835246"/>
    <w:rsid w:val="008353BA"/>
    <w:rsid w:val="00835570"/>
    <w:rsid w:val="008356F6"/>
    <w:rsid w:val="008359E3"/>
    <w:rsid w:val="00837320"/>
    <w:rsid w:val="0083748F"/>
    <w:rsid w:val="008378B0"/>
    <w:rsid w:val="00837CCB"/>
    <w:rsid w:val="00837D64"/>
    <w:rsid w:val="008403A8"/>
    <w:rsid w:val="008405AE"/>
    <w:rsid w:val="00841499"/>
    <w:rsid w:val="008414BB"/>
    <w:rsid w:val="00841D8A"/>
    <w:rsid w:val="00841E52"/>
    <w:rsid w:val="00842697"/>
    <w:rsid w:val="00842FD7"/>
    <w:rsid w:val="0084307D"/>
    <w:rsid w:val="008435B4"/>
    <w:rsid w:val="00843916"/>
    <w:rsid w:val="00843918"/>
    <w:rsid w:val="0084391E"/>
    <w:rsid w:val="00843B9E"/>
    <w:rsid w:val="00843E31"/>
    <w:rsid w:val="00844012"/>
    <w:rsid w:val="00844138"/>
    <w:rsid w:val="00844162"/>
    <w:rsid w:val="00844539"/>
    <w:rsid w:val="0084463E"/>
    <w:rsid w:val="008447A8"/>
    <w:rsid w:val="008448D9"/>
    <w:rsid w:val="00844E8C"/>
    <w:rsid w:val="008453F4"/>
    <w:rsid w:val="00845B84"/>
    <w:rsid w:val="008462B4"/>
    <w:rsid w:val="008462E5"/>
    <w:rsid w:val="00846338"/>
    <w:rsid w:val="008468F6"/>
    <w:rsid w:val="00846E21"/>
    <w:rsid w:val="0084736D"/>
    <w:rsid w:val="008474DD"/>
    <w:rsid w:val="00850347"/>
    <w:rsid w:val="008515E8"/>
    <w:rsid w:val="00851809"/>
    <w:rsid w:val="00852BA6"/>
    <w:rsid w:val="00852E5F"/>
    <w:rsid w:val="00852E7B"/>
    <w:rsid w:val="00852F8A"/>
    <w:rsid w:val="008532F1"/>
    <w:rsid w:val="008535DA"/>
    <w:rsid w:val="008536AF"/>
    <w:rsid w:val="008537E8"/>
    <w:rsid w:val="00853A50"/>
    <w:rsid w:val="00853D76"/>
    <w:rsid w:val="008541C5"/>
    <w:rsid w:val="008542B3"/>
    <w:rsid w:val="00854B26"/>
    <w:rsid w:val="00854F81"/>
    <w:rsid w:val="00855A50"/>
    <w:rsid w:val="00855A7F"/>
    <w:rsid w:val="00855F10"/>
    <w:rsid w:val="00856598"/>
    <w:rsid w:val="00856697"/>
    <w:rsid w:val="0085724C"/>
    <w:rsid w:val="0085738B"/>
    <w:rsid w:val="00857DBC"/>
    <w:rsid w:val="008604D0"/>
    <w:rsid w:val="00860B40"/>
    <w:rsid w:val="00860E97"/>
    <w:rsid w:val="00860EBF"/>
    <w:rsid w:val="0086105E"/>
    <w:rsid w:val="00861203"/>
    <w:rsid w:val="00861417"/>
    <w:rsid w:val="00861D16"/>
    <w:rsid w:val="00861DE1"/>
    <w:rsid w:val="00862149"/>
    <w:rsid w:val="008625C7"/>
    <w:rsid w:val="008625F3"/>
    <w:rsid w:val="00862A77"/>
    <w:rsid w:val="00862E54"/>
    <w:rsid w:val="0086307E"/>
    <w:rsid w:val="0086308A"/>
    <w:rsid w:val="008631B7"/>
    <w:rsid w:val="0086337C"/>
    <w:rsid w:val="00863806"/>
    <w:rsid w:val="00863A2D"/>
    <w:rsid w:val="00863D4E"/>
    <w:rsid w:val="0086408E"/>
    <w:rsid w:val="008645D8"/>
    <w:rsid w:val="0086478E"/>
    <w:rsid w:val="008649C8"/>
    <w:rsid w:val="0086581F"/>
    <w:rsid w:val="00865BF4"/>
    <w:rsid w:val="00865D9E"/>
    <w:rsid w:val="0086667A"/>
    <w:rsid w:val="0086697F"/>
    <w:rsid w:val="008669BB"/>
    <w:rsid w:val="008669C1"/>
    <w:rsid w:val="00867A0C"/>
    <w:rsid w:val="0087049D"/>
    <w:rsid w:val="008704B1"/>
    <w:rsid w:val="0087080D"/>
    <w:rsid w:val="00870933"/>
    <w:rsid w:val="00870BC1"/>
    <w:rsid w:val="008710AF"/>
    <w:rsid w:val="0087120F"/>
    <w:rsid w:val="0087139D"/>
    <w:rsid w:val="00872094"/>
    <w:rsid w:val="008721ED"/>
    <w:rsid w:val="00872336"/>
    <w:rsid w:val="008724A1"/>
    <w:rsid w:val="00872615"/>
    <w:rsid w:val="00872700"/>
    <w:rsid w:val="00872CB5"/>
    <w:rsid w:val="00873194"/>
    <w:rsid w:val="008734F3"/>
    <w:rsid w:val="0087372E"/>
    <w:rsid w:val="008739D2"/>
    <w:rsid w:val="00873FCE"/>
    <w:rsid w:val="008741A1"/>
    <w:rsid w:val="00874349"/>
    <w:rsid w:val="0087456E"/>
    <w:rsid w:val="00874AA2"/>
    <w:rsid w:val="0087508B"/>
    <w:rsid w:val="008750C4"/>
    <w:rsid w:val="0087514F"/>
    <w:rsid w:val="008754B9"/>
    <w:rsid w:val="0087565C"/>
    <w:rsid w:val="00876112"/>
    <w:rsid w:val="008762D5"/>
    <w:rsid w:val="00876928"/>
    <w:rsid w:val="0087758E"/>
    <w:rsid w:val="0087768E"/>
    <w:rsid w:val="008801C0"/>
    <w:rsid w:val="008801D1"/>
    <w:rsid w:val="00880530"/>
    <w:rsid w:val="00880E5D"/>
    <w:rsid w:val="00881236"/>
    <w:rsid w:val="00881491"/>
    <w:rsid w:val="00881840"/>
    <w:rsid w:val="00881A30"/>
    <w:rsid w:val="00881D98"/>
    <w:rsid w:val="008820C6"/>
    <w:rsid w:val="008820D9"/>
    <w:rsid w:val="00882FF9"/>
    <w:rsid w:val="008832E7"/>
    <w:rsid w:val="008835F6"/>
    <w:rsid w:val="00883751"/>
    <w:rsid w:val="0088388B"/>
    <w:rsid w:val="00883916"/>
    <w:rsid w:val="00883C76"/>
    <w:rsid w:val="00884895"/>
    <w:rsid w:val="0088537A"/>
    <w:rsid w:val="00885862"/>
    <w:rsid w:val="0088665C"/>
    <w:rsid w:val="00886724"/>
    <w:rsid w:val="00886E8B"/>
    <w:rsid w:val="008870F0"/>
    <w:rsid w:val="00887777"/>
    <w:rsid w:val="00887C3F"/>
    <w:rsid w:val="00887D15"/>
    <w:rsid w:val="008900A4"/>
    <w:rsid w:val="0089056D"/>
    <w:rsid w:val="00890A02"/>
    <w:rsid w:val="00891764"/>
    <w:rsid w:val="00891944"/>
    <w:rsid w:val="00891C05"/>
    <w:rsid w:val="00892612"/>
    <w:rsid w:val="008931A9"/>
    <w:rsid w:val="00893297"/>
    <w:rsid w:val="00893627"/>
    <w:rsid w:val="00893D2F"/>
    <w:rsid w:val="00893ED5"/>
    <w:rsid w:val="008941A8"/>
    <w:rsid w:val="0089442A"/>
    <w:rsid w:val="0089522B"/>
    <w:rsid w:val="00895502"/>
    <w:rsid w:val="00895516"/>
    <w:rsid w:val="00895731"/>
    <w:rsid w:val="00895EAD"/>
    <w:rsid w:val="00895F0B"/>
    <w:rsid w:val="00895F41"/>
    <w:rsid w:val="00896482"/>
    <w:rsid w:val="008964FE"/>
    <w:rsid w:val="00896697"/>
    <w:rsid w:val="00896F52"/>
    <w:rsid w:val="008977FF"/>
    <w:rsid w:val="008A0312"/>
    <w:rsid w:val="008A0A65"/>
    <w:rsid w:val="008A2041"/>
    <w:rsid w:val="008A24EA"/>
    <w:rsid w:val="008A26BF"/>
    <w:rsid w:val="008A2F58"/>
    <w:rsid w:val="008A373E"/>
    <w:rsid w:val="008A3CAF"/>
    <w:rsid w:val="008A5AF7"/>
    <w:rsid w:val="008A6343"/>
    <w:rsid w:val="008A635F"/>
    <w:rsid w:val="008A6536"/>
    <w:rsid w:val="008A665F"/>
    <w:rsid w:val="008A6C19"/>
    <w:rsid w:val="008A7127"/>
    <w:rsid w:val="008A7A1B"/>
    <w:rsid w:val="008B0116"/>
    <w:rsid w:val="008B134C"/>
    <w:rsid w:val="008B1A04"/>
    <w:rsid w:val="008B1ACB"/>
    <w:rsid w:val="008B1D99"/>
    <w:rsid w:val="008B2D78"/>
    <w:rsid w:val="008B2FB0"/>
    <w:rsid w:val="008B3004"/>
    <w:rsid w:val="008B3166"/>
    <w:rsid w:val="008B3334"/>
    <w:rsid w:val="008B37CF"/>
    <w:rsid w:val="008B37F3"/>
    <w:rsid w:val="008B3E2A"/>
    <w:rsid w:val="008B53FB"/>
    <w:rsid w:val="008B5621"/>
    <w:rsid w:val="008B5725"/>
    <w:rsid w:val="008B57EC"/>
    <w:rsid w:val="008B5AB7"/>
    <w:rsid w:val="008B6105"/>
    <w:rsid w:val="008B652E"/>
    <w:rsid w:val="008B6866"/>
    <w:rsid w:val="008B68F1"/>
    <w:rsid w:val="008B6A91"/>
    <w:rsid w:val="008B6DD3"/>
    <w:rsid w:val="008B7361"/>
    <w:rsid w:val="008B73B6"/>
    <w:rsid w:val="008B7924"/>
    <w:rsid w:val="008B7C69"/>
    <w:rsid w:val="008B7E6F"/>
    <w:rsid w:val="008C0A8C"/>
    <w:rsid w:val="008C0C0A"/>
    <w:rsid w:val="008C1240"/>
    <w:rsid w:val="008C1B57"/>
    <w:rsid w:val="008C21B8"/>
    <w:rsid w:val="008C2A35"/>
    <w:rsid w:val="008C2A97"/>
    <w:rsid w:val="008C2D90"/>
    <w:rsid w:val="008C315D"/>
    <w:rsid w:val="008C3213"/>
    <w:rsid w:val="008C4BCE"/>
    <w:rsid w:val="008C5302"/>
    <w:rsid w:val="008C543B"/>
    <w:rsid w:val="008C5463"/>
    <w:rsid w:val="008C58F4"/>
    <w:rsid w:val="008C5BC8"/>
    <w:rsid w:val="008C60B2"/>
    <w:rsid w:val="008C635E"/>
    <w:rsid w:val="008C6764"/>
    <w:rsid w:val="008C7829"/>
    <w:rsid w:val="008C7EFF"/>
    <w:rsid w:val="008D013D"/>
    <w:rsid w:val="008D01C1"/>
    <w:rsid w:val="008D04C0"/>
    <w:rsid w:val="008D0585"/>
    <w:rsid w:val="008D069F"/>
    <w:rsid w:val="008D0966"/>
    <w:rsid w:val="008D0D34"/>
    <w:rsid w:val="008D1039"/>
    <w:rsid w:val="008D11CF"/>
    <w:rsid w:val="008D1648"/>
    <w:rsid w:val="008D1E1F"/>
    <w:rsid w:val="008D20AD"/>
    <w:rsid w:val="008D2632"/>
    <w:rsid w:val="008D272B"/>
    <w:rsid w:val="008D2A49"/>
    <w:rsid w:val="008D33C9"/>
    <w:rsid w:val="008D38ED"/>
    <w:rsid w:val="008D3956"/>
    <w:rsid w:val="008D4353"/>
    <w:rsid w:val="008D4437"/>
    <w:rsid w:val="008D4CFE"/>
    <w:rsid w:val="008D532C"/>
    <w:rsid w:val="008D58A9"/>
    <w:rsid w:val="008D5A67"/>
    <w:rsid w:val="008D5A97"/>
    <w:rsid w:val="008D5AAD"/>
    <w:rsid w:val="008D5E8B"/>
    <w:rsid w:val="008D6097"/>
    <w:rsid w:val="008D67FF"/>
    <w:rsid w:val="008D68AC"/>
    <w:rsid w:val="008D68DF"/>
    <w:rsid w:val="008D6AB3"/>
    <w:rsid w:val="008D6BFE"/>
    <w:rsid w:val="008D6CF9"/>
    <w:rsid w:val="008D6F88"/>
    <w:rsid w:val="008D7556"/>
    <w:rsid w:val="008D79A8"/>
    <w:rsid w:val="008E058D"/>
    <w:rsid w:val="008E0A61"/>
    <w:rsid w:val="008E0F47"/>
    <w:rsid w:val="008E10E0"/>
    <w:rsid w:val="008E14F8"/>
    <w:rsid w:val="008E15F6"/>
    <w:rsid w:val="008E1933"/>
    <w:rsid w:val="008E1AB8"/>
    <w:rsid w:val="008E1ABF"/>
    <w:rsid w:val="008E2228"/>
    <w:rsid w:val="008E2475"/>
    <w:rsid w:val="008E2505"/>
    <w:rsid w:val="008E31EB"/>
    <w:rsid w:val="008E3635"/>
    <w:rsid w:val="008E3949"/>
    <w:rsid w:val="008E455E"/>
    <w:rsid w:val="008E4A38"/>
    <w:rsid w:val="008E55C3"/>
    <w:rsid w:val="008E5C11"/>
    <w:rsid w:val="008E5CDF"/>
    <w:rsid w:val="008E60B2"/>
    <w:rsid w:val="008E721C"/>
    <w:rsid w:val="008E7489"/>
    <w:rsid w:val="008E74DA"/>
    <w:rsid w:val="008E77F3"/>
    <w:rsid w:val="008E785E"/>
    <w:rsid w:val="008E7A02"/>
    <w:rsid w:val="008F0350"/>
    <w:rsid w:val="008F0429"/>
    <w:rsid w:val="008F0645"/>
    <w:rsid w:val="008F07B6"/>
    <w:rsid w:val="008F0DB9"/>
    <w:rsid w:val="008F0FC4"/>
    <w:rsid w:val="008F1141"/>
    <w:rsid w:val="008F16B7"/>
    <w:rsid w:val="008F1E35"/>
    <w:rsid w:val="008F21E6"/>
    <w:rsid w:val="008F236B"/>
    <w:rsid w:val="008F28FA"/>
    <w:rsid w:val="008F2E28"/>
    <w:rsid w:val="008F2EAE"/>
    <w:rsid w:val="008F34D8"/>
    <w:rsid w:val="008F3620"/>
    <w:rsid w:val="008F3C43"/>
    <w:rsid w:val="008F3CD9"/>
    <w:rsid w:val="008F40B3"/>
    <w:rsid w:val="008F428E"/>
    <w:rsid w:val="008F4ADE"/>
    <w:rsid w:val="008F560E"/>
    <w:rsid w:val="008F58D4"/>
    <w:rsid w:val="008F5DA0"/>
    <w:rsid w:val="008F5F83"/>
    <w:rsid w:val="008F61A2"/>
    <w:rsid w:val="008F6413"/>
    <w:rsid w:val="008F6655"/>
    <w:rsid w:val="008F670F"/>
    <w:rsid w:val="008F7141"/>
    <w:rsid w:val="008F71B6"/>
    <w:rsid w:val="008F7305"/>
    <w:rsid w:val="008F7504"/>
    <w:rsid w:val="008F760D"/>
    <w:rsid w:val="008F7AB2"/>
    <w:rsid w:val="00900663"/>
    <w:rsid w:val="009006C1"/>
    <w:rsid w:val="00900896"/>
    <w:rsid w:val="00900DB1"/>
    <w:rsid w:val="0090109B"/>
    <w:rsid w:val="009011C2"/>
    <w:rsid w:val="00901A55"/>
    <w:rsid w:val="00901BA1"/>
    <w:rsid w:val="009027C7"/>
    <w:rsid w:val="00902C1A"/>
    <w:rsid w:val="00902F8D"/>
    <w:rsid w:val="009030A2"/>
    <w:rsid w:val="0090326D"/>
    <w:rsid w:val="00903D31"/>
    <w:rsid w:val="00903DFC"/>
    <w:rsid w:val="00903E0D"/>
    <w:rsid w:val="00903F76"/>
    <w:rsid w:val="0090422E"/>
    <w:rsid w:val="009042EE"/>
    <w:rsid w:val="00904326"/>
    <w:rsid w:val="0090437A"/>
    <w:rsid w:val="00904B0A"/>
    <w:rsid w:val="00904E02"/>
    <w:rsid w:val="00904FB1"/>
    <w:rsid w:val="00905C50"/>
    <w:rsid w:val="00906786"/>
    <w:rsid w:val="00906969"/>
    <w:rsid w:val="009071F4"/>
    <w:rsid w:val="009079AC"/>
    <w:rsid w:val="00907EE2"/>
    <w:rsid w:val="0091037B"/>
    <w:rsid w:val="009108C7"/>
    <w:rsid w:val="00910AAF"/>
    <w:rsid w:val="00910D96"/>
    <w:rsid w:val="009116B2"/>
    <w:rsid w:val="00911881"/>
    <w:rsid w:val="009118EC"/>
    <w:rsid w:val="00911BA0"/>
    <w:rsid w:val="00911E54"/>
    <w:rsid w:val="00911F8C"/>
    <w:rsid w:val="00911FA7"/>
    <w:rsid w:val="00911FF1"/>
    <w:rsid w:val="00912445"/>
    <w:rsid w:val="0091246F"/>
    <w:rsid w:val="009128E7"/>
    <w:rsid w:val="00912C8E"/>
    <w:rsid w:val="00912D4D"/>
    <w:rsid w:val="0091331D"/>
    <w:rsid w:val="0091366E"/>
    <w:rsid w:val="009137E7"/>
    <w:rsid w:val="00913C00"/>
    <w:rsid w:val="00914046"/>
    <w:rsid w:val="00914438"/>
    <w:rsid w:val="00914564"/>
    <w:rsid w:val="00914C8E"/>
    <w:rsid w:val="00914D1D"/>
    <w:rsid w:val="00914DE1"/>
    <w:rsid w:val="00914DF8"/>
    <w:rsid w:val="00915352"/>
    <w:rsid w:val="00915919"/>
    <w:rsid w:val="00915D49"/>
    <w:rsid w:val="0091656A"/>
    <w:rsid w:val="0091671D"/>
    <w:rsid w:val="009168BA"/>
    <w:rsid w:val="00916FA1"/>
    <w:rsid w:val="009171C1"/>
    <w:rsid w:val="00917806"/>
    <w:rsid w:val="00917C7B"/>
    <w:rsid w:val="00917F4C"/>
    <w:rsid w:val="0092004C"/>
    <w:rsid w:val="00920151"/>
    <w:rsid w:val="00920C03"/>
    <w:rsid w:val="00920F62"/>
    <w:rsid w:val="00921A36"/>
    <w:rsid w:val="00921C14"/>
    <w:rsid w:val="00922CD5"/>
    <w:rsid w:val="00922D46"/>
    <w:rsid w:val="00923086"/>
    <w:rsid w:val="009235CB"/>
    <w:rsid w:val="00923671"/>
    <w:rsid w:val="00924148"/>
    <w:rsid w:val="009242B6"/>
    <w:rsid w:val="009243CC"/>
    <w:rsid w:val="0092482F"/>
    <w:rsid w:val="00924A3C"/>
    <w:rsid w:val="00924B8A"/>
    <w:rsid w:val="009254C8"/>
    <w:rsid w:val="009255BC"/>
    <w:rsid w:val="0092635F"/>
    <w:rsid w:val="0092696C"/>
    <w:rsid w:val="00926C0D"/>
    <w:rsid w:val="00926DDD"/>
    <w:rsid w:val="00926DE8"/>
    <w:rsid w:val="0092718E"/>
    <w:rsid w:val="00927C3D"/>
    <w:rsid w:val="00930355"/>
    <w:rsid w:val="009303D1"/>
    <w:rsid w:val="00930515"/>
    <w:rsid w:val="00930696"/>
    <w:rsid w:val="009306F7"/>
    <w:rsid w:val="0093086E"/>
    <w:rsid w:val="00930A69"/>
    <w:rsid w:val="00930CEF"/>
    <w:rsid w:val="0093108D"/>
    <w:rsid w:val="00931134"/>
    <w:rsid w:val="0093150B"/>
    <w:rsid w:val="00931627"/>
    <w:rsid w:val="00931728"/>
    <w:rsid w:val="00931A87"/>
    <w:rsid w:val="0093223D"/>
    <w:rsid w:val="009323EC"/>
    <w:rsid w:val="0093241C"/>
    <w:rsid w:val="009324CB"/>
    <w:rsid w:val="0093250C"/>
    <w:rsid w:val="009325EE"/>
    <w:rsid w:val="009326BE"/>
    <w:rsid w:val="00932943"/>
    <w:rsid w:val="00932BA8"/>
    <w:rsid w:val="00932CBB"/>
    <w:rsid w:val="00932CC4"/>
    <w:rsid w:val="00932DA3"/>
    <w:rsid w:val="00933785"/>
    <w:rsid w:val="00933D64"/>
    <w:rsid w:val="00934098"/>
    <w:rsid w:val="0093456B"/>
    <w:rsid w:val="009347B2"/>
    <w:rsid w:val="00934FDC"/>
    <w:rsid w:val="00935142"/>
    <w:rsid w:val="009354D9"/>
    <w:rsid w:val="0093576D"/>
    <w:rsid w:val="00936692"/>
    <w:rsid w:val="00936893"/>
    <w:rsid w:val="00936AAE"/>
    <w:rsid w:val="00937157"/>
    <w:rsid w:val="009377D5"/>
    <w:rsid w:val="00937AE8"/>
    <w:rsid w:val="0094040D"/>
    <w:rsid w:val="0094063C"/>
    <w:rsid w:val="009407F2"/>
    <w:rsid w:val="00940A0E"/>
    <w:rsid w:val="00940CDC"/>
    <w:rsid w:val="009411F1"/>
    <w:rsid w:val="00941469"/>
    <w:rsid w:val="00941F89"/>
    <w:rsid w:val="00941FB7"/>
    <w:rsid w:val="00941FC3"/>
    <w:rsid w:val="009423E0"/>
    <w:rsid w:val="00942AB0"/>
    <w:rsid w:val="00942BA0"/>
    <w:rsid w:val="00942F99"/>
    <w:rsid w:val="00943514"/>
    <w:rsid w:val="00943EC9"/>
    <w:rsid w:val="00943F1F"/>
    <w:rsid w:val="00944596"/>
    <w:rsid w:val="009445AF"/>
    <w:rsid w:val="00944885"/>
    <w:rsid w:val="00944B94"/>
    <w:rsid w:val="00944FEC"/>
    <w:rsid w:val="0094534B"/>
    <w:rsid w:val="00945A78"/>
    <w:rsid w:val="00945BC4"/>
    <w:rsid w:val="00945CEB"/>
    <w:rsid w:val="009460C8"/>
    <w:rsid w:val="00946238"/>
    <w:rsid w:val="0094634C"/>
    <w:rsid w:val="009463D7"/>
    <w:rsid w:val="00946B64"/>
    <w:rsid w:val="00947038"/>
    <w:rsid w:val="009473FC"/>
    <w:rsid w:val="00947661"/>
    <w:rsid w:val="009501C3"/>
    <w:rsid w:val="00950541"/>
    <w:rsid w:val="0095078F"/>
    <w:rsid w:val="009507B3"/>
    <w:rsid w:val="00950AA5"/>
    <w:rsid w:val="00950BDC"/>
    <w:rsid w:val="00950BE8"/>
    <w:rsid w:val="00951CAE"/>
    <w:rsid w:val="0095206F"/>
    <w:rsid w:val="0095213C"/>
    <w:rsid w:val="0095238B"/>
    <w:rsid w:val="009525D0"/>
    <w:rsid w:val="0095273F"/>
    <w:rsid w:val="00952C07"/>
    <w:rsid w:val="00952C7B"/>
    <w:rsid w:val="00952C85"/>
    <w:rsid w:val="00952F27"/>
    <w:rsid w:val="00953284"/>
    <w:rsid w:val="00953286"/>
    <w:rsid w:val="00953333"/>
    <w:rsid w:val="00953375"/>
    <w:rsid w:val="0095342E"/>
    <w:rsid w:val="00953FA5"/>
    <w:rsid w:val="00954362"/>
    <w:rsid w:val="0095459F"/>
    <w:rsid w:val="009549BE"/>
    <w:rsid w:val="00954B80"/>
    <w:rsid w:val="00954EEB"/>
    <w:rsid w:val="009554B9"/>
    <w:rsid w:val="009555D7"/>
    <w:rsid w:val="00955C2E"/>
    <w:rsid w:val="00956928"/>
    <w:rsid w:val="00956AEF"/>
    <w:rsid w:val="00956BB2"/>
    <w:rsid w:val="00956EE5"/>
    <w:rsid w:val="009572D5"/>
    <w:rsid w:val="0095780F"/>
    <w:rsid w:val="00957954"/>
    <w:rsid w:val="00957AD1"/>
    <w:rsid w:val="00957CCD"/>
    <w:rsid w:val="00957F16"/>
    <w:rsid w:val="00957F4E"/>
    <w:rsid w:val="0096107D"/>
    <w:rsid w:val="00961144"/>
    <w:rsid w:val="009611E9"/>
    <w:rsid w:val="00961200"/>
    <w:rsid w:val="00961809"/>
    <w:rsid w:val="00961F0B"/>
    <w:rsid w:val="00962125"/>
    <w:rsid w:val="00962560"/>
    <w:rsid w:val="00962D2C"/>
    <w:rsid w:val="00962E43"/>
    <w:rsid w:val="009631B8"/>
    <w:rsid w:val="009632E9"/>
    <w:rsid w:val="00963580"/>
    <w:rsid w:val="00963985"/>
    <w:rsid w:val="00963DC9"/>
    <w:rsid w:val="00964348"/>
    <w:rsid w:val="00964EAC"/>
    <w:rsid w:val="00964FCA"/>
    <w:rsid w:val="00965005"/>
    <w:rsid w:val="00965295"/>
    <w:rsid w:val="00965518"/>
    <w:rsid w:val="009657A7"/>
    <w:rsid w:val="00965895"/>
    <w:rsid w:val="00965A8E"/>
    <w:rsid w:val="00965EEC"/>
    <w:rsid w:val="00966B4D"/>
    <w:rsid w:val="009670C2"/>
    <w:rsid w:val="00967743"/>
    <w:rsid w:val="009700A2"/>
    <w:rsid w:val="00970254"/>
    <w:rsid w:val="009703EE"/>
    <w:rsid w:val="0097044D"/>
    <w:rsid w:val="009705B9"/>
    <w:rsid w:val="00970642"/>
    <w:rsid w:val="00970770"/>
    <w:rsid w:val="009707C7"/>
    <w:rsid w:val="00970957"/>
    <w:rsid w:val="00970A46"/>
    <w:rsid w:val="00970AFB"/>
    <w:rsid w:val="0097116D"/>
    <w:rsid w:val="00971219"/>
    <w:rsid w:val="00971688"/>
    <w:rsid w:val="009716C5"/>
    <w:rsid w:val="00971755"/>
    <w:rsid w:val="00971C29"/>
    <w:rsid w:val="00971C68"/>
    <w:rsid w:val="00971F29"/>
    <w:rsid w:val="00972C54"/>
    <w:rsid w:val="00972DD8"/>
    <w:rsid w:val="00972E60"/>
    <w:rsid w:val="00972EB9"/>
    <w:rsid w:val="009730BC"/>
    <w:rsid w:val="009738E6"/>
    <w:rsid w:val="00973CF2"/>
    <w:rsid w:val="009749AE"/>
    <w:rsid w:val="00975014"/>
    <w:rsid w:val="00975180"/>
    <w:rsid w:val="00975350"/>
    <w:rsid w:val="00975480"/>
    <w:rsid w:val="009754F9"/>
    <w:rsid w:val="00975519"/>
    <w:rsid w:val="00975794"/>
    <w:rsid w:val="0097597E"/>
    <w:rsid w:val="00975B27"/>
    <w:rsid w:val="00975B9D"/>
    <w:rsid w:val="00975D6F"/>
    <w:rsid w:val="0097660D"/>
    <w:rsid w:val="00976A64"/>
    <w:rsid w:val="00976A93"/>
    <w:rsid w:val="00976EC5"/>
    <w:rsid w:val="00980865"/>
    <w:rsid w:val="00981439"/>
    <w:rsid w:val="00981A8C"/>
    <w:rsid w:val="0098216B"/>
    <w:rsid w:val="009827A8"/>
    <w:rsid w:val="00982867"/>
    <w:rsid w:val="00982B9B"/>
    <w:rsid w:val="00982CC1"/>
    <w:rsid w:val="00982E0A"/>
    <w:rsid w:val="00983A8F"/>
    <w:rsid w:val="00984004"/>
    <w:rsid w:val="009846C4"/>
    <w:rsid w:val="00984715"/>
    <w:rsid w:val="0098471B"/>
    <w:rsid w:val="00984805"/>
    <w:rsid w:val="00984DB7"/>
    <w:rsid w:val="00985230"/>
    <w:rsid w:val="009859CE"/>
    <w:rsid w:val="009861B6"/>
    <w:rsid w:val="00986404"/>
    <w:rsid w:val="00986438"/>
    <w:rsid w:val="0098668E"/>
    <w:rsid w:val="00986A30"/>
    <w:rsid w:val="00986D44"/>
    <w:rsid w:val="00987BE5"/>
    <w:rsid w:val="009905B4"/>
    <w:rsid w:val="00990B0F"/>
    <w:rsid w:val="009916E8"/>
    <w:rsid w:val="00991747"/>
    <w:rsid w:val="00991846"/>
    <w:rsid w:val="00991AB8"/>
    <w:rsid w:val="00991B4E"/>
    <w:rsid w:val="009920F5"/>
    <w:rsid w:val="009922F4"/>
    <w:rsid w:val="00992653"/>
    <w:rsid w:val="009926FD"/>
    <w:rsid w:val="00992999"/>
    <w:rsid w:val="00992B7C"/>
    <w:rsid w:val="00992C88"/>
    <w:rsid w:val="00992E69"/>
    <w:rsid w:val="00993DAA"/>
    <w:rsid w:val="00993F4E"/>
    <w:rsid w:val="0099486A"/>
    <w:rsid w:val="00994919"/>
    <w:rsid w:val="0099496D"/>
    <w:rsid w:val="0099519E"/>
    <w:rsid w:val="009953C4"/>
    <w:rsid w:val="00995E14"/>
    <w:rsid w:val="00995F40"/>
    <w:rsid w:val="0099714F"/>
    <w:rsid w:val="009977E5"/>
    <w:rsid w:val="00997EA6"/>
    <w:rsid w:val="009A0163"/>
    <w:rsid w:val="009A06FC"/>
    <w:rsid w:val="009A0FA1"/>
    <w:rsid w:val="009A14AF"/>
    <w:rsid w:val="009A18EE"/>
    <w:rsid w:val="009A19E0"/>
    <w:rsid w:val="009A1AA9"/>
    <w:rsid w:val="009A2245"/>
    <w:rsid w:val="009A2B36"/>
    <w:rsid w:val="009A3224"/>
    <w:rsid w:val="009A3F49"/>
    <w:rsid w:val="009A5086"/>
    <w:rsid w:val="009A5416"/>
    <w:rsid w:val="009A54DB"/>
    <w:rsid w:val="009A56D2"/>
    <w:rsid w:val="009A583A"/>
    <w:rsid w:val="009A58D9"/>
    <w:rsid w:val="009A5D0C"/>
    <w:rsid w:val="009A6047"/>
    <w:rsid w:val="009A65E2"/>
    <w:rsid w:val="009A6C4E"/>
    <w:rsid w:val="009A6C6C"/>
    <w:rsid w:val="009A7084"/>
    <w:rsid w:val="009A7700"/>
    <w:rsid w:val="009A7CA2"/>
    <w:rsid w:val="009B03D3"/>
    <w:rsid w:val="009B12B6"/>
    <w:rsid w:val="009B1628"/>
    <w:rsid w:val="009B19B7"/>
    <w:rsid w:val="009B1A22"/>
    <w:rsid w:val="009B24B8"/>
    <w:rsid w:val="009B28B2"/>
    <w:rsid w:val="009B2A19"/>
    <w:rsid w:val="009B2B13"/>
    <w:rsid w:val="009B30BE"/>
    <w:rsid w:val="009B3278"/>
    <w:rsid w:val="009B327C"/>
    <w:rsid w:val="009B32DA"/>
    <w:rsid w:val="009B366C"/>
    <w:rsid w:val="009B3AAC"/>
    <w:rsid w:val="009B3B91"/>
    <w:rsid w:val="009B5761"/>
    <w:rsid w:val="009B5A31"/>
    <w:rsid w:val="009B5A81"/>
    <w:rsid w:val="009B5BC2"/>
    <w:rsid w:val="009B5C10"/>
    <w:rsid w:val="009B5C48"/>
    <w:rsid w:val="009B5C5F"/>
    <w:rsid w:val="009B6D53"/>
    <w:rsid w:val="009B71B0"/>
    <w:rsid w:val="009B71CF"/>
    <w:rsid w:val="009B72BC"/>
    <w:rsid w:val="009B7786"/>
    <w:rsid w:val="009B7E00"/>
    <w:rsid w:val="009C06F1"/>
    <w:rsid w:val="009C0BBF"/>
    <w:rsid w:val="009C0E10"/>
    <w:rsid w:val="009C11AD"/>
    <w:rsid w:val="009C1680"/>
    <w:rsid w:val="009C1EF2"/>
    <w:rsid w:val="009C1EFB"/>
    <w:rsid w:val="009C24F3"/>
    <w:rsid w:val="009C2B90"/>
    <w:rsid w:val="009C2CA2"/>
    <w:rsid w:val="009C34DD"/>
    <w:rsid w:val="009C3516"/>
    <w:rsid w:val="009C3A32"/>
    <w:rsid w:val="009C3B68"/>
    <w:rsid w:val="009C451B"/>
    <w:rsid w:val="009C452B"/>
    <w:rsid w:val="009C48B1"/>
    <w:rsid w:val="009C4B62"/>
    <w:rsid w:val="009C4BB0"/>
    <w:rsid w:val="009C4F97"/>
    <w:rsid w:val="009C5A1F"/>
    <w:rsid w:val="009C5C52"/>
    <w:rsid w:val="009C5CAC"/>
    <w:rsid w:val="009C6423"/>
    <w:rsid w:val="009C6483"/>
    <w:rsid w:val="009C67F4"/>
    <w:rsid w:val="009C6881"/>
    <w:rsid w:val="009C6A18"/>
    <w:rsid w:val="009C6F69"/>
    <w:rsid w:val="009C7A86"/>
    <w:rsid w:val="009C7B7E"/>
    <w:rsid w:val="009D0019"/>
    <w:rsid w:val="009D0201"/>
    <w:rsid w:val="009D0261"/>
    <w:rsid w:val="009D04CF"/>
    <w:rsid w:val="009D059C"/>
    <w:rsid w:val="009D09F2"/>
    <w:rsid w:val="009D0DD8"/>
    <w:rsid w:val="009D0E8D"/>
    <w:rsid w:val="009D0F14"/>
    <w:rsid w:val="009D0F66"/>
    <w:rsid w:val="009D114A"/>
    <w:rsid w:val="009D1310"/>
    <w:rsid w:val="009D139D"/>
    <w:rsid w:val="009D1707"/>
    <w:rsid w:val="009D17AD"/>
    <w:rsid w:val="009D1E3E"/>
    <w:rsid w:val="009D1E97"/>
    <w:rsid w:val="009D23A2"/>
    <w:rsid w:val="009D25A4"/>
    <w:rsid w:val="009D316A"/>
    <w:rsid w:val="009D3E28"/>
    <w:rsid w:val="009D4000"/>
    <w:rsid w:val="009D4116"/>
    <w:rsid w:val="009D4136"/>
    <w:rsid w:val="009D4439"/>
    <w:rsid w:val="009D45F0"/>
    <w:rsid w:val="009D493B"/>
    <w:rsid w:val="009D4B31"/>
    <w:rsid w:val="009D4ED8"/>
    <w:rsid w:val="009D4F7D"/>
    <w:rsid w:val="009D5195"/>
    <w:rsid w:val="009D52EC"/>
    <w:rsid w:val="009D57FB"/>
    <w:rsid w:val="009D5824"/>
    <w:rsid w:val="009D611D"/>
    <w:rsid w:val="009D6191"/>
    <w:rsid w:val="009D66D4"/>
    <w:rsid w:val="009D6B37"/>
    <w:rsid w:val="009D6CB4"/>
    <w:rsid w:val="009D7695"/>
    <w:rsid w:val="009E0978"/>
    <w:rsid w:val="009E0A7C"/>
    <w:rsid w:val="009E1012"/>
    <w:rsid w:val="009E15C7"/>
    <w:rsid w:val="009E17C5"/>
    <w:rsid w:val="009E1AC7"/>
    <w:rsid w:val="009E1EDF"/>
    <w:rsid w:val="009E1F69"/>
    <w:rsid w:val="009E240A"/>
    <w:rsid w:val="009E29A5"/>
    <w:rsid w:val="009E3384"/>
    <w:rsid w:val="009E342B"/>
    <w:rsid w:val="009E3482"/>
    <w:rsid w:val="009E3C95"/>
    <w:rsid w:val="009E3F13"/>
    <w:rsid w:val="009E3F40"/>
    <w:rsid w:val="009E407D"/>
    <w:rsid w:val="009E449B"/>
    <w:rsid w:val="009E49B2"/>
    <w:rsid w:val="009E4FD8"/>
    <w:rsid w:val="009E51DF"/>
    <w:rsid w:val="009E573F"/>
    <w:rsid w:val="009E5F10"/>
    <w:rsid w:val="009E64FA"/>
    <w:rsid w:val="009E68F8"/>
    <w:rsid w:val="009E6CC5"/>
    <w:rsid w:val="009E7565"/>
    <w:rsid w:val="009E75DE"/>
    <w:rsid w:val="009E7A67"/>
    <w:rsid w:val="009E7E18"/>
    <w:rsid w:val="009F0073"/>
    <w:rsid w:val="009F0667"/>
    <w:rsid w:val="009F0A1E"/>
    <w:rsid w:val="009F0A95"/>
    <w:rsid w:val="009F0D97"/>
    <w:rsid w:val="009F1036"/>
    <w:rsid w:val="009F1455"/>
    <w:rsid w:val="009F18EE"/>
    <w:rsid w:val="009F1F76"/>
    <w:rsid w:val="009F2230"/>
    <w:rsid w:val="009F2283"/>
    <w:rsid w:val="009F2DCB"/>
    <w:rsid w:val="009F3367"/>
    <w:rsid w:val="009F33F4"/>
    <w:rsid w:val="009F34AC"/>
    <w:rsid w:val="009F36DD"/>
    <w:rsid w:val="009F3773"/>
    <w:rsid w:val="009F379F"/>
    <w:rsid w:val="009F3C70"/>
    <w:rsid w:val="009F41DC"/>
    <w:rsid w:val="009F62E6"/>
    <w:rsid w:val="009F645F"/>
    <w:rsid w:val="009F681E"/>
    <w:rsid w:val="009F6C77"/>
    <w:rsid w:val="009F6FCF"/>
    <w:rsid w:val="009F78BD"/>
    <w:rsid w:val="009F7F37"/>
    <w:rsid w:val="00A0041D"/>
    <w:rsid w:val="00A009C6"/>
    <w:rsid w:val="00A00CEF"/>
    <w:rsid w:val="00A00F39"/>
    <w:rsid w:val="00A0108D"/>
    <w:rsid w:val="00A01121"/>
    <w:rsid w:val="00A01246"/>
    <w:rsid w:val="00A018C8"/>
    <w:rsid w:val="00A01CB7"/>
    <w:rsid w:val="00A021AE"/>
    <w:rsid w:val="00A02260"/>
    <w:rsid w:val="00A02514"/>
    <w:rsid w:val="00A02660"/>
    <w:rsid w:val="00A02789"/>
    <w:rsid w:val="00A0372A"/>
    <w:rsid w:val="00A04011"/>
    <w:rsid w:val="00A044F7"/>
    <w:rsid w:val="00A04C04"/>
    <w:rsid w:val="00A04C26"/>
    <w:rsid w:val="00A05367"/>
    <w:rsid w:val="00A05430"/>
    <w:rsid w:val="00A0580F"/>
    <w:rsid w:val="00A058B4"/>
    <w:rsid w:val="00A059B0"/>
    <w:rsid w:val="00A05F48"/>
    <w:rsid w:val="00A06163"/>
    <w:rsid w:val="00A062A0"/>
    <w:rsid w:val="00A06650"/>
    <w:rsid w:val="00A068BC"/>
    <w:rsid w:val="00A06B0E"/>
    <w:rsid w:val="00A06B42"/>
    <w:rsid w:val="00A07665"/>
    <w:rsid w:val="00A07ADC"/>
    <w:rsid w:val="00A07CD5"/>
    <w:rsid w:val="00A07FB8"/>
    <w:rsid w:val="00A1000D"/>
    <w:rsid w:val="00A106AD"/>
    <w:rsid w:val="00A10BC4"/>
    <w:rsid w:val="00A10DC3"/>
    <w:rsid w:val="00A10EC7"/>
    <w:rsid w:val="00A11285"/>
    <w:rsid w:val="00A11B12"/>
    <w:rsid w:val="00A11C2B"/>
    <w:rsid w:val="00A12F20"/>
    <w:rsid w:val="00A13226"/>
    <w:rsid w:val="00A13490"/>
    <w:rsid w:val="00A1353F"/>
    <w:rsid w:val="00A13B43"/>
    <w:rsid w:val="00A13C7B"/>
    <w:rsid w:val="00A14AAB"/>
    <w:rsid w:val="00A150EB"/>
    <w:rsid w:val="00A15D25"/>
    <w:rsid w:val="00A168C7"/>
    <w:rsid w:val="00A1693C"/>
    <w:rsid w:val="00A16A15"/>
    <w:rsid w:val="00A1713F"/>
    <w:rsid w:val="00A1774B"/>
    <w:rsid w:val="00A17D32"/>
    <w:rsid w:val="00A202F5"/>
    <w:rsid w:val="00A20367"/>
    <w:rsid w:val="00A207B9"/>
    <w:rsid w:val="00A20E48"/>
    <w:rsid w:val="00A21387"/>
    <w:rsid w:val="00A214C7"/>
    <w:rsid w:val="00A21921"/>
    <w:rsid w:val="00A21FA1"/>
    <w:rsid w:val="00A22440"/>
    <w:rsid w:val="00A22A03"/>
    <w:rsid w:val="00A2343F"/>
    <w:rsid w:val="00A235F3"/>
    <w:rsid w:val="00A23693"/>
    <w:rsid w:val="00A23A58"/>
    <w:rsid w:val="00A241A2"/>
    <w:rsid w:val="00A24AD1"/>
    <w:rsid w:val="00A252E7"/>
    <w:rsid w:val="00A258AC"/>
    <w:rsid w:val="00A25FF4"/>
    <w:rsid w:val="00A26654"/>
    <w:rsid w:val="00A271D8"/>
    <w:rsid w:val="00A276D5"/>
    <w:rsid w:val="00A27BA2"/>
    <w:rsid w:val="00A3059C"/>
    <w:rsid w:val="00A311F5"/>
    <w:rsid w:val="00A3136E"/>
    <w:rsid w:val="00A31C55"/>
    <w:rsid w:val="00A321A9"/>
    <w:rsid w:val="00A3267E"/>
    <w:rsid w:val="00A327B5"/>
    <w:rsid w:val="00A32A23"/>
    <w:rsid w:val="00A32CA6"/>
    <w:rsid w:val="00A32FCC"/>
    <w:rsid w:val="00A330B0"/>
    <w:rsid w:val="00A33187"/>
    <w:rsid w:val="00A3340E"/>
    <w:rsid w:val="00A33958"/>
    <w:rsid w:val="00A339E1"/>
    <w:rsid w:val="00A33C4D"/>
    <w:rsid w:val="00A33D46"/>
    <w:rsid w:val="00A33DFF"/>
    <w:rsid w:val="00A3414C"/>
    <w:rsid w:val="00A353B0"/>
    <w:rsid w:val="00A3556C"/>
    <w:rsid w:val="00A35649"/>
    <w:rsid w:val="00A3572E"/>
    <w:rsid w:val="00A358BC"/>
    <w:rsid w:val="00A359BD"/>
    <w:rsid w:val="00A359D2"/>
    <w:rsid w:val="00A3630D"/>
    <w:rsid w:val="00A3653E"/>
    <w:rsid w:val="00A36A15"/>
    <w:rsid w:val="00A36D22"/>
    <w:rsid w:val="00A36F7B"/>
    <w:rsid w:val="00A37415"/>
    <w:rsid w:val="00A37443"/>
    <w:rsid w:val="00A37BE5"/>
    <w:rsid w:val="00A40344"/>
    <w:rsid w:val="00A40504"/>
    <w:rsid w:val="00A40CCB"/>
    <w:rsid w:val="00A40F9E"/>
    <w:rsid w:val="00A4124F"/>
    <w:rsid w:val="00A41788"/>
    <w:rsid w:val="00A42028"/>
    <w:rsid w:val="00A42030"/>
    <w:rsid w:val="00A42460"/>
    <w:rsid w:val="00A42672"/>
    <w:rsid w:val="00A42C1A"/>
    <w:rsid w:val="00A42EEF"/>
    <w:rsid w:val="00A43161"/>
    <w:rsid w:val="00A43738"/>
    <w:rsid w:val="00A43CC4"/>
    <w:rsid w:val="00A441B6"/>
    <w:rsid w:val="00A4421D"/>
    <w:rsid w:val="00A44447"/>
    <w:rsid w:val="00A445BB"/>
    <w:rsid w:val="00A4478D"/>
    <w:rsid w:val="00A44FB5"/>
    <w:rsid w:val="00A4571C"/>
    <w:rsid w:val="00A4598D"/>
    <w:rsid w:val="00A45DC9"/>
    <w:rsid w:val="00A45E40"/>
    <w:rsid w:val="00A4623C"/>
    <w:rsid w:val="00A462FC"/>
    <w:rsid w:val="00A467EC"/>
    <w:rsid w:val="00A46BA0"/>
    <w:rsid w:val="00A46E64"/>
    <w:rsid w:val="00A47AB1"/>
    <w:rsid w:val="00A47AEE"/>
    <w:rsid w:val="00A47ED7"/>
    <w:rsid w:val="00A47F60"/>
    <w:rsid w:val="00A50025"/>
    <w:rsid w:val="00A500E7"/>
    <w:rsid w:val="00A5042F"/>
    <w:rsid w:val="00A50839"/>
    <w:rsid w:val="00A50846"/>
    <w:rsid w:val="00A509B7"/>
    <w:rsid w:val="00A50F33"/>
    <w:rsid w:val="00A51ADD"/>
    <w:rsid w:val="00A52309"/>
    <w:rsid w:val="00A52478"/>
    <w:rsid w:val="00A52BC5"/>
    <w:rsid w:val="00A531BC"/>
    <w:rsid w:val="00A53459"/>
    <w:rsid w:val="00A53804"/>
    <w:rsid w:val="00A538BA"/>
    <w:rsid w:val="00A538CF"/>
    <w:rsid w:val="00A53A58"/>
    <w:rsid w:val="00A540CB"/>
    <w:rsid w:val="00A5485D"/>
    <w:rsid w:val="00A54B11"/>
    <w:rsid w:val="00A555FE"/>
    <w:rsid w:val="00A56180"/>
    <w:rsid w:val="00A562EC"/>
    <w:rsid w:val="00A56409"/>
    <w:rsid w:val="00A56488"/>
    <w:rsid w:val="00A5671B"/>
    <w:rsid w:val="00A56FE0"/>
    <w:rsid w:val="00A57123"/>
    <w:rsid w:val="00A573A5"/>
    <w:rsid w:val="00A57A9A"/>
    <w:rsid w:val="00A60605"/>
    <w:rsid w:val="00A607AE"/>
    <w:rsid w:val="00A609E5"/>
    <w:rsid w:val="00A60DD3"/>
    <w:rsid w:val="00A616FD"/>
    <w:rsid w:val="00A6177F"/>
    <w:rsid w:val="00A61C0A"/>
    <w:rsid w:val="00A61DEF"/>
    <w:rsid w:val="00A6260A"/>
    <w:rsid w:val="00A62849"/>
    <w:rsid w:val="00A62D20"/>
    <w:rsid w:val="00A62F5C"/>
    <w:rsid w:val="00A6318B"/>
    <w:rsid w:val="00A63318"/>
    <w:rsid w:val="00A633F5"/>
    <w:rsid w:val="00A63BB2"/>
    <w:rsid w:val="00A63FE4"/>
    <w:rsid w:val="00A643F9"/>
    <w:rsid w:val="00A64403"/>
    <w:rsid w:val="00A64DE0"/>
    <w:rsid w:val="00A65237"/>
    <w:rsid w:val="00A6547A"/>
    <w:rsid w:val="00A65C06"/>
    <w:rsid w:val="00A65C0D"/>
    <w:rsid w:val="00A65F7F"/>
    <w:rsid w:val="00A65FCB"/>
    <w:rsid w:val="00A66119"/>
    <w:rsid w:val="00A6617A"/>
    <w:rsid w:val="00A66202"/>
    <w:rsid w:val="00A666DF"/>
    <w:rsid w:val="00A66B80"/>
    <w:rsid w:val="00A66E5F"/>
    <w:rsid w:val="00A66EE6"/>
    <w:rsid w:val="00A66FD8"/>
    <w:rsid w:val="00A6705A"/>
    <w:rsid w:val="00A670EC"/>
    <w:rsid w:val="00A67AD1"/>
    <w:rsid w:val="00A701D4"/>
    <w:rsid w:val="00A70935"/>
    <w:rsid w:val="00A7096E"/>
    <w:rsid w:val="00A70BC1"/>
    <w:rsid w:val="00A70EE6"/>
    <w:rsid w:val="00A70F32"/>
    <w:rsid w:val="00A71099"/>
    <w:rsid w:val="00A710B4"/>
    <w:rsid w:val="00A71285"/>
    <w:rsid w:val="00A71A8C"/>
    <w:rsid w:val="00A71B9E"/>
    <w:rsid w:val="00A71C55"/>
    <w:rsid w:val="00A71E0B"/>
    <w:rsid w:val="00A72A6C"/>
    <w:rsid w:val="00A72DAB"/>
    <w:rsid w:val="00A73186"/>
    <w:rsid w:val="00A73370"/>
    <w:rsid w:val="00A7350D"/>
    <w:rsid w:val="00A73523"/>
    <w:rsid w:val="00A73662"/>
    <w:rsid w:val="00A7375A"/>
    <w:rsid w:val="00A74263"/>
    <w:rsid w:val="00A745B1"/>
    <w:rsid w:val="00A74C65"/>
    <w:rsid w:val="00A74F5C"/>
    <w:rsid w:val="00A75012"/>
    <w:rsid w:val="00A7549E"/>
    <w:rsid w:val="00A757AD"/>
    <w:rsid w:val="00A75B90"/>
    <w:rsid w:val="00A75E45"/>
    <w:rsid w:val="00A765B8"/>
    <w:rsid w:val="00A765C4"/>
    <w:rsid w:val="00A77082"/>
    <w:rsid w:val="00A77790"/>
    <w:rsid w:val="00A779E1"/>
    <w:rsid w:val="00A77B4C"/>
    <w:rsid w:val="00A800FB"/>
    <w:rsid w:val="00A804A4"/>
    <w:rsid w:val="00A804DB"/>
    <w:rsid w:val="00A808D8"/>
    <w:rsid w:val="00A80DBA"/>
    <w:rsid w:val="00A818BE"/>
    <w:rsid w:val="00A81BF1"/>
    <w:rsid w:val="00A81E39"/>
    <w:rsid w:val="00A82693"/>
    <w:rsid w:val="00A82A48"/>
    <w:rsid w:val="00A82D49"/>
    <w:rsid w:val="00A82FC9"/>
    <w:rsid w:val="00A8418C"/>
    <w:rsid w:val="00A842D7"/>
    <w:rsid w:val="00A8432E"/>
    <w:rsid w:val="00A84B71"/>
    <w:rsid w:val="00A84BF5"/>
    <w:rsid w:val="00A84DA5"/>
    <w:rsid w:val="00A84FD8"/>
    <w:rsid w:val="00A85641"/>
    <w:rsid w:val="00A85BB6"/>
    <w:rsid w:val="00A863C3"/>
    <w:rsid w:val="00A8690E"/>
    <w:rsid w:val="00A86C4C"/>
    <w:rsid w:val="00A86C7B"/>
    <w:rsid w:val="00A87071"/>
    <w:rsid w:val="00A8715C"/>
    <w:rsid w:val="00A87BE7"/>
    <w:rsid w:val="00A87C63"/>
    <w:rsid w:val="00A87E71"/>
    <w:rsid w:val="00A901DB"/>
    <w:rsid w:val="00A90556"/>
    <w:rsid w:val="00A913AE"/>
    <w:rsid w:val="00A91613"/>
    <w:rsid w:val="00A9187A"/>
    <w:rsid w:val="00A91970"/>
    <w:rsid w:val="00A9220A"/>
    <w:rsid w:val="00A92691"/>
    <w:rsid w:val="00A92F91"/>
    <w:rsid w:val="00A93121"/>
    <w:rsid w:val="00A94043"/>
    <w:rsid w:val="00A945D5"/>
    <w:rsid w:val="00A94918"/>
    <w:rsid w:val="00A94A63"/>
    <w:rsid w:val="00A94D68"/>
    <w:rsid w:val="00A94DD8"/>
    <w:rsid w:val="00A950BB"/>
    <w:rsid w:val="00A9668D"/>
    <w:rsid w:val="00A96A46"/>
    <w:rsid w:val="00A96ADC"/>
    <w:rsid w:val="00A96CED"/>
    <w:rsid w:val="00A96EE1"/>
    <w:rsid w:val="00A97180"/>
    <w:rsid w:val="00A97467"/>
    <w:rsid w:val="00AA066E"/>
    <w:rsid w:val="00AA0B28"/>
    <w:rsid w:val="00AA0C22"/>
    <w:rsid w:val="00AA15B7"/>
    <w:rsid w:val="00AA17A4"/>
    <w:rsid w:val="00AA1C65"/>
    <w:rsid w:val="00AA2328"/>
    <w:rsid w:val="00AA279A"/>
    <w:rsid w:val="00AA28E8"/>
    <w:rsid w:val="00AA2DF0"/>
    <w:rsid w:val="00AA2E6D"/>
    <w:rsid w:val="00AA370C"/>
    <w:rsid w:val="00AA399A"/>
    <w:rsid w:val="00AA3A38"/>
    <w:rsid w:val="00AA4A51"/>
    <w:rsid w:val="00AA51B4"/>
    <w:rsid w:val="00AA56A6"/>
    <w:rsid w:val="00AA56D2"/>
    <w:rsid w:val="00AA60CA"/>
    <w:rsid w:val="00AA626A"/>
    <w:rsid w:val="00AA6320"/>
    <w:rsid w:val="00AA755E"/>
    <w:rsid w:val="00AA7AC0"/>
    <w:rsid w:val="00AA7C2C"/>
    <w:rsid w:val="00AA7C37"/>
    <w:rsid w:val="00AA7C87"/>
    <w:rsid w:val="00AB013A"/>
    <w:rsid w:val="00AB0262"/>
    <w:rsid w:val="00AB053F"/>
    <w:rsid w:val="00AB066C"/>
    <w:rsid w:val="00AB1192"/>
    <w:rsid w:val="00AB1691"/>
    <w:rsid w:val="00AB1961"/>
    <w:rsid w:val="00AB1ABE"/>
    <w:rsid w:val="00AB1CCF"/>
    <w:rsid w:val="00AB1EBE"/>
    <w:rsid w:val="00AB25EA"/>
    <w:rsid w:val="00AB2756"/>
    <w:rsid w:val="00AB297E"/>
    <w:rsid w:val="00AB3387"/>
    <w:rsid w:val="00AB33D6"/>
    <w:rsid w:val="00AB3F04"/>
    <w:rsid w:val="00AB3F3D"/>
    <w:rsid w:val="00AB48E5"/>
    <w:rsid w:val="00AB51DF"/>
    <w:rsid w:val="00AB53ED"/>
    <w:rsid w:val="00AB564D"/>
    <w:rsid w:val="00AB567E"/>
    <w:rsid w:val="00AB5DE1"/>
    <w:rsid w:val="00AB6235"/>
    <w:rsid w:val="00AB6598"/>
    <w:rsid w:val="00AB66DA"/>
    <w:rsid w:val="00AB675E"/>
    <w:rsid w:val="00AB6CBD"/>
    <w:rsid w:val="00AB73F9"/>
    <w:rsid w:val="00AB75D9"/>
    <w:rsid w:val="00AB7904"/>
    <w:rsid w:val="00AB7B9C"/>
    <w:rsid w:val="00AB7D38"/>
    <w:rsid w:val="00AB7EEC"/>
    <w:rsid w:val="00AC001F"/>
    <w:rsid w:val="00AC01EC"/>
    <w:rsid w:val="00AC072C"/>
    <w:rsid w:val="00AC16B9"/>
    <w:rsid w:val="00AC2035"/>
    <w:rsid w:val="00AC23DE"/>
    <w:rsid w:val="00AC2478"/>
    <w:rsid w:val="00AC25EE"/>
    <w:rsid w:val="00AC2813"/>
    <w:rsid w:val="00AC2AEB"/>
    <w:rsid w:val="00AC2B59"/>
    <w:rsid w:val="00AC3287"/>
    <w:rsid w:val="00AC3886"/>
    <w:rsid w:val="00AC41A2"/>
    <w:rsid w:val="00AC4766"/>
    <w:rsid w:val="00AC49AC"/>
    <w:rsid w:val="00AC5495"/>
    <w:rsid w:val="00AC56FF"/>
    <w:rsid w:val="00AC61CC"/>
    <w:rsid w:val="00AC66DC"/>
    <w:rsid w:val="00AC6AD7"/>
    <w:rsid w:val="00AC6E43"/>
    <w:rsid w:val="00AC6F83"/>
    <w:rsid w:val="00AC754C"/>
    <w:rsid w:val="00AC77F3"/>
    <w:rsid w:val="00AC7F54"/>
    <w:rsid w:val="00AD0361"/>
    <w:rsid w:val="00AD05F0"/>
    <w:rsid w:val="00AD0A3C"/>
    <w:rsid w:val="00AD116B"/>
    <w:rsid w:val="00AD18D2"/>
    <w:rsid w:val="00AD1EA4"/>
    <w:rsid w:val="00AD2204"/>
    <w:rsid w:val="00AD2330"/>
    <w:rsid w:val="00AD281D"/>
    <w:rsid w:val="00AD2A0B"/>
    <w:rsid w:val="00AD30FA"/>
    <w:rsid w:val="00AD33B8"/>
    <w:rsid w:val="00AD37CA"/>
    <w:rsid w:val="00AD408D"/>
    <w:rsid w:val="00AD426E"/>
    <w:rsid w:val="00AD4DDB"/>
    <w:rsid w:val="00AD5373"/>
    <w:rsid w:val="00AD55D0"/>
    <w:rsid w:val="00AD5784"/>
    <w:rsid w:val="00AD5EC4"/>
    <w:rsid w:val="00AD5EFF"/>
    <w:rsid w:val="00AD6163"/>
    <w:rsid w:val="00AD6E76"/>
    <w:rsid w:val="00AD727C"/>
    <w:rsid w:val="00AD7301"/>
    <w:rsid w:val="00AD735C"/>
    <w:rsid w:val="00AD73E1"/>
    <w:rsid w:val="00AD7C88"/>
    <w:rsid w:val="00AE00B1"/>
    <w:rsid w:val="00AE0839"/>
    <w:rsid w:val="00AE0879"/>
    <w:rsid w:val="00AE0E5D"/>
    <w:rsid w:val="00AE1BE1"/>
    <w:rsid w:val="00AE1EF9"/>
    <w:rsid w:val="00AE2257"/>
    <w:rsid w:val="00AE2522"/>
    <w:rsid w:val="00AE3085"/>
    <w:rsid w:val="00AE369C"/>
    <w:rsid w:val="00AE446D"/>
    <w:rsid w:val="00AE44B0"/>
    <w:rsid w:val="00AE50A7"/>
    <w:rsid w:val="00AE5443"/>
    <w:rsid w:val="00AE568A"/>
    <w:rsid w:val="00AE5E06"/>
    <w:rsid w:val="00AE699B"/>
    <w:rsid w:val="00AE6B52"/>
    <w:rsid w:val="00AE6F76"/>
    <w:rsid w:val="00AE7307"/>
    <w:rsid w:val="00AE758E"/>
    <w:rsid w:val="00AF06E8"/>
    <w:rsid w:val="00AF17AD"/>
    <w:rsid w:val="00AF18CF"/>
    <w:rsid w:val="00AF1929"/>
    <w:rsid w:val="00AF1A82"/>
    <w:rsid w:val="00AF1C66"/>
    <w:rsid w:val="00AF2626"/>
    <w:rsid w:val="00AF2ACA"/>
    <w:rsid w:val="00AF2C50"/>
    <w:rsid w:val="00AF2D01"/>
    <w:rsid w:val="00AF2EEC"/>
    <w:rsid w:val="00AF2FE0"/>
    <w:rsid w:val="00AF2FF6"/>
    <w:rsid w:val="00AF351D"/>
    <w:rsid w:val="00AF3807"/>
    <w:rsid w:val="00AF3952"/>
    <w:rsid w:val="00AF496F"/>
    <w:rsid w:val="00AF4B65"/>
    <w:rsid w:val="00AF561E"/>
    <w:rsid w:val="00AF575A"/>
    <w:rsid w:val="00AF58B8"/>
    <w:rsid w:val="00AF5A2D"/>
    <w:rsid w:val="00AF5ADE"/>
    <w:rsid w:val="00AF5B06"/>
    <w:rsid w:val="00AF5F1B"/>
    <w:rsid w:val="00AF6127"/>
    <w:rsid w:val="00AF65E5"/>
    <w:rsid w:val="00AF6CC9"/>
    <w:rsid w:val="00AF6DD3"/>
    <w:rsid w:val="00AF733C"/>
    <w:rsid w:val="00AF735C"/>
    <w:rsid w:val="00AF737D"/>
    <w:rsid w:val="00AF742A"/>
    <w:rsid w:val="00AF7757"/>
    <w:rsid w:val="00AF7768"/>
    <w:rsid w:val="00AF792D"/>
    <w:rsid w:val="00AF79F5"/>
    <w:rsid w:val="00B0033F"/>
    <w:rsid w:val="00B00B23"/>
    <w:rsid w:val="00B00D19"/>
    <w:rsid w:val="00B01164"/>
    <w:rsid w:val="00B01970"/>
    <w:rsid w:val="00B01ABB"/>
    <w:rsid w:val="00B01D49"/>
    <w:rsid w:val="00B01D77"/>
    <w:rsid w:val="00B0225A"/>
    <w:rsid w:val="00B023C6"/>
    <w:rsid w:val="00B02D05"/>
    <w:rsid w:val="00B03128"/>
    <w:rsid w:val="00B03BBA"/>
    <w:rsid w:val="00B03C86"/>
    <w:rsid w:val="00B03E4F"/>
    <w:rsid w:val="00B03E9A"/>
    <w:rsid w:val="00B03F1C"/>
    <w:rsid w:val="00B0483F"/>
    <w:rsid w:val="00B0488D"/>
    <w:rsid w:val="00B04990"/>
    <w:rsid w:val="00B0509F"/>
    <w:rsid w:val="00B0598F"/>
    <w:rsid w:val="00B05EFA"/>
    <w:rsid w:val="00B060BF"/>
    <w:rsid w:val="00B0653E"/>
    <w:rsid w:val="00B065BC"/>
    <w:rsid w:val="00B06612"/>
    <w:rsid w:val="00B06945"/>
    <w:rsid w:val="00B06A93"/>
    <w:rsid w:val="00B06B1C"/>
    <w:rsid w:val="00B06F27"/>
    <w:rsid w:val="00B10163"/>
    <w:rsid w:val="00B1029D"/>
    <w:rsid w:val="00B10D9C"/>
    <w:rsid w:val="00B1118C"/>
    <w:rsid w:val="00B11206"/>
    <w:rsid w:val="00B113AF"/>
    <w:rsid w:val="00B113CC"/>
    <w:rsid w:val="00B1147C"/>
    <w:rsid w:val="00B11CCC"/>
    <w:rsid w:val="00B12560"/>
    <w:rsid w:val="00B12BA0"/>
    <w:rsid w:val="00B12C1E"/>
    <w:rsid w:val="00B12CC7"/>
    <w:rsid w:val="00B131BA"/>
    <w:rsid w:val="00B13461"/>
    <w:rsid w:val="00B13658"/>
    <w:rsid w:val="00B136E9"/>
    <w:rsid w:val="00B13D12"/>
    <w:rsid w:val="00B13EA2"/>
    <w:rsid w:val="00B13EE6"/>
    <w:rsid w:val="00B153AC"/>
    <w:rsid w:val="00B15596"/>
    <w:rsid w:val="00B15F61"/>
    <w:rsid w:val="00B162DC"/>
    <w:rsid w:val="00B169B5"/>
    <w:rsid w:val="00B16A6E"/>
    <w:rsid w:val="00B16A9E"/>
    <w:rsid w:val="00B16B11"/>
    <w:rsid w:val="00B16CFA"/>
    <w:rsid w:val="00B16D89"/>
    <w:rsid w:val="00B16FD3"/>
    <w:rsid w:val="00B17349"/>
    <w:rsid w:val="00B17966"/>
    <w:rsid w:val="00B200F9"/>
    <w:rsid w:val="00B20428"/>
    <w:rsid w:val="00B2081A"/>
    <w:rsid w:val="00B20AED"/>
    <w:rsid w:val="00B20DF9"/>
    <w:rsid w:val="00B20F7F"/>
    <w:rsid w:val="00B212FD"/>
    <w:rsid w:val="00B21346"/>
    <w:rsid w:val="00B21484"/>
    <w:rsid w:val="00B216B8"/>
    <w:rsid w:val="00B217E6"/>
    <w:rsid w:val="00B2182A"/>
    <w:rsid w:val="00B21852"/>
    <w:rsid w:val="00B21C8A"/>
    <w:rsid w:val="00B21D34"/>
    <w:rsid w:val="00B227BD"/>
    <w:rsid w:val="00B22B34"/>
    <w:rsid w:val="00B22E50"/>
    <w:rsid w:val="00B22E72"/>
    <w:rsid w:val="00B2308D"/>
    <w:rsid w:val="00B23141"/>
    <w:rsid w:val="00B236DA"/>
    <w:rsid w:val="00B23928"/>
    <w:rsid w:val="00B2393E"/>
    <w:rsid w:val="00B23C2D"/>
    <w:rsid w:val="00B23D4D"/>
    <w:rsid w:val="00B23FDC"/>
    <w:rsid w:val="00B2419D"/>
    <w:rsid w:val="00B242DA"/>
    <w:rsid w:val="00B24C4C"/>
    <w:rsid w:val="00B257CF"/>
    <w:rsid w:val="00B25888"/>
    <w:rsid w:val="00B258D1"/>
    <w:rsid w:val="00B2673D"/>
    <w:rsid w:val="00B26951"/>
    <w:rsid w:val="00B26F4A"/>
    <w:rsid w:val="00B26F93"/>
    <w:rsid w:val="00B27189"/>
    <w:rsid w:val="00B27F84"/>
    <w:rsid w:val="00B3094F"/>
    <w:rsid w:val="00B30B9A"/>
    <w:rsid w:val="00B30D97"/>
    <w:rsid w:val="00B31045"/>
    <w:rsid w:val="00B3139D"/>
    <w:rsid w:val="00B31518"/>
    <w:rsid w:val="00B31685"/>
    <w:rsid w:val="00B31747"/>
    <w:rsid w:val="00B31778"/>
    <w:rsid w:val="00B31A8D"/>
    <w:rsid w:val="00B32576"/>
    <w:rsid w:val="00B32B51"/>
    <w:rsid w:val="00B330FA"/>
    <w:rsid w:val="00B33303"/>
    <w:rsid w:val="00B338B0"/>
    <w:rsid w:val="00B340AF"/>
    <w:rsid w:val="00B3440D"/>
    <w:rsid w:val="00B3460C"/>
    <w:rsid w:val="00B346CD"/>
    <w:rsid w:val="00B34D8B"/>
    <w:rsid w:val="00B3559F"/>
    <w:rsid w:val="00B35B48"/>
    <w:rsid w:val="00B35CBE"/>
    <w:rsid w:val="00B3649C"/>
    <w:rsid w:val="00B3676F"/>
    <w:rsid w:val="00B36771"/>
    <w:rsid w:val="00B36979"/>
    <w:rsid w:val="00B36CD2"/>
    <w:rsid w:val="00B36FAF"/>
    <w:rsid w:val="00B3766A"/>
    <w:rsid w:val="00B378D2"/>
    <w:rsid w:val="00B40B8E"/>
    <w:rsid w:val="00B40D69"/>
    <w:rsid w:val="00B40ECF"/>
    <w:rsid w:val="00B413E1"/>
    <w:rsid w:val="00B41739"/>
    <w:rsid w:val="00B4178C"/>
    <w:rsid w:val="00B42A76"/>
    <w:rsid w:val="00B435D8"/>
    <w:rsid w:val="00B43B89"/>
    <w:rsid w:val="00B43FF2"/>
    <w:rsid w:val="00B44369"/>
    <w:rsid w:val="00B44947"/>
    <w:rsid w:val="00B44A48"/>
    <w:rsid w:val="00B44A91"/>
    <w:rsid w:val="00B44E3F"/>
    <w:rsid w:val="00B456F0"/>
    <w:rsid w:val="00B45A6D"/>
    <w:rsid w:val="00B46271"/>
    <w:rsid w:val="00B4657D"/>
    <w:rsid w:val="00B46885"/>
    <w:rsid w:val="00B46A89"/>
    <w:rsid w:val="00B47701"/>
    <w:rsid w:val="00B47D2A"/>
    <w:rsid w:val="00B47F10"/>
    <w:rsid w:val="00B5067A"/>
    <w:rsid w:val="00B50751"/>
    <w:rsid w:val="00B50D40"/>
    <w:rsid w:val="00B51B76"/>
    <w:rsid w:val="00B52151"/>
    <w:rsid w:val="00B524CE"/>
    <w:rsid w:val="00B525AC"/>
    <w:rsid w:val="00B52A7B"/>
    <w:rsid w:val="00B52CB3"/>
    <w:rsid w:val="00B52FD9"/>
    <w:rsid w:val="00B532D6"/>
    <w:rsid w:val="00B53929"/>
    <w:rsid w:val="00B53A5E"/>
    <w:rsid w:val="00B54CC1"/>
    <w:rsid w:val="00B55211"/>
    <w:rsid w:val="00B55403"/>
    <w:rsid w:val="00B55B00"/>
    <w:rsid w:val="00B55B6A"/>
    <w:rsid w:val="00B56520"/>
    <w:rsid w:val="00B56CA4"/>
    <w:rsid w:val="00B570A6"/>
    <w:rsid w:val="00B57532"/>
    <w:rsid w:val="00B57AED"/>
    <w:rsid w:val="00B57B48"/>
    <w:rsid w:val="00B57CDD"/>
    <w:rsid w:val="00B57FDB"/>
    <w:rsid w:val="00B608DC"/>
    <w:rsid w:val="00B60BDE"/>
    <w:rsid w:val="00B60EC5"/>
    <w:rsid w:val="00B61058"/>
    <w:rsid w:val="00B61090"/>
    <w:rsid w:val="00B611D7"/>
    <w:rsid w:val="00B61C69"/>
    <w:rsid w:val="00B62171"/>
    <w:rsid w:val="00B621CB"/>
    <w:rsid w:val="00B624EB"/>
    <w:rsid w:val="00B627F9"/>
    <w:rsid w:val="00B629EC"/>
    <w:rsid w:val="00B62A18"/>
    <w:rsid w:val="00B62E5F"/>
    <w:rsid w:val="00B62ED7"/>
    <w:rsid w:val="00B6327F"/>
    <w:rsid w:val="00B63531"/>
    <w:rsid w:val="00B63EF0"/>
    <w:rsid w:val="00B64083"/>
    <w:rsid w:val="00B64581"/>
    <w:rsid w:val="00B64855"/>
    <w:rsid w:val="00B64CBC"/>
    <w:rsid w:val="00B64CDF"/>
    <w:rsid w:val="00B64F54"/>
    <w:rsid w:val="00B65547"/>
    <w:rsid w:val="00B655CE"/>
    <w:rsid w:val="00B655E7"/>
    <w:rsid w:val="00B65727"/>
    <w:rsid w:val="00B6584F"/>
    <w:rsid w:val="00B65AC0"/>
    <w:rsid w:val="00B65D21"/>
    <w:rsid w:val="00B65F34"/>
    <w:rsid w:val="00B66524"/>
    <w:rsid w:val="00B66A3E"/>
    <w:rsid w:val="00B66B7D"/>
    <w:rsid w:val="00B6781D"/>
    <w:rsid w:val="00B70327"/>
    <w:rsid w:val="00B703C6"/>
    <w:rsid w:val="00B710B5"/>
    <w:rsid w:val="00B715AC"/>
    <w:rsid w:val="00B716F7"/>
    <w:rsid w:val="00B7177A"/>
    <w:rsid w:val="00B71A47"/>
    <w:rsid w:val="00B71A6E"/>
    <w:rsid w:val="00B71D01"/>
    <w:rsid w:val="00B71D0C"/>
    <w:rsid w:val="00B723D2"/>
    <w:rsid w:val="00B7241F"/>
    <w:rsid w:val="00B7262F"/>
    <w:rsid w:val="00B72713"/>
    <w:rsid w:val="00B72DF8"/>
    <w:rsid w:val="00B732AB"/>
    <w:rsid w:val="00B73921"/>
    <w:rsid w:val="00B739CC"/>
    <w:rsid w:val="00B7413B"/>
    <w:rsid w:val="00B7418B"/>
    <w:rsid w:val="00B743C0"/>
    <w:rsid w:val="00B746F9"/>
    <w:rsid w:val="00B74F4F"/>
    <w:rsid w:val="00B7511D"/>
    <w:rsid w:val="00B753D7"/>
    <w:rsid w:val="00B757FB"/>
    <w:rsid w:val="00B7611F"/>
    <w:rsid w:val="00B76520"/>
    <w:rsid w:val="00B76539"/>
    <w:rsid w:val="00B769B2"/>
    <w:rsid w:val="00B76F6D"/>
    <w:rsid w:val="00B77389"/>
    <w:rsid w:val="00B77449"/>
    <w:rsid w:val="00B77782"/>
    <w:rsid w:val="00B77BAC"/>
    <w:rsid w:val="00B77D7E"/>
    <w:rsid w:val="00B77E27"/>
    <w:rsid w:val="00B77F3E"/>
    <w:rsid w:val="00B77F6C"/>
    <w:rsid w:val="00B77FCB"/>
    <w:rsid w:val="00B8085F"/>
    <w:rsid w:val="00B808B4"/>
    <w:rsid w:val="00B80AEE"/>
    <w:rsid w:val="00B80EE8"/>
    <w:rsid w:val="00B80EF5"/>
    <w:rsid w:val="00B81823"/>
    <w:rsid w:val="00B81A36"/>
    <w:rsid w:val="00B8259A"/>
    <w:rsid w:val="00B82850"/>
    <w:rsid w:val="00B82EE6"/>
    <w:rsid w:val="00B82FFB"/>
    <w:rsid w:val="00B8345C"/>
    <w:rsid w:val="00B83613"/>
    <w:rsid w:val="00B83A85"/>
    <w:rsid w:val="00B83B24"/>
    <w:rsid w:val="00B83BD2"/>
    <w:rsid w:val="00B83F12"/>
    <w:rsid w:val="00B84A43"/>
    <w:rsid w:val="00B84C39"/>
    <w:rsid w:val="00B852DD"/>
    <w:rsid w:val="00B8551C"/>
    <w:rsid w:val="00B85A3C"/>
    <w:rsid w:val="00B85D76"/>
    <w:rsid w:val="00B85E59"/>
    <w:rsid w:val="00B85EE4"/>
    <w:rsid w:val="00B86007"/>
    <w:rsid w:val="00B8642F"/>
    <w:rsid w:val="00B867A1"/>
    <w:rsid w:val="00B8709A"/>
    <w:rsid w:val="00B8744C"/>
    <w:rsid w:val="00B87653"/>
    <w:rsid w:val="00B878F6"/>
    <w:rsid w:val="00B8797D"/>
    <w:rsid w:val="00B87C9B"/>
    <w:rsid w:val="00B903FB"/>
    <w:rsid w:val="00B90948"/>
    <w:rsid w:val="00B90D77"/>
    <w:rsid w:val="00B90FC5"/>
    <w:rsid w:val="00B9103C"/>
    <w:rsid w:val="00B912FB"/>
    <w:rsid w:val="00B91397"/>
    <w:rsid w:val="00B91B6D"/>
    <w:rsid w:val="00B91E36"/>
    <w:rsid w:val="00B91F67"/>
    <w:rsid w:val="00B92226"/>
    <w:rsid w:val="00B92865"/>
    <w:rsid w:val="00B93E99"/>
    <w:rsid w:val="00B942A4"/>
    <w:rsid w:val="00B94383"/>
    <w:rsid w:val="00B94437"/>
    <w:rsid w:val="00B9453D"/>
    <w:rsid w:val="00B94B40"/>
    <w:rsid w:val="00B94B83"/>
    <w:rsid w:val="00B95304"/>
    <w:rsid w:val="00B95357"/>
    <w:rsid w:val="00B95FB2"/>
    <w:rsid w:val="00B96075"/>
    <w:rsid w:val="00B96D2B"/>
    <w:rsid w:val="00B970DF"/>
    <w:rsid w:val="00B97472"/>
    <w:rsid w:val="00B97878"/>
    <w:rsid w:val="00B97CB7"/>
    <w:rsid w:val="00B97F00"/>
    <w:rsid w:val="00BA05CA"/>
    <w:rsid w:val="00BA05D8"/>
    <w:rsid w:val="00BA08F5"/>
    <w:rsid w:val="00BA0B5C"/>
    <w:rsid w:val="00BA0C7A"/>
    <w:rsid w:val="00BA0CB9"/>
    <w:rsid w:val="00BA0D3F"/>
    <w:rsid w:val="00BA106E"/>
    <w:rsid w:val="00BA188A"/>
    <w:rsid w:val="00BA2046"/>
    <w:rsid w:val="00BA2222"/>
    <w:rsid w:val="00BA24BF"/>
    <w:rsid w:val="00BA2547"/>
    <w:rsid w:val="00BA257F"/>
    <w:rsid w:val="00BA2655"/>
    <w:rsid w:val="00BA28D0"/>
    <w:rsid w:val="00BA2AF0"/>
    <w:rsid w:val="00BA2C86"/>
    <w:rsid w:val="00BA336A"/>
    <w:rsid w:val="00BA339A"/>
    <w:rsid w:val="00BA3543"/>
    <w:rsid w:val="00BA372F"/>
    <w:rsid w:val="00BA4602"/>
    <w:rsid w:val="00BA4824"/>
    <w:rsid w:val="00BA4C8C"/>
    <w:rsid w:val="00BA4DD7"/>
    <w:rsid w:val="00BA4F4D"/>
    <w:rsid w:val="00BA5503"/>
    <w:rsid w:val="00BA5656"/>
    <w:rsid w:val="00BA6055"/>
    <w:rsid w:val="00BA60C8"/>
    <w:rsid w:val="00BA645B"/>
    <w:rsid w:val="00BA6A84"/>
    <w:rsid w:val="00BA6C6A"/>
    <w:rsid w:val="00BA6E1E"/>
    <w:rsid w:val="00BA75E7"/>
    <w:rsid w:val="00BA789C"/>
    <w:rsid w:val="00BA7A08"/>
    <w:rsid w:val="00BA7DC9"/>
    <w:rsid w:val="00BA7E94"/>
    <w:rsid w:val="00BB0409"/>
    <w:rsid w:val="00BB0968"/>
    <w:rsid w:val="00BB0996"/>
    <w:rsid w:val="00BB11B7"/>
    <w:rsid w:val="00BB11FD"/>
    <w:rsid w:val="00BB1481"/>
    <w:rsid w:val="00BB14D1"/>
    <w:rsid w:val="00BB19FB"/>
    <w:rsid w:val="00BB1BB3"/>
    <w:rsid w:val="00BB23A4"/>
    <w:rsid w:val="00BB28F3"/>
    <w:rsid w:val="00BB2901"/>
    <w:rsid w:val="00BB2DC4"/>
    <w:rsid w:val="00BB30C0"/>
    <w:rsid w:val="00BB3163"/>
    <w:rsid w:val="00BB367A"/>
    <w:rsid w:val="00BB3A62"/>
    <w:rsid w:val="00BB4804"/>
    <w:rsid w:val="00BB4ACC"/>
    <w:rsid w:val="00BB4B57"/>
    <w:rsid w:val="00BB4EC3"/>
    <w:rsid w:val="00BB4EF6"/>
    <w:rsid w:val="00BB5D34"/>
    <w:rsid w:val="00BB7031"/>
    <w:rsid w:val="00BB7353"/>
    <w:rsid w:val="00BB7653"/>
    <w:rsid w:val="00BB77DF"/>
    <w:rsid w:val="00BC016A"/>
    <w:rsid w:val="00BC0875"/>
    <w:rsid w:val="00BC0AE5"/>
    <w:rsid w:val="00BC0F01"/>
    <w:rsid w:val="00BC0F08"/>
    <w:rsid w:val="00BC1468"/>
    <w:rsid w:val="00BC190D"/>
    <w:rsid w:val="00BC1CBB"/>
    <w:rsid w:val="00BC2569"/>
    <w:rsid w:val="00BC29B1"/>
    <w:rsid w:val="00BC3346"/>
    <w:rsid w:val="00BC354E"/>
    <w:rsid w:val="00BC4076"/>
    <w:rsid w:val="00BC4E2B"/>
    <w:rsid w:val="00BC4EE5"/>
    <w:rsid w:val="00BC5590"/>
    <w:rsid w:val="00BC59EA"/>
    <w:rsid w:val="00BC62A6"/>
    <w:rsid w:val="00BC63D2"/>
    <w:rsid w:val="00BC6A1C"/>
    <w:rsid w:val="00BC6B9B"/>
    <w:rsid w:val="00BC6C4F"/>
    <w:rsid w:val="00BC6FC0"/>
    <w:rsid w:val="00BC718D"/>
    <w:rsid w:val="00BC7C8C"/>
    <w:rsid w:val="00BC7FE7"/>
    <w:rsid w:val="00BD069C"/>
    <w:rsid w:val="00BD0C74"/>
    <w:rsid w:val="00BD2255"/>
    <w:rsid w:val="00BD2496"/>
    <w:rsid w:val="00BD2AC0"/>
    <w:rsid w:val="00BD2D39"/>
    <w:rsid w:val="00BD2FC7"/>
    <w:rsid w:val="00BD2FDD"/>
    <w:rsid w:val="00BD3116"/>
    <w:rsid w:val="00BD3388"/>
    <w:rsid w:val="00BD365D"/>
    <w:rsid w:val="00BD36F9"/>
    <w:rsid w:val="00BD3C1E"/>
    <w:rsid w:val="00BD3D81"/>
    <w:rsid w:val="00BD3E9C"/>
    <w:rsid w:val="00BD481F"/>
    <w:rsid w:val="00BD4CC3"/>
    <w:rsid w:val="00BD4EEE"/>
    <w:rsid w:val="00BD50ED"/>
    <w:rsid w:val="00BD51B2"/>
    <w:rsid w:val="00BD55EC"/>
    <w:rsid w:val="00BD582A"/>
    <w:rsid w:val="00BD5B07"/>
    <w:rsid w:val="00BD5CE9"/>
    <w:rsid w:val="00BD5FD0"/>
    <w:rsid w:val="00BD6161"/>
    <w:rsid w:val="00BD626B"/>
    <w:rsid w:val="00BD746E"/>
    <w:rsid w:val="00BD7535"/>
    <w:rsid w:val="00BD768F"/>
    <w:rsid w:val="00BD7926"/>
    <w:rsid w:val="00BD7A5B"/>
    <w:rsid w:val="00BD7E0A"/>
    <w:rsid w:val="00BD7E65"/>
    <w:rsid w:val="00BE07D1"/>
    <w:rsid w:val="00BE1236"/>
    <w:rsid w:val="00BE17F8"/>
    <w:rsid w:val="00BE21A6"/>
    <w:rsid w:val="00BE21B6"/>
    <w:rsid w:val="00BE2771"/>
    <w:rsid w:val="00BE279C"/>
    <w:rsid w:val="00BE27E4"/>
    <w:rsid w:val="00BE2C61"/>
    <w:rsid w:val="00BE2C79"/>
    <w:rsid w:val="00BE2E75"/>
    <w:rsid w:val="00BE32A2"/>
    <w:rsid w:val="00BE3693"/>
    <w:rsid w:val="00BE3774"/>
    <w:rsid w:val="00BE3979"/>
    <w:rsid w:val="00BE3FA7"/>
    <w:rsid w:val="00BE3FBB"/>
    <w:rsid w:val="00BE4423"/>
    <w:rsid w:val="00BE4E58"/>
    <w:rsid w:val="00BE594D"/>
    <w:rsid w:val="00BE5A70"/>
    <w:rsid w:val="00BE5B2C"/>
    <w:rsid w:val="00BE5D44"/>
    <w:rsid w:val="00BE6B66"/>
    <w:rsid w:val="00BE6F2B"/>
    <w:rsid w:val="00BE702F"/>
    <w:rsid w:val="00BE70AD"/>
    <w:rsid w:val="00BE760C"/>
    <w:rsid w:val="00BF0432"/>
    <w:rsid w:val="00BF06DA"/>
    <w:rsid w:val="00BF0AA7"/>
    <w:rsid w:val="00BF1AB8"/>
    <w:rsid w:val="00BF1E1D"/>
    <w:rsid w:val="00BF1E1E"/>
    <w:rsid w:val="00BF24A9"/>
    <w:rsid w:val="00BF2581"/>
    <w:rsid w:val="00BF26E0"/>
    <w:rsid w:val="00BF2B98"/>
    <w:rsid w:val="00BF2CFB"/>
    <w:rsid w:val="00BF3163"/>
    <w:rsid w:val="00BF342A"/>
    <w:rsid w:val="00BF35D8"/>
    <w:rsid w:val="00BF3CDF"/>
    <w:rsid w:val="00BF41AF"/>
    <w:rsid w:val="00BF4497"/>
    <w:rsid w:val="00BF4714"/>
    <w:rsid w:val="00BF4994"/>
    <w:rsid w:val="00BF4F19"/>
    <w:rsid w:val="00BF58A8"/>
    <w:rsid w:val="00BF62A5"/>
    <w:rsid w:val="00BF6473"/>
    <w:rsid w:val="00BF64F5"/>
    <w:rsid w:val="00BF6591"/>
    <w:rsid w:val="00BF67F0"/>
    <w:rsid w:val="00BF6C55"/>
    <w:rsid w:val="00BF6DE4"/>
    <w:rsid w:val="00BF6E53"/>
    <w:rsid w:val="00BF7298"/>
    <w:rsid w:val="00BF7DEF"/>
    <w:rsid w:val="00BF7E29"/>
    <w:rsid w:val="00C0050C"/>
    <w:rsid w:val="00C0053B"/>
    <w:rsid w:val="00C005E0"/>
    <w:rsid w:val="00C00B8A"/>
    <w:rsid w:val="00C00BB6"/>
    <w:rsid w:val="00C0135E"/>
    <w:rsid w:val="00C01721"/>
    <w:rsid w:val="00C01A21"/>
    <w:rsid w:val="00C030AC"/>
    <w:rsid w:val="00C03446"/>
    <w:rsid w:val="00C0361F"/>
    <w:rsid w:val="00C03679"/>
    <w:rsid w:val="00C0384C"/>
    <w:rsid w:val="00C041FA"/>
    <w:rsid w:val="00C04AB6"/>
    <w:rsid w:val="00C04B04"/>
    <w:rsid w:val="00C04B0F"/>
    <w:rsid w:val="00C050C1"/>
    <w:rsid w:val="00C05244"/>
    <w:rsid w:val="00C05BCC"/>
    <w:rsid w:val="00C05E84"/>
    <w:rsid w:val="00C065E5"/>
    <w:rsid w:val="00C069B0"/>
    <w:rsid w:val="00C06E82"/>
    <w:rsid w:val="00C06EBC"/>
    <w:rsid w:val="00C07767"/>
    <w:rsid w:val="00C100DA"/>
    <w:rsid w:val="00C10211"/>
    <w:rsid w:val="00C10246"/>
    <w:rsid w:val="00C10361"/>
    <w:rsid w:val="00C1097D"/>
    <w:rsid w:val="00C11501"/>
    <w:rsid w:val="00C1161C"/>
    <w:rsid w:val="00C1161F"/>
    <w:rsid w:val="00C11772"/>
    <w:rsid w:val="00C118EB"/>
    <w:rsid w:val="00C11987"/>
    <w:rsid w:val="00C121B8"/>
    <w:rsid w:val="00C124F4"/>
    <w:rsid w:val="00C12B3E"/>
    <w:rsid w:val="00C12B96"/>
    <w:rsid w:val="00C12CC5"/>
    <w:rsid w:val="00C12F15"/>
    <w:rsid w:val="00C13006"/>
    <w:rsid w:val="00C132D1"/>
    <w:rsid w:val="00C132E2"/>
    <w:rsid w:val="00C135FD"/>
    <w:rsid w:val="00C137F7"/>
    <w:rsid w:val="00C1390C"/>
    <w:rsid w:val="00C139E5"/>
    <w:rsid w:val="00C13CB9"/>
    <w:rsid w:val="00C13CC2"/>
    <w:rsid w:val="00C13FE2"/>
    <w:rsid w:val="00C142B0"/>
    <w:rsid w:val="00C1473F"/>
    <w:rsid w:val="00C14813"/>
    <w:rsid w:val="00C158A8"/>
    <w:rsid w:val="00C15E32"/>
    <w:rsid w:val="00C16A01"/>
    <w:rsid w:val="00C1751B"/>
    <w:rsid w:val="00C17923"/>
    <w:rsid w:val="00C17A83"/>
    <w:rsid w:val="00C17CFC"/>
    <w:rsid w:val="00C2006B"/>
    <w:rsid w:val="00C20A75"/>
    <w:rsid w:val="00C20E15"/>
    <w:rsid w:val="00C213DF"/>
    <w:rsid w:val="00C21511"/>
    <w:rsid w:val="00C223A3"/>
    <w:rsid w:val="00C2286D"/>
    <w:rsid w:val="00C22FAF"/>
    <w:rsid w:val="00C23267"/>
    <w:rsid w:val="00C2347F"/>
    <w:rsid w:val="00C23AA2"/>
    <w:rsid w:val="00C2417A"/>
    <w:rsid w:val="00C245E6"/>
    <w:rsid w:val="00C2488C"/>
    <w:rsid w:val="00C24E75"/>
    <w:rsid w:val="00C2599A"/>
    <w:rsid w:val="00C259FF"/>
    <w:rsid w:val="00C25A58"/>
    <w:rsid w:val="00C25DCA"/>
    <w:rsid w:val="00C26D55"/>
    <w:rsid w:val="00C2713E"/>
    <w:rsid w:val="00C2744D"/>
    <w:rsid w:val="00C30868"/>
    <w:rsid w:val="00C30EB9"/>
    <w:rsid w:val="00C30FFE"/>
    <w:rsid w:val="00C319A4"/>
    <w:rsid w:val="00C31D7E"/>
    <w:rsid w:val="00C322AD"/>
    <w:rsid w:val="00C3263B"/>
    <w:rsid w:val="00C327B5"/>
    <w:rsid w:val="00C32D5B"/>
    <w:rsid w:val="00C33534"/>
    <w:rsid w:val="00C33836"/>
    <w:rsid w:val="00C339A0"/>
    <w:rsid w:val="00C339AA"/>
    <w:rsid w:val="00C33ED8"/>
    <w:rsid w:val="00C33F4E"/>
    <w:rsid w:val="00C33F88"/>
    <w:rsid w:val="00C3406A"/>
    <w:rsid w:val="00C3484E"/>
    <w:rsid w:val="00C34912"/>
    <w:rsid w:val="00C34BB5"/>
    <w:rsid w:val="00C350A2"/>
    <w:rsid w:val="00C356E6"/>
    <w:rsid w:val="00C358EB"/>
    <w:rsid w:val="00C35E94"/>
    <w:rsid w:val="00C363F5"/>
    <w:rsid w:val="00C372CA"/>
    <w:rsid w:val="00C3734B"/>
    <w:rsid w:val="00C3765E"/>
    <w:rsid w:val="00C37A22"/>
    <w:rsid w:val="00C37E0B"/>
    <w:rsid w:val="00C37F13"/>
    <w:rsid w:val="00C405B9"/>
    <w:rsid w:val="00C40E35"/>
    <w:rsid w:val="00C41010"/>
    <w:rsid w:val="00C412C7"/>
    <w:rsid w:val="00C4150A"/>
    <w:rsid w:val="00C41666"/>
    <w:rsid w:val="00C418AE"/>
    <w:rsid w:val="00C4193F"/>
    <w:rsid w:val="00C41A1F"/>
    <w:rsid w:val="00C41E61"/>
    <w:rsid w:val="00C421B1"/>
    <w:rsid w:val="00C422DF"/>
    <w:rsid w:val="00C42AA4"/>
    <w:rsid w:val="00C42FDF"/>
    <w:rsid w:val="00C43340"/>
    <w:rsid w:val="00C435DC"/>
    <w:rsid w:val="00C438C7"/>
    <w:rsid w:val="00C43D96"/>
    <w:rsid w:val="00C44AC4"/>
    <w:rsid w:val="00C44B5C"/>
    <w:rsid w:val="00C45B5F"/>
    <w:rsid w:val="00C4633E"/>
    <w:rsid w:val="00C46A53"/>
    <w:rsid w:val="00C479D9"/>
    <w:rsid w:val="00C47A0C"/>
    <w:rsid w:val="00C47A3E"/>
    <w:rsid w:val="00C47A86"/>
    <w:rsid w:val="00C47E18"/>
    <w:rsid w:val="00C47FA2"/>
    <w:rsid w:val="00C50803"/>
    <w:rsid w:val="00C509C7"/>
    <w:rsid w:val="00C50C59"/>
    <w:rsid w:val="00C50DA4"/>
    <w:rsid w:val="00C512A1"/>
    <w:rsid w:val="00C51C43"/>
    <w:rsid w:val="00C51CBA"/>
    <w:rsid w:val="00C52019"/>
    <w:rsid w:val="00C521AB"/>
    <w:rsid w:val="00C524B6"/>
    <w:rsid w:val="00C527A3"/>
    <w:rsid w:val="00C52DFC"/>
    <w:rsid w:val="00C52F0F"/>
    <w:rsid w:val="00C530E0"/>
    <w:rsid w:val="00C53579"/>
    <w:rsid w:val="00C536FD"/>
    <w:rsid w:val="00C540F7"/>
    <w:rsid w:val="00C5476B"/>
    <w:rsid w:val="00C54FDB"/>
    <w:rsid w:val="00C5539D"/>
    <w:rsid w:val="00C5613B"/>
    <w:rsid w:val="00C56567"/>
    <w:rsid w:val="00C567E1"/>
    <w:rsid w:val="00C56937"/>
    <w:rsid w:val="00C56A89"/>
    <w:rsid w:val="00C56AEA"/>
    <w:rsid w:val="00C57AA9"/>
    <w:rsid w:val="00C60530"/>
    <w:rsid w:val="00C616FA"/>
    <w:rsid w:val="00C61D1A"/>
    <w:rsid w:val="00C61DC3"/>
    <w:rsid w:val="00C61E77"/>
    <w:rsid w:val="00C620BD"/>
    <w:rsid w:val="00C620DD"/>
    <w:rsid w:val="00C624AD"/>
    <w:rsid w:val="00C6259D"/>
    <w:rsid w:val="00C625E0"/>
    <w:rsid w:val="00C627AD"/>
    <w:rsid w:val="00C6281B"/>
    <w:rsid w:val="00C629CF"/>
    <w:rsid w:val="00C63C48"/>
    <w:rsid w:val="00C63C60"/>
    <w:rsid w:val="00C63C65"/>
    <w:rsid w:val="00C64118"/>
    <w:rsid w:val="00C647C8"/>
    <w:rsid w:val="00C64D67"/>
    <w:rsid w:val="00C6542D"/>
    <w:rsid w:val="00C654E0"/>
    <w:rsid w:val="00C65731"/>
    <w:rsid w:val="00C65758"/>
    <w:rsid w:val="00C65786"/>
    <w:rsid w:val="00C65E37"/>
    <w:rsid w:val="00C6608C"/>
    <w:rsid w:val="00C6657F"/>
    <w:rsid w:val="00C668FA"/>
    <w:rsid w:val="00C66B78"/>
    <w:rsid w:val="00C67186"/>
    <w:rsid w:val="00C673CD"/>
    <w:rsid w:val="00C67741"/>
    <w:rsid w:val="00C67959"/>
    <w:rsid w:val="00C67C6B"/>
    <w:rsid w:val="00C7002C"/>
    <w:rsid w:val="00C70352"/>
    <w:rsid w:val="00C709C5"/>
    <w:rsid w:val="00C70BC9"/>
    <w:rsid w:val="00C70D7C"/>
    <w:rsid w:val="00C70DCC"/>
    <w:rsid w:val="00C71F9B"/>
    <w:rsid w:val="00C721D8"/>
    <w:rsid w:val="00C72954"/>
    <w:rsid w:val="00C73290"/>
    <w:rsid w:val="00C73371"/>
    <w:rsid w:val="00C73806"/>
    <w:rsid w:val="00C7386E"/>
    <w:rsid w:val="00C73C1A"/>
    <w:rsid w:val="00C73EE4"/>
    <w:rsid w:val="00C745B5"/>
    <w:rsid w:val="00C746FE"/>
    <w:rsid w:val="00C74883"/>
    <w:rsid w:val="00C75214"/>
    <w:rsid w:val="00C755A1"/>
    <w:rsid w:val="00C75D6C"/>
    <w:rsid w:val="00C76489"/>
    <w:rsid w:val="00C76A4F"/>
    <w:rsid w:val="00C76D2C"/>
    <w:rsid w:val="00C76D57"/>
    <w:rsid w:val="00C770EC"/>
    <w:rsid w:val="00C7713D"/>
    <w:rsid w:val="00C77F1D"/>
    <w:rsid w:val="00C802B5"/>
    <w:rsid w:val="00C804E3"/>
    <w:rsid w:val="00C80507"/>
    <w:rsid w:val="00C80550"/>
    <w:rsid w:val="00C806E5"/>
    <w:rsid w:val="00C8077F"/>
    <w:rsid w:val="00C8088F"/>
    <w:rsid w:val="00C80CB4"/>
    <w:rsid w:val="00C80F16"/>
    <w:rsid w:val="00C817F0"/>
    <w:rsid w:val="00C81856"/>
    <w:rsid w:val="00C81903"/>
    <w:rsid w:val="00C81AD8"/>
    <w:rsid w:val="00C81ADD"/>
    <w:rsid w:val="00C81C57"/>
    <w:rsid w:val="00C81ED4"/>
    <w:rsid w:val="00C82727"/>
    <w:rsid w:val="00C82B38"/>
    <w:rsid w:val="00C82BB1"/>
    <w:rsid w:val="00C83031"/>
    <w:rsid w:val="00C832CA"/>
    <w:rsid w:val="00C83415"/>
    <w:rsid w:val="00C83CDA"/>
    <w:rsid w:val="00C83D7C"/>
    <w:rsid w:val="00C84472"/>
    <w:rsid w:val="00C84B62"/>
    <w:rsid w:val="00C84F97"/>
    <w:rsid w:val="00C85319"/>
    <w:rsid w:val="00C8568D"/>
    <w:rsid w:val="00C859ED"/>
    <w:rsid w:val="00C85FEE"/>
    <w:rsid w:val="00C86156"/>
    <w:rsid w:val="00C863A1"/>
    <w:rsid w:val="00C8647E"/>
    <w:rsid w:val="00C867FF"/>
    <w:rsid w:val="00C86906"/>
    <w:rsid w:val="00C86A41"/>
    <w:rsid w:val="00C86D86"/>
    <w:rsid w:val="00C86EE8"/>
    <w:rsid w:val="00C873B1"/>
    <w:rsid w:val="00C873C9"/>
    <w:rsid w:val="00C873E2"/>
    <w:rsid w:val="00C874F1"/>
    <w:rsid w:val="00C87717"/>
    <w:rsid w:val="00C87BCD"/>
    <w:rsid w:val="00C901F2"/>
    <w:rsid w:val="00C90AD0"/>
    <w:rsid w:val="00C90B07"/>
    <w:rsid w:val="00C91164"/>
    <w:rsid w:val="00C91861"/>
    <w:rsid w:val="00C91A53"/>
    <w:rsid w:val="00C91EBE"/>
    <w:rsid w:val="00C92107"/>
    <w:rsid w:val="00C92F13"/>
    <w:rsid w:val="00C935F9"/>
    <w:rsid w:val="00C93F48"/>
    <w:rsid w:val="00C9427A"/>
    <w:rsid w:val="00C94ED7"/>
    <w:rsid w:val="00C94F7E"/>
    <w:rsid w:val="00C95646"/>
    <w:rsid w:val="00C95881"/>
    <w:rsid w:val="00C9599A"/>
    <w:rsid w:val="00C9652A"/>
    <w:rsid w:val="00C96604"/>
    <w:rsid w:val="00C96A99"/>
    <w:rsid w:val="00C96ABD"/>
    <w:rsid w:val="00C96EE7"/>
    <w:rsid w:val="00C97034"/>
    <w:rsid w:val="00C97586"/>
    <w:rsid w:val="00C97721"/>
    <w:rsid w:val="00C978EF"/>
    <w:rsid w:val="00C979CE"/>
    <w:rsid w:val="00C97AAC"/>
    <w:rsid w:val="00C97F7A"/>
    <w:rsid w:val="00CA02A5"/>
    <w:rsid w:val="00CA0380"/>
    <w:rsid w:val="00CA09AD"/>
    <w:rsid w:val="00CA0BFA"/>
    <w:rsid w:val="00CA0F59"/>
    <w:rsid w:val="00CA121E"/>
    <w:rsid w:val="00CA1311"/>
    <w:rsid w:val="00CA1F32"/>
    <w:rsid w:val="00CA1FEE"/>
    <w:rsid w:val="00CA21ED"/>
    <w:rsid w:val="00CA2327"/>
    <w:rsid w:val="00CA26E9"/>
    <w:rsid w:val="00CA2871"/>
    <w:rsid w:val="00CA2D54"/>
    <w:rsid w:val="00CA2EAA"/>
    <w:rsid w:val="00CA339D"/>
    <w:rsid w:val="00CA44D1"/>
    <w:rsid w:val="00CA4BA6"/>
    <w:rsid w:val="00CA5782"/>
    <w:rsid w:val="00CA5BBF"/>
    <w:rsid w:val="00CA5D52"/>
    <w:rsid w:val="00CA629E"/>
    <w:rsid w:val="00CA66FC"/>
    <w:rsid w:val="00CA6AC4"/>
    <w:rsid w:val="00CA7465"/>
    <w:rsid w:val="00CA7739"/>
    <w:rsid w:val="00CA7BB7"/>
    <w:rsid w:val="00CA7E16"/>
    <w:rsid w:val="00CB02E8"/>
    <w:rsid w:val="00CB0317"/>
    <w:rsid w:val="00CB0358"/>
    <w:rsid w:val="00CB036A"/>
    <w:rsid w:val="00CB0759"/>
    <w:rsid w:val="00CB0F3E"/>
    <w:rsid w:val="00CB1447"/>
    <w:rsid w:val="00CB15CE"/>
    <w:rsid w:val="00CB1A14"/>
    <w:rsid w:val="00CB1B86"/>
    <w:rsid w:val="00CB1EEE"/>
    <w:rsid w:val="00CB2169"/>
    <w:rsid w:val="00CB21E5"/>
    <w:rsid w:val="00CB2208"/>
    <w:rsid w:val="00CB261F"/>
    <w:rsid w:val="00CB26FF"/>
    <w:rsid w:val="00CB30DA"/>
    <w:rsid w:val="00CB313B"/>
    <w:rsid w:val="00CB4C2F"/>
    <w:rsid w:val="00CB4DA5"/>
    <w:rsid w:val="00CB5358"/>
    <w:rsid w:val="00CB5860"/>
    <w:rsid w:val="00CB5EA7"/>
    <w:rsid w:val="00CB6C34"/>
    <w:rsid w:val="00CB6D4D"/>
    <w:rsid w:val="00CB727F"/>
    <w:rsid w:val="00CB7638"/>
    <w:rsid w:val="00CB7769"/>
    <w:rsid w:val="00CB78E3"/>
    <w:rsid w:val="00CB7A5B"/>
    <w:rsid w:val="00CB7AD8"/>
    <w:rsid w:val="00CB7E69"/>
    <w:rsid w:val="00CC0422"/>
    <w:rsid w:val="00CC1272"/>
    <w:rsid w:val="00CC1A10"/>
    <w:rsid w:val="00CC1C90"/>
    <w:rsid w:val="00CC1D7A"/>
    <w:rsid w:val="00CC23CC"/>
    <w:rsid w:val="00CC24C3"/>
    <w:rsid w:val="00CC2B8E"/>
    <w:rsid w:val="00CC32C2"/>
    <w:rsid w:val="00CC3692"/>
    <w:rsid w:val="00CC3B9D"/>
    <w:rsid w:val="00CC3F64"/>
    <w:rsid w:val="00CC3FC6"/>
    <w:rsid w:val="00CC4229"/>
    <w:rsid w:val="00CC448F"/>
    <w:rsid w:val="00CC44BD"/>
    <w:rsid w:val="00CC4E5C"/>
    <w:rsid w:val="00CC4EDB"/>
    <w:rsid w:val="00CC5859"/>
    <w:rsid w:val="00CC5BFE"/>
    <w:rsid w:val="00CC60ED"/>
    <w:rsid w:val="00CC644D"/>
    <w:rsid w:val="00CC6BAD"/>
    <w:rsid w:val="00CC71F9"/>
    <w:rsid w:val="00CC7224"/>
    <w:rsid w:val="00CC7241"/>
    <w:rsid w:val="00CC7C85"/>
    <w:rsid w:val="00CC7CAA"/>
    <w:rsid w:val="00CC7E47"/>
    <w:rsid w:val="00CD0642"/>
    <w:rsid w:val="00CD08EB"/>
    <w:rsid w:val="00CD09B0"/>
    <w:rsid w:val="00CD0FF7"/>
    <w:rsid w:val="00CD10F7"/>
    <w:rsid w:val="00CD14F2"/>
    <w:rsid w:val="00CD17CC"/>
    <w:rsid w:val="00CD1B33"/>
    <w:rsid w:val="00CD20ED"/>
    <w:rsid w:val="00CD2139"/>
    <w:rsid w:val="00CD236D"/>
    <w:rsid w:val="00CD31C9"/>
    <w:rsid w:val="00CD36DD"/>
    <w:rsid w:val="00CD37C8"/>
    <w:rsid w:val="00CD392B"/>
    <w:rsid w:val="00CD3CDC"/>
    <w:rsid w:val="00CD484A"/>
    <w:rsid w:val="00CD4DDB"/>
    <w:rsid w:val="00CD4E45"/>
    <w:rsid w:val="00CD500D"/>
    <w:rsid w:val="00CD5214"/>
    <w:rsid w:val="00CD601F"/>
    <w:rsid w:val="00CD6538"/>
    <w:rsid w:val="00CD6A0A"/>
    <w:rsid w:val="00CD6B64"/>
    <w:rsid w:val="00CD6C37"/>
    <w:rsid w:val="00CD6DA2"/>
    <w:rsid w:val="00CD7410"/>
    <w:rsid w:val="00CD755C"/>
    <w:rsid w:val="00CD76A9"/>
    <w:rsid w:val="00CD7D61"/>
    <w:rsid w:val="00CE01B5"/>
    <w:rsid w:val="00CE02FA"/>
    <w:rsid w:val="00CE03A6"/>
    <w:rsid w:val="00CE040A"/>
    <w:rsid w:val="00CE0557"/>
    <w:rsid w:val="00CE05E7"/>
    <w:rsid w:val="00CE0CEF"/>
    <w:rsid w:val="00CE1264"/>
    <w:rsid w:val="00CE14B3"/>
    <w:rsid w:val="00CE1B26"/>
    <w:rsid w:val="00CE1F77"/>
    <w:rsid w:val="00CE26E6"/>
    <w:rsid w:val="00CE2AF9"/>
    <w:rsid w:val="00CE2E5D"/>
    <w:rsid w:val="00CE34A9"/>
    <w:rsid w:val="00CE3604"/>
    <w:rsid w:val="00CE361E"/>
    <w:rsid w:val="00CE36FD"/>
    <w:rsid w:val="00CE40DA"/>
    <w:rsid w:val="00CE4AA6"/>
    <w:rsid w:val="00CE4FB4"/>
    <w:rsid w:val="00CE50F4"/>
    <w:rsid w:val="00CE51A5"/>
    <w:rsid w:val="00CE59EE"/>
    <w:rsid w:val="00CE6207"/>
    <w:rsid w:val="00CE66C6"/>
    <w:rsid w:val="00CE6952"/>
    <w:rsid w:val="00CE6A52"/>
    <w:rsid w:val="00CE6BB3"/>
    <w:rsid w:val="00CE6C38"/>
    <w:rsid w:val="00CE7088"/>
    <w:rsid w:val="00CF08AE"/>
    <w:rsid w:val="00CF0B3C"/>
    <w:rsid w:val="00CF1260"/>
    <w:rsid w:val="00CF14D1"/>
    <w:rsid w:val="00CF1617"/>
    <w:rsid w:val="00CF16DC"/>
    <w:rsid w:val="00CF176B"/>
    <w:rsid w:val="00CF1B34"/>
    <w:rsid w:val="00CF1D02"/>
    <w:rsid w:val="00CF1F31"/>
    <w:rsid w:val="00CF2392"/>
    <w:rsid w:val="00CF2397"/>
    <w:rsid w:val="00CF27EC"/>
    <w:rsid w:val="00CF2BAE"/>
    <w:rsid w:val="00CF2F94"/>
    <w:rsid w:val="00CF3554"/>
    <w:rsid w:val="00CF37EC"/>
    <w:rsid w:val="00CF39B8"/>
    <w:rsid w:val="00CF39C4"/>
    <w:rsid w:val="00CF39EC"/>
    <w:rsid w:val="00CF3E37"/>
    <w:rsid w:val="00CF4167"/>
    <w:rsid w:val="00CF4776"/>
    <w:rsid w:val="00CF57C7"/>
    <w:rsid w:val="00CF5CD8"/>
    <w:rsid w:val="00CF6074"/>
    <w:rsid w:val="00CF63F3"/>
    <w:rsid w:val="00CF659D"/>
    <w:rsid w:val="00CF665B"/>
    <w:rsid w:val="00CF6746"/>
    <w:rsid w:val="00CF69CD"/>
    <w:rsid w:val="00CF6B0D"/>
    <w:rsid w:val="00CF6DDC"/>
    <w:rsid w:val="00CF72E5"/>
    <w:rsid w:val="00CF7855"/>
    <w:rsid w:val="00D00246"/>
    <w:rsid w:val="00D002FB"/>
    <w:rsid w:val="00D00340"/>
    <w:rsid w:val="00D00644"/>
    <w:rsid w:val="00D0112D"/>
    <w:rsid w:val="00D019F3"/>
    <w:rsid w:val="00D023FD"/>
    <w:rsid w:val="00D0250F"/>
    <w:rsid w:val="00D0276C"/>
    <w:rsid w:val="00D02E2E"/>
    <w:rsid w:val="00D031D9"/>
    <w:rsid w:val="00D04117"/>
    <w:rsid w:val="00D0416B"/>
    <w:rsid w:val="00D04BE4"/>
    <w:rsid w:val="00D04D6D"/>
    <w:rsid w:val="00D05191"/>
    <w:rsid w:val="00D05284"/>
    <w:rsid w:val="00D058C8"/>
    <w:rsid w:val="00D05B1E"/>
    <w:rsid w:val="00D06372"/>
    <w:rsid w:val="00D06DFF"/>
    <w:rsid w:val="00D07174"/>
    <w:rsid w:val="00D071C5"/>
    <w:rsid w:val="00D10134"/>
    <w:rsid w:val="00D107E2"/>
    <w:rsid w:val="00D110D0"/>
    <w:rsid w:val="00D11142"/>
    <w:rsid w:val="00D1284A"/>
    <w:rsid w:val="00D1317D"/>
    <w:rsid w:val="00D13230"/>
    <w:rsid w:val="00D14555"/>
    <w:rsid w:val="00D1458D"/>
    <w:rsid w:val="00D14A22"/>
    <w:rsid w:val="00D14F0C"/>
    <w:rsid w:val="00D15322"/>
    <w:rsid w:val="00D15768"/>
    <w:rsid w:val="00D15A53"/>
    <w:rsid w:val="00D15CFA"/>
    <w:rsid w:val="00D15D51"/>
    <w:rsid w:val="00D15E28"/>
    <w:rsid w:val="00D16976"/>
    <w:rsid w:val="00D1706B"/>
    <w:rsid w:val="00D1730F"/>
    <w:rsid w:val="00D1740C"/>
    <w:rsid w:val="00D17C05"/>
    <w:rsid w:val="00D17CE7"/>
    <w:rsid w:val="00D201E9"/>
    <w:rsid w:val="00D20E61"/>
    <w:rsid w:val="00D21317"/>
    <w:rsid w:val="00D21599"/>
    <w:rsid w:val="00D21B51"/>
    <w:rsid w:val="00D21FFB"/>
    <w:rsid w:val="00D2215A"/>
    <w:rsid w:val="00D22517"/>
    <w:rsid w:val="00D22555"/>
    <w:rsid w:val="00D2260B"/>
    <w:rsid w:val="00D226C2"/>
    <w:rsid w:val="00D227EE"/>
    <w:rsid w:val="00D22F51"/>
    <w:rsid w:val="00D23071"/>
    <w:rsid w:val="00D2312E"/>
    <w:rsid w:val="00D23195"/>
    <w:rsid w:val="00D2331F"/>
    <w:rsid w:val="00D24106"/>
    <w:rsid w:val="00D24213"/>
    <w:rsid w:val="00D2534B"/>
    <w:rsid w:val="00D25564"/>
    <w:rsid w:val="00D257EF"/>
    <w:rsid w:val="00D25BFD"/>
    <w:rsid w:val="00D25F85"/>
    <w:rsid w:val="00D26520"/>
    <w:rsid w:val="00D26576"/>
    <w:rsid w:val="00D26577"/>
    <w:rsid w:val="00D266D4"/>
    <w:rsid w:val="00D266E6"/>
    <w:rsid w:val="00D26871"/>
    <w:rsid w:val="00D26E3F"/>
    <w:rsid w:val="00D26FB4"/>
    <w:rsid w:val="00D27054"/>
    <w:rsid w:val="00D2762B"/>
    <w:rsid w:val="00D276E5"/>
    <w:rsid w:val="00D276FD"/>
    <w:rsid w:val="00D27989"/>
    <w:rsid w:val="00D3033A"/>
    <w:rsid w:val="00D30455"/>
    <w:rsid w:val="00D30F88"/>
    <w:rsid w:val="00D31332"/>
    <w:rsid w:val="00D3157E"/>
    <w:rsid w:val="00D31AFD"/>
    <w:rsid w:val="00D32658"/>
    <w:rsid w:val="00D32DDC"/>
    <w:rsid w:val="00D332E2"/>
    <w:rsid w:val="00D3369D"/>
    <w:rsid w:val="00D33F35"/>
    <w:rsid w:val="00D340A0"/>
    <w:rsid w:val="00D3474C"/>
    <w:rsid w:val="00D34CC0"/>
    <w:rsid w:val="00D34FE7"/>
    <w:rsid w:val="00D35100"/>
    <w:rsid w:val="00D354B8"/>
    <w:rsid w:val="00D356AE"/>
    <w:rsid w:val="00D36127"/>
    <w:rsid w:val="00D36BFB"/>
    <w:rsid w:val="00D36CA7"/>
    <w:rsid w:val="00D372AC"/>
    <w:rsid w:val="00D374C4"/>
    <w:rsid w:val="00D37E9D"/>
    <w:rsid w:val="00D4039C"/>
    <w:rsid w:val="00D40B38"/>
    <w:rsid w:val="00D40ECA"/>
    <w:rsid w:val="00D411AE"/>
    <w:rsid w:val="00D412B8"/>
    <w:rsid w:val="00D427C2"/>
    <w:rsid w:val="00D42BCE"/>
    <w:rsid w:val="00D42C42"/>
    <w:rsid w:val="00D439B2"/>
    <w:rsid w:val="00D439F1"/>
    <w:rsid w:val="00D43E18"/>
    <w:rsid w:val="00D444C5"/>
    <w:rsid w:val="00D44514"/>
    <w:rsid w:val="00D44521"/>
    <w:rsid w:val="00D44565"/>
    <w:rsid w:val="00D45212"/>
    <w:rsid w:val="00D454BA"/>
    <w:rsid w:val="00D455B6"/>
    <w:rsid w:val="00D456DC"/>
    <w:rsid w:val="00D45718"/>
    <w:rsid w:val="00D45A49"/>
    <w:rsid w:val="00D45E23"/>
    <w:rsid w:val="00D460E4"/>
    <w:rsid w:val="00D46461"/>
    <w:rsid w:val="00D4683E"/>
    <w:rsid w:val="00D469DE"/>
    <w:rsid w:val="00D4702A"/>
    <w:rsid w:val="00D470D5"/>
    <w:rsid w:val="00D47824"/>
    <w:rsid w:val="00D47FEC"/>
    <w:rsid w:val="00D5027E"/>
    <w:rsid w:val="00D502DB"/>
    <w:rsid w:val="00D50444"/>
    <w:rsid w:val="00D5053B"/>
    <w:rsid w:val="00D50766"/>
    <w:rsid w:val="00D50980"/>
    <w:rsid w:val="00D50DA4"/>
    <w:rsid w:val="00D50FCA"/>
    <w:rsid w:val="00D51419"/>
    <w:rsid w:val="00D52999"/>
    <w:rsid w:val="00D52AAF"/>
    <w:rsid w:val="00D53CCF"/>
    <w:rsid w:val="00D53E42"/>
    <w:rsid w:val="00D54608"/>
    <w:rsid w:val="00D5473B"/>
    <w:rsid w:val="00D54C69"/>
    <w:rsid w:val="00D55247"/>
    <w:rsid w:val="00D5537B"/>
    <w:rsid w:val="00D5544A"/>
    <w:rsid w:val="00D55843"/>
    <w:rsid w:val="00D559DA"/>
    <w:rsid w:val="00D55B6C"/>
    <w:rsid w:val="00D55C61"/>
    <w:rsid w:val="00D55D58"/>
    <w:rsid w:val="00D55F46"/>
    <w:rsid w:val="00D55FD3"/>
    <w:rsid w:val="00D56057"/>
    <w:rsid w:val="00D56092"/>
    <w:rsid w:val="00D56543"/>
    <w:rsid w:val="00D56665"/>
    <w:rsid w:val="00D56C99"/>
    <w:rsid w:val="00D56EE4"/>
    <w:rsid w:val="00D5701F"/>
    <w:rsid w:val="00D578AF"/>
    <w:rsid w:val="00D60275"/>
    <w:rsid w:val="00D60556"/>
    <w:rsid w:val="00D60572"/>
    <w:rsid w:val="00D6136D"/>
    <w:rsid w:val="00D616F5"/>
    <w:rsid w:val="00D61BB4"/>
    <w:rsid w:val="00D624AE"/>
    <w:rsid w:val="00D6270C"/>
    <w:rsid w:val="00D627A7"/>
    <w:rsid w:val="00D62F8E"/>
    <w:rsid w:val="00D6320C"/>
    <w:rsid w:val="00D632DD"/>
    <w:rsid w:val="00D6330D"/>
    <w:rsid w:val="00D633D5"/>
    <w:rsid w:val="00D63960"/>
    <w:rsid w:val="00D64252"/>
    <w:rsid w:val="00D6437B"/>
    <w:rsid w:val="00D64899"/>
    <w:rsid w:val="00D64901"/>
    <w:rsid w:val="00D649B6"/>
    <w:rsid w:val="00D649E9"/>
    <w:rsid w:val="00D64F1D"/>
    <w:rsid w:val="00D65584"/>
    <w:rsid w:val="00D65AA3"/>
    <w:rsid w:val="00D65DFF"/>
    <w:rsid w:val="00D661F5"/>
    <w:rsid w:val="00D66691"/>
    <w:rsid w:val="00D6720A"/>
    <w:rsid w:val="00D674E8"/>
    <w:rsid w:val="00D675FC"/>
    <w:rsid w:val="00D67734"/>
    <w:rsid w:val="00D67835"/>
    <w:rsid w:val="00D678E5"/>
    <w:rsid w:val="00D67C22"/>
    <w:rsid w:val="00D67CE2"/>
    <w:rsid w:val="00D67CFB"/>
    <w:rsid w:val="00D67D0F"/>
    <w:rsid w:val="00D67EE5"/>
    <w:rsid w:val="00D704E8"/>
    <w:rsid w:val="00D70883"/>
    <w:rsid w:val="00D70ABE"/>
    <w:rsid w:val="00D718D2"/>
    <w:rsid w:val="00D71AD0"/>
    <w:rsid w:val="00D71B67"/>
    <w:rsid w:val="00D71D28"/>
    <w:rsid w:val="00D71DF3"/>
    <w:rsid w:val="00D726C1"/>
    <w:rsid w:val="00D72CE1"/>
    <w:rsid w:val="00D72DD3"/>
    <w:rsid w:val="00D734E3"/>
    <w:rsid w:val="00D739C2"/>
    <w:rsid w:val="00D73A01"/>
    <w:rsid w:val="00D73A3B"/>
    <w:rsid w:val="00D73E24"/>
    <w:rsid w:val="00D73F90"/>
    <w:rsid w:val="00D740C0"/>
    <w:rsid w:val="00D74182"/>
    <w:rsid w:val="00D7425E"/>
    <w:rsid w:val="00D74527"/>
    <w:rsid w:val="00D74A88"/>
    <w:rsid w:val="00D74AE6"/>
    <w:rsid w:val="00D74B66"/>
    <w:rsid w:val="00D74EEE"/>
    <w:rsid w:val="00D74FB2"/>
    <w:rsid w:val="00D74FF2"/>
    <w:rsid w:val="00D761BF"/>
    <w:rsid w:val="00D7624A"/>
    <w:rsid w:val="00D76DCD"/>
    <w:rsid w:val="00D775E5"/>
    <w:rsid w:val="00D77DDF"/>
    <w:rsid w:val="00D77FC5"/>
    <w:rsid w:val="00D810C3"/>
    <w:rsid w:val="00D8123F"/>
    <w:rsid w:val="00D8179E"/>
    <w:rsid w:val="00D818A8"/>
    <w:rsid w:val="00D818DB"/>
    <w:rsid w:val="00D81959"/>
    <w:rsid w:val="00D82CA9"/>
    <w:rsid w:val="00D82E5D"/>
    <w:rsid w:val="00D83AA4"/>
    <w:rsid w:val="00D83C5D"/>
    <w:rsid w:val="00D83F2B"/>
    <w:rsid w:val="00D84371"/>
    <w:rsid w:val="00D84417"/>
    <w:rsid w:val="00D844C3"/>
    <w:rsid w:val="00D844FD"/>
    <w:rsid w:val="00D84813"/>
    <w:rsid w:val="00D84AFB"/>
    <w:rsid w:val="00D84DB9"/>
    <w:rsid w:val="00D851BA"/>
    <w:rsid w:val="00D85884"/>
    <w:rsid w:val="00D85BDA"/>
    <w:rsid w:val="00D85C05"/>
    <w:rsid w:val="00D85FE5"/>
    <w:rsid w:val="00D8623D"/>
    <w:rsid w:val="00D8662A"/>
    <w:rsid w:val="00D868E6"/>
    <w:rsid w:val="00D86ADB"/>
    <w:rsid w:val="00D86D37"/>
    <w:rsid w:val="00D86F4D"/>
    <w:rsid w:val="00D87895"/>
    <w:rsid w:val="00D87CC4"/>
    <w:rsid w:val="00D87CC6"/>
    <w:rsid w:val="00D90D6B"/>
    <w:rsid w:val="00D91279"/>
    <w:rsid w:val="00D9155C"/>
    <w:rsid w:val="00D915CC"/>
    <w:rsid w:val="00D91717"/>
    <w:rsid w:val="00D91BD5"/>
    <w:rsid w:val="00D92003"/>
    <w:rsid w:val="00D92357"/>
    <w:rsid w:val="00D92894"/>
    <w:rsid w:val="00D92C7B"/>
    <w:rsid w:val="00D92CC7"/>
    <w:rsid w:val="00D92D34"/>
    <w:rsid w:val="00D92F1A"/>
    <w:rsid w:val="00D92FF4"/>
    <w:rsid w:val="00D93FEB"/>
    <w:rsid w:val="00D940C5"/>
    <w:rsid w:val="00D9458D"/>
    <w:rsid w:val="00D94EB4"/>
    <w:rsid w:val="00D94F32"/>
    <w:rsid w:val="00D952D4"/>
    <w:rsid w:val="00D952F7"/>
    <w:rsid w:val="00D959AC"/>
    <w:rsid w:val="00D95C35"/>
    <w:rsid w:val="00D963FD"/>
    <w:rsid w:val="00D96643"/>
    <w:rsid w:val="00D96A18"/>
    <w:rsid w:val="00D96A52"/>
    <w:rsid w:val="00D96C88"/>
    <w:rsid w:val="00D9772D"/>
    <w:rsid w:val="00D97A92"/>
    <w:rsid w:val="00DA0E8B"/>
    <w:rsid w:val="00DA13A9"/>
    <w:rsid w:val="00DA1727"/>
    <w:rsid w:val="00DA183E"/>
    <w:rsid w:val="00DA1977"/>
    <w:rsid w:val="00DA1BF8"/>
    <w:rsid w:val="00DA1D29"/>
    <w:rsid w:val="00DA1E69"/>
    <w:rsid w:val="00DA2695"/>
    <w:rsid w:val="00DA2DF0"/>
    <w:rsid w:val="00DA303F"/>
    <w:rsid w:val="00DA3642"/>
    <w:rsid w:val="00DA39C0"/>
    <w:rsid w:val="00DA418F"/>
    <w:rsid w:val="00DA44BD"/>
    <w:rsid w:val="00DA4AA8"/>
    <w:rsid w:val="00DA4DBB"/>
    <w:rsid w:val="00DA52B0"/>
    <w:rsid w:val="00DA59C4"/>
    <w:rsid w:val="00DA5AB9"/>
    <w:rsid w:val="00DA5C7F"/>
    <w:rsid w:val="00DA6F39"/>
    <w:rsid w:val="00DA6FEA"/>
    <w:rsid w:val="00DA73C5"/>
    <w:rsid w:val="00DA7416"/>
    <w:rsid w:val="00DA754C"/>
    <w:rsid w:val="00DA7911"/>
    <w:rsid w:val="00DA7B9F"/>
    <w:rsid w:val="00DA7C28"/>
    <w:rsid w:val="00DB017F"/>
    <w:rsid w:val="00DB02B0"/>
    <w:rsid w:val="00DB067B"/>
    <w:rsid w:val="00DB09CD"/>
    <w:rsid w:val="00DB0BFA"/>
    <w:rsid w:val="00DB0F86"/>
    <w:rsid w:val="00DB1226"/>
    <w:rsid w:val="00DB1476"/>
    <w:rsid w:val="00DB1A73"/>
    <w:rsid w:val="00DB2218"/>
    <w:rsid w:val="00DB223E"/>
    <w:rsid w:val="00DB24E6"/>
    <w:rsid w:val="00DB3006"/>
    <w:rsid w:val="00DB3376"/>
    <w:rsid w:val="00DB36E7"/>
    <w:rsid w:val="00DB3B7C"/>
    <w:rsid w:val="00DB3C24"/>
    <w:rsid w:val="00DB3CCD"/>
    <w:rsid w:val="00DB3E53"/>
    <w:rsid w:val="00DB40D0"/>
    <w:rsid w:val="00DB41B6"/>
    <w:rsid w:val="00DB4736"/>
    <w:rsid w:val="00DB499A"/>
    <w:rsid w:val="00DB54BD"/>
    <w:rsid w:val="00DB59A9"/>
    <w:rsid w:val="00DB5EA8"/>
    <w:rsid w:val="00DB62F2"/>
    <w:rsid w:val="00DB665D"/>
    <w:rsid w:val="00DB67E5"/>
    <w:rsid w:val="00DB68BB"/>
    <w:rsid w:val="00DB7293"/>
    <w:rsid w:val="00DB74AD"/>
    <w:rsid w:val="00DB7704"/>
    <w:rsid w:val="00DB7943"/>
    <w:rsid w:val="00DB7AB7"/>
    <w:rsid w:val="00DC0328"/>
    <w:rsid w:val="00DC06CC"/>
    <w:rsid w:val="00DC0932"/>
    <w:rsid w:val="00DC0DC4"/>
    <w:rsid w:val="00DC136A"/>
    <w:rsid w:val="00DC1373"/>
    <w:rsid w:val="00DC19F3"/>
    <w:rsid w:val="00DC20DC"/>
    <w:rsid w:val="00DC231D"/>
    <w:rsid w:val="00DC29BD"/>
    <w:rsid w:val="00DC32C8"/>
    <w:rsid w:val="00DC3844"/>
    <w:rsid w:val="00DC3A5E"/>
    <w:rsid w:val="00DC47FB"/>
    <w:rsid w:val="00DC49B2"/>
    <w:rsid w:val="00DC49EB"/>
    <w:rsid w:val="00DC4BA9"/>
    <w:rsid w:val="00DC4E0E"/>
    <w:rsid w:val="00DC4FB2"/>
    <w:rsid w:val="00DC5251"/>
    <w:rsid w:val="00DC56C1"/>
    <w:rsid w:val="00DC5750"/>
    <w:rsid w:val="00DC583E"/>
    <w:rsid w:val="00DC5B65"/>
    <w:rsid w:val="00DC5E33"/>
    <w:rsid w:val="00DC608B"/>
    <w:rsid w:val="00DC6549"/>
    <w:rsid w:val="00DC66B1"/>
    <w:rsid w:val="00DC7415"/>
    <w:rsid w:val="00DC79BF"/>
    <w:rsid w:val="00DC7A8E"/>
    <w:rsid w:val="00DC7F34"/>
    <w:rsid w:val="00DD08E7"/>
    <w:rsid w:val="00DD0A6F"/>
    <w:rsid w:val="00DD0E07"/>
    <w:rsid w:val="00DD13FF"/>
    <w:rsid w:val="00DD16D6"/>
    <w:rsid w:val="00DD4367"/>
    <w:rsid w:val="00DD4AB4"/>
    <w:rsid w:val="00DD4BEE"/>
    <w:rsid w:val="00DD4BEF"/>
    <w:rsid w:val="00DD4F20"/>
    <w:rsid w:val="00DD5B42"/>
    <w:rsid w:val="00DD5CEB"/>
    <w:rsid w:val="00DD5EDE"/>
    <w:rsid w:val="00DD653A"/>
    <w:rsid w:val="00DD6AF1"/>
    <w:rsid w:val="00DD6FA6"/>
    <w:rsid w:val="00DD777E"/>
    <w:rsid w:val="00DD777F"/>
    <w:rsid w:val="00DD78FA"/>
    <w:rsid w:val="00DD7DD4"/>
    <w:rsid w:val="00DD7F72"/>
    <w:rsid w:val="00DE042E"/>
    <w:rsid w:val="00DE0569"/>
    <w:rsid w:val="00DE19EE"/>
    <w:rsid w:val="00DE1D18"/>
    <w:rsid w:val="00DE2332"/>
    <w:rsid w:val="00DE236C"/>
    <w:rsid w:val="00DE2449"/>
    <w:rsid w:val="00DE26A0"/>
    <w:rsid w:val="00DE2751"/>
    <w:rsid w:val="00DE279B"/>
    <w:rsid w:val="00DE2F61"/>
    <w:rsid w:val="00DE35F4"/>
    <w:rsid w:val="00DE3799"/>
    <w:rsid w:val="00DE4135"/>
    <w:rsid w:val="00DE45D5"/>
    <w:rsid w:val="00DE4B2E"/>
    <w:rsid w:val="00DE55F8"/>
    <w:rsid w:val="00DE5BA9"/>
    <w:rsid w:val="00DE5E07"/>
    <w:rsid w:val="00DE61F9"/>
    <w:rsid w:val="00DE646E"/>
    <w:rsid w:val="00DE65B5"/>
    <w:rsid w:val="00DE6606"/>
    <w:rsid w:val="00DE66CF"/>
    <w:rsid w:val="00DE70D1"/>
    <w:rsid w:val="00DE7570"/>
    <w:rsid w:val="00DE79E6"/>
    <w:rsid w:val="00DE7D19"/>
    <w:rsid w:val="00DF0B8C"/>
    <w:rsid w:val="00DF14B3"/>
    <w:rsid w:val="00DF1B12"/>
    <w:rsid w:val="00DF1B9D"/>
    <w:rsid w:val="00DF23D3"/>
    <w:rsid w:val="00DF25AD"/>
    <w:rsid w:val="00DF2AE8"/>
    <w:rsid w:val="00DF328C"/>
    <w:rsid w:val="00DF3700"/>
    <w:rsid w:val="00DF3757"/>
    <w:rsid w:val="00DF3932"/>
    <w:rsid w:val="00DF3D72"/>
    <w:rsid w:val="00DF3F9D"/>
    <w:rsid w:val="00DF4694"/>
    <w:rsid w:val="00DF49DE"/>
    <w:rsid w:val="00DF56F7"/>
    <w:rsid w:val="00DF5C18"/>
    <w:rsid w:val="00DF66A6"/>
    <w:rsid w:val="00DF6C6D"/>
    <w:rsid w:val="00DF710C"/>
    <w:rsid w:val="00DF7536"/>
    <w:rsid w:val="00DF78DC"/>
    <w:rsid w:val="00DF7DA2"/>
    <w:rsid w:val="00E0017C"/>
    <w:rsid w:val="00E00438"/>
    <w:rsid w:val="00E0057D"/>
    <w:rsid w:val="00E0076A"/>
    <w:rsid w:val="00E011C0"/>
    <w:rsid w:val="00E01269"/>
    <w:rsid w:val="00E014CA"/>
    <w:rsid w:val="00E01A75"/>
    <w:rsid w:val="00E01E72"/>
    <w:rsid w:val="00E02CEF"/>
    <w:rsid w:val="00E02EE7"/>
    <w:rsid w:val="00E02F36"/>
    <w:rsid w:val="00E03123"/>
    <w:rsid w:val="00E03227"/>
    <w:rsid w:val="00E03333"/>
    <w:rsid w:val="00E03603"/>
    <w:rsid w:val="00E04503"/>
    <w:rsid w:val="00E047CC"/>
    <w:rsid w:val="00E04F60"/>
    <w:rsid w:val="00E050C8"/>
    <w:rsid w:val="00E0553D"/>
    <w:rsid w:val="00E05D5C"/>
    <w:rsid w:val="00E06388"/>
    <w:rsid w:val="00E06CF0"/>
    <w:rsid w:val="00E06DD0"/>
    <w:rsid w:val="00E06F28"/>
    <w:rsid w:val="00E0717F"/>
    <w:rsid w:val="00E071F4"/>
    <w:rsid w:val="00E072E2"/>
    <w:rsid w:val="00E0739C"/>
    <w:rsid w:val="00E0757C"/>
    <w:rsid w:val="00E077CE"/>
    <w:rsid w:val="00E0783F"/>
    <w:rsid w:val="00E10725"/>
    <w:rsid w:val="00E1104C"/>
    <w:rsid w:val="00E1120E"/>
    <w:rsid w:val="00E1133B"/>
    <w:rsid w:val="00E115EF"/>
    <w:rsid w:val="00E120A2"/>
    <w:rsid w:val="00E12109"/>
    <w:rsid w:val="00E12452"/>
    <w:rsid w:val="00E124EB"/>
    <w:rsid w:val="00E12A51"/>
    <w:rsid w:val="00E12F2D"/>
    <w:rsid w:val="00E1389C"/>
    <w:rsid w:val="00E13925"/>
    <w:rsid w:val="00E139B9"/>
    <w:rsid w:val="00E14457"/>
    <w:rsid w:val="00E14505"/>
    <w:rsid w:val="00E14684"/>
    <w:rsid w:val="00E148B6"/>
    <w:rsid w:val="00E148EB"/>
    <w:rsid w:val="00E14935"/>
    <w:rsid w:val="00E1493A"/>
    <w:rsid w:val="00E14DFD"/>
    <w:rsid w:val="00E14E61"/>
    <w:rsid w:val="00E14F6A"/>
    <w:rsid w:val="00E14FD6"/>
    <w:rsid w:val="00E1568F"/>
    <w:rsid w:val="00E157C4"/>
    <w:rsid w:val="00E15E11"/>
    <w:rsid w:val="00E16DBA"/>
    <w:rsid w:val="00E16FF6"/>
    <w:rsid w:val="00E17698"/>
    <w:rsid w:val="00E1792F"/>
    <w:rsid w:val="00E17D77"/>
    <w:rsid w:val="00E17FFC"/>
    <w:rsid w:val="00E200CB"/>
    <w:rsid w:val="00E201DB"/>
    <w:rsid w:val="00E2047F"/>
    <w:rsid w:val="00E20BF6"/>
    <w:rsid w:val="00E20E7C"/>
    <w:rsid w:val="00E21773"/>
    <w:rsid w:val="00E21BBF"/>
    <w:rsid w:val="00E22759"/>
    <w:rsid w:val="00E22C04"/>
    <w:rsid w:val="00E2355D"/>
    <w:rsid w:val="00E2390D"/>
    <w:rsid w:val="00E23938"/>
    <w:rsid w:val="00E23EC4"/>
    <w:rsid w:val="00E240C4"/>
    <w:rsid w:val="00E244E9"/>
    <w:rsid w:val="00E24653"/>
    <w:rsid w:val="00E24A4C"/>
    <w:rsid w:val="00E24B92"/>
    <w:rsid w:val="00E24BCC"/>
    <w:rsid w:val="00E25398"/>
    <w:rsid w:val="00E25590"/>
    <w:rsid w:val="00E25655"/>
    <w:rsid w:val="00E2577F"/>
    <w:rsid w:val="00E25A3F"/>
    <w:rsid w:val="00E25E4A"/>
    <w:rsid w:val="00E26155"/>
    <w:rsid w:val="00E265E7"/>
    <w:rsid w:val="00E26AAB"/>
    <w:rsid w:val="00E26B15"/>
    <w:rsid w:val="00E26B7B"/>
    <w:rsid w:val="00E2717F"/>
    <w:rsid w:val="00E2757B"/>
    <w:rsid w:val="00E2762A"/>
    <w:rsid w:val="00E27C59"/>
    <w:rsid w:val="00E27FB2"/>
    <w:rsid w:val="00E30013"/>
    <w:rsid w:val="00E3004F"/>
    <w:rsid w:val="00E30440"/>
    <w:rsid w:val="00E307D0"/>
    <w:rsid w:val="00E30F13"/>
    <w:rsid w:val="00E30FDC"/>
    <w:rsid w:val="00E3110F"/>
    <w:rsid w:val="00E31A8A"/>
    <w:rsid w:val="00E32710"/>
    <w:rsid w:val="00E32E8A"/>
    <w:rsid w:val="00E33082"/>
    <w:rsid w:val="00E331C7"/>
    <w:rsid w:val="00E337AB"/>
    <w:rsid w:val="00E33A12"/>
    <w:rsid w:val="00E33B39"/>
    <w:rsid w:val="00E33C9F"/>
    <w:rsid w:val="00E33CB0"/>
    <w:rsid w:val="00E33EB0"/>
    <w:rsid w:val="00E341D7"/>
    <w:rsid w:val="00E34605"/>
    <w:rsid w:val="00E349E9"/>
    <w:rsid w:val="00E34CC8"/>
    <w:rsid w:val="00E34FA0"/>
    <w:rsid w:val="00E3509A"/>
    <w:rsid w:val="00E350DF"/>
    <w:rsid w:val="00E35687"/>
    <w:rsid w:val="00E356B7"/>
    <w:rsid w:val="00E35BDE"/>
    <w:rsid w:val="00E36134"/>
    <w:rsid w:val="00E36304"/>
    <w:rsid w:val="00E3649F"/>
    <w:rsid w:val="00E365F0"/>
    <w:rsid w:val="00E366F7"/>
    <w:rsid w:val="00E36933"/>
    <w:rsid w:val="00E37294"/>
    <w:rsid w:val="00E37EB5"/>
    <w:rsid w:val="00E40181"/>
    <w:rsid w:val="00E40858"/>
    <w:rsid w:val="00E41561"/>
    <w:rsid w:val="00E41960"/>
    <w:rsid w:val="00E41DE8"/>
    <w:rsid w:val="00E42491"/>
    <w:rsid w:val="00E4312E"/>
    <w:rsid w:val="00E433B7"/>
    <w:rsid w:val="00E43415"/>
    <w:rsid w:val="00E4366C"/>
    <w:rsid w:val="00E43682"/>
    <w:rsid w:val="00E44165"/>
    <w:rsid w:val="00E44422"/>
    <w:rsid w:val="00E44D2A"/>
    <w:rsid w:val="00E45257"/>
    <w:rsid w:val="00E45775"/>
    <w:rsid w:val="00E45C45"/>
    <w:rsid w:val="00E45D5A"/>
    <w:rsid w:val="00E45E21"/>
    <w:rsid w:val="00E45EDF"/>
    <w:rsid w:val="00E46299"/>
    <w:rsid w:val="00E4676A"/>
    <w:rsid w:val="00E46AFE"/>
    <w:rsid w:val="00E47271"/>
    <w:rsid w:val="00E47BA1"/>
    <w:rsid w:val="00E5014D"/>
    <w:rsid w:val="00E501EF"/>
    <w:rsid w:val="00E50386"/>
    <w:rsid w:val="00E506FD"/>
    <w:rsid w:val="00E50C27"/>
    <w:rsid w:val="00E50D2E"/>
    <w:rsid w:val="00E5148D"/>
    <w:rsid w:val="00E52339"/>
    <w:rsid w:val="00E52568"/>
    <w:rsid w:val="00E52E90"/>
    <w:rsid w:val="00E5308F"/>
    <w:rsid w:val="00E53983"/>
    <w:rsid w:val="00E53DE6"/>
    <w:rsid w:val="00E53DFF"/>
    <w:rsid w:val="00E540F8"/>
    <w:rsid w:val="00E553E7"/>
    <w:rsid w:val="00E55497"/>
    <w:rsid w:val="00E55697"/>
    <w:rsid w:val="00E55FE7"/>
    <w:rsid w:val="00E56038"/>
    <w:rsid w:val="00E5612E"/>
    <w:rsid w:val="00E562A9"/>
    <w:rsid w:val="00E56A23"/>
    <w:rsid w:val="00E56EB6"/>
    <w:rsid w:val="00E577D2"/>
    <w:rsid w:val="00E6023E"/>
    <w:rsid w:val="00E6077F"/>
    <w:rsid w:val="00E60EF0"/>
    <w:rsid w:val="00E60FDE"/>
    <w:rsid w:val="00E612F0"/>
    <w:rsid w:val="00E61946"/>
    <w:rsid w:val="00E61A92"/>
    <w:rsid w:val="00E61C2A"/>
    <w:rsid w:val="00E61F66"/>
    <w:rsid w:val="00E61F8F"/>
    <w:rsid w:val="00E62004"/>
    <w:rsid w:val="00E6208F"/>
    <w:rsid w:val="00E62321"/>
    <w:rsid w:val="00E62453"/>
    <w:rsid w:val="00E62657"/>
    <w:rsid w:val="00E62757"/>
    <w:rsid w:val="00E62867"/>
    <w:rsid w:val="00E6290B"/>
    <w:rsid w:val="00E62C52"/>
    <w:rsid w:val="00E638C0"/>
    <w:rsid w:val="00E63904"/>
    <w:rsid w:val="00E63EAB"/>
    <w:rsid w:val="00E640D4"/>
    <w:rsid w:val="00E642AF"/>
    <w:rsid w:val="00E6492A"/>
    <w:rsid w:val="00E64DBF"/>
    <w:rsid w:val="00E64F84"/>
    <w:rsid w:val="00E650A8"/>
    <w:rsid w:val="00E65C5A"/>
    <w:rsid w:val="00E66372"/>
    <w:rsid w:val="00E664EE"/>
    <w:rsid w:val="00E66EFB"/>
    <w:rsid w:val="00E67006"/>
    <w:rsid w:val="00E674E3"/>
    <w:rsid w:val="00E67684"/>
    <w:rsid w:val="00E6784D"/>
    <w:rsid w:val="00E67AB7"/>
    <w:rsid w:val="00E67C31"/>
    <w:rsid w:val="00E67FB1"/>
    <w:rsid w:val="00E702CD"/>
    <w:rsid w:val="00E706B4"/>
    <w:rsid w:val="00E7080B"/>
    <w:rsid w:val="00E71098"/>
    <w:rsid w:val="00E71100"/>
    <w:rsid w:val="00E716F1"/>
    <w:rsid w:val="00E71AB8"/>
    <w:rsid w:val="00E71B4E"/>
    <w:rsid w:val="00E721FC"/>
    <w:rsid w:val="00E7292E"/>
    <w:rsid w:val="00E72A2A"/>
    <w:rsid w:val="00E72DF0"/>
    <w:rsid w:val="00E74443"/>
    <w:rsid w:val="00E746A5"/>
    <w:rsid w:val="00E7498A"/>
    <w:rsid w:val="00E74C5D"/>
    <w:rsid w:val="00E7512E"/>
    <w:rsid w:val="00E7550A"/>
    <w:rsid w:val="00E75A55"/>
    <w:rsid w:val="00E75AE3"/>
    <w:rsid w:val="00E76C5C"/>
    <w:rsid w:val="00E77172"/>
    <w:rsid w:val="00E77580"/>
    <w:rsid w:val="00E77637"/>
    <w:rsid w:val="00E77724"/>
    <w:rsid w:val="00E77A91"/>
    <w:rsid w:val="00E77B26"/>
    <w:rsid w:val="00E77B75"/>
    <w:rsid w:val="00E8018E"/>
    <w:rsid w:val="00E807CA"/>
    <w:rsid w:val="00E80849"/>
    <w:rsid w:val="00E810D4"/>
    <w:rsid w:val="00E812A1"/>
    <w:rsid w:val="00E8135E"/>
    <w:rsid w:val="00E81690"/>
    <w:rsid w:val="00E81950"/>
    <w:rsid w:val="00E81DC1"/>
    <w:rsid w:val="00E82691"/>
    <w:rsid w:val="00E82CC0"/>
    <w:rsid w:val="00E82FD5"/>
    <w:rsid w:val="00E8319A"/>
    <w:rsid w:val="00E8449B"/>
    <w:rsid w:val="00E84759"/>
    <w:rsid w:val="00E84BC2"/>
    <w:rsid w:val="00E8520C"/>
    <w:rsid w:val="00E853E4"/>
    <w:rsid w:val="00E85519"/>
    <w:rsid w:val="00E85872"/>
    <w:rsid w:val="00E858FD"/>
    <w:rsid w:val="00E862E8"/>
    <w:rsid w:val="00E868DF"/>
    <w:rsid w:val="00E8703F"/>
    <w:rsid w:val="00E87181"/>
    <w:rsid w:val="00E874DC"/>
    <w:rsid w:val="00E87726"/>
    <w:rsid w:val="00E87A4B"/>
    <w:rsid w:val="00E90CCE"/>
    <w:rsid w:val="00E90E35"/>
    <w:rsid w:val="00E917E7"/>
    <w:rsid w:val="00E9193C"/>
    <w:rsid w:val="00E91BAC"/>
    <w:rsid w:val="00E91C96"/>
    <w:rsid w:val="00E91E98"/>
    <w:rsid w:val="00E92579"/>
    <w:rsid w:val="00E927B1"/>
    <w:rsid w:val="00E929C5"/>
    <w:rsid w:val="00E92AEC"/>
    <w:rsid w:val="00E9301A"/>
    <w:rsid w:val="00E9341C"/>
    <w:rsid w:val="00E93460"/>
    <w:rsid w:val="00E9372C"/>
    <w:rsid w:val="00E939E1"/>
    <w:rsid w:val="00E93B16"/>
    <w:rsid w:val="00E93F48"/>
    <w:rsid w:val="00E94421"/>
    <w:rsid w:val="00E946E8"/>
    <w:rsid w:val="00E948AF"/>
    <w:rsid w:val="00E94BF3"/>
    <w:rsid w:val="00E9565B"/>
    <w:rsid w:val="00E95665"/>
    <w:rsid w:val="00E957AF"/>
    <w:rsid w:val="00E95DF1"/>
    <w:rsid w:val="00E95E52"/>
    <w:rsid w:val="00E95FE3"/>
    <w:rsid w:val="00E9659C"/>
    <w:rsid w:val="00EA07BD"/>
    <w:rsid w:val="00EA088F"/>
    <w:rsid w:val="00EA0A48"/>
    <w:rsid w:val="00EA0CBB"/>
    <w:rsid w:val="00EA0FEE"/>
    <w:rsid w:val="00EA10A9"/>
    <w:rsid w:val="00EA1499"/>
    <w:rsid w:val="00EA174E"/>
    <w:rsid w:val="00EA1DE2"/>
    <w:rsid w:val="00EA1FB9"/>
    <w:rsid w:val="00EA1FF8"/>
    <w:rsid w:val="00EA2A59"/>
    <w:rsid w:val="00EA2DF0"/>
    <w:rsid w:val="00EA2F22"/>
    <w:rsid w:val="00EA3BD7"/>
    <w:rsid w:val="00EA427B"/>
    <w:rsid w:val="00EA4BC0"/>
    <w:rsid w:val="00EA4E35"/>
    <w:rsid w:val="00EA4F71"/>
    <w:rsid w:val="00EA57E8"/>
    <w:rsid w:val="00EA5AC9"/>
    <w:rsid w:val="00EA5C40"/>
    <w:rsid w:val="00EA5E01"/>
    <w:rsid w:val="00EA610B"/>
    <w:rsid w:val="00EA6128"/>
    <w:rsid w:val="00EA649D"/>
    <w:rsid w:val="00EA72B7"/>
    <w:rsid w:val="00EA76BA"/>
    <w:rsid w:val="00EA79DE"/>
    <w:rsid w:val="00EB0C13"/>
    <w:rsid w:val="00EB124A"/>
    <w:rsid w:val="00EB1A1F"/>
    <w:rsid w:val="00EB21C8"/>
    <w:rsid w:val="00EB27E0"/>
    <w:rsid w:val="00EB2E59"/>
    <w:rsid w:val="00EB3141"/>
    <w:rsid w:val="00EB3756"/>
    <w:rsid w:val="00EB3BBE"/>
    <w:rsid w:val="00EB4310"/>
    <w:rsid w:val="00EB43DD"/>
    <w:rsid w:val="00EB4862"/>
    <w:rsid w:val="00EB4C29"/>
    <w:rsid w:val="00EB5738"/>
    <w:rsid w:val="00EB58D4"/>
    <w:rsid w:val="00EB59C4"/>
    <w:rsid w:val="00EB60DB"/>
    <w:rsid w:val="00EB64BE"/>
    <w:rsid w:val="00EB6537"/>
    <w:rsid w:val="00EB7197"/>
    <w:rsid w:val="00EB74D9"/>
    <w:rsid w:val="00EB7726"/>
    <w:rsid w:val="00EB7943"/>
    <w:rsid w:val="00EB7E15"/>
    <w:rsid w:val="00EC0141"/>
    <w:rsid w:val="00EC0DA3"/>
    <w:rsid w:val="00EC105C"/>
    <w:rsid w:val="00EC1092"/>
    <w:rsid w:val="00EC138E"/>
    <w:rsid w:val="00EC13D7"/>
    <w:rsid w:val="00EC14D3"/>
    <w:rsid w:val="00EC19C1"/>
    <w:rsid w:val="00EC1C07"/>
    <w:rsid w:val="00EC1E7F"/>
    <w:rsid w:val="00EC2A7D"/>
    <w:rsid w:val="00EC2DF4"/>
    <w:rsid w:val="00EC3282"/>
    <w:rsid w:val="00EC3F5A"/>
    <w:rsid w:val="00EC4AEB"/>
    <w:rsid w:val="00EC4F5E"/>
    <w:rsid w:val="00EC5259"/>
    <w:rsid w:val="00EC575E"/>
    <w:rsid w:val="00EC5797"/>
    <w:rsid w:val="00EC5CE8"/>
    <w:rsid w:val="00EC6055"/>
    <w:rsid w:val="00EC607D"/>
    <w:rsid w:val="00EC609F"/>
    <w:rsid w:val="00EC6171"/>
    <w:rsid w:val="00EC6293"/>
    <w:rsid w:val="00EC6363"/>
    <w:rsid w:val="00EC6D2D"/>
    <w:rsid w:val="00EC79D0"/>
    <w:rsid w:val="00EC7C2A"/>
    <w:rsid w:val="00EC7D33"/>
    <w:rsid w:val="00EC7FE4"/>
    <w:rsid w:val="00ED031C"/>
    <w:rsid w:val="00ED0338"/>
    <w:rsid w:val="00ED0945"/>
    <w:rsid w:val="00ED0C18"/>
    <w:rsid w:val="00ED0C2C"/>
    <w:rsid w:val="00ED0C48"/>
    <w:rsid w:val="00ED141D"/>
    <w:rsid w:val="00ED161F"/>
    <w:rsid w:val="00ED1651"/>
    <w:rsid w:val="00ED165D"/>
    <w:rsid w:val="00ED1677"/>
    <w:rsid w:val="00ED1780"/>
    <w:rsid w:val="00ED1AD6"/>
    <w:rsid w:val="00ED2922"/>
    <w:rsid w:val="00ED2B0F"/>
    <w:rsid w:val="00ED2B3D"/>
    <w:rsid w:val="00ED371C"/>
    <w:rsid w:val="00ED373A"/>
    <w:rsid w:val="00ED3AE9"/>
    <w:rsid w:val="00ED3BC8"/>
    <w:rsid w:val="00ED439D"/>
    <w:rsid w:val="00ED4AEA"/>
    <w:rsid w:val="00ED4F75"/>
    <w:rsid w:val="00ED4FFE"/>
    <w:rsid w:val="00ED5182"/>
    <w:rsid w:val="00ED60CF"/>
    <w:rsid w:val="00ED61BA"/>
    <w:rsid w:val="00ED61C8"/>
    <w:rsid w:val="00ED6221"/>
    <w:rsid w:val="00ED6FC2"/>
    <w:rsid w:val="00ED711C"/>
    <w:rsid w:val="00ED72A5"/>
    <w:rsid w:val="00ED7CFB"/>
    <w:rsid w:val="00EE0C76"/>
    <w:rsid w:val="00EE0EA8"/>
    <w:rsid w:val="00EE15B4"/>
    <w:rsid w:val="00EE1666"/>
    <w:rsid w:val="00EE1794"/>
    <w:rsid w:val="00EE1BF6"/>
    <w:rsid w:val="00EE1D95"/>
    <w:rsid w:val="00EE1F1B"/>
    <w:rsid w:val="00EE2165"/>
    <w:rsid w:val="00EE22D2"/>
    <w:rsid w:val="00EE2554"/>
    <w:rsid w:val="00EE2B35"/>
    <w:rsid w:val="00EE341A"/>
    <w:rsid w:val="00EE35C1"/>
    <w:rsid w:val="00EE3C5F"/>
    <w:rsid w:val="00EE42B8"/>
    <w:rsid w:val="00EE451B"/>
    <w:rsid w:val="00EE4619"/>
    <w:rsid w:val="00EE52CD"/>
    <w:rsid w:val="00EE5404"/>
    <w:rsid w:val="00EE55E7"/>
    <w:rsid w:val="00EE5B27"/>
    <w:rsid w:val="00EE5DBC"/>
    <w:rsid w:val="00EE65DE"/>
    <w:rsid w:val="00EE6E02"/>
    <w:rsid w:val="00EE7107"/>
    <w:rsid w:val="00EE738D"/>
    <w:rsid w:val="00EE744A"/>
    <w:rsid w:val="00EE7980"/>
    <w:rsid w:val="00EE7A6B"/>
    <w:rsid w:val="00EF0E36"/>
    <w:rsid w:val="00EF19C2"/>
    <w:rsid w:val="00EF1A07"/>
    <w:rsid w:val="00EF2202"/>
    <w:rsid w:val="00EF272E"/>
    <w:rsid w:val="00EF2854"/>
    <w:rsid w:val="00EF29A2"/>
    <w:rsid w:val="00EF2B6E"/>
    <w:rsid w:val="00EF31D3"/>
    <w:rsid w:val="00EF36C5"/>
    <w:rsid w:val="00EF3ACD"/>
    <w:rsid w:val="00EF3F88"/>
    <w:rsid w:val="00EF4954"/>
    <w:rsid w:val="00EF4B75"/>
    <w:rsid w:val="00EF5D54"/>
    <w:rsid w:val="00EF653A"/>
    <w:rsid w:val="00EF6ED8"/>
    <w:rsid w:val="00EF736F"/>
    <w:rsid w:val="00EF77D6"/>
    <w:rsid w:val="00F00364"/>
    <w:rsid w:val="00F004D1"/>
    <w:rsid w:val="00F01434"/>
    <w:rsid w:val="00F0150C"/>
    <w:rsid w:val="00F01B40"/>
    <w:rsid w:val="00F01D8A"/>
    <w:rsid w:val="00F02436"/>
    <w:rsid w:val="00F02470"/>
    <w:rsid w:val="00F02801"/>
    <w:rsid w:val="00F02CC0"/>
    <w:rsid w:val="00F0362C"/>
    <w:rsid w:val="00F039A5"/>
    <w:rsid w:val="00F03E99"/>
    <w:rsid w:val="00F03F5C"/>
    <w:rsid w:val="00F044CB"/>
    <w:rsid w:val="00F04738"/>
    <w:rsid w:val="00F0474E"/>
    <w:rsid w:val="00F0485F"/>
    <w:rsid w:val="00F04C47"/>
    <w:rsid w:val="00F04C5A"/>
    <w:rsid w:val="00F04D24"/>
    <w:rsid w:val="00F050E9"/>
    <w:rsid w:val="00F053BD"/>
    <w:rsid w:val="00F0556D"/>
    <w:rsid w:val="00F05F51"/>
    <w:rsid w:val="00F06219"/>
    <w:rsid w:val="00F06235"/>
    <w:rsid w:val="00F06324"/>
    <w:rsid w:val="00F06777"/>
    <w:rsid w:val="00F068F1"/>
    <w:rsid w:val="00F06C41"/>
    <w:rsid w:val="00F06F16"/>
    <w:rsid w:val="00F074D2"/>
    <w:rsid w:val="00F07D54"/>
    <w:rsid w:val="00F1007A"/>
    <w:rsid w:val="00F1091B"/>
    <w:rsid w:val="00F10A28"/>
    <w:rsid w:val="00F1107D"/>
    <w:rsid w:val="00F116EF"/>
    <w:rsid w:val="00F1179B"/>
    <w:rsid w:val="00F11905"/>
    <w:rsid w:val="00F11A68"/>
    <w:rsid w:val="00F12072"/>
    <w:rsid w:val="00F126C0"/>
    <w:rsid w:val="00F1302D"/>
    <w:rsid w:val="00F13349"/>
    <w:rsid w:val="00F13554"/>
    <w:rsid w:val="00F136B4"/>
    <w:rsid w:val="00F13AFD"/>
    <w:rsid w:val="00F13AFE"/>
    <w:rsid w:val="00F13DF9"/>
    <w:rsid w:val="00F142AC"/>
    <w:rsid w:val="00F14446"/>
    <w:rsid w:val="00F148EA"/>
    <w:rsid w:val="00F149F2"/>
    <w:rsid w:val="00F14BEF"/>
    <w:rsid w:val="00F14DA3"/>
    <w:rsid w:val="00F15A70"/>
    <w:rsid w:val="00F16300"/>
    <w:rsid w:val="00F1695E"/>
    <w:rsid w:val="00F17B05"/>
    <w:rsid w:val="00F203DB"/>
    <w:rsid w:val="00F214FC"/>
    <w:rsid w:val="00F2160C"/>
    <w:rsid w:val="00F2163D"/>
    <w:rsid w:val="00F2189F"/>
    <w:rsid w:val="00F219A3"/>
    <w:rsid w:val="00F21C73"/>
    <w:rsid w:val="00F2215A"/>
    <w:rsid w:val="00F2223F"/>
    <w:rsid w:val="00F222E9"/>
    <w:rsid w:val="00F22342"/>
    <w:rsid w:val="00F22404"/>
    <w:rsid w:val="00F22415"/>
    <w:rsid w:val="00F2295B"/>
    <w:rsid w:val="00F22C2C"/>
    <w:rsid w:val="00F23257"/>
    <w:rsid w:val="00F2362A"/>
    <w:rsid w:val="00F237C6"/>
    <w:rsid w:val="00F24105"/>
    <w:rsid w:val="00F24ADC"/>
    <w:rsid w:val="00F2526D"/>
    <w:rsid w:val="00F2639B"/>
    <w:rsid w:val="00F26449"/>
    <w:rsid w:val="00F266B3"/>
    <w:rsid w:val="00F266BC"/>
    <w:rsid w:val="00F26A43"/>
    <w:rsid w:val="00F26A4C"/>
    <w:rsid w:val="00F26CBE"/>
    <w:rsid w:val="00F26D16"/>
    <w:rsid w:val="00F26EB6"/>
    <w:rsid w:val="00F272B6"/>
    <w:rsid w:val="00F2738D"/>
    <w:rsid w:val="00F27C82"/>
    <w:rsid w:val="00F27E4A"/>
    <w:rsid w:val="00F27E4D"/>
    <w:rsid w:val="00F27EF6"/>
    <w:rsid w:val="00F301DB"/>
    <w:rsid w:val="00F30383"/>
    <w:rsid w:val="00F30A5D"/>
    <w:rsid w:val="00F30F0D"/>
    <w:rsid w:val="00F30F24"/>
    <w:rsid w:val="00F31379"/>
    <w:rsid w:val="00F31CC4"/>
    <w:rsid w:val="00F31FA3"/>
    <w:rsid w:val="00F32F09"/>
    <w:rsid w:val="00F3348E"/>
    <w:rsid w:val="00F33775"/>
    <w:rsid w:val="00F33A14"/>
    <w:rsid w:val="00F33ABC"/>
    <w:rsid w:val="00F33DCE"/>
    <w:rsid w:val="00F34019"/>
    <w:rsid w:val="00F342A5"/>
    <w:rsid w:val="00F34763"/>
    <w:rsid w:val="00F34EC2"/>
    <w:rsid w:val="00F353E3"/>
    <w:rsid w:val="00F35A82"/>
    <w:rsid w:val="00F35BA7"/>
    <w:rsid w:val="00F35D2A"/>
    <w:rsid w:val="00F36185"/>
    <w:rsid w:val="00F364F3"/>
    <w:rsid w:val="00F365D2"/>
    <w:rsid w:val="00F36776"/>
    <w:rsid w:val="00F369F9"/>
    <w:rsid w:val="00F36D99"/>
    <w:rsid w:val="00F37714"/>
    <w:rsid w:val="00F379CB"/>
    <w:rsid w:val="00F37BF3"/>
    <w:rsid w:val="00F400BE"/>
    <w:rsid w:val="00F41035"/>
    <w:rsid w:val="00F417C5"/>
    <w:rsid w:val="00F41A25"/>
    <w:rsid w:val="00F41DE8"/>
    <w:rsid w:val="00F4205B"/>
    <w:rsid w:val="00F42E7E"/>
    <w:rsid w:val="00F430BA"/>
    <w:rsid w:val="00F4330F"/>
    <w:rsid w:val="00F43562"/>
    <w:rsid w:val="00F44805"/>
    <w:rsid w:val="00F44BCB"/>
    <w:rsid w:val="00F44D95"/>
    <w:rsid w:val="00F458C3"/>
    <w:rsid w:val="00F45D8D"/>
    <w:rsid w:val="00F45F3A"/>
    <w:rsid w:val="00F46492"/>
    <w:rsid w:val="00F46987"/>
    <w:rsid w:val="00F46A09"/>
    <w:rsid w:val="00F46D15"/>
    <w:rsid w:val="00F46E35"/>
    <w:rsid w:val="00F4711B"/>
    <w:rsid w:val="00F47985"/>
    <w:rsid w:val="00F5038E"/>
    <w:rsid w:val="00F50B6D"/>
    <w:rsid w:val="00F50BEE"/>
    <w:rsid w:val="00F516A5"/>
    <w:rsid w:val="00F519C2"/>
    <w:rsid w:val="00F51A76"/>
    <w:rsid w:val="00F5281F"/>
    <w:rsid w:val="00F528C4"/>
    <w:rsid w:val="00F52D0A"/>
    <w:rsid w:val="00F53113"/>
    <w:rsid w:val="00F538B7"/>
    <w:rsid w:val="00F53C19"/>
    <w:rsid w:val="00F540D6"/>
    <w:rsid w:val="00F54179"/>
    <w:rsid w:val="00F5478C"/>
    <w:rsid w:val="00F547F1"/>
    <w:rsid w:val="00F55104"/>
    <w:rsid w:val="00F55318"/>
    <w:rsid w:val="00F554B4"/>
    <w:rsid w:val="00F55A37"/>
    <w:rsid w:val="00F56711"/>
    <w:rsid w:val="00F567CE"/>
    <w:rsid w:val="00F568DC"/>
    <w:rsid w:val="00F56F65"/>
    <w:rsid w:val="00F572D8"/>
    <w:rsid w:val="00F60562"/>
    <w:rsid w:val="00F60655"/>
    <w:rsid w:val="00F608B5"/>
    <w:rsid w:val="00F613ED"/>
    <w:rsid w:val="00F61436"/>
    <w:rsid w:val="00F6168A"/>
    <w:rsid w:val="00F616CA"/>
    <w:rsid w:val="00F62523"/>
    <w:rsid w:val="00F626BE"/>
    <w:rsid w:val="00F62FC3"/>
    <w:rsid w:val="00F6365A"/>
    <w:rsid w:val="00F6372A"/>
    <w:rsid w:val="00F63829"/>
    <w:rsid w:val="00F64046"/>
    <w:rsid w:val="00F642EB"/>
    <w:rsid w:val="00F643A4"/>
    <w:rsid w:val="00F64483"/>
    <w:rsid w:val="00F6476E"/>
    <w:rsid w:val="00F647B0"/>
    <w:rsid w:val="00F64A28"/>
    <w:rsid w:val="00F64D84"/>
    <w:rsid w:val="00F64F2B"/>
    <w:rsid w:val="00F64FA0"/>
    <w:rsid w:val="00F65DC8"/>
    <w:rsid w:val="00F66403"/>
    <w:rsid w:val="00F66471"/>
    <w:rsid w:val="00F6648C"/>
    <w:rsid w:val="00F6704F"/>
    <w:rsid w:val="00F67581"/>
    <w:rsid w:val="00F708F6"/>
    <w:rsid w:val="00F709F4"/>
    <w:rsid w:val="00F70F80"/>
    <w:rsid w:val="00F717E9"/>
    <w:rsid w:val="00F7181B"/>
    <w:rsid w:val="00F718A7"/>
    <w:rsid w:val="00F71ABC"/>
    <w:rsid w:val="00F71F33"/>
    <w:rsid w:val="00F71F8C"/>
    <w:rsid w:val="00F7315A"/>
    <w:rsid w:val="00F73259"/>
    <w:rsid w:val="00F738DE"/>
    <w:rsid w:val="00F74180"/>
    <w:rsid w:val="00F74693"/>
    <w:rsid w:val="00F74779"/>
    <w:rsid w:val="00F74994"/>
    <w:rsid w:val="00F758B8"/>
    <w:rsid w:val="00F75A04"/>
    <w:rsid w:val="00F75B63"/>
    <w:rsid w:val="00F75DAE"/>
    <w:rsid w:val="00F76551"/>
    <w:rsid w:val="00F76D76"/>
    <w:rsid w:val="00F76E81"/>
    <w:rsid w:val="00F774C1"/>
    <w:rsid w:val="00F77BEC"/>
    <w:rsid w:val="00F77E99"/>
    <w:rsid w:val="00F77FA5"/>
    <w:rsid w:val="00F8005A"/>
    <w:rsid w:val="00F80515"/>
    <w:rsid w:val="00F805DD"/>
    <w:rsid w:val="00F80A78"/>
    <w:rsid w:val="00F80B33"/>
    <w:rsid w:val="00F80DC5"/>
    <w:rsid w:val="00F80F6C"/>
    <w:rsid w:val="00F8146E"/>
    <w:rsid w:val="00F81AA6"/>
    <w:rsid w:val="00F81DC5"/>
    <w:rsid w:val="00F8208C"/>
    <w:rsid w:val="00F827AF"/>
    <w:rsid w:val="00F82C7E"/>
    <w:rsid w:val="00F82DF4"/>
    <w:rsid w:val="00F832D0"/>
    <w:rsid w:val="00F83CA7"/>
    <w:rsid w:val="00F83E98"/>
    <w:rsid w:val="00F84325"/>
    <w:rsid w:val="00F84381"/>
    <w:rsid w:val="00F844B5"/>
    <w:rsid w:val="00F84AC9"/>
    <w:rsid w:val="00F84F8E"/>
    <w:rsid w:val="00F8542A"/>
    <w:rsid w:val="00F8548A"/>
    <w:rsid w:val="00F85643"/>
    <w:rsid w:val="00F85964"/>
    <w:rsid w:val="00F85A38"/>
    <w:rsid w:val="00F85CB7"/>
    <w:rsid w:val="00F86FB8"/>
    <w:rsid w:val="00F87F6D"/>
    <w:rsid w:val="00F90AA3"/>
    <w:rsid w:val="00F90D7E"/>
    <w:rsid w:val="00F90F1E"/>
    <w:rsid w:val="00F91564"/>
    <w:rsid w:val="00F91B3C"/>
    <w:rsid w:val="00F93BA6"/>
    <w:rsid w:val="00F93C27"/>
    <w:rsid w:val="00F93F56"/>
    <w:rsid w:val="00F9424E"/>
    <w:rsid w:val="00F94CFD"/>
    <w:rsid w:val="00F952C6"/>
    <w:rsid w:val="00F952E8"/>
    <w:rsid w:val="00F95E5D"/>
    <w:rsid w:val="00F95EA5"/>
    <w:rsid w:val="00F961BC"/>
    <w:rsid w:val="00F9653A"/>
    <w:rsid w:val="00F967E7"/>
    <w:rsid w:val="00F96836"/>
    <w:rsid w:val="00F9725C"/>
    <w:rsid w:val="00F97296"/>
    <w:rsid w:val="00F974B7"/>
    <w:rsid w:val="00F9766C"/>
    <w:rsid w:val="00F976DD"/>
    <w:rsid w:val="00F97974"/>
    <w:rsid w:val="00F97BF6"/>
    <w:rsid w:val="00FA078B"/>
    <w:rsid w:val="00FA0C13"/>
    <w:rsid w:val="00FA148F"/>
    <w:rsid w:val="00FA1783"/>
    <w:rsid w:val="00FA180E"/>
    <w:rsid w:val="00FA19B3"/>
    <w:rsid w:val="00FA1CA4"/>
    <w:rsid w:val="00FA222A"/>
    <w:rsid w:val="00FA2466"/>
    <w:rsid w:val="00FA2807"/>
    <w:rsid w:val="00FA289E"/>
    <w:rsid w:val="00FA2917"/>
    <w:rsid w:val="00FA2A7C"/>
    <w:rsid w:val="00FA2CF8"/>
    <w:rsid w:val="00FA2F24"/>
    <w:rsid w:val="00FA2F5E"/>
    <w:rsid w:val="00FA3129"/>
    <w:rsid w:val="00FA3C79"/>
    <w:rsid w:val="00FA4DEC"/>
    <w:rsid w:val="00FA4EFD"/>
    <w:rsid w:val="00FA50BD"/>
    <w:rsid w:val="00FA53AD"/>
    <w:rsid w:val="00FA5411"/>
    <w:rsid w:val="00FA5C4A"/>
    <w:rsid w:val="00FA6425"/>
    <w:rsid w:val="00FA64FF"/>
    <w:rsid w:val="00FA688F"/>
    <w:rsid w:val="00FA6CFC"/>
    <w:rsid w:val="00FA7048"/>
    <w:rsid w:val="00FA725E"/>
    <w:rsid w:val="00FA72B0"/>
    <w:rsid w:val="00FA749F"/>
    <w:rsid w:val="00FA76CA"/>
    <w:rsid w:val="00FA778C"/>
    <w:rsid w:val="00FA7868"/>
    <w:rsid w:val="00FA7C41"/>
    <w:rsid w:val="00FA7EB5"/>
    <w:rsid w:val="00FA7F2C"/>
    <w:rsid w:val="00FA7F5D"/>
    <w:rsid w:val="00FB0512"/>
    <w:rsid w:val="00FB0518"/>
    <w:rsid w:val="00FB0886"/>
    <w:rsid w:val="00FB09D2"/>
    <w:rsid w:val="00FB14AB"/>
    <w:rsid w:val="00FB1727"/>
    <w:rsid w:val="00FB21AC"/>
    <w:rsid w:val="00FB29D3"/>
    <w:rsid w:val="00FB2BC4"/>
    <w:rsid w:val="00FB2E0D"/>
    <w:rsid w:val="00FB346F"/>
    <w:rsid w:val="00FB3955"/>
    <w:rsid w:val="00FB3AAA"/>
    <w:rsid w:val="00FB4019"/>
    <w:rsid w:val="00FB4146"/>
    <w:rsid w:val="00FB508A"/>
    <w:rsid w:val="00FB61BF"/>
    <w:rsid w:val="00FB6210"/>
    <w:rsid w:val="00FB68A6"/>
    <w:rsid w:val="00FB6CB1"/>
    <w:rsid w:val="00FB6EC1"/>
    <w:rsid w:val="00FB77E1"/>
    <w:rsid w:val="00FB7F04"/>
    <w:rsid w:val="00FC004F"/>
    <w:rsid w:val="00FC070A"/>
    <w:rsid w:val="00FC0AD8"/>
    <w:rsid w:val="00FC0F53"/>
    <w:rsid w:val="00FC1816"/>
    <w:rsid w:val="00FC1A8D"/>
    <w:rsid w:val="00FC201D"/>
    <w:rsid w:val="00FC2933"/>
    <w:rsid w:val="00FC2CF5"/>
    <w:rsid w:val="00FC3A67"/>
    <w:rsid w:val="00FC3C88"/>
    <w:rsid w:val="00FC3EC2"/>
    <w:rsid w:val="00FC414C"/>
    <w:rsid w:val="00FC4252"/>
    <w:rsid w:val="00FC4A15"/>
    <w:rsid w:val="00FC5011"/>
    <w:rsid w:val="00FC57AA"/>
    <w:rsid w:val="00FC5ED8"/>
    <w:rsid w:val="00FC675E"/>
    <w:rsid w:val="00FC6B3F"/>
    <w:rsid w:val="00FC6E09"/>
    <w:rsid w:val="00FC7297"/>
    <w:rsid w:val="00FC777B"/>
    <w:rsid w:val="00FC79A6"/>
    <w:rsid w:val="00FC7DAF"/>
    <w:rsid w:val="00FD0193"/>
    <w:rsid w:val="00FD0495"/>
    <w:rsid w:val="00FD057A"/>
    <w:rsid w:val="00FD0D75"/>
    <w:rsid w:val="00FD0E27"/>
    <w:rsid w:val="00FD1124"/>
    <w:rsid w:val="00FD13C9"/>
    <w:rsid w:val="00FD16C5"/>
    <w:rsid w:val="00FD212D"/>
    <w:rsid w:val="00FD2556"/>
    <w:rsid w:val="00FD2D5D"/>
    <w:rsid w:val="00FD30D3"/>
    <w:rsid w:val="00FD3246"/>
    <w:rsid w:val="00FD385C"/>
    <w:rsid w:val="00FD39DE"/>
    <w:rsid w:val="00FD3DBE"/>
    <w:rsid w:val="00FD3F3D"/>
    <w:rsid w:val="00FD3FB9"/>
    <w:rsid w:val="00FD4039"/>
    <w:rsid w:val="00FD452C"/>
    <w:rsid w:val="00FD47FD"/>
    <w:rsid w:val="00FD522E"/>
    <w:rsid w:val="00FD5318"/>
    <w:rsid w:val="00FD55F4"/>
    <w:rsid w:val="00FD5816"/>
    <w:rsid w:val="00FD6A42"/>
    <w:rsid w:val="00FD6A7D"/>
    <w:rsid w:val="00FD6AC9"/>
    <w:rsid w:val="00FD6F2C"/>
    <w:rsid w:val="00FD73BF"/>
    <w:rsid w:val="00FE098F"/>
    <w:rsid w:val="00FE0A1E"/>
    <w:rsid w:val="00FE1551"/>
    <w:rsid w:val="00FE1826"/>
    <w:rsid w:val="00FE1947"/>
    <w:rsid w:val="00FE19E6"/>
    <w:rsid w:val="00FE1CCD"/>
    <w:rsid w:val="00FE206C"/>
    <w:rsid w:val="00FE279B"/>
    <w:rsid w:val="00FE2ABB"/>
    <w:rsid w:val="00FE2F99"/>
    <w:rsid w:val="00FE38C5"/>
    <w:rsid w:val="00FE398C"/>
    <w:rsid w:val="00FE3A4C"/>
    <w:rsid w:val="00FE3CCF"/>
    <w:rsid w:val="00FE3E15"/>
    <w:rsid w:val="00FE4DF4"/>
    <w:rsid w:val="00FE522F"/>
    <w:rsid w:val="00FE537E"/>
    <w:rsid w:val="00FE5445"/>
    <w:rsid w:val="00FE55A0"/>
    <w:rsid w:val="00FE5839"/>
    <w:rsid w:val="00FE5DB5"/>
    <w:rsid w:val="00FE60DB"/>
    <w:rsid w:val="00FE6253"/>
    <w:rsid w:val="00FE64F8"/>
    <w:rsid w:val="00FE6F11"/>
    <w:rsid w:val="00FE71F2"/>
    <w:rsid w:val="00FE7B33"/>
    <w:rsid w:val="00FE7D67"/>
    <w:rsid w:val="00FF028A"/>
    <w:rsid w:val="00FF0B7B"/>
    <w:rsid w:val="00FF10C8"/>
    <w:rsid w:val="00FF159A"/>
    <w:rsid w:val="00FF1649"/>
    <w:rsid w:val="00FF1703"/>
    <w:rsid w:val="00FF1A66"/>
    <w:rsid w:val="00FF2269"/>
    <w:rsid w:val="00FF2AA6"/>
    <w:rsid w:val="00FF2BD4"/>
    <w:rsid w:val="00FF3284"/>
    <w:rsid w:val="00FF3703"/>
    <w:rsid w:val="00FF382E"/>
    <w:rsid w:val="00FF3B88"/>
    <w:rsid w:val="00FF3CB2"/>
    <w:rsid w:val="00FF45EC"/>
    <w:rsid w:val="00FF463D"/>
    <w:rsid w:val="00FF47F9"/>
    <w:rsid w:val="00FF4A8D"/>
    <w:rsid w:val="00FF4C6C"/>
    <w:rsid w:val="00FF4F2F"/>
    <w:rsid w:val="00FF5166"/>
    <w:rsid w:val="00FF518D"/>
    <w:rsid w:val="00FF5392"/>
    <w:rsid w:val="00FF56B2"/>
    <w:rsid w:val="00FF5CA8"/>
    <w:rsid w:val="00FF5CED"/>
    <w:rsid w:val="00FF5E08"/>
    <w:rsid w:val="00FF5E15"/>
    <w:rsid w:val="00FF5FB7"/>
    <w:rsid w:val="00FF6069"/>
    <w:rsid w:val="00FF62CC"/>
    <w:rsid w:val="00FF63C0"/>
    <w:rsid w:val="00FF69C2"/>
    <w:rsid w:val="00FF6D7B"/>
    <w:rsid w:val="00FF7045"/>
    <w:rsid w:val="00FF70D8"/>
    <w:rsid w:val="00FF73DC"/>
    <w:rsid w:val="00FF73F2"/>
    <w:rsid w:val="00FF7790"/>
    <w:rsid w:val="00FF7868"/>
    <w:rsid w:val="00FF7DCB"/>
    <w:rsid w:val="016025FC"/>
    <w:rsid w:val="01CC7D8F"/>
    <w:rsid w:val="025008C3"/>
    <w:rsid w:val="035F6A58"/>
    <w:rsid w:val="03C8334D"/>
    <w:rsid w:val="068E3768"/>
    <w:rsid w:val="07097292"/>
    <w:rsid w:val="073C7FDB"/>
    <w:rsid w:val="076C0D1D"/>
    <w:rsid w:val="07AC659B"/>
    <w:rsid w:val="081B4781"/>
    <w:rsid w:val="08514A4D"/>
    <w:rsid w:val="08AB7C20"/>
    <w:rsid w:val="090B4EFE"/>
    <w:rsid w:val="0A21150B"/>
    <w:rsid w:val="0A90563A"/>
    <w:rsid w:val="0AAE1675"/>
    <w:rsid w:val="0BBD62CF"/>
    <w:rsid w:val="0BD23DCB"/>
    <w:rsid w:val="0BE4744A"/>
    <w:rsid w:val="0EB511E4"/>
    <w:rsid w:val="0F0E1EBF"/>
    <w:rsid w:val="10502A96"/>
    <w:rsid w:val="10505F32"/>
    <w:rsid w:val="1135492B"/>
    <w:rsid w:val="113A27F3"/>
    <w:rsid w:val="116B54E9"/>
    <w:rsid w:val="12E17A27"/>
    <w:rsid w:val="1301504F"/>
    <w:rsid w:val="14806154"/>
    <w:rsid w:val="14F92D31"/>
    <w:rsid w:val="15B30AF5"/>
    <w:rsid w:val="17F91A16"/>
    <w:rsid w:val="1908732B"/>
    <w:rsid w:val="19E0457B"/>
    <w:rsid w:val="1A1736B7"/>
    <w:rsid w:val="1A50725A"/>
    <w:rsid w:val="1A725422"/>
    <w:rsid w:val="1ADC2A9C"/>
    <w:rsid w:val="1B021310"/>
    <w:rsid w:val="1BC463D6"/>
    <w:rsid w:val="1F9B4EF3"/>
    <w:rsid w:val="201C570A"/>
    <w:rsid w:val="20683C6F"/>
    <w:rsid w:val="229005C0"/>
    <w:rsid w:val="23C13E08"/>
    <w:rsid w:val="24F97381"/>
    <w:rsid w:val="25505FB4"/>
    <w:rsid w:val="255A71DF"/>
    <w:rsid w:val="26C2212C"/>
    <w:rsid w:val="272279FF"/>
    <w:rsid w:val="277D4DB3"/>
    <w:rsid w:val="27887E16"/>
    <w:rsid w:val="27AC1399"/>
    <w:rsid w:val="280255D6"/>
    <w:rsid w:val="29424CD3"/>
    <w:rsid w:val="29637A76"/>
    <w:rsid w:val="296A4507"/>
    <w:rsid w:val="2ADE7F6A"/>
    <w:rsid w:val="2CAA6062"/>
    <w:rsid w:val="2D0C7FD3"/>
    <w:rsid w:val="2E1C261E"/>
    <w:rsid w:val="2F3B6F95"/>
    <w:rsid w:val="302848D9"/>
    <w:rsid w:val="324B0D5D"/>
    <w:rsid w:val="32BA53C2"/>
    <w:rsid w:val="32ED4EE5"/>
    <w:rsid w:val="34263732"/>
    <w:rsid w:val="35793C78"/>
    <w:rsid w:val="360C0704"/>
    <w:rsid w:val="36DE7929"/>
    <w:rsid w:val="381A3A02"/>
    <w:rsid w:val="38DE55D9"/>
    <w:rsid w:val="38FE5C7B"/>
    <w:rsid w:val="399029DE"/>
    <w:rsid w:val="39CA4FC6"/>
    <w:rsid w:val="3C3732DD"/>
    <w:rsid w:val="3C3A47FE"/>
    <w:rsid w:val="3E8B6203"/>
    <w:rsid w:val="3FA96941"/>
    <w:rsid w:val="408812A1"/>
    <w:rsid w:val="41AE3634"/>
    <w:rsid w:val="42173565"/>
    <w:rsid w:val="434E5522"/>
    <w:rsid w:val="46AC0D3A"/>
    <w:rsid w:val="484666C0"/>
    <w:rsid w:val="48D30E19"/>
    <w:rsid w:val="48E42798"/>
    <w:rsid w:val="49873428"/>
    <w:rsid w:val="4ADA6548"/>
    <w:rsid w:val="4D0E7DD1"/>
    <w:rsid w:val="4DCB2F70"/>
    <w:rsid w:val="4E6A1991"/>
    <w:rsid w:val="4ED3513B"/>
    <w:rsid w:val="4ED35EDF"/>
    <w:rsid w:val="4F195165"/>
    <w:rsid w:val="504777BC"/>
    <w:rsid w:val="512E314A"/>
    <w:rsid w:val="522F410E"/>
    <w:rsid w:val="52435CA7"/>
    <w:rsid w:val="52D86862"/>
    <w:rsid w:val="53821FD6"/>
    <w:rsid w:val="54E67898"/>
    <w:rsid w:val="55905F2E"/>
    <w:rsid w:val="55C26FBB"/>
    <w:rsid w:val="582320DC"/>
    <w:rsid w:val="5835771B"/>
    <w:rsid w:val="5A974CF7"/>
    <w:rsid w:val="5B6B41D3"/>
    <w:rsid w:val="5D03454F"/>
    <w:rsid w:val="5DDC52C4"/>
    <w:rsid w:val="5E4D0D55"/>
    <w:rsid w:val="62450898"/>
    <w:rsid w:val="6302731F"/>
    <w:rsid w:val="6356208C"/>
    <w:rsid w:val="65DF6369"/>
    <w:rsid w:val="664D7777"/>
    <w:rsid w:val="66903482"/>
    <w:rsid w:val="67505E26"/>
    <w:rsid w:val="677F2094"/>
    <w:rsid w:val="680F5418"/>
    <w:rsid w:val="68B26F46"/>
    <w:rsid w:val="68BE3B9D"/>
    <w:rsid w:val="6A4F3EC3"/>
    <w:rsid w:val="6AA64288"/>
    <w:rsid w:val="6AFB5BA3"/>
    <w:rsid w:val="6B2E4BCE"/>
    <w:rsid w:val="6B961BC0"/>
    <w:rsid w:val="6CC2341A"/>
    <w:rsid w:val="6D417909"/>
    <w:rsid w:val="6E0576A6"/>
    <w:rsid w:val="6E3B6A4F"/>
    <w:rsid w:val="6EEA5B83"/>
    <w:rsid w:val="6FC13D96"/>
    <w:rsid w:val="72AC787E"/>
    <w:rsid w:val="7312550B"/>
    <w:rsid w:val="76296C8E"/>
    <w:rsid w:val="768B09FE"/>
    <w:rsid w:val="76FA081F"/>
    <w:rsid w:val="780A174B"/>
    <w:rsid w:val="78276743"/>
    <w:rsid w:val="7A41242A"/>
    <w:rsid w:val="7AF472D8"/>
    <w:rsid w:val="7C295894"/>
    <w:rsid w:val="7C9A0DE4"/>
    <w:rsid w:val="7CB415AB"/>
    <w:rsid w:val="7CF82978"/>
    <w:rsid w:val="7D322B00"/>
    <w:rsid w:val="7EB65022"/>
    <w:rsid w:val="7EC56C75"/>
    <w:rsid w:val="7F062140"/>
    <w:rsid w:val="7F8758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qFormat="1" w:uiPriority="0" w:semiHidden="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qFormat="1"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11"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qFormat="1" w:unhideWhenUsed="0" w:uiPriority="0" w:semiHidden="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uiPriority="0" w:name="Table Professional"/>
    <w:lsdException w:uiPriority="0" w:name="Table Subtle 1"/>
    <w:lsdException w:uiPriority="0" w:name="Table Subtle 2"/>
    <w:lsdException w:qFormat="1" w:unhideWhenUsed="0" w:uiPriority="0" w:semiHidden="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6"/>
    <w:qFormat/>
    <w:uiPriority w:val="0"/>
    <w:pPr>
      <w:keepNext/>
      <w:keepLines/>
      <w:spacing w:before="340" w:after="330" w:line="578" w:lineRule="auto"/>
      <w:outlineLvl w:val="0"/>
    </w:pPr>
    <w:rPr>
      <w:b/>
      <w:bCs/>
      <w:kern w:val="44"/>
      <w:sz w:val="44"/>
      <w:szCs w:val="44"/>
      <w:lang w:val="zh-CN"/>
    </w:rPr>
  </w:style>
  <w:style w:type="paragraph" w:styleId="3">
    <w:name w:val="heading 2"/>
    <w:basedOn w:val="1"/>
    <w:next w:val="1"/>
    <w:link w:val="69"/>
    <w:qFormat/>
    <w:uiPriority w:val="0"/>
    <w:pPr>
      <w:widowControl/>
      <w:spacing w:before="100" w:beforeAutospacing="1" w:after="100" w:afterAutospacing="1"/>
      <w:jc w:val="left"/>
      <w:outlineLvl w:val="1"/>
    </w:pPr>
    <w:rPr>
      <w:rFonts w:ascii="宋体" w:hAnsi="宋体"/>
      <w:b/>
      <w:kern w:val="0"/>
      <w:sz w:val="36"/>
    </w:rPr>
  </w:style>
  <w:style w:type="paragraph" w:styleId="4">
    <w:name w:val="heading 3"/>
    <w:basedOn w:val="1"/>
    <w:next w:val="1"/>
    <w:link w:val="70"/>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71"/>
    <w:autoRedefine/>
    <w:qFormat/>
    <w:uiPriority w:val="0"/>
    <w:pPr>
      <w:keepNext/>
      <w:keepLines/>
      <w:tabs>
        <w:tab w:val="left" w:pos="1650"/>
      </w:tabs>
      <w:adjustRightInd w:val="0"/>
      <w:snapToGrid w:val="0"/>
      <w:spacing w:before="120" w:after="120" w:line="360" w:lineRule="auto"/>
      <w:ind w:left="570"/>
      <w:outlineLvl w:val="3"/>
    </w:pPr>
    <w:rPr>
      <w:rFonts w:ascii="宋体" w:hAnsi="宋体"/>
      <w:b/>
      <w:bCs/>
      <w:color w:val="000000"/>
      <w:sz w:val="24"/>
      <w:szCs w:val="24"/>
    </w:rPr>
  </w:style>
  <w:style w:type="paragraph" w:styleId="6">
    <w:name w:val="heading 5"/>
    <w:basedOn w:val="1"/>
    <w:next w:val="1"/>
    <w:link w:val="72"/>
    <w:qFormat/>
    <w:uiPriority w:val="0"/>
    <w:pPr>
      <w:keepNext/>
      <w:keepLines/>
      <w:spacing w:before="280" w:after="290" w:line="376" w:lineRule="auto"/>
      <w:outlineLvl w:val="4"/>
    </w:pPr>
    <w:rPr>
      <w:b/>
      <w:bCs/>
      <w:sz w:val="28"/>
      <w:szCs w:val="28"/>
    </w:rPr>
  </w:style>
  <w:style w:type="character" w:default="1" w:styleId="54">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2520" w:leftChars="1200"/>
    </w:pPr>
    <w:rPr>
      <w:rFonts w:ascii="Calibri" w:hAnsi="Calibri"/>
      <w:szCs w:val="22"/>
    </w:rPr>
  </w:style>
  <w:style w:type="paragraph" w:styleId="8">
    <w:name w:val="Normal Indent"/>
    <w:basedOn w:val="1"/>
    <w:qFormat/>
    <w:uiPriority w:val="0"/>
    <w:pPr>
      <w:ind w:firstLine="420" w:firstLineChars="200"/>
    </w:pPr>
  </w:style>
  <w:style w:type="paragraph" w:styleId="9">
    <w:name w:val="caption"/>
    <w:basedOn w:val="1"/>
    <w:next w:val="1"/>
    <w:qFormat/>
    <w:uiPriority w:val="0"/>
    <w:pPr>
      <w:spacing w:before="152" w:after="160"/>
    </w:pPr>
    <w:rPr>
      <w:rFonts w:ascii="Arial" w:hAnsi="Arial" w:eastAsia="黑体"/>
      <w:sz w:val="20"/>
    </w:rPr>
  </w:style>
  <w:style w:type="paragraph" w:styleId="10">
    <w:name w:val="Document Map"/>
    <w:basedOn w:val="1"/>
    <w:link w:val="105"/>
    <w:qFormat/>
    <w:uiPriority w:val="0"/>
    <w:pPr>
      <w:shd w:val="clear" w:color="auto" w:fill="000080"/>
    </w:pPr>
  </w:style>
  <w:style w:type="paragraph" w:styleId="11">
    <w:name w:val="annotation text"/>
    <w:basedOn w:val="1"/>
    <w:link w:val="85"/>
    <w:qFormat/>
    <w:uiPriority w:val="0"/>
    <w:pPr>
      <w:jc w:val="left"/>
    </w:pPr>
  </w:style>
  <w:style w:type="paragraph" w:styleId="12">
    <w:name w:val="Salutation"/>
    <w:basedOn w:val="1"/>
    <w:next w:val="1"/>
    <w:link w:val="183"/>
    <w:qFormat/>
    <w:uiPriority w:val="0"/>
    <w:rPr>
      <w:rFonts w:ascii="Calibri" w:hAnsi="Calibri"/>
    </w:rPr>
  </w:style>
  <w:style w:type="paragraph" w:styleId="13">
    <w:name w:val="Body Text 3"/>
    <w:basedOn w:val="1"/>
    <w:qFormat/>
    <w:uiPriority w:val="0"/>
    <w:pPr>
      <w:spacing w:after="120"/>
    </w:pPr>
    <w:rPr>
      <w:sz w:val="16"/>
    </w:rPr>
  </w:style>
  <w:style w:type="paragraph" w:styleId="14">
    <w:name w:val="Body Text"/>
    <w:basedOn w:val="1"/>
    <w:next w:val="15"/>
    <w:link w:val="75"/>
    <w:qFormat/>
    <w:uiPriority w:val="0"/>
    <w:pPr>
      <w:spacing w:line="480" w:lineRule="exact"/>
    </w:pPr>
    <w:rPr>
      <w:rFonts w:ascii="宋体" w:hAnsi="宋体"/>
      <w:sz w:val="28"/>
    </w:rPr>
  </w:style>
  <w:style w:type="paragraph" w:styleId="15">
    <w:name w:val="List Bullet 5"/>
    <w:basedOn w:val="1"/>
    <w:semiHidden/>
    <w:unhideWhenUsed/>
    <w:qFormat/>
    <w:uiPriority w:val="0"/>
    <w:pPr>
      <w:numPr>
        <w:ilvl w:val="0"/>
        <w:numId w:val="1"/>
      </w:numPr>
    </w:pPr>
  </w:style>
  <w:style w:type="paragraph" w:styleId="16">
    <w:name w:val="Body Text Indent"/>
    <w:basedOn w:val="1"/>
    <w:next w:val="17"/>
    <w:link w:val="76"/>
    <w:qFormat/>
    <w:uiPriority w:val="0"/>
    <w:pPr>
      <w:spacing w:line="500" w:lineRule="exact"/>
      <w:ind w:firstLine="556"/>
    </w:pPr>
    <w:rPr>
      <w:sz w:val="28"/>
      <w:lang w:val="zh-CN"/>
    </w:rPr>
  </w:style>
  <w:style w:type="paragraph" w:styleId="17">
    <w:name w:val="Body Text Indent 2"/>
    <w:basedOn w:val="1"/>
    <w:next w:val="18"/>
    <w:qFormat/>
    <w:uiPriority w:val="0"/>
    <w:pPr>
      <w:spacing w:line="400" w:lineRule="exact"/>
      <w:ind w:firstLine="573"/>
    </w:pPr>
    <w:rPr>
      <w:rFonts w:ascii="宋体" w:hAnsi="宋体"/>
      <w:sz w:val="28"/>
    </w:rPr>
  </w:style>
  <w:style w:type="paragraph" w:styleId="18">
    <w:name w:val="Body Text First Indent 2"/>
    <w:basedOn w:val="16"/>
    <w:next w:val="1"/>
    <w:link w:val="184"/>
    <w:qFormat/>
    <w:uiPriority w:val="0"/>
    <w:pPr>
      <w:ind w:firstLine="420" w:firstLineChars="200"/>
    </w:pPr>
    <w:rPr>
      <w:rFonts w:ascii="Calibri" w:hAnsi="Calibri"/>
    </w:rPr>
  </w:style>
  <w:style w:type="paragraph" w:styleId="19">
    <w:name w:val="Block Text"/>
    <w:basedOn w:val="1"/>
    <w:qFormat/>
    <w:uiPriority w:val="0"/>
    <w:pPr>
      <w:spacing w:line="540" w:lineRule="exact"/>
      <w:ind w:left="315" w:leftChars="150" w:right="315" w:rightChars="150" w:firstLine="560" w:firstLineChars="200"/>
    </w:pPr>
    <w:rPr>
      <w:rFonts w:ascii="仿宋_GB2312" w:hAnsi="宋体" w:eastAsia="仿宋_GB2312"/>
      <w:sz w:val="28"/>
      <w:szCs w:val="28"/>
    </w:rPr>
  </w:style>
  <w:style w:type="paragraph" w:styleId="20">
    <w:name w:val="toc 5"/>
    <w:basedOn w:val="1"/>
    <w:next w:val="1"/>
    <w:autoRedefine/>
    <w:unhideWhenUsed/>
    <w:qFormat/>
    <w:uiPriority w:val="39"/>
    <w:pPr>
      <w:ind w:left="1680" w:leftChars="800"/>
    </w:pPr>
    <w:rPr>
      <w:rFonts w:ascii="Calibri" w:hAnsi="Calibri"/>
      <w:szCs w:val="22"/>
    </w:rPr>
  </w:style>
  <w:style w:type="paragraph" w:styleId="21">
    <w:name w:val="toc 3"/>
    <w:basedOn w:val="1"/>
    <w:next w:val="1"/>
    <w:autoRedefine/>
    <w:qFormat/>
    <w:uiPriority w:val="39"/>
    <w:pPr>
      <w:ind w:left="840" w:leftChars="400"/>
    </w:pPr>
  </w:style>
  <w:style w:type="paragraph" w:styleId="22">
    <w:name w:val="Plain Text"/>
    <w:basedOn w:val="1"/>
    <w:next w:val="12"/>
    <w:link w:val="79"/>
    <w:qFormat/>
    <w:uiPriority w:val="0"/>
    <w:rPr>
      <w:rFonts w:ascii="宋体" w:hAnsi="Courier New"/>
      <w:lang w:val="zh-CN"/>
    </w:rPr>
  </w:style>
  <w:style w:type="paragraph" w:styleId="23">
    <w:name w:val="toc 8"/>
    <w:basedOn w:val="1"/>
    <w:next w:val="1"/>
    <w:autoRedefine/>
    <w:unhideWhenUsed/>
    <w:qFormat/>
    <w:uiPriority w:val="39"/>
    <w:pPr>
      <w:ind w:left="2940" w:leftChars="1400"/>
    </w:pPr>
    <w:rPr>
      <w:rFonts w:ascii="Calibri" w:hAnsi="Calibri"/>
      <w:szCs w:val="22"/>
    </w:rPr>
  </w:style>
  <w:style w:type="paragraph" w:styleId="24">
    <w:name w:val="Date"/>
    <w:basedOn w:val="1"/>
    <w:next w:val="1"/>
    <w:qFormat/>
    <w:uiPriority w:val="0"/>
    <w:pPr>
      <w:adjustRightInd w:val="0"/>
      <w:spacing w:line="312" w:lineRule="atLeast"/>
    </w:pPr>
    <w:rPr>
      <w:kern w:val="0"/>
      <w:sz w:val="24"/>
    </w:rPr>
  </w:style>
  <w:style w:type="paragraph" w:styleId="25">
    <w:name w:val="Balloon Text"/>
    <w:basedOn w:val="1"/>
    <w:link w:val="86"/>
    <w:qFormat/>
    <w:uiPriority w:val="0"/>
    <w:rPr>
      <w:sz w:val="18"/>
      <w:szCs w:val="18"/>
      <w:lang w:val="zh-CN"/>
    </w:rPr>
  </w:style>
  <w:style w:type="paragraph" w:styleId="26">
    <w:name w:val="footer"/>
    <w:basedOn w:val="1"/>
    <w:link w:val="83"/>
    <w:qFormat/>
    <w:uiPriority w:val="0"/>
    <w:pPr>
      <w:tabs>
        <w:tab w:val="center" w:pos="4153"/>
        <w:tab w:val="right" w:pos="8306"/>
      </w:tabs>
      <w:snapToGrid w:val="0"/>
      <w:jc w:val="left"/>
    </w:pPr>
    <w:rPr>
      <w:sz w:val="18"/>
      <w:lang w:val="zh-CN"/>
    </w:rPr>
  </w:style>
  <w:style w:type="paragraph" w:styleId="27">
    <w:name w:val="header"/>
    <w:basedOn w:val="1"/>
    <w:link w:val="82"/>
    <w:qFormat/>
    <w:uiPriority w:val="0"/>
    <w:pPr>
      <w:pBdr>
        <w:bottom w:val="single" w:color="auto" w:sz="6" w:space="1"/>
      </w:pBdr>
      <w:tabs>
        <w:tab w:val="center" w:pos="4153"/>
        <w:tab w:val="right" w:pos="8306"/>
      </w:tabs>
      <w:snapToGrid w:val="0"/>
      <w:jc w:val="center"/>
    </w:pPr>
    <w:rPr>
      <w:sz w:val="18"/>
      <w:lang w:val="zh-CN"/>
    </w:rPr>
  </w:style>
  <w:style w:type="paragraph" w:styleId="28">
    <w:name w:val="toc 1"/>
    <w:basedOn w:val="1"/>
    <w:next w:val="1"/>
    <w:autoRedefine/>
    <w:qFormat/>
    <w:uiPriority w:val="39"/>
  </w:style>
  <w:style w:type="paragraph" w:styleId="29">
    <w:name w:val="toc 4"/>
    <w:basedOn w:val="1"/>
    <w:next w:val="1"/>
    <w:autoRedefine/>
    <w:unhideWhenUsed/>
    <w:qFormat/>
    <w:uiPriority w:val="39"/>
    <w:pPr>
      <w:ind w:left="1260" w:leftChars="600"/>
    </w:pPr>
    <w:rPr>
      <w:rFonts w:ascii="Calibri" w:hAnsi="Calibri"/>
      <w:szCs w:val="22"/>
    </w:rPr>
  </w:style>
  <w:style w:type="paragraph" w:styleId="30">
    <w:name w:val="Subtitle"/>
    <w:basedOn w:val="1"/>
    <w:next w:val="1"/>
    <w:link w:val="211"/>
    <w:qFormat/>
    <w:uiPriority w:val="11"/>
    <w:pPr>
      <w:jc w:val="center"/>
    </w:pPr>
    <w:rPr>
      <w:rFonts w:eastAsia="黑体"/>
      <w:b/>
      <w:bCs/>
      <w:kern w:val="28"/>
      <w:szCs w:val="32"/>
    </w:rPr>
  </w:style>
  <w:style w:type="paragraph" w:styleId="31">
    <w:name w:val="List"/>
    <w:basedOn w:val="1"/>
    <w:qFormat/>
    <w:uiPriority w:val="0"/>
    <w:pPr>
      <w:ind w:left="200" w:hanging="200" w:hangingChars="200"/>
    </w:pPr>
    <w:rPr>
      <w:szCs w:val="24"/>
    </w:rPr>
  </w:style>
  <w:style w:type="paragraph" w:styleId="32">
    <w:name w:val="footnote text"/>
    <w:basedOn w:val="1"/>
    <w:link w:val="129"/>
    <w:qFormat/>
    <w:uiPriority w:val="0"/>
    <w:pPr>
      <w:snapToGrid w:val="0"/>
      <w:spacing w:before="60"/>
      <w:ind w:firstLine="482"/>
      <w:jc w:val="left"/>
    </w:pPr>
    <w:rPr>
      <w:rFonts w:ascii="Arial" w:hAnsi="Arial" w:eastAsia="仿宋_GB2312"/>
      <w:kern w:val="0"/>
      <w:sz w:val="18"/>
      <w:szCs w:val="18"/>
      <w:lang w:val="zh-CN"/>
    </w:rPr>
  </w:style>
  <w:style w:type="paragraph" w:styleId="33">
    <w:name w:val="toc 6"/>
    <w:basedOn w:val="1"/>
    <w:next w:val="1"/>
    <w:autoRedefine/>
    <w:unhideWhenUsed/>
    <w:qFormat/>
    <w:uiPriority w:val="39"/>
    <w:pPr>
      <w:ind w:left="2100" w:leftChars="1000"/>
    </w:pPr>
    <w:rPr>
      <w:rFonts w:ascii="Calibri" w:hAnsi="Calibri"/>
      <w:szCs w:val="22"/>
    </w:rPr>
  </w:style>
  <w:style w:type="paragraph" w:styleId="34">
    <w:name w:val="Body Text Indent 3"/>
    <w:basedOn w:val="1"/>
    <w:link w:val="81"/>
    <w:qFormat/>
    <w:uiPriority w:val="0"/>
    <w:pPr>
      <w:spacing w:line="360" w:lineRule="auto"/>
      <w:ind w:firstLine="555"/>
    </w:pPr>
    <w:rPr>
      <w:sz w:val="28"/>
    </w:rPr>
  </w:style>
  <w:style w:type="paragraph" w:styleId="35">
    <w:name w:val="table of figures"/>
    <w:basedOn w:val="1"/>
    <w:next w:val="1"/>
    <w:unhideWhenUsed/>
    <w:qFormat/>
    <w:uiPriority w:val="0"/>
    <w:pPr>
      <w:ind w:left="200" w:leftChars="200" w:hanging="200" w:hangingChars="200"/>
    </w:pPr>
    <w:rPr>
      <w:rFonts w:hint="eastAsia"/>
      <w:szCs w:val="20"/>
    </w:rPr>
  </w:style>
  <w:style w:type="paragraph" w:styleId="36">
    <w:name w:val="toc 2"/>
    <w:basedOn w:val="1"/>
    <w:next w:val="1"/>
    <w:autoRedefine/>
    <w:qFormat/>
    <w:uiPriority w:val="39"/>
    <w:pPr>
      <w:ind w:left="420" w:leftChars="200"/>
    </w:pPr>
  </w:style>
  <w:style w:type="paragraph" w:styleId="37">
    <w:name w:val="toc 9"/>
    <w:basedOn w:val="1"/>
    <w:next w:val="1"/>
    <w:autoRedefine/>
    <w:unhideWhenUsed/>
    <w:qFormat/>
    <w:uiPriority w:val="39"/>
    <w:pPr>
      <w:ind w:left="3360" w:leftChars="1600"/>
    </w:pPr>
    <w:rPr>
      <w:rFonts w:ascii="Calibri" w:hAnsi="Calibri"/>
      <w:szCs w:val="22"/>
    </w:rPr>
  </w:style>
  <w:style w:type="paragraph" w:styleId="38">
    <w:name w:val="Body Text 2"/>
    <w:basedOn w:val="1"/>
    <w:qFormat/>
    <w:uiPriority w:val="0"/>
    <w:pPr>
      <w:spacing w:line="420" w:lineRule="exact"/>
    </w:pPr>
    <w:rPr>
      <w:sz w:val="28"/>
    </w:rPr>
  </w:style>
  <w:style w:type="paragraph" w:styleId="39">
    <w:name w:val="HTML Preformatted"/>
    <w:basedOn w:val="1"/>
    <w:link w:val="128"/>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kern w:val="0"/>
      <w:szCs w:val="21"/>
      <w:lang w:val="zh-CN"/>
    </w:rPr>
  </w:style>
  <w:style w:type="paragraph" w:styleId="40">
    <w:name w:val="Normal (Web)"/>
    <w:basedOn w:val="1"/>
    <w:qFormat/>
    <w:uiPriority w:val="99"/>
    <w:rPr>
      <w:sz w:val="24"/>
    </w:rPr>
  </w:style>
  <w:style w:type="paragraph" w:styleId="41">
    <w:name w:val="index 1"/>
    <w:basedOn w:val="1"/>
    <w:next w:val="1"/>
    <w:autoRedefine/>
    <w:qFormat/>
    <w:uiPriority w:val="0"/>
    <w:pPr>
      <w:spacing w:line="340" w:lineRule="exact"/>
      <w:jc w:val="center"/>
    </w:pPr>
    <w:rPr>
      <w:rFonts w:ascii="宋体" w:hAnsi="宋体"/>
      <w:color w:val="000000"/>
      <w:szCs w:val="21"/>
    </w:rPr>
  </w:style>
  <w:style w:type="paragraph" w:styleId="42">
    <w:name w:val="Title"/>
    <w:basedOn w:val="1"/>
    <w:next w:val="1"/>
    <w:link w:val="123"/>
    <w:qFormat/>
    <w:uiPriority w:val="0"/>
    <w:pPr>
      <w:spacing w:before="240" w:after="60"/>
      <w:jc w:val="center"/>
      <w:outlineLvl w:val="0"/>
    </w:pPr>
    <w:rPr>
      <w:rFonts w:ascii="Cambria" w:hAnsi="Cambria"/>
      <w:b/>
      <w:bCs/>
      <w:sz w:val="32"/>
      <w:szCs w:val="32"/>
      <w:lang w:val="zh-CN"/>
    </w:rPr>
  </w:style>
  <w:style w:type="paragraph" w:styleId="43">
    <w:name w:val="annotation subject"/>
    <w:basedOn w:val="11"/>
    <w:next w:val="11"/>
    <w:link w:val="87"/>
    <w:qFormat/>
    <w:uiPriority w:val="0"/>
    <w:rPr>
      <w:b/>
      <w:bCs/>
    </w:rPr>
  </w:style>
  <w:style w:type="paragraph" w:styleId="44">
    <w:name w:val="Body Text First Indent"/>
    <w:basedOn w:val="14"/>
    <w:link w:val="90"/>
    <w:qFormat/>
    <w:uiPriority w:val="0"/>
    <w:pPr>
      <w:spacing w:after="120" w:line="240" w:lineRule="auto"/>
      <w:ind w:firstLine="420" w:firstLineChars="100"/>
    </w:pPr>
    <w:rPr>
      <w:rFonts w:ascii="Times New Roman" w:hAnsi="Times New Roman"/>
      <w:sz w:val="21"/>
    </w:rPr>
  </w:style>
  <w:style w:type="table" w:styleId="46">
    <w:name w:val="Table Grid"/>
    <w:basedOn w:val="4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7">
    <w:name w:val="Table Theme"/>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Elegant"/>
    <w:basedOn w:val="4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49">
    <w:name w:val="Table Simple 3"/>
    <w:basedOn w:val="45"/>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50">
    <w:name w:val="Table Grid 5"/>
    <w:basedOn w:val="45"/>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51">
    <w:name w:val="Table Grid 6"/>
    <w:basedOn w:val="45"/>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52">
    <w:name w:val="Table Grid 7"/>
    <w:basedOn w:val="45"/>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53">
    <w:name w:val="Table Web 1"/>
    <w:basedOn w:val="45"/>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character" w:styleId="55">
    <w:name w:val="Strong"/>
    <w:qFormat/>
    <w:uiPriority w:val="22"/>
    <w:rPr>
      <w:b/>
      <w:bCs/>
    </w:rPr>
  </w:style>
  <w:style w:type="character" w:styleId="56">
    <w:name w:val="page number"/>
    <w:basedOn w:val="54"/>
    <w:qFormat/>
    <w:uiPriority w:val="0"/>
  </w:style>
  <w:style w:type="character" w:styleId="57">
    <w:name w:val="Emphasis"/>
    <w:qFormat/>
    <w:uiPriority w:val="0"/>
    <w:rPr>
      <w:color w:val="CC0000"/>
    </w:rPr>
  </w:style>
  <w:style w:type="character" w:styleId="58">
    <w:name w:val="Hyperlink"/>
    <w:qFormat/>
    <w:uiPriority w:val="99"/>
    <w:rPr>
      <w:color w:val="0000FF"/>
      <w:u w:val="single"/>
    </w:rPr>
  </w:style>
  <w:style w:type="character" w:styleId="59">
    <w:name w:val="annotation reference"/>
    <w:qFormat/>
    <w:uiPriority w:val="99"/>
    <w:rPr>
      <w:sz w:val="21"/>
      <w:szCs w:val="21"/>
    </w:rPr>
  </w:style>
  <w:style w:type="paragraph" w:customStyle="1" w:styleId="60">
    <w:name w:val="xl27"/>
    <w:basedOn w:val="1"/>
    <w:next w:val="1"/>
    <w:qFormat/>
    <w:uiPriority w:val="0"/>
    <w:pPr>
      <w:widowControl/>
      <w:pBdr>
        <w:bottom w:val="single" w:color="auto" w:sz="12" w:space="0"/>
      </w:pBdr>
      <w:spacing w:before="100" w:after="100"/>
      <w:jc w:val="center"/>
    </w:pPr>
    <w:rPr>
      <w:rFonts w:ascii="宋体" w:hAnsi="宋体"/>
      <w:kern w:val="0"/>
    </w:rPr>
  </w:style>
  <w:style w:type="paragraph" w:customStyle="1" w:styleId="61">
    <w:name w:val="Default"/>
    <w:basedOn w:val="62"/>
    <w:qFormat/>
    <w:uiPriority w:val="0"/>
    <w:pPr>
      <w:widowControl w:val="0"/>
      <w:autoSpaceDE w:val="0"/>
      <w:autoSpaceDN w:val="0"/>
      <w:adjustRightInd w:val="0"/>
    </w:pPr>
    <w:rPr>
      <w:rFonts w:ascii="宋体" w:eastAsia="宋体" w:cs="Times New Roman"/>
      <w:color w:val="000000"/>
      <w:sz w:val="24"/>
    </w:rPr>
  </w:style>
  <w:style w:type="paragraph" w:customStyle="1" w:styleId="62">
    <w:name w:val="标题 段落4级"/>
    <w:autoRedefine/>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63">
    <w:name w:val="样式3"/>
    <w:basedOn w:val="1"/>
    <w:next w:val="64"/>
    <w:qFormat/>
    <w:uiPriority w:val="0"/>
    <w:pPr>
      <w:autoSpaceDE w:val="0"/>
      <w:autoSpaceDN w:val="0"/>
      <w:snapToGrid w:val="0"/>
      <w:spacing w:before="120" w:line="460" w:lineRule="atLeast"/>
      <w:jc w:val="center"/>
    </w:pPr>
    <w:rPr>
      <w:rFonts w:eastAsia="黑体"/>
      <w:sz w:val="28"/>
    </w:rPr>
  </w:style>
  <w:style w:type="paragraph" w:customStyle="1" w:styleId="64">
    <w:name w:val="目录 53"/>
    <w:basedOn w:val="1"/>
    <w:next w:val="1"/>
    <w:autoRedefine/>
    <w:qFormat/>
    <w:uiPriority w:val="99"/>
    <w:pPr>
      <w:ind w:left="840"/>
    </w:pPr>
    <w:rPr>
      <w:rFonts w:ascii="Calibri" w:hAnsi="Calibri" w:cs="宋体"/>
      <w:color w:val="000000"/>
      <w:szCs w:val="24"/>
    </w:rPr>
  </w:style>
  <w:style w:type="paragraph" w:customStyle="1" w:styleId="65">
    <w:name w:val="新格式表"/>
    <w:basedOn w:val="1"/>
    <w:qFormat/>
    <w:uiPriority w:val="0"/>
    <w:pPr>
      <w:spacing w:line="240" w:lineRule="exact"/>
      <w:jc w:val="center"/>
    </w:pPr>
    <w:rPr>
      <w:rFonts w:ascii="Times New Roman" w:hAnsi="Times New Roman"/>
      <w:bCs/>
      <w:snapToGrid w:val="0"/>
      <w:color w:val="000000"/>
      <w:szCs w:val="21"/>
    </w:rPr>
  </w:style>
  <w:style w:type="character" w:customStyle="1" w:styleId="66">
    <w:name w:val="标题 1 字符"/>
    <w:link w:val="2"/>
    <w:qFormat/>
    <w:uiPriority w:val="0"/>
    <w:rPr>
      <w:b/>
      <w:bCs/>
      <w:kern w:val="44"/>
      <w:sz w:val="44"/>
      <w:szCs w:val="44"/>
    </w:rPr>
  </w:style>
  <w:style w:type="paragraph" w:customStyle="1" w:styleId="67">
    <w:name w:val="表格内容"/>
    <w:basedOn w:val="31"/>
    <w:next w:val="1"/>
    <w:link w:val="238"/>
    <w:qFormat/>
    <w:uiPriority w:val="0"/>
    <w:pPr>
      <w:spacing w:line="240" w:lineRule="atLeast"/>
      <w:ind w:firstLine="0" w:firstLineChars="0"/>
    </w:pPr>
    <w:rPr>
      <w:rFonts w:hAnsi="Calibri" w:eastAsia="宋体"/>
    </w:rPr>
  </w:style>
  <w:style w:type="paragraph" w:customStyle="1" w:styleId="68">
    <w:name w:val="表格标题"/>
    <w:basedOn w:val="9"/>
    <w:next w:val="67"/>
    <w:link w:val="91"/>
    <w:qFormat/>
    <w:uiPriority w:val="0"/>
    <w:pPr>
      <w:widowControl/>
      <w:spacing w:line="480" w:lineRule="exact"/>
      <w:ind w:firstLine="560" w:firstLineChars="200"/>
      <w:jc w:val="center"/>
    </w:pPr>
    <w:rPr>
      <w:rFonts w:ascii="楷体_GB2312" w:eastAsia="黑体"/>
      <w:sz w:val="24"/>
      <w:szCs w:val="24"/>
    </w:rPr>
  </w:style>
  <w:style w:type="character" w:customStyle="1" w:styleId="69">
    <w:name w:val="标题 2 字符"/>
    <w:link w:val="3"/>
    <w:qFormat/>
    <w:uiPriority w:val="0"/>
    <w:rPr>
      <w:rFonts w:ascii="宋体" w:hAnsi="宋体"/>
      <w:b/>
      <w:sz w:val="36"/>
    </w:rPr>
  </w:style>
  <w:style w:type="character" w:customStyle="1" w:styleId="70">
    <w:name w:val="标题 3 字符"/>
    <w:link w:val="4"/>
    <w:qFormat/>
    <w:uiPriority w:val="0"/>
    <w:rPr>
      <w:b/>
      <w:bCs/>
      <w:kern w:val="2"/>
      <w:sz w:val="32"/>
      <w:szCs w:val="32"/>
    </w:rPr>
  </w:style>
  <w:style w:type="character" w:customStyle="1" w:styleId="71">
    <w:name w:val="标题 4 字符"/>
    <w:link w:val="5"/>
    <w:qFormat/>
    <w:uiPriority w:val="0"/>
    <w:rPr>
      <w:rFonts w:ascii="宋体" w:hAnsi="宋体"/>
      <w:b/>
      <w:bCs/>
      <w:color w:val="000000"/>
      <w:kern w:val="2"/>
      <w:sz w:val="24"/>
      <w:szCs w:val="24"/>
    </w:rPr>
  </w:style>
  <w:style w:type="character" w:customStyle="1" w:styleId="72">
    <w:name w:val="标题 5 字符"/>
    <w:link w:val="6"/>
    <w:qFormat/>
    <w:uiPriority w:val="0"/>
    <w:rPr>
      <w:b/>
      <w:bCs/>
      <w:kern w:val="2"/>
      <w:sz w:val="28"/>
      <w:szCs w:val="28"/>
    </w:rPr>
  </w:style>
  <w:style w:type="character" w:customStyle="1" w:styleId="73">
    <w:name w:val="3zw1"/>
    <w:qFormat/>
    <w:uiPriority w:val="0"/>
    <w:rPr>
      <w:color w:val="000000"/>
      <w:sz w:val="21"/>
    </w:rPr>
  </w:style>
  <w:style w:type="character" w:customStyle="1" w:styleId="74">
    <w:name w:val="已访问的超链接1"/>
    <w:qFormat/>
    <w:uiPriority w:val="0"/>
    <w:rPr>
      <w:color w:val="800080"/>
      <w:u w:val="single"/>
    </w:rPr>
  </w:style>
  <w:style w:type="character" w:customStyle="1" w:styleId="75">
    <w:name w:val="正文文本 字符"/>
    <w:link w:val="14"/>
    <w:qFormat/>
    <w:uiPriority w:val="0"/>
    <w:rPr>
      <w:rFonts w:ascii="宋体" w:hAnsi="宋体"/>
      <w:kern w:val="2"/>
      <w:sz w:val="28"/>
    </w:rPr>
  </w:style>
  <w:style w:type="character" w:customStyle="1" w:styleId="76">
    <w:name w:val="正文文本缩进 字符"/>
    <w:link w:val="16"/>
    <w:qFormat/>
    <w:locked/>
    <w:uiPriority w:val="0"/>
    <w:rPr>
      <w:kern w:val="2"/>
      <w:sz w:val="28"/>
    </w:rPr>
  </w:style>
  <w:style w:type="paragraph" w:customStyle="1" w:styleId="77">
    <w:name w:val="1 Char Char Char Char Char Char Char Char Char Char Char Char Char"/>
    <w:basedOn w:val="1"/>
    <w:qFormat/>
    <w:uiPriority w:val="0"/>
  </w:style>
  <w:style w:type="paragraph" w:customStyle="1" w:styleId="78">
    <w:name w:val="1"/>
    <w:basedOn w:val="1"/>
    <w:next w:val="22"/>
    <w:qFormat/>
    <w:uiPriority w:val="0"/>
    <w:rPr>
      <w:rFonts w:ascii="宋体" w:hAnsi="Courier New"/>
    </w:rPr>
  </w:style>
  <w:style w:type="character" w:customStyle="1" w:styleId="79">
    <w:name w:val="纯文本 字符"/>
    <w:link w:val="22"/>
    <w:qFormat/>
    <w:uiPriority w:val="0"/>
    <w:rPr>
      <w:rFonts w:ascii="宋体" w:hAnsi="Courier New"/>
      <w:kern w:val="2"/>
      <w:sz w:val="21"/>
    </w:rPr>
  </w:style>
  <w:style w:type="paragraph" w:customStyle="1" w:styleId="80">
    <w:name w:val="xl22"/>
    <w:basedOn w:val="1"/>
    <w:qFormat/>
    <w:uiPriority w:val="0"/>
    <w:pPr>
      <w:widowControl/>
      <w:pBdr>
        <w:bottom w:val="single" w:color="auto" w:sz="4" w:space="0"/>
        <w:right w:val="single" w:color="auto" w:sz="4" w:space="0"/>
      </w:pBdr>
      <w:spacing w:before="100" w:after="100"/>
      <w:jc w:val="center"/>
    </w:pPr>
    <w:rPr>
      <w:rFonts w:ascii="宋体" w:hAnsi="宋体"/>
      <w:kern w:val="0"/>
    </w:rPr>
  </w:style>
  <w:style w:type="character" w:customStyle="1" w:styleId="81">
    <w:name w:val="正文文本缩进 3 字符"/>
    <w:link w:val="34"/>
    <w:qFormat/>
    <w:uiPriority w:val="0"/>
    <w:rPr>
      <w:kern w:val="2"/>
      <w:sz w:val="28"/>
    </w:rPr>
  </w:style>
  <w:style w:type="character" w:customStyle="1" w:styleId="82">
    <w:name w:val="页眉 字符"/>
    <w:link w:val="27"/>
    <w:qFormat/>
    <w:uiPriority w:val="0"/>
    <w:rPr>
      <w:kern w:val="2"/>
      <w:sz w:val="18"/>
    </w:rPr>
  </w:style>
  <w:style w:type="character" w:customStyle="1" w:styleId="83">
    <w:name w:val="页脚 字符"/>
    <w:link w:val="26"/>
    <w:qFormat/>
    <w:uiPriority w:val="0"/>
    <w:rPr>
      <w:kern w:val="2"/>
      <w:sz w:val="18"/>
    </w:rPr>
  </w:style>
  <w:style w:type="paragraph" w:customStyle="1" w:styleId="84">
    <w:name w:val="Char"/>
    <w:basedOn w:val="1"/>
    <w:qFormat/>
    <w:uiPriority w:val="0"/>
    <w:rPr>
      <w:szCs w:val="24"/>
    </w:rPr>
  </w:style>
  <w:style w:type="character" w:customStyle="1" w:styleId="85">
    <w:name w:val="批注文字 字符"/>
    <w:link w:val="11"/>
    <w:qFormat/>
    <w:uiPriority w:val="0"/>
    <w:rPr>
      <w:kern w:val="2"/>
      <w:sz w:val="21"/>
    </w:rPr>
  </w:style>
  <w:style w:type="character" w:customStyle="1" w:styleId="86">
    <w:name w:val="批注框文本 字符"/>
    <w:link w:val="25"/>
    <w:qFormat/>
    <w:uiPriority w:val="0"/>
    <w:rPr>
      <w:kern w:val="2"/>
      <w:sz w:val="18"/>
      <w:szCs w:val="18"/>
    </w:rPr>
  </w:style>
  <w:style w:type="character" w:customStyle="1" w:styleId="87">
    <w:name w:val="批注主题 字符"/>
    <w:link w:val="43"/>
    <w:qFormat/>
    <w:uiPriority w:val="0"/>
    <w:rPr>
      <w:b/>
      <w:bCs/>
      <w:kern w:val="2"/>
      <w:sz w:val="21"/>
    </w:rPr>
  </w:style>
  <w:style w:type="paragraph" w:customStyle="1" w:styleId="88">
    <w:name w:val="Char1"/>
    <w:basedOn w:val="1"/>
    <w:next w:val="1"/>
    <w:semiHidden/>
    <w:qFormat/>
    <w:uiPriority w:val="0"/>
    <w:pPr>
      <w:spacing w:line="360" w:lineRule="auto"/>
      <w:ind w:firstLine="200" w:firstLineChars="200"/>
    </w:pPr>
    <w:rPr>
      <w:rFonts w:ascii="宋体" w:hAnsi="宋体" w:cs="宋体"/>
      <w:sz w:val="24"/>
      <w:szCs w:val="24"/>
    </w:rPr>
  </w:style>
  <w:style w:type="paragraph" w:customStyle="1" w:styleId="89">
    <w:name w:val="Char Char Char Char Char Char1"/>
    <w:basedOn w:val="1"/>
    <w:next w:val="1"/>
    <w:semiHidden/>
    <w:qFormat/>
    <w:uiPriority w:val="0"/>
    <w:pPr>
      <w:spacing w:line="336" w:lineRule="auto"/>
      <w:ind w:firstLine="200" w:firstLineChars="200"/>
    </w:pPr>
    <w:rPr>
      <w:rFonts w:ascii="宋体" w:hAnsi="宋体" w:eastAsia="汉鼎简书宋" w:cs="宋体"/>
      <w:spacing w:val="4"/>
      <w:sz w:val="24"/>
      <w:szCs w:val="24"/>
    </w:rPr>
  </w:style>
  <w:style w:type="character" w:customStyle="1" w:styleId="90">
    <w:name w:val="正文首行缩进 字符"/>
    <w:link w:val="44"/>
    <w:qFormat/>
    <w:uiPriority w:val="0"/>
    <w:rPr>
      <w:rFonts w:eastAsia="宋体"/>
      <w:kern w:val="2"/>
      <w:sz w:val="21"/>
      <w:lang w:val="en-US" w:eastAsia="zh-CN" w:bidi="ar-SA"/>
    </w:rPr>
  </w:style>
  <w:style w:type="character" w:customStyle="1" w:styleId="91">
    <w:name w:val="表格标题 Char"/>
    <w:link w:val="68"/>
    <w:qFormat/>
    <w:uiPriority w:val="0"/>
    <w:rPr>
      <w:rFonts w:ascii="楷体_GB2312" w:eastAsia="黑体"/>
      <w:kern w:val="2"/>
      <w:sz w:val="24"/>
      <w:szCs w:val="24"/>
      <w:lang w:val="en-US" w:eastAsia="zh-CN" w:bidi="ar-SA"/>
    </w:rPr>
  </w:style>
  <w:style w:type="paragraph" w:customStyle="1" w:styleId="92">
    <w:name w:val="表中文字"/>
    <w:basedOn w:val="1"/>
    <w:qFormat/>
    <w:uiPriority w:val="0"/>
    <w:pPr>
      <w:spacing w:line="300" w:lineRule="exact"/>
      <w:jc w:val="center"/>
    </w:pPr>
    <w:rPr>
      <w:color w:val="000000"/>
      <w:szCs w:val="24"/>
    </w:rPr>
  </w:style>
  <w:style w:type="paragraph" w:customStyle="1" w:styleId="93">
    <w:name w:val="正文2 Char"/>
    <w:basedOn w:val="1"/>
    <w:link w:val="94"/>
    <w:qFormat/>
    <w:uiPriority w:val="0"/>
    <w:pPr>
      <w:spacing w:line="500" w:lineRule="exact"/>
      <w:ind w:firstLine="560" w:firstLineChars="200"/>
    </w:pPr>
    <w:rPr>
      <w:rFonts w:ascii="楷体_GB2312" w:eastAsia="楷体_GB2312" w:cs="宋体"/>
      <w:sz w:val="28"/>
    </w:rPr>
  </w:style>
  <w:style w:type="character" w:customStyle="1" w:styleId="94">
    <w:name w:val="正文2 Char Char"/>
    <w:link w:val="93"/>
    <w:qFormat/>
    <w:uiPriority w:val="0"/>
    <w:rPr>
      <w:rFonts w:ascii="楷体_GB2312" w:eastAsia="楷体_GB2312" w:cs="宋体"/>
      <w:kern w:val="2"/>
      <w:sz w:val="28"/>
      <w:lang w:val="en-US" w:eastAsia="zh-CN" w:bidi="ar-SA"/>
    </w:rPr>
  </w:style>
  <w:style w:type="paragraph" w:customStyle="1" w:styleId="95">
    <w:name w:val="默认段落字体 Para Char"/>
    <w:basedOn w:val="1"/>
    <w:qFormat/>
    <w:uiPriority w:val="0"/>
    <w:rPr>
      <w:sz w:val="24"/>
      <w:szCs w:val="24"/>
    </w:rPr>
  </w:style>
  <w:style w:type="character" w:customStyle="1" w:styleId="96">
    <w:name w:val="font11"/>
    <w:qFormat/>
    <w:uiPriority w:val="0"/>
    <w:rPr>
      <w:rFonts w:hint="eastAsia" w:ascii="宋体" w:hAnsi="宋体" w:eastAsia="宋体"/>
      <w:color w:val="000000"/>
      <w:sz w:val="20"/>
      <w:szCs w:val="20"/>
      <w:u w:val="none"/>
    </w:rPr>
  </w:style>
  <w:style w:type="character" w:customStyle="1" w:styleId="97">
    <w:name w:val="font21"/>
    <w:qFormat/>
    <w:uiPriority w:val="0"/>
    <w:rPr>
      <w:rFonts w:hint="eastAsia" w:ascii="宋体" w:hAnsi="宋体" w:eastAsia="宋体"/>
      <w:color w:val="000000"/>
      <w:sz w:val="20"/>
      <w:szCs w:val="20"/>
      <w:u w:val="none"/>
      <w:vertAlign w:val="superscript"/>
    </w:rPr>
  </w:style>
  <w:style w:type="character" w:customStyle="1" w:styleId="98">
    <w:name w:val="font31"/>
    <w:qFormat/>
    <w:uiPriority w:val="0"/>
    <w:rPr>
      <w:rFonts w:hint="eastAsia" w:ascii="宋体" w:hAnsi="宋体" w:eastAsia="宋体"/>
      <w:color w:val="000000"/>
      <w:sz w:val="20"/>
      <w:szCs w:val="20"/>
      <w:u w:val="none"/>
      <w:vertAlign w:val="subscript"/>
    </w:rPr>
  </w:style>
  <w:style w:type="paragraph" w:customStyle="1" w:styleId="99">
    <w:name w:val="Char Char Char1 Char Char Char1 Char Char Char Char Char Char Char Char Char Char Char Char1 Char Char Char Char Char Char Char"/>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100">
    <w:name w:val="样式4 宋体 Char"/>
    <w:basedOn w:val="1"/>
    <w:qFormat/>
    <w:uiPriority w:val="0"/>
    <w:rPr>
      <w:szCs w:val="24"/>
    </w:rPr>
  </w:style>
  <w:style w:type="paragraph" w:customStyle="1" w:styleId="101">
    <w:name w:val="默认段落字体 Para Char Char Char Char Char Char Char Char Char Char"/>
    <w:basedOn w:val="4"/>
    <w:qFormat/>
    <w:uiPriority w:val="0"/>
    <w:pPr>
      <w:keepNext w:val="0"/>
      <w:keepLines w:val="0"/>
      <w:tabs>
        <w:tab w:val="left" w:pos="360"/>
        <w:tab w:val="left" w:pos="851"/>
        <w:tab w:val="left" w:pos="900"/>
      </w:tabs>
      <w:adjustRightInd w:val="0"/>
      <w:snapToGrid w:val="0"/>
      <w:spacing w:before="120" w:after="120" w:afterLines="50" w:line="360" w:lineRule="auto"/>
      <w:ind w:left="542" w:leftChars="-12" w:right="105" w:rightChars="50" w:firstLine="200" w:firstLineChars="200"/>
      <w:jc w:val="left"/>
    </w:pPr>
    <w:rPr>
      <w:rFonts w:ascii="宋体" w:hAnsi="宋体" w:eastAsia="黑体"/>
      <w:b w:val="0"/>
      <w:bCs w:val="0"/>
      <w:kern w:val="0"/>
      <w:sz w:val="24"/>
      <w:szCs w:val="20"/>
    </w:rPr>
  </w:style>
  <w:style w:type="paragraph" w:customStyle="1" w:styleId="102">
    <w:name w:val="Char Char Char Char Char Char Char"/>
    <w:basedOn w:val="1"/>
    <w:qFormat/>
    <w:uiPriority w:val="0"/>
    <w:pPr>
      <w:spacing w:line="360" w:lineRule="auto"/>
      <w:ind w:firstLine="200" w:firstLineChars="200"/>
    </w:pPr>
    <w:rPr>
      <w:rFonts w:ascii="宋体" w:hAnsi="宋体" w:cs="宋体"/>
      <w:sz w:val="24"/>
      <w:szCs w:val="24"/>
    </w:rPr>
  </w:style>
  <w:style w:type="paragraph" w:customStyle="1" w:styleId="103">
    <w:name w:val="环标3"/>
    <w:basedOn w:val="4"/>
    <w:autoRedefine/>
    <w:qFormat/>
    <w:uiPriority w:val="0"/>
    <w:pPr>
      <w:keepNext w:val="0"/>
      <w:keepLines w:val="0"/>
      <w:adjustRightInd w:val="0"/>
      <w:spacing w:before="0" w:after="0" w:line="480" w:lineRule="atLeast"/>
      <w:jc w:val="left"/>
      <w:textAlignment w:val="baseline"/>
      <w:outlineLvl w:val="0"/>
    </w:pPr>
    <w:rPr>
      <w:rFonts w:ascii="黑体" w:hAnsi="Courier New" w:eastAsia="黑体"/>
      <w:b w:val="0"/>
      <w:bCs w:val="0"/>
      <w:color w:val="000000"/>
      <w:kern w:val="0"/>
      <w:sz w:val="24"/>
      <w:szCs w:val="20"/>
    </w:rPr>
  </w:style>
  <w:style w:type="paragraph" w:customStyle="1" w:styleId="104">
    <w:name w:val="环正文"/>
    <w:basedOn w:val="1"/>
    <w:autoRedefine/>
    <w:qFormat/>
    <w:uiPriority w:val="0"/>
    <w:pPr>
      <w:widowControl/>
      <w:suppressAutoHyphens/>
      <w:adjustRightInd w:val="0"/>
      <w:snapToGrid w:val="0"/>
      <w:spacing w:line="480" w:lineRule="atLeast"/>
      <w:ind w:firstLine="480" w:firstLineChars="200"/>
      <w:textAlignment w:val="baseline"/>
    </w:pPr>
    <w:rPr>
      <w:rFonts w:ascii="宋体" w:hAnsi="宋体"/>
      <w:bCs/>
      <w:kern w:val="0"/>
      <w:sz w:val="24"/>
      <w:szCs w:val="24"/>
    </w:rPr>
  </w:style>
  <w:style w:type="character" w:customStyle="1" w:styleId="105">
    <w:name w:val="文档结构图 字符"/>
    <w:link w:val="10"/>
    <w:qFormat/>
    <w:uiPriority w:val="0"/>
    <w:rPr>
      <w:kern w:val="2"/>
      <w:sz w:val="21"/>
      <w:shd w:val="clear" w:color="auto" w:fill="000080"/>
    </w:rPr>
  </w:style>
  <w:style w:type="paragraph" w:customStyle="1" w:styleId="106">
    <w:name w:val="Char Char Char"/>
    <w:basedOn w:val="1"/>
    <w:qFormat/>
    <w:uiPriority w:val="0"/>
    <w:rPr>
      <w:sz w:val="24"/>
      <w:szCs w:val="24"/>
    </w:rPr>
  </w:style>
  <w:style w:type="paragraph" w:customStyle="1" w:styleId="107">
    <w:name w:val="Char Char Char Char Char Char"/>
    <w:basedOn w:val="1"/>
    <w:qFormat/>
    <w:uiPriority w:val="0"/>
    <w:rPr>
      <w:sz w:val="24"/>
      <w:szCs w:val="24"/>
    </w:rPr>
  </w:style>
  <w:style w:type="paragraph" w:customStyle="1" w:styleId="108">
    <w:name w:val="xl24"/>
    <w:basedOn w:val="1"/>
    <w:qFormat/>
    <w:uiPriority w:val="0"/>
    <w:pPr>
      <w:widowControl/>
      <w:pBdr>
        <w:left w:val="single" w:color="auto" w:sz="4" w:space="0"/>
        <w:bottom w:val="single" w:color="auto" w:sz="4" w:space="0"/>
        <w:right w:val="single" w:color="auto" w:sz="4" w:space="0"/>
      </w:pBdr>
      <w:spacing w:before="100" w:after="100"/>
      <w:jc w:val="center"/>
      <w:textAlignment w:val="center"/>
    </w:pPr>
    <w:rPr>
      <w:rFonts w:ascii="宋体" w:hAnsi="宋体"/>
      <w:kern w:val="0"/>
      <w:sz w:val="24"/>
      <w:szCs w:val="24"/>
    </w:rPr>
  </w:style>
  <w:style w:type="paragraph" w:customStyle="1" w:styleId="109">
    <w:name w:val="表格"/>
    <w:basedOn w:val="1"/>
    <w:link w:val="110"/>
    <w:qFormat/>
    <w:uiPriority w:val="0"/>
    <w:pPr>
      <w:adjustRightInd w:val="0"/>
      <w:snapToGrid w:val="0"/>
      <w:spacing w:line="240" w:lineRule="atLeast"/>
      <w:jc w:val="center"/>
    </w:pPr>
    <w:rPr>
      <w:rFonts w:eastAsia="仿宋_GB2312"/>
    </w:rPr>
  </w:style>
  <w:style w:type="character" w:customStyle="1" w:styleId="110">
    <w:name w:val="表格 Char"/>
    <w:link w:val="109"/>
    <w:qFormat/>
    <w:locked/>
    <w:uiPriority w:val="0"/>
    <w:rPr>
      <w:rFonts w:eastAsia="仿宋_GB2312"/>
      <w:kern w:val="2"/>
      <w:sz w:val="21"/>
      <w:lang w:val="en-US" w:eastAsia="zh-CN" w:bidi="ar-SA"/>
    </w:rPr>
  </w:style>
  <w:style w:type="paragraph" w:customStyle="1" w:styleId="111">
    <w:name w:val="样式 黑体 小四 加粗 黑色 居中 行距: 固定值 26 磅"/>
    <w:basedOn w:val="1"/>
    <w:next w:val="22"/>
    <w:qFormat/>
    <w:uiPriority w:val="0"/>
    <w:pPr>
      <w:spacing w:line="520" w:lineRule="exact"/>
      <w:jc w:val="center"/>
    </w:pPr>
    <w:rPr>
      <w:rFonts w:ascii="楷体_GB2312" w:hAnsi="黑体" w:eastAsia="楷体_GB2312"/>
      <w:bCs/>
      <w:color w:val="000000"/>
      <w:sz w:val="28"/>
      <w:szCs w:val="28"/>
    </w:rPr>
  </w:style>
  <w:style w:type="paragraph" w:customStyle="1" w:styleId="112">
    <w:name w:val="图文框"/>
    <w:basedOn w:val="1"/>
    <w:autoRedefine/>
    <w:qFormat/>
    <w:uiPriority w:val="0"/>
    <w:pPr>
      <w:autoSpaceDE w:val="0"/>
      <w:autoSpaceDN w:val="0"/>
      <w:adjustRightInd w:val="0"/>
      <w:snapToGrid w:val="0"/>
      <w:spacing w:line="320" w:lineRule="exact"/>
      <w:jc w:val="center"/>
      <w:textAlignment w:val="baseline"/>
    </w:pPr>
    <w:rPr>
      <w:bCs/>
      <w:color w:val="000000"/>
      <w:szCs w:val="21"/>
    </w:rPr>
  </w:style>
  <w:style w:type="paragraph" w:customStyle="1" w:styleId="113">
    <w:name w:val="表"/>
    <w:basedOn w:val="1"/>
    <w:qFormat/>
    <w:uiPriority w:val="0"/>
    <w:pPr>
      <w:snapToGrid w:val="0"/>
      <w:jc w:val="center"/>
    </w:pPr>
    <w:rPr>
      <w:spacing w:val="2"/>
    </w:rPr>
  </w:style>
  <w:style w:type="paragraph" w:customStyle="1" w:styleId="114">
    <w:name w:val="表格文字"/>
    <w:basedOn w:val="14"/>
    <w:link w:val="115"/>
    <w:qFormat/>
    <w:uiPriority w:val="0"/>
    <w:pPr>
      <w:autoSpaceDE w:val="0"/>
      <w:autoSpaceDN w:val="0"/>
      <w:adjustRightInd w:val="0"/>
      <w:spacing w:before="60" w:after="60"/>
      <w:jc w:val="center"/>
      <w:textAlignment w:val="bottom"/>
    </w:pPr>
    <w:rPr>
      <w:rFonts w:eastAsia="仿宋_GB2312"/>
      <w:kern w:val="0"/>
      <w:sz w:val="24"/>
    </w:rPr>
  </w:style>
  <w:style w:type="character" w:customStyle="1" w:styleId="115">
    <w:name w:val="表格文字 Char"/>
    <w:link w:val="114"/>
    <w:qFormat/>
    <w:uiPriority w:val="0"/>
    <w:rPr>
      <w:rFonts w:eastAsia="仿宋_GB2312"/>
      <w:sz w:val="24"/>
    </w:rPr>
  </w:style>
  <w:style w:type="paragraph" w:customStyle="1" w:styleId="116">
    <w:name w:val="表格式"/>
    <w:basedOn w:val="31"/>
    <w:qFormat/>
    <w:uiPriority w:val="0"/>
    <w:pPr>
      <w:spacing w:before="156" w:beforeLines="50" w:after="156" w:afterLines="50" w:line="200" w:lineRule="exact"/>
      <w:ind w:left="0" w:firstLine="0" w:firstLineChars="0"/>
      <w:jc w:val="center"/>
    </w:pPr>
    <w:rPr>
      <w:szCs w:val="20"/>
    </w:rPr>
  </w:style>
  <w:style w:type="paragraph" w:customStyle="1" w:styleId="117">
    <w:name w:val="中文报告书样式"/>
    <w:basedOn w:val="1"/>
    <w:qFormat/>
    <w:uiPriority w:val="0"/>
    <w:pPr>
      <w:adjustRightInd w:val="0"/>
      <w:spacing w:line="480" w:lineRule="atLeast"/>
      <w:ind w:firstLine="482"/>
      <w:textAlignment w:val="baseline"/>
    </w:pPr>
    <w:rPr>
      <w:kern w:val="24"/>
      <w:sz w:val="24"/>
    </w:rPr>
  </w:style>
  <w:style w:type="paragraph" w:customStyle="1" w:styleId="118">
    <w:name w:val="Char Char Char Char Char Char Char Char Char Char Char Char"/>
    <w:basedOn w:val="1"/>
    <w:qFormat/>
    <w:uiPriority w:val="0"/>
    <w:rPr>
      <w:sz w:val="24"/>
      <w:szCs w:val="24"/>
    </w:rPr>
  </w:style>
  <w:style w:type="paragraph" w:customStyle="1" w:styleId="119">
    <w:name w:val="正文（首行缩进） Char"/>
    <w:basedOn w:val="1"/>
    <w:link w:val="120"/>
    <w:qFormat/>
    <w:uiPriority w:val="0"/>
    <w:pPr>
      <w:widowControl/>
      <w:overflowPunct w:val="0"/>
      <w:topLinePunct/>
      <w:autoSpaceDE w:val="0"/>
      <w:autoSpaceDN w:val="0"/>
      <w:adjustRightInd w:val="0"/>
      <w:snapToGrid w:val="0"/>
      <w:spacing w:line="360" w:lineRule="auto"/>
      <w:ind w:firstLine="480" w:firstLineChars="200"/>
      <w:textAlignment w:val="baseline"/>
    </w:pPr>
    <w:rPr>
      <w:snapToGrid w:val="0"/>
      <w:kern w:val="0"/>
      <w:sz w:val="24"/>
      <w:szCs w:val="24"/>
      <w:lang w:val="zh-CN"/>
    </w:rPr>
  </w:style>
  <w:style w:type="character" w:customStyle="1" w:styleId="120">
    <w:name w:val="正文（首行缩进） Char Char"/>
    <w:link w:val="119"/>
    <w:qFormat/>
    <w:uiPriority w:val="0"/>
    <w:rPr>
      <w:snapToGrid w:val="0"/>
      <w:sz w:val="24"/>
      <w:szCs w:val="24"/>
    </w:rPr>
  </w:style>
  <w:style w:type="paragraph" w:customStyle="1" w:styleId="121">
    <w:name w:val="TOC 标题1"/>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122">
    <w:name w:val="apple-style-span"/>
    <w:basedOn w:val="54"/>
    <w:qFormat/>
    <w:uiPriority w:val="0"/>
  </w:style>
  <w:style w:type="character" w:customStyle="1" w:styleId="123">
    <w:name w:val="标题 字符"/>
    <w:link w:val="42"/>
    <w:qFormat/>
    <w:uiPriority w:val="0"/>
    <w:rPr>
      <w:rFonts w:ascii="Cambria" w:hAnsi="Cambria" w:cs="Times New Roman"/>
      <w:b/>
      <w:bCs/>
      <w:kern w:val="2"/>
      <w:sz w:val="32"/>
      <w:szCs w:val="32"/>
    </w:rPr>
  </w:style>
  <w:style w:type="paragraph" w:customStyle="1" w:styleId="124">
    <w:name w:val="Char Char Char1"/>
    <w:basedOn w:val="1"/>
    <w:qFormat/>
    <w:uiPriority w:val="0"/>
    <w:rPr>
      <w:sz w:val="24"/>
      <w:szCs w:val="24"/>
    </w:rPr>
  </w:style>
  <w:style w:type="paragraph" w:customStyle="1" w:styleId="125">
    <w:name w:val="样式1"/>
    <w:basedOn w:val="27"/>
    <w:link w:val="126"/>
    <w:qFormat/>
    <w:uiPriority w:val="0"/>
    <w:pPr>
      <w:pBdr>
        <w:bottom w:val="none" w:color="auto" w:sz="0" w:space="0"/>
      </w:pBdr>
    </w:pPr>
  </w:style>
  <w:style w:type="character" w:customStyle="1" w:styleId="126">
    <w:name w:val="样式1 Char"/>
    <w:basedOn w:val="82"/>
    <w:link w:val="125"/>
    <w:qFormat/>
    <w:uiPriority w:val="0"/>
    <w:rPr>
      <w:kern w:val="2"/>
      <w:sz w:val="18"/>
    </w:rPr>
  </w:style>
  <w:style w:type="paragraph" w:customStyle="1" w:styleId="127">
    <w:name w:val="p0"/>
    <w:basedOn w:val="1"/>
    <w:qFormat/>
    <w:uiPriority w:val="0"/>
    <w:pPr>
      <w:widowControl/>
    </w:pPr>
    <w:rPr>
      <w:kern w:val="0"/>
      <w:szCs w:val="21"/>
    </w:rPr>
  </w:style>
  <w:style w:type="character" w:customStyle="1" w:styleId="128">
    <w:name w:val="HTML 预设格式 字符"/>
    <w:link w:val="39"/>
    <w:qFormat/>
    <w:uiPriority w:val="99"/>
    <w:rPr>
      <w:rFonts w:ascii="Arial" w:hAnsi="Arial" w:cs="Arial"/>
      <w:sz w:val="21"/>
      <w:szCs w:val="21"/>
    </w:rPr>
  </w:style>
  <w:style w:type="character" w:customStyle="1" w:styleId="129">
    <w:name w:val="脚注文本 字符"/>
    <w:link w:val="32"/>
    <w:qFormat/>
    <w:uiPriority w:val="0"/>
    <w:rPr>
      <w:rFonts w:ascii="Arial" w:hAnsi="Arial" w:eastAsia="仿宋_GB2312"/>
      <w:sz w:val="18"/>
      <w:szCs w:val="18"/>
    </w:rPr>
  </w:style>
  <w:style w:type="character" w:customStyle="1" w:styleId="130">
    <w:name w:val="fontstyle01"/>
    <w:qFormat/>
    <w:uiPriority w:val="0"/>
    <w:rPr>
      <w:rFonts w:hint="eastAsia" w:ascii="宋体" w:hAnsi="宋体" w:eastAsia="宋体"/>
      <w:color w:val="000000"/>
      <w:sz w:val="24"/>
      <w:szCs w:val="24"/>
    </w:rPr>
  </w:style>
  <w:style w:type="character" w:customStyle="1" w:styleId="131">
    <w:name w:val="fontstyle21"/>
    <w:qFormat/>
    <w:uiPriority w:val="0"/>
    <w:rPr>
      <w:rFonts w:hint="default" w:ascii="TimesNewRoman" w:hAnsi="TimesNewRoman"/>
      <w:color w:val="000000"/>
      <w:sz w:val="24"/>
      <w:szCs w:val="24"/>
    </w:rPr>
  </w:style>
  <w:style w:type="paragraph" w:customStyle="1" w:styleId="132">
    <w:name w:val="IDC A-Head (2nd Line)"/>
    <w:basedOn w:val="1"/>
    <w:next w:val="1"/>
    <w:qFormat/>
    <w:uiPriority w:val="0"/>
    <w:pPr>
      <w:widowControl/>
      <w:jc w:val="center"/>
    </w:pPr>
    <w:rPr>
      <w:caps/>
      <w:kern w:val="0"/>
      <w:sz w:val="24"/>
    </w:rPr>
  </w:style>
  <w:style w:type="paragraph" w:customStyle="1" w:styleId="133">
    <w:name w:val="正文－1.2倍行距－段后6磅"/>
    <w:basedOn w:val="1"/>
    <w:link w:val="134"/>
    <w:qFormat/>
    <w:uiPriority w:val="0"/>
    <w:pPr>
      <w:spacing w:after="120" w:line="400" w:lineRule="exact"/>
      <w:ind w:firstLine="200" w:firstLineChars="200"/>
    </w:pPr>
    <w:rPr>
      <w:rFonts w:ascii="Calibri" w:hAnsi="Calibri"/>
      <w:sz w:val="24"/>
      <w:szCs w:val="21"/>
      <w:lang w:val="zh-CN"/>
    </w:rPr>
  </w:style>
  <w:style w:type="character" w:customStyle="1" w:styleId="134">
    <w:name w:val="正文－1.2倍行距－段后6磅 Char"/>
    <w:link w:val="133"/>
    <w:qFormat/>
    <w:uiPriority w:val="0"/>
    <w:rPr>
      <w:rFonts w:ascii="Calibri" w:hAnsi="Calibri"/>
      <w:kern w:val="2"/>
      <w:sz w:val="24"/>
      <w:szCs w:val="21"/>
    </w:rPr>
  </w:style>
  <w:style w:type="paragraph" w:customStyle="1" w:styleId="135">
    <w:name w:val="正文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6">
    <w:name w:val="正文 New New New New New New New New New"/>
    <w:qFormat/>
    <w:uiPriority w:val="0"/>
    <w:pPr>
      <w:widowControl w:val="0"/>
      <w:jc w:val="both"/>
    </w:pPr>
    <w:rPr>
      <w:rFonts w:ascii="Times New Roman" w:hAnsi="Times New Roman" w:eastAsia="黑体" w:cs="Times New Roman"/>
      <w:sz w:val="21"/>
      <w:lang w:val="en-US" w:eastAsia="zh-CN" w:bidi="ar-SA"/>
    </w:rPr>
  </w:style>
  <w:style w:type="paragraph" w:customStyle="1" w:styleId="137">
    <w:name w:val="_Style 4"/>
    <w:basedOn w:val="1"/>
    <w:qFormat/>
    <w:uiPriority w:val="0"/>
  </w:style>
  <w:style w:type="character" w:customStyle="1" w:styleId="138">
    <w:name w:val="fontstyle11"/>
    <w:qFormat/>
    <w:uiPriority w:val="0"/>
    <w:rPr>
      <w:rFonts w:hint="default" w:ascii="TimesNewRomanPSMT" w:hAnsi="TimesNewRomanPSMT"/>
      <w:color w:val="000000"/>
      <w:sz w:val="24"/>
      <w:szCs w:val="24"/>
    </w:rPr>
  </w:style>
  <w:style w:type="paragraph" w:customStyle="1" w:styleId="139">
    <w:name w:val="xl25"/>
    <w:basedOn w:val="1"/>
    <w:qFormat/>
    <w:uiPriority w:val="0"/>
    <w:pPr>
      <w:widowControl/>
      <w:pBdr>
        <w:bottom w:val="single" w:color="auto" w:sz="4" w:space="0"/>
        <w:right w:val="single" w:color="auto" w:sz="4" w:space="0"/>
      </w:pBdr>
      <w:spacing w:before="100" w:beforeAutospacing="1" w:after="100" w:afterAutospacing="1"/>
    </w:pPr>
    <w:rPr>
      <w:kern w:val="0"/>
      <w:szCs w:val="21"/>
    </w:rPr>
  </w:style>
  <w:style w:type="paragraph" w:customStyle="1" w:styleId="140">
    <w:name w:val="xl36"/>
    <w:basedOn w:val="1"/>
    <w:qFormat/>
    <w:uiPriority w:val="0"/>
    <w:pPr>
      <w:widowControl/>
      <w:pBdr>
        <w:left w:val="single" w:color="auto" w:sz="4" w:space="0"/>
        <w:right w:val="single" w:color="auto" w:sz="4" w:space="0"/>
      </w:pBdr>
      <w:spacing w:before="100" w:beforeAutospacing="1" w:after="100" w:afterAutospacing="1"/>
      <w:jc w:val="center"/>
      <w:textAlignment w:val="top"/>
    </w:pPr>
    <w:rPr>
      <w:kern w:val="0"/>
      <w:sz w:val="24"/>
      <w:szCs w:val="24"/>
    </w:rPr>
  </w:style>
  <w:style w:type="paragraph" w:customStyle="1" w:styleId="141">
    <w:name w:val="正文－1.5行距－段后6磅"/>
    <w:basedOn w:val="1"/>
    <w:link w:val="142"/>
    <w:qFormat/>
    <w:uiPriority w:val="0"/>
    <w:pPr>
      <w:spacing w:after="120" w:line="360" w:lineRule="auto"/>
      <w:ind w:firstLine="200" w:firstLineChars="200"/>
    </w:pPr>
    <w:rPr>
      <w:rFonts w:ascii="Calibri" w:hAnsi="Calibri"/>
      <w:sz w:val="24"/>
      <w:szCs w:val="21"/>
      <w:lang w:val="zh-CN"/>
    </w:rPr>
  </w:style>
  <w:style w:type="character" w:customStyle="1" w:styleId="142">
    <w:name w:val="正文－1.5行距－段后6磅 Char"/>
    <w:link w:val="141"/>
    <w:qFormat/>
    <w:uiPriority w:val="0"/>
    <w:rPr>
      <w:rFonts w:ascii="Calibri" w:hAnsi="Calibri"/>
      <w:kern w:val="2"/>
      <w:sz w:val="24"/>
      <w:szCs w:val="21"/>
    </w:rPr>
  </w:style>
  <w:style w:type="paragraph" w:customStyle="1" w:styleId="143">
    <w:name w:val="表内式样"/>
    <w:qFormat/>
    <w:uiPriority w:val="0"/>
    <w:pPr>
      <w:widowControl w:val="0"/>
      <w:spacing w:line="200" w:lineRule="atLeast"/>
      <w:jc w:val="center"/>
    </w:pPr>
    <w:rPr>
      <w:rFonts w:ascii="宋体" w:hAnsi="宋体" w:eastAsia="宋体" w:cs="Times New Roman"/>
      <w:color w:val="000000"/>
      <w:kern w:val="2"/>
      <w:sz w:val="21"/>
      <w:lang w:val="en-US" w:eastAsia="zh-CN" w:bidi="ar-SA"/>
    </w:rPr>
  </w:style>
  <w:style w:type="paragraph" w:customStyle="1" w:styleId="144">
    <w:name w:val="xl29"/>
    <w:basedOn w:val="1"/>
    <w:qFormat/>
    <w:uiPriority w:val="0"/>
    <w:pPr>
      <w:widowControl/>
      <w:pBdr>
        <w:right w:val="single" w:color="auto" w:sz="8" w:space="0"/>
      </w:pBdr>
      <w:spacing w:before="100" w:beforeAutospacing="1" w:after="100" w:afterAutospacing="1"/>
      <w:jc w:val="center"/>
      <w:textAlignment w:val="center"/>
    </w:pPr>
    <w:rPr>
      <w:rFonts w:hint="eastAsia" w:ascii="宋体" w:hAnsi="宋体"/>
      <w:kern w:val="0"/>
      <w:sz w:val="20"/>
    </w:rPr>
  </w:style>
  <w:style w:type="paragraph" w:customStyle="1" w:styleId="145">
    <w:name w:val="Char Char Char Char"/>
    <w:basedOn w:val="1"/>
    <w:qFormat/>
    <w:uiPriority w:val="0"/>
    <w:rPr>
      <w:sz w:val="24"/>
      <w:szCs w:val="24"/>
    </w:rPr>
  </w:style>
  <w:style w:type="paragraph" w:customStyle="1" w:styleId="146">
    <w:name w:val="样式Fu01"/>
    <w:basedOn w:val="1"/>
    <w:qFormat/>
    <w:uiPriority w:val="0"/>
    <w:pPr>
      <w:autoSpaceDE w:val="0"/>
      <w:autoSpaceDN w:val="0"/>
      <w:adjustRightInd w:val="0"/>
      <w:spacing w:before="40" w:after="40" w:line="0" w:lineRule="atLeast"/>
      <w:jc w:val="left"/>
    </w:pPr>
    <w:rPr>
      <w:rFonts w:ascii="幼圆" w:eastAsia="幼圆"/>
      <w:snapToGrid w:val="0"/>
      <w:kern w:val="0"/>
    </w:rPr>
  </w:style>
  <w:style w:type="paragraph" w:customStyle="1" w:styleId="147">
    <w:name w:val="高表内"/>
    <w:basedOn w:val="22"/>
    <w:qFormat/>
    <w:uiPriority w:val="0"/>
    <w:pPr>
      <w:autoSpaceDE w:val="0"/>
      <w:adjustRightInd w:val="0"/>
      <w:snapToGrid w:val="0"/>
      <w:jc w:val="center"/>
      <w:textAlignment w:val="baseline"/>
    </w:pPr>
    <w:rPr>
      <w:rFonts w:ascii="Arial" w:hAnsi="Arial" w:eastAsia="楷体_GB2312"/>
      <w:sz w:val="24"/>
      <w:szCs w:val="24"/>
      <w:lang w:val="en-US"/>
    </w:rPr>
  </w:style>
  <w:style w:type="paragraph" w:customStyle="1" w:styleId="148">
    <w:name w:val="样式 标题 2节标题 1.1节第一章 标题 2Heading 2 HiddenHeading 2 CCBSheadi..."/>
    <w:basedOn w:val="3"/>
    <w:qFormat/>
    <w:uiPriority w:val="0"/>
    <w:pPr>
      <w:keepNext/>
      <w:keepLines/>
      <w:widowControl w:val="0"/>
      <w:spacing w:beforeAutospacing="0" w:afterAutospacing="0" w:line="520" w:lineRule="exact"/>
      <w:jc w:val="both"/>
    </w:pPr>
    <w:rPr>
      <w:rFonts w:cs="宋体"/>
      <w:bCs/>
      <w:kern w:val="2"/>
      <w:sz w:val="28"/>
    </w:rPr>
  </w:style>
  <w:style w:type="paragraph" w:customStyle="1" w:styleId="149">
    <w:name w:val="Char Char Char Char Char Char Char Char Char1 Char Char Char Char"/>
    <w:basedOn w:val="1"/>
    <w:qFormat/>
    <w:uiPriority w:val="0"/>
    <w:rPr>
      <w:szCs w:val="21"/>
    </w:rPr>
  </w:style>
  <w:style w:type="character" w:customStyle="1" w:styleId="150">
    <w:name w:val="content"/>
    <w:basedOn w:val="54"/>
    <w:qFormat/>
    <w:uiPriority w:val="0"/>
  </w:style>
  <w:style w:type="paragraph" w:customStyle="1" w:styleId="151">
    <w:name w:val="Char Char Char Char Char Char2"/>
    <w:basedOn w:val="1"/>
    <w:qFormat/>
    <w:uiPriority w:val="0"/>
    <w:rPr>
      <w:sz w:val="24"/>
      <w:szCs w:val="24"/>
    </w:rPr>
  </w:style>
  <w:style w:type="paragraph" w:customStyle="1" w:styleId="152">
    <w:name w:val="正文文字 Char"/>
    <w:basedOn w:val="1"/>
    <w:next w:val="22"/>
    <w:qFormat/>
    <w:uiPriority w:val="0"/>
    <w:rPr>
      <w:rFonts w:ascii="宋体" w:hAnsi="Courier New"/>
    </w:rPr>
  </w:style>
  <w:style w:type="paragraph" w:customStyle="1" w:styleId="153">
    <w:name w:val="目录222222"/>
    <w:basedOn w:val="3"/>
    <w:qFormat/>
    <w:uiPriority w:val="0"/>
    <w:pPr>
      <w:keepNext/>
      <w:keepLines/>
      <w:widowControl w:val="0"/>
      <w:spacing w:before="260" w:beforeAutospacing="0" w:after="260" w:afterLines="50" w:afterAutospacing="0" w:line="288" w:lineRule="auto"/>
      <w:jc w:val="both"/>
    </w:pPr>
    <w:rPr>
      <w:rFonts w:ascii="Arial" w:hAnsi="Arial" w:eastAsia="黑体"/>
      <w:bCs/>
      <w:kern w:val="2"/>
      <w:sz w:val="28"/>
      <w:szCs w:val="32"/>
    </w:rPr>
  </w:style>
  <w:style w:type="paragraph" w:customStyle="1" w:styleId="154">
    <w:name w:val="目录1111111"/>
    <w:basedOn w:val="2"/>
    <w:qFormat/>
    <w:uiPriority w:val="0"/>
    <w:pPr>
      <w:spacing w:before="120" w:after="120" w:line="360" w:lineRule="auto"/>
      <w:jc w:val="center"/>
    </w:pPr>
    <w:rPr>
      <w:lang w:val="en-US"/>
    </w:rPr>
  </w:style>
  <w:style w:type="paragraph" w:customStyle="1" w:styleId="155">
    <w:name w:val="111正文文本"/>
    <w:basedOn w:val="1"/>
    <w:qFormat/>
    <w:uiPriority w:val="0"/>
    <w:pPr>
      <w:spacing w:before="78" w:line="400" w:lineRule="exact"/>
      <w:ind w:firstLine="480" w:firstLineChars="200"/>
    </w:pPr>
    <w:rPr>
      <w:sz w:val="24"/>
      <w:szCs w:val="24"/>
    </w:rPr>
  </w:style>
  <w:style w:type="paragraph" w:customStyle="1" w:styleId="156">
    <w:name w:val="xl30"/>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宋体" w:hAnsi="宋体"/>
      <w:color w:val="000000"/>
      <w:kern w:val="0"/>
      <w:sz w:val="24"/>
    </w:rPr>
  </w:style>
  <w:style w:type="paragraph" w:customStyle="1" w:styleId="157">
    <w:name w:val="样式 标题 3 + 段前: 0.5 行 段后: 0.5 行1"/>
    <w:basedOn w:val="4"/>
    <w:qFormat/>
    <w:uiPriority w:val="0"/>
    <w:pPr>
      <w:tabs>
        <w:tab w:val="left" w:pos="1233"/>
        <w:tab w:val="left" w:pos="1700"/>
      </w:tabs>
      <w:adjustRightInd w:val="0"/>
      <w:snapToGrid w:val="0"/>
      <w:spacing w:beforeLines="100" w:after="50" w:line="360" w:lineRule="auto"/>
      <w:ind w:left="600" w:firstLine="314" w:firstLineChars="131"/>
      <w:jc w:val="left"/>
    </w:pPr>
    <w:rPr>
      <w:rFonts w:ascii="宋体" w:hAnsi="宋体" w:cs="宋体"/>
      <w:b w:val="0"/>
      <w:bCs w:val="0"/>
      <w:sz w:val="24"/>
      <w:szCs w:val="20"/>
      <w:lang w:val="en-US"/>
    </w:rPr>
  </w:style>
  <w:style w:type="paragraph" w:customStyle="1" w:styleId="158">
    <w:name w:val="框图"/>
    <w:basedOn w:val="1"/>
    <w:autoRedefine/>
    <w:qFormat/>
    <w:uiPriority w:val="0"/>
    <w:pPr>
      <w:adjustRightInd w:val="0"/>
      <w:snapToGrid w:val="0"/>
      <w:ind w:left="2" w:leftChars="-38" w:right="-106" w:rightChars="-38" w:hanging="108" w:hangingChars="54"/>
      <w:jc w:val="center"/>
    </w:pPr>
    <w:rPr>
      <w:rFonts w:ascii="仿宋_GB2312" w:eastAsia="仿宋_GB2312"/>
      <w:sz w:val="20"/>
    </w:rPr>
  </w:style>
  <w:style w:type="paragraph" w:customStyle="1" w:styleId="159">
    <w:name w:val="表格内文字"/>
    <w:basedOn w:val="1"/>
    <w:link w:val="160"/>
    <w:qFormat/>
    <w:uiPriority w:val="0"/>
    <w:pPr>
      <w:tabs>
        <w:tab w:val="left" w:pos="0"/>
      </w:tabs>
      <w:adjustRightInd w:val="0"/>
      <w:snapToGrid w:val="0"/>
      <w:jc w:val="center"/>
    </w:pPr>
    <w:rPr>
      <w:rFonts w:eastAsia="仿宋_GB2312"/>
      <w:sz w:val="24"/>
      <w:szCs w:val="24"/>
    </w:rPr>
  </w:style>
  <w:style w:type="character" w:customStyle="1" w:styleId="160">
    <w:name w:val="表格内文字 Char"/>
    <w:link w:val="159"/>
    <w:qFormat/>
    <w:uiPriority w:val="0"/>
    <w:rPr>
      <w:rFonts w:eastAsia="仿宋_GB2312"/>
      <w:kern w:val="2"/>
      <w:sz w:val="24"/>
      <w:szCs w:val="24"/>
    </w:rPr>
  </w:style>
  <w:style w:type="character" w:customStyle="1" w:styleId="161">
    <w:name w:val="正文不缩进 Char1"/>
    <w:qFormat/>
    <w:uiPriority w:val="0"/>
    <w:rPr>
      <w:rFonts w:eastAsia="宋体"/>
      <w:kern w:val="2"/>
      <w:sz w:val="21"/>
      <w:szCs w:val="24"/>
      <w:lang w:val="en-US" w:eastAsia="zh-CN" w:bidi="ar-SA"/>
    </w:rPr>
  </w:style>
  <w:style w:type="character" w:customStyle="1" w:styleId="162">
    <w:name w:val="t_tag"/>
    <w:basedOn w:val="54"/>
    <w:qFormat/>
    <w:uiPriority w:val="0"/>
  </w:style>
  <w:style w:type="character" w:customStyle="1" w:styleId="163">
    <w:name w:val="search_content1"/>
    <w:qFormat/>
    <w:uiPriority w:val="0"/>
    <w:rPr>
      <w:sz w:val="20"/>
      <w:szCs w:val="20"/>
    </w:rPr>
  </w:style>
  <w:style w:type="paragraph" w:customStyle="1" w:styleId="164">
    <w:name w:val="pic-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5">
    <w:name w:val="表格内容自定"/>
    <w:basedOn w:val="1"/>
    <w:qFormat/>
    <w:uiPriority w:val="0"/>
    <w:pPr>
      <w:spacing w:line="280" w:lineRule="exact"/>
      <w:jc w:val="center"/>
    </w:pPr>
    <w:rPr>
      <w:kern w:val="0"/>
      <w:sz w:val="18"/>
      <w:szCs w:val="21"/>
    </w:rPr>
  </w:style>
  <w:style w:type="character" w:customStyle="1" w:styleId="166">
    <w:name w:val="headline-content2"/>
    <w:basedOn w:val="54"/>
    <w:qFormat/>
    <w:uiPriority w:val="0"/>
  </w:style>
  <w:style w:type="character" w:customStyle="1" w:styleId="167">
    <w:name w:val="text_edit1"/>
    <w:qFormat/>
    <w:uiPriority w:val="0"/>
    <w:rPr>
      <w:color w:val="3366CC"/>
      <w:sz w:val="18"/>
      <w:szCs w:val="18"/>
    </w:rPr>
  </w:style>
  <w:style w:type="paragraph" w:customStyle="1" w:styleId="168">
    <w:name w:val="1正文段落"/>
    <w:basedOn w:val="1"/>
    <w:qFormat/>
    <w:uiPriority w:val="0"/>
    <w:pPr>
      <w:spacing w:line="360" w:lineRule="auto"/>
      <w:ind w:firstLine="480" w:firstLineChars="200"/>
      <w:jc w:val="left"/>
    </w:pPr>
    <w:rPr>
      <w:snapToGrid w:val="0"/>
      <w:kern w:val="0"/>
      <w:sz w:val="24"/>
    </w:rPr>
  </w:style>
  <w:style w:type="character" w:customStyle="1" w:styleId="169">
    <w:name w:val="hxtj3"/>
    <w:qFormat/>
    <w:uiPriority w:val="0"/>
    <w:rPr>
      <w:color w:val="000000"/>
      <w:sz w:val="18"/>
      <w:u w:val="none"/>
    </w:rPr>
  </w:style>
  <w:style w:type="paragraph" w:customStyle="1" w:styleId="170">
    <w:name w:val="text"/>
    <w:basedOn w:val="1"/>
    <w:qFormat/>
    <w:uiPriority w:val="0"/>
    <w:pPr>
      <w:widowControl/>
      <w:jc w:val="left"/>
    </w:pPr>
    <w:rPr>
      <w:rFonts w:ascii="宋体" w:hAnsi="宋体" w:cs="宋体"/>
      <w:kern w:val="0"/>
      <w:sz w:val="24"/>
      <w:szCs w:val="24"/>
    </w:rPr>
  </w:style>
  <w:style w:type="paragraph" w:customStyle="1" w:styleId="171">
    <w:name w:val="十字正文"/>
    <w:qFormat/>
    <w:uiPriority w:val="0"/>
    <w:pPr>
      <w:spacing w:line="300" w:lineRule="auto"/>
      <w:ind w:firstLine="480" w:firstLineChars="200"/>
    </w:pPr>
    <w:rPr>
      <w:rFonts w:ascii="Times New Roman" w:hAnsi="Times New Roman" w:eastAsia="宋体" w:cs="Times New Roman"/>
      <w:sz w:val="24"/>
      <w:lang w:val="en-US" w:eastAsia="zh-CN" w:bidi="ar-SA"/>
    </w:rPr>
  </w:style>
  <w:style w:type="character" w:customStyle="1" w:styleId="172">
    <w:name w:val="zw1"/>
    <w:qFormat/>
    <w:uiPriority w:val="0"/>
    <w:rPr>
      <w:rFonts w:hint="eastAsia" w:ascii="宋体" w:hAnsi="宋体" w:eastAsia="宋体"/>
      <w:kern w:val="2"/>
      <w:sz w:val="22"/>
      <w:lang w:val="en-US" w:eastAsia="zh-CN"/>
    </w:rPr>
  </w:style>
  <w:style w:type="character" w:customStyle="1" w:styleId="173">
    <w:name w:val="标题 2 Char1"/>
    <w:qFormat/>
    <w:uiPriority w:val="0"/>
    <w:rPr>
      <w:rFonts w:ascii="Arial" w:hAnsi="Arial" w:eastAsia="宋体"/>
      <w:b/>
      <w:kern w:val="2"/>
      <w:sz w:val="32"/>
      <w:lang w:val="en-US" w:eastAsia="zh-CN" w:bidi="ar-SA"/>
    </w:rPr>
  </w:style>
  <w:style w:type="character" w:customStyle="1" w:styleId="174">
    <w:name w:val="bt21"/>
    <w:qFormat/>
    <w:uiPriority w:val="0"/>
    <w:rPr>
      <w:rFonts w:hint="eastAsia" w:ascii="黑体" w:hAnsi="宋体" w:eastAsia="黑体"/>
      <w:kern w:val="2"/>
      <w:sz w:val="24"/>
      <w:lang w:val="en-US" w:eastAsia="zh-CN"/>
    </w:rPr>
  </w:style>
  <w:style w:type="character" w:customStyle="1" w:styleId="175">
    <w:name w:val="font14"/>
    <w:qFormat/>
    <w:uiPriority w:val="0"/>
  </w:style>
  <w:style w:type="paragraph" w:customStyle="1" w:styleId="176">
    <w:name w:val="reader-word-layer reader-word-s2-1"/>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7">
    <w:name w:val="Char Char Char Char Char Char Char Char Char1 Char Char Char Char1"/>
    <w:basedOn w:val="1"/>
    <w:qFormat/>
    <w:uiPriority w:val="0"/>
    <w:rPr>
      <w:szCs w:val="21"/>
    </w:rPr>
  </w:style>
  <w:style w:type="paragraph" w:customStyle="1" w:styleId="178">
    <w:name w:val="表内文字"/>
    <w:basedOn w:val="1"/>
    <w:next w:val="1"/>
    <w:qFormat/>
    <w:uiPriority w:val="0"/>
    <w:pPr>
      <w:adjustRightInd w:val="0"/>
      <w:spacing w:line="360" w:lineRule="atLeast"/>
      <w:jc w:val="center"/>
      <w:textAlignment w:val="baseline"/>
    </w:pPr>
    <w:rPr>
      <w:kern w:val="0"/>
    </w:rPr>
  </w:style>
  <w:style w:type="paragraph" w:customStyle="1" w:styleId="179">
    <w:name w:val="Char Char Char Char1"/>
    <w:basedOn w:val="1"/>
    <w:qFormat/>
    <w:uiPriority w:val="0"/>
    <w:rPr>
      <w:sz w:val="24"/>
      <w:szCs w:val="24"/>
    </w:rPr>
  </w:style>
  <w:style w:type="character" w:customStyle="1" w:styleId="180">
    <w:name w:val="fontstyle31"/>
    <w:qFormat/>
    <w:uiPriority w:val="0"/>
    <w:rPr>
      <w:rFonts w:hint="default" w:ascii="TimesNewRomanPSMT" w:hAnsi="TimesNewRomanPSMT"/>
      <w:color w:val="000000"/>
      <w:sz w:val="24"/>
      <w:szCs w:val="24"/>
    </w:rPr>
  </w:style>
  <w:style w:type="paragraph" w:customStyle="1" w:styleId="181">
    <w:name w:val="样式2"/>
    <w:basedOn w:val="1"/>
    <w:qFormat/>
    <w:uiPriority w:val="99"/>
    <w:pPr>
      <w:adjustRightInd w:val="0"/>
      <w:snapToGrid w:val="0"/>
      <w:spacing w:beforeLines="100" w:line="360" w:lineRule="auto"/>
    </w:pPr>
    <w:rPr>
      <w:rFonts w:ascii="Calibri" w:hAnsi="Calibri" w:eastAsia="仿宋_GB2312"/>
      <w:b/>
      <w:sz w:val="28"/>
    </w:rPr>
  </w:style>
  <w:style w:type="paragraph" w:customStyle="1" w:styleId="182">
    <w:name w:val="样式35"/>
    <w:basedOn w:val="1"/>
    <w:qFormat/>
    <w:uiPriority w:val="0"/>
    <w:pPr>
      <w:adjustRightInd w:val="0"/>
      <w:spacing w:line="312" w:lineRule="auto"/>
      <w:ind w:firstLine="567"/>
    </w:pPr>
    <w:rPr>
      <w:rFonts w:ascii="宋体" w:hAnsi="Calibri"/>
      <w:kern w:val="0"/>
      <w:sz w:val="28"/>
    </w:rPr>
  </w:style>
  <w:style w:type="character" w:customStyle="1" w:styleId="183">
    <w:name w:val="称呼 字符"/>
    <w:link w:val="12"/>
    <w:qFormat/>
    <w:uiPriority w:val="0"/>
    <w:rPr>
      <w:rFonts w:ascii="Calibri" w:hAnsi="Calibri"/>
      <w:kern w:val="2"/>
      <w:sz w:val="21"/>
    </w:rPr>
  </w:style>
  <w:style w:type="character" w:customStyle="1" w:styleId="184">
    <w:name w:val="正文首行缩进 2 字符"/>
    <w:link w:val="18"/>
    <w:qFormat/>
    <w:uiPriority w:val="0"/>
    <w:rPr>
      <w:rFonts w:ascii="Calibri" w:hAnsi="Calibri"/>
      <w:kern w:val="2"/>
      <w:sz w:val="21"/>
    </w:rPr>
  </w:style>
  <w:style w:type="table" w:customStyle="1" w:styleId="185">
    <w:name w:val="网格型1"/>
    <w:basedOn w:val="45"/>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6">
    <w:name w:val="cur1"/>
    <w:qFormat/>
    <w:uiPriority w:val="0"/>
    <w:rPr>
      <w:color w:val="FFFFFF"/>
      <w:shd w:val="clear" w:color="auto" w:fill="2F6B98"/>
    </w:rPr>
  </w:style>
  <w:style w:type="character" w:customStyle="1" w:styleId="187">
    <w:name w:val="lishishuju"/>
    <w:qFormat/>
    <w:uiPriority w:val="0"/>
    <w:rPr>
      <w:b/>
      <w:bCs/>
      <w:color w:val="000052"/>
      <w:sz w:val="24"/>
      <w:szCs w:val="24"/>
      <w:bdr w:val="single" w:color="E3E3E3" w:sz="6" w:space="0"/>
    </w:rPr>
  </w:style>
  <w:style w:type="character" w:customStyle="1" w:styleId="188">
    <w:name w:val="znspantitle"/>
    <w:qFormat/>
    <w:uiPriority w:val="0"/>
    <w:rPr>
      <w:b/>
      <w:bCs/>
      <w:color w:val="333333"/>
    </w:rPr>
  </w:style>
  <w:style w:type="character" w:customStyle="1" w:styleId="189">
    <w:name w:val="radio-btn2"/>
    <w:qFormat/>
    <w:uiPriority w:val="0"/>
    <w:rPr>
      <w:sz w:val="24"/>
      <w:szCs w:val="24"/>
    </w:rPr>
  </w:style>
  <w:style w:type="character" w:customStyle="1" w:styleId="190">
    <w:name w:val="radio-btn"/>
    <w:qFormat/>
    <w:uiPriority w:val="0"/>
    <w:rPr>
      <w:sz w:val="24"/>
      <w:szCs w:val="24"/>
    </w:rPr>
  </w:style>
  <w:style w:type="character" w:customStyle="1" w:styleId="191">
    <w:name w:val="radio-btn1"/>
    <w:qFormat/>
    <w:uiPriority w:val="0"/>
    <w:rPr>
      <w:sz w:val="21"/>
      <w:szCs w:val="21"/>
    </w:rPr>
  </w:style>
  <w:style w:type="character" w:customStyle="1" w:styleId="192">
    <w:name w:val="lable"/>
    <w:qFormat/>
    <w:uiPriority w:val="0"/>
    <w:rPr>
      <w:sz w:val="24"/>
      <w:szCs w:val="24"/>
    </w:rPr>
  </w:style>
  <w:style w:type="paragraph" w:customStyle="1" w:styleId="193">
    <w:name w:val="Table Paragraph"/>
    <w:basedOn w:val="1"/>
    <w:qFormat/>
    <w:uiPriority w:val="1"/>
    <w:rPr>
      <w:rFonts w:ascii="宋体" w:hAnsi="宋体" w:cs="宋体"/>
      <w:lang w:val="zh-CN" w:bidi="zh-CN"/>
    </w:rPr>
  </w:style>
  <w:style w:type="paragraph" w:customStyle="1" w:styleId="194">
    <w:name w:val="E-正文"/>
    <w:next w:val="195"/>
    <w:qFormat/>
    <w:uiPriority w:val="0"/>
    <w:pPr>
      <w:spacing w:line="560" w:lineRule="exact"/>
      <w:ind w:firstLine="200" w:firstLineChars="200"/>
    </w:pPr>
    <w:rPr>
      <w:rFonts w:ascii="Calibri" w:hAnsi="Calibri" w:eastAsia="宋体" w:cs="Times New Roman"/>
      <w:kern w:val="2"/>
      <w:sz w:val="28"/>
      <w:szCs w:val="24"/>
      <w:lang w:val="en-US" w:eastAsia="zh-CN" w:bidi="ar-SA"/>
    </w:rPr>
  </w:style>
  <w:style w:type="paragraph" w:customStyle="1" w:styleId="195">
    <w:name w:val="F-表单"/>
    <w:qFormat/>
    <w:uiPriority w:val="0"/>
    <w:pPr>
      <w:jc w:val="center"/>
    </w:pPr>
    <w:rPr>
      <w:rFonts w:ascii="Calibri" w:hAnsi="Calibri" w:eastAsia="宋体" w:cs="Times New Roman"/>
      <w:kern w:val="2"/>
      <w:sz w:val="21"/>
      <w:szCs w:val="21"/>
      <w:lang w:val="en-US" w:eastAsia="zh-CN" w:bidi="ar-SA"/>
    </w:rPr>
  </w:style>
  <w:style w:type="paragraph" w:customStyle="1" w:styleId="196">
    <w:name w:val="正文格式"/>
    <w:basedOn w:val="1"/>
    <w:qFormat/>
    <w:uiPriority w:val="0"/>
    <w:pPr>
      <w:spacing w:line="360" w:lineRule="auto"/>
      <w:ind w:firstLine="482"/>
    </w:pPr>
    <w:rPr>
      <w:rFonts w:ascii="宋体" w:hAnsi="Calibri" w:cs="宋体"/>
      <w:sz w:val="24"/>
    </w:rPr>
  </w:style>
  <w:style w:type="paragraph" w:styleId="197">
    <w:name w:val="List Paragraph"/>
    <w:basedOn w:val="1"/>
    <w:qFormat/>
    <w:uiPriority w:val="34"/>
    <w:pPr>
      <w:widowControl/>
      <w:ind w:firstLine="420" w:firstLineChars="200"/>
      <w:jc w:val="left"/>
    </w:pPr>
    <w:rPr>
      <w:rFonts w:ascii="宋体" w:hAnsi="宋体" w:cs="宋体"/>
      <w:kern w:val="0"/>
      <w:sz w:val="24"/>
      <w:szCs w:val="24"/>
    </w:rPr>
  </w:style>
  <w:style w:type="paragraph" w:customStyle="1" w:styleId="198">
    <w:name w:val="li_正文"/>
    <w:basedOn w:val="1"/>
    <w:qFormat/>
    <w:uiPriority w:val="0"/>
    <w:pPr>
      <w:tabs>
        <w:tab w:val="left" w:pos="2340"/>
        <w:tab w:val="left" w:pos="4320"/>
      </w:tabs>
      <w:ind w:firstLine="530" w:firstLineChars="200"/>
      <w:jc w:val="left"/>
    </w:pPr>
    <w:rPr>
      <w:rFonts w:ascii="Calibri" w:hAnsi="Calibri"/>
      <w:sz w:val="28"/>
      <w:szCs w:val="28"/>
    </w:rPr>
  </w:style>
  <w:style w:type="paragraph" w:customStyle="1" w:styleId="199">
    <w:name w:val="列出段落1"/>
    <w:basedOn w:val="1"/>
    <w:qFormat/>
    <w:uiPriority w:val="0"/>
    <w:pPr>
      <w:ind w:firstLine="420" w:firstLineChars="200"/>
    </w:pPr>
    <w:rPr>
      <w:rFonts w:ascii="Calibri" w:hAnsi="Calibri"/>
    </w:rPr>
  </w:style>
  <w:style w:type="paragraph" w:customStyle="1" w:styleId="200">
    <w:name w:val="样式 五号 居中"/>
    <w:basedOn w:val="1"/>
    <w:qFormat/>
    <w:uiPriority w:val="0"/>
    <w:pPr>
      <w:jc w:val="center"/>
    </w:pPr>
    <w:rPr>
      <w:rFonts w:ascii="Calibri" w:hAnsi="Calibri" w:cs="宋体"/>
    </w:rPr>
  </w:style>
  <w:style w:type="paragraph" w:customStyle="1" w:styleId="201">
    <w:name w:val="Body text|1"/>
    <w:basedOn w:val="1"/>
    <w:link w:val="208"/>
    <w:qFormat/>
    <w:uiPriority w:val="0"/>
    <w:pPr>
      <w:spacing w:line="415" w:lineRule="auto"/>
      <w:ind w:firstLine="400"/>
      <w:jc w:val="left"/>
    </w:pPr>
    <w:rPr>
      <w:rFonts w:ascii="宋体" w:hAnsi="宋体" w:cs="宋体"/>
      <w:kern w:val="0"/>
      <w:sz w:val="30"/>
      <w:szCs w:val="30"/>
      <w:lang w:val="zh-TW" w:eastAsia="zh-TW" w:bidi="zh-TW"/>
    </w:rPr>
  </w:style>
  <w:style w:type="paragraph" w:customStyle="1" w:styleId="202">
    <w:name w:val="C-正文"/>
    <w:basedOn w:val="1"/>
    <w:qFormat/>
    <w:uiPriority w:val="0"/>
    <w:pPr>
      <w:ind w:firstLine="480"/>
    </w:pPr>
    <w:rPr>
      <w:rFonts w:ascii="Calibri" w:hAnsi="Calibri"/>
      <w:sz w:val="24"/>
    </w:rPr>
  </w:style>
  <w:style w:type="paragraph" w:customStyle="1" w:styleId="203">
    <w:name w:val="D-小节2"/>
    <w:next w:val="194"/>
    <w:qFormat/>
    <w:uiPriority w:val="0"/>
    <w:pPr>
      <w:numPr>
        <w:ilvl w:val="3"/>
        <w:numId w:val="2"/>
      </w:numPr>
      <w:spacing w:line="560" w:lineRule="exact"/>
      <w:outlineLvl w:val="3"/>
    </w:pPr>
    <w:rPr>
      <w:rFonts w:ascii="Calibri" w:hAnsi="Calibri" w:eastAsia="宋体" w:cs="Times New Roman"/>
      <w:kern w:val="2"/>
      <w:sz w:val="28"/>
      <w:szCs w:val="24"/>
      <w:lang w:val="en-US" w:eastAsia="zh-CN" w:bidi="ar-SA"/>
    </w:rPr>
  </w:style>
  <w:style w:type="paragraph" w:customStyle="1" w:styleId="204">
    <w:name w:val="本文正文"/>
    <w:basedOn w:val="1"/>
    <w:qFormat/>
    <w:uiPriority w:val="0"/>
    <w:pPr>
      <w:autoSpaceDE w:val="0"/>
      <w:autoSpaceDN w:val="0"/>
      <w:adjustRightInd w:val="0"/>
      <w:textAlignment w:val="baseline"/>
    </w:pPr>
    <w:rPr>
      <w:rFonts w:ascii="Calibri" w:hAnsi="Calibri"/>
    </w:rPr>
  </w:style>
  <w:style w:type="paragraph" w:customStyle="1" w:styleId="205">
    <w:name w:val="c-表格"/>
    <w:qFormat/>
    <w:uiPriority w:val="0"/>
    <w:pPr>
      <w:jc w:val="center"/>
    </w:pPr>
    <w:rPr>
      <w:rFonts w:ascii="Calibri" w:hAnsi="Calibri" w:eastAsia="宋体" w:cs="Times New Roman"/>
      <w:kern w:val="2"/>
      <w:sz w:val="21"/>
      <w:szCs w:val="22"/>
      <w:lang w:val="en-US" w:eastAsia="zh-CN" w:bidi="ar-SA"/>
    </w:rPr>
  </w:style>
  <w:style w:type="paragraph" w:customStyle="1" w:styleId="206">
    <w:name w:val="报告正文"/>
    <w:basedOn w:val="17"/>
    <w:link w:val="207"/>
    <w:qFormat/>
    <w:uiPriority w:val="0"/>
    <w:pPr>
      <w:autoSpaceDE w:val="0"/>
      <w:autoSpaceDN w:val="0"/>
      <w:adjustRightInd w:val="0"/>
      <w:snapToGrid w:val="0"/>
      <w:spacing w:line="360" w:lineRule="auto"/>
      <w:ind w:firstLine="200" w:firstLineChars="200"/>
    </w:pPr>
    <w:rPr>
      <w:rFonts w:ascii="Times New Roman" w:hAnsi="Times New Roman" w:cs="宋体"/>
      <w:color w:val="000000"/>
      <w:kern w:val="0"/>
      <w:szCs w:val="30"/>
      <w:lang w:val="zh-CN"/>
    </w:rPr>
  </w:style>
  <w:style w:type="character" w:customStyle="1" w:styleId="207">
    <w:name w:val="报告正文 Char"/>
    <w:link w:val="206"/>
    <w:qFormat/>
    <w:uiPriority w:val="0"/>
    <w:rPr>
      <w:rFonts w:cs="宋体"/>
      <w:color w:val="000000"/>
      <w:sz w:val="28"/>
      <w:szCs w:val="30"/>
      <w:lang w:val="zh-CN"/>
    </w:rPr>
  </w:style>
  <w:style w:type="character" w:customStyle="1" w:styleId="208">
    <w:name w:val="Body text|1_"/>
    <w:link w:val="201"/>
    <w:qFormat/>
    <w:locked/>
    <w:uiPriority w:val="0"/>
    <w:rPr>
      <w:rFonts w:ascii="宋体" w:hAnsi="宋体" w:cs="宋体"/>
      <w:sz w:val="30"/>
      <w:szCs w:val="30"/>
      <w:lang w:val="zh-TW" w:eastAsia="zh-TW" w:bidi="zh-TW"/>
    </w:rPr>
  </w:style>
  <w:style w:type="table" w:customStyle="1" w:styleId="209">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210">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211">
    <w:name w:val="副标题 字符"/>
    <w:basedOn w:val="54"/>
    <w:link w:val="30"/>
    <w:qFormat/>
    <w:uiPriority w:val="11"/>
    <w:rPr>
      <w:rFonts w:eastAsia="黑体"/>
      <w:b/>
      <w:bCs/>
      <w:kern w:val="28"/>
      <w:sz w:val="21"/>
      <w:szCs w:val="32"/>
    </w:rPr>
  </w:style>
  <w:style w:type="paragraph" w:customStyle="1" w:styleId="212">
    <w:name w:val="Char2"/>
    <w:basedOn w:val="1"/>
    <w:qFormat/>
    <w:uiPriority w:val="0"/>
    <w:rPr>
      <w:szCs w:val="24"/>
    </w:rPr>
  </w:style>
  <w:style w:type="paragraph" w:customStyle="1" w:styleId="213">
    <w:name w:val="Char11"/>
    <w:basedOn w:val="1"/>
    <w:next w:val="1"/>
    <w:semiHidden/>
    <w:qFormat/>
    <w:uiPriority w:val="0"/>
    <w:pPr>
      <w:spacing w:line="360" w:lineRule="auto"/>
      <w:ind w:firstLine="200" w:firstLineChars="200"/>
    </w:pPr>
    <w:rPr>
      <w:rFonts w:ascii="宋体" w:hAnsi="宋体" w:cs="宋体"/>
      <w:sz w:val="24"/>
      <w:szCs w:val="24"/>
    </w:rPr>
  </w:style>
  <w:style w:type="paragraph" w:customStyle="1" w:styleId="214">
    <w:name w:val="Char Char Char Char Char Char11"/>
    <w:basedOn w:val="1"/>
    <w:next w:val="1"/>
    <w:semiHidden/>
    <w:qFormat/>
    <w:uiPriority w:val="0"/>
    <w:pPr>
      <w:spacing w:line="336" w:lineRule="auto"/>
      <w:ind w:firstLine="200" w:firstLineChars="200"/>
    </w:pPr>
    <w:rPr>
      <w:rFonts w:ascii="宋体" w:hAnsi="宋体" w:eastAsia="汉鼎简书宋" w:cs="宋体"/>
      <w:spacing w:val="4"/>
      <w:sz w:val="24"/>
      <w:szCs w:val="24"/>
    </w:rPr>
  </w:style>
  <w:style w:type="paragraph" w:customStyle="1" w:styleId="215">
    <w:name w:val="Char Char Char1 Char Char Char1 Char Char Char Char Char Char Char Char Char Char Char Char1 Char Char Char Char Char Char Char1"/>
    <w:basedOn w:val="1"/>
    <w:qFormat/>
    <w:uiPriority w:val="0"/>
    <w:pPr>
      <w:widowControl/>
      <w:spacing w:after="160" w:line="240" w:lineRule="exact"/>
      <w:jc w:val="left"/>
    </w:pPr>
    <w:rPr>
      <w:rFonts w:ascii="Arial" w:hAnsi="Arial" w:eastAsia="Times New Roman" w:cs="Verdana"/>
      <w:b/>
      <w:kern w:val="0"/>
      <w:sz w:val="24"/>
      <w:lang w:eastAsia="en-US"/>
    </w:rPr>
  </w:style>
  <w:style w:type="paragraph" w:customStyle="1" w:styleId="216">
    <w:name w:val="Char Char Char Char Char Char Char1"/>
    <w:basedOn w:val="1"/>
    <w:qFormat/>
    <w:uiPriority w:val="0"/>
    <w:pPr>
      <w:spacing w:line="360" w:lineRule="auto"/>
      <w:ind w:firstLine="200" w:firstLineChars="200"/>
    </w:pPr>
    <w:rPr>
      <w:rFonts w:ascii="宋体" w:hAnsi="宋体" w:cs="宋体"/>
      <w:sz w:val="24"/>
      <w:szCs w:val="24"/>
    </w:rPr>
  </w:style>
  <w:style w:type="paragraph" w:customStyle="1" w:styleId="217">
    <w:name w:val="Char Char Char2"/>
    <w:basedOn w:val="1"/>
    <w:qFormat/>
    <w:uiPriority w:val="0"/>
    <w:rPr>
      <w:sz w:val="24"/>
      <w:szCs w:val="24"/>
    </w:rPr>
  </w:style>
  <w:style w:type="paragraph" w:customStyle="1" w:styleId="218">
    <w:name w:val="Char Char Char Char Char Char3"/>
    <w:basedOn w:val="1"/>
    <w:qFormat/>
    <w:uiPriority w:val="0"/>
    <w:rPr>
      <w:sz w:val="24"/>
      <w:szCs w:val="24"/>
    </w:rPr>
  </w:style>
  <w:style w:type="paragraph" w:customStyle="1" w:styleId="219">
    <w:name w:val="Char Char Char Char Char Char Char Char Char1 Char Char Char Char2"/>
    <w:basedOn w:val="1"/>
    <w:qFormat/>
    <w:uiPriority w:val="0"/>
    <w:rPr>
      <w:szCs w:val="21"/>
    </w:rPr>
  </w:style>
  <w:style w:type="paragraph" w:customStyle="1" w:styleId="220">
    <w:name w:val="Char Char Char Char2"/>
    <w:basedOn w:val="1"/>
    <w:qFormat/>
    <w:uiPriority w:val="0"/>
    <w:rPr>
      <w:sz w:val="24"/>
      <w:szCs w:val="24"/>
    </w:rPr>
  </w:style>
  <w:style w:type="table" w:customStyle="1" w:styleId="221">
    <w:name w:val="网格型 61"/>
    <w:basedOn w:val="45"/>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222">
    <w:name w:val="典雅型1"/>
    <w:basedOn w:val="4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3">
    <w:name w:val="网页型 11"/>
    <w:basedOn w:val="45"/>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table" w:customStyle="1" w:styleId="224">
    <w:name w:val="网格型 62"/>
    <w:basedOn w:val="45"/>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cPr>
        <w:tcBorders>
          <w:bottom w:val="single" w:color="000000" w:sz="6" w:space="0"/>
          <w:tl2br w:val="nil"/>
          <w:tr2bl w:val="nil"/>
        </w:tcBorders>
      </w:tcPr>
    </w:tblStylePr>
    <w:tblStylePr w:type="lastRow">
      <w:rPr>
        <w:color w:val="auto"/>
      </w:rPr>
      <w:tcPr>
        <w:tcBorders>
          <w:top w:val="single" w:color="000000" w:sz="6" w:space="0"/>
          <w:tl2br w:val="nil"/>
          <w:tr2bl w:val="nil"/>
        </w:tcBorders>
      </w:tcPr>
    </w:tblStylePr>
    <w:tblStylePr w:type="firstCol">
      <w:rPr>
        <w:b/>
        <w:bCs/>
      </w:rPr>
      <w:tcPr>
        <w:tcBorders>
          <w:tl2br w:val="nil"/>
          <w:tr2bl w:val="nil"/>
        </w:tcBorders>
      </w:tcPr>
    </w:tblStylePr>
    <w:tblStylePr w:type="nwCell">
      <w:tcPr>
        <w:tcBorders>
          <w:tl2br w:val="single" w:color="000000" w:sz="6" w:space="0"/>
          <w:tr2bl w:val="nil"/>
        </w:tcBorders>
      </w:tcPr>
    </w:tblStylePr>
  </w:style>
  <w:style w:type="table" w:customStyle="1" w:styleId="225">
    <w:name w:val="典雅型2"/>
    <w:basedOn w:val="45"/>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cPr>
        <w:tcBorders>
          <w:tl2br w:val="nil"/>
          <w:tr2bl w:val="nil"/>
        </w:tcBorders>
      </w:tcPr>
    </w:tblStylePr>
  </w:style>
  <w:style w:type="table" w:customStyle="1" w:styleId="226">
    <w:name w:val="网页型 12"/>
    <w:basedOn w:val="45"/>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cPr>
        <w:tcBorders>
          <w:tl2br w:val="nil"/>
          <w:tr2bl w:val="nil"/>
        </w:tcBorders>
      </w:tcPr>
    </w:tblStylePr>
  </w:style>
  <w:style w:type="paragraph" w:customStyle="1" w:styleId="227">
    <w:name w:val="Table Text"/>
    <w:basedOn w:val="1"/>
    <w:semiHidden/>
    <w:qFormat/>
    <w:uiPriority w:val="0"/>
    <w:pPr>
      <w:widowControl/>
      <w:kinsoku w:val="0"/>
      <w:autoSpaceDE w:val="0"/>
      <w:autoSpaceDN w:val="0"/>
      <w:adjustRightInd w:val="0"/>
      <w:snapToGrid w:val="0"/>
      <w:jc w:val="left"/>
      <w:textAlignment w:val="baseline"/>
    </w:pPr>
    <w:rPr>
      <w:rFonts w:eastAsia="Times New Roman"/>
      <w:snapToGrid w:val="0"/>
      <w:color w:val="000000"/>
      <w:kern w:val="0"/>
      <w:sz w:val="19"/>
      <w:szCs w:val="19"/>
      <w:lang w:eastAsia="en-US"/>
    </w:rPr>
  </w:style>
  <w:style w:type="paragraph" w:customStyle="1" w:styleId="228">
    <w:name w:val="Char3"/>
    <w:basedOn w:val="1"/>
    <w:qFormat/>
    <w:uiPriority w:val="0"/>
    <w:rPr>
      <w:szCs w:val="24"/>
    </w:rPr>
  </w:style>
  <w:style w:type="paragraph" w:customStyle="1" w:styleId="229">
    <w:name w:val="表头格式"/>
    <w:basedOn w:val="114"/>
    <w:autoRedefine/>
    <w:qFormat/>
    <w:uiPriority w:val="0"/>
    <w:pPr>
      <w:spacing w:line="360" w:lineRule="auto"/>
    </w:pPr>
    <w:rPr>
      <w:rFonts w:hint="eastAsia"/>
      <w:b/>
      <w:bCs/>
      <w:sz w:val="21"/>
      <w:szCs w:val="21"/>
    </w:rPr>
  </w:style>
  <w:style w:type="paragraph" w:customStyle="1" w:styleId="230">
    <w:name w:val="A表格文字"/>
    <w:basedOn w:val="31"/>
    <w:qFormat/>
    <w:uiPriority w:val="0"/>
    <w:pPr>
      <w:spacing w:line="240" w:lineRule="auto"/>
    </w:pPr>
    <w:rPr>
      <w:rFonts w:ascii="Times New Roman" w:hAnsi="Times New Roman"/>
    </w:rPr>
  </w:style>
  <w:style w:type="paragraph" w:customStyle="1" w:styleId="231">
    <w:name w:val="标题2"/>
    <w:qFormat/>
    <w:uiPriority w:val="0"/>
    <w:pPr>
      <w:numPr>
        <w:ilvl w:val="1"/>
        <w:numId w:val="3"/>
      </w:numPr>
      <w:spacing w:before="100" w:beforeAutospacing="1" w:after="100" w:afterAutospacing="1" w:line="440" w:lineRule="exact"/>
      <w:outlineLvl w:val="1"/>
    </w:pPr>
    <w:rPr>
      <w:rFonts w:ascii="宋体" w:hAnsi="宋体" w:eastAsia="宋体" w:cs="Times New Roman"/>
      <w:b/>
      <w:sz w:val="28"/>
      <w:lang w:val="en-US" w:eastAsia="zh-CN" w:bidi="ar-SA"/>
    </w:rPr>
  </w:style>
  <w:style w:type="paragraph" w:customStyle="1" w:styleId="232">
    <w:name w:val="报告书-正文"/>
    <w:basedOn w:val="1"/>
    <w:link w:val="233"/>
    <w:qFormat/>
    <w:uiPriority w:val="0"/>
    <w:pPr>
      <w:spacing w:line="440" w:lineRule="exact"/>
      <w:ind w:firstLine="643" w:firstLineChars="200"/>
    </w:pPr>
    <w:rPr>
      <w:rFonts w:ascii="Times New Roman" w:hAnsi="Times New Roman" w:eastAsia="宋体" w:cs="Times New Roman"/>
      <w:color w:val="00B0F0"/>
      <w:sz w:val="24"/>
      <w:szCs w:val="24"/>
    </w:rPr>
  </w:style>
  <w:style w:type="character" w:customStyle="1" w:styleId="233">
    <w:name w:val="报告书-正文 Char"/>
    <w:link w:val="232"/>
    <w:qFormat/>
    <w:uiPriority w:val="0"/>
    <w:rPr>
      <w:rFonts w:ascii="Times New Roman" w:hAnsi="Times New Roman" w:eastAsia="宋体" w:cs="Times New Roman"/>
      <w:color w:val="00B0F0"/>
      <w:sz w:val="24"/>
      <w:szCs w:val="24"/>
    </w:rPr>
  </w:style>
  <w:style w:type="paragraph" w:customStyle="1" w:styleId="234">
    <w:name w:val="表格头"/>
    <w:basedOn w:val="1"/>
    <w:link w:val="236"/>
    <w:qFormat/>
    <w:uiPriority w:val="0"/>
    <w:pPr>
      <w:spacing w:line="440" w:lineRule="exact"/>
      <w:ind w:firstLine="0" w:firstLineChars="0"/>
      <w:jc w:val="center"/>
    </w:pPr>
    <w:rPr>
      <w:rFonts w:hint="eastAsia" w:ascii="Times New Roman" w:hAnsi="Times New Roman" w:eastAsia="宋体" w:cs="Times New Roman"/>
      <w:b/>
      <w:bCs/>
      <w:iCs/>
      <w:color w:val="00B0F0"/>
    </w:rPr>
  </w:style>
  <w:style w:type="paragraph" w:customStyle="1" w:styleId="235">
    <w:name w:val="正文文本，表格"/>
    <w:basedOn w:val="1"/>
    <w:qFormat/>
    <w:uiPriority w:val="0"/>
    <w:pPr>
      <w:jc w:val="center"/>
    </w:pPr>
    <w:rPr>
      <w:szCs w:val="21"/>
    </w:rPr>
  </w:style>
  <w:style w:type="character" w:customStyle="1" w:styleId="236">
    <w:name w:val="表格头 Char"/>
    <w:link w:val="234"/>
    <w:qFormat/>
    <w:uiPriority w:val="0"/>
    <w:rPr>
      <w:rFonts w:hint="eastAsia" w:ascii="Times New Roman" w:hAnsi="Times New Roman" w:eastAsia="宋体" w:cs="Times New Roman"/>
      <w:b/>
      <w:bCs/>
      <w:iCs/>
      <w:color w:val="00B0F0"/>
    </w:rPr>
  </w:style>
  <w:style w:type="paragraph" w:customStyle="1" w:styleId="237">
    <w:name w:val="Normal"/>
    <w:qFormat/>
    <w:uiPriority w:val="0"/>
    <w:pPr>
      <w:jc w:val="both"/>
    </w:pPr>
    <w:rPr>
      <w:rFonts w:ascii="Calibri" w:hAnsi="Calibri" w:eastAsia="宋体" w:cs="宋体"/>
      <w:kern w:val="2"/>
      <w:sz w:val="21"/>
      <w:szCs w:val="21"/>
      <w:lang w:val="en-US" w:eastAsia="zh-CN" w:bidi="ar-SA"/>
    </w:rPr>
  </w:style>
  <w:style w:type="character" w:customStyle="1" w:styleId="238">
    <w:name w:val="表格内容 Char"/>
    <w:link w:val="67"/>
    <w:qFormat/>
    <w:uiPriority w:val="0"/>
    <w:rPr>
      <w:rFonts w:hAnsi="Calibri" w:eastAsia="宋体"/>
    </w:rPr>
  </w:style>
  <w:style w:type="paragraph" w:customStyle="1" w:styleId="239">
    <w:name w:val="文本"/>
    <w:basedOn w:val="1"/>
    <w:next w:val="1"/>
    <w:qFormat/>
    <w:uiPriority w:val="0"/>
    <w:pPr>
      <w:autoSpaceDE w:val="0"/>
      <w:autoSpaceDN w:val="0"/>
      <w:ind w:firstLine="480"/>
    </w:pPr>
    <w:rPr>
      <w:szCs w:val="24"/>
      <w:lang w:val="zh-CN"/>
    </w:rPr>
  </w:style>
  <w:style w:type="paragraph" w:customStyle="1" w:styleId="240">
    <w:name w:val="表格标题-书"/>
    <w:next w:val="241"/>
    <w:qFormat/>
    <w:uiPriority w:val="0"/>
    <w:pPr>
      <w:jc w:val="center"/>
    </w:pPr>
    <w:rPr>
      <w:rFonts w:ascii="Times New Roman" w:hAnsi="Times New Roman" w:eastAsia="宋体" w:cs="Times New Roman"/>
      <w:b/>
      <w:sz w:val="24"/>
      <w:szCs w:val="22"/>
      <w:lang w:val="en-US" w:eastAsia="zh-CN" w:bidi="ar-SA"/>
    </w:rPr>
  </w:style>
  <w:style w:type="paragraph" w:customStyle="1" w:styleId="241">
    <w:name w:val="表格文字-书"/>
    <w:qFormat/>
    <w:uiPriority w:val="0"/>
    <w:pPr>
      <w:jc w:val="center"/>
    </w:pPr>
    <w:rPr>
      <w:rFonts w:ascii="Times New Roman" w:hAnsi="Times New Roman"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wmf"/><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显闰</Company>
  <Pages>62</Pages>
  <Words>344</Words>
  <Characters>373</Characters>
  <Lines>341</Lines>
  <Paragraphs>96</Paragraphs>
  <TotalTime>0</TotalTime>
  <ScaleCrop>false</ScaleCrop>
  <LinksUpToDate>false</LinksUpToDate>
  <CharactersWithSpaces>415</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2024-01-02T01:38:00Z</dcterms:created>
  <dc:creator>wll</dc:creator>
  <cp:lastModifiedBy>付凰泰</cp:lastModifiedBy>
  <cp:lastPrinted>2023-12-28T03:32:00Z</cp:lastPrinted>
  <dcterms:modified xsi:type="dcterms:W3CDTF">2025-08-20T07:04:30Z</dcterms:modified>
  <dc:title>《建设项目环境影响报告表》编制说明</dc:title>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CF7D71C9728142E4B4292C4FF7118FF7_13</vt:lpwstr>
  </property>
  <property fmtid="{D5CDD505-2E9C-101B-9397-08002B2CF9AE}" pid="4" name="KSOTemplateDocerSaveRecord">
    <vt:lpwstr>eyJoZGlkIjoiZWYyMmQ3M2I1NThjOTBkMDFkYmZmMGJlMTYwMjk0MTciLCJ1c2VySWQiOiIyNDg4NzY3NDEifQ==</vt:lpwstr>
  </property>
</Properties>
</file>